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6468595">
      <w:pPr>
        <w:shd w:val="clear" w:fill="FFFFFF" w:themeFill="background1"/>
        <w:jc w:val="center"/>
        <w:rPr>
          <w:rFonts w:ascii="宋体" w:hAnsi="宋体" w:cs="宋体"/>
          <w:b/>
          <w:color w:val="auto"/>
          <w:kern w:val="0"/>
          <w:sz w:val="72"/>
          <w:szCs w:val="72"/>
          <w:highlight w:val="none"/>
          <w:shd w:val="clear" w:color="auto" w:fill="FFFFFF"/>
        </w:rPr>
      </w:pPr>
      <w:r>
        <w:rPr>
          <w:rFonts w:hint="eastAsia" w:ascii="宋体" w:hAnsi="宋体" w:cs="宋体"/>
          <w:b/>
          <w:color w:val="auto"/>
          <w:kern w:val="0"/>
          <w:sz w:val="72"/>
          <w:szCs w:val="72"/>
          <w:highlight w:val="none"/>
          <w:shd w:val="clear" w:color="auto" w:fill="FFFFFF"/>
        </w:rPr>
        <w:t>广 东 省</w:t>
      </w:r>
    </w:p>
    <w:p w14:paraId="7A4002E6">
      <w:pPr>
        <w:pStyle w:val="55"/>
        <w:shd w:val="clear" w:fill="FFFFFF" w:themeFill="background1"/>
        <w:rPr>
          <w:b/>
          <w:color w:val="auto"/>
          <w:highlight w:val="none"/>
        </w:rPr>
      </w:pPr>
    </w:p>
    <w:p w14:paraId="2B31B51E">
      <w:pPr>
        <w:shd w:val="clear" w:fill="FFFFFF" w:themeFill="background1"/>
        <w:jc w:val="center"/>
        <w:rPr>
          <w:rFonts w:ascii="宋体" w:hAnsi="宋体" w:cs="宋体"/>
          <w:b/>
          <w:color w:val="auto"/>
          <w:kern w:val="0"/>
          <w:sz w:val="44"/>
          <w:szCs w:val="44"/>
          <w:highlight w:val="none"/>
          <w:shd w:val="clear" w:color="auto" w:fill="FFFFFF"/>
        </w:rPr>
      </w:pPr>
      <w:r>
        <w:rPr>
          <w:rFonts w:hint="eastAsia" w:ascii="宋体" w:hAnsi="宋体" w:cs="宋体"/>
          <w:b/>
          <w:color w:val="auto"/>
          <w:kern w:val="0"/>
          <w:sz w:val="44"/>
          <w:szCs w:val="44"/>
          <w:highlight w:val="none"/>
          <w:shd w:val="clear" w:color="auto" w:fill="FFFFFF"/>
          <w:lang w:eastAsia="zh-CN"/>
        </w:rPr>
        <w:t>Y765线大竹山至下矮山改建工程（单改双）施工</w:t>
      </w:r>
      <w:r>
        <w:rPr>
          <w:rFonts w:hint="eastAsia" w:ascii="宋体" w:hAnsi="宋体" w:cs="宋体"/>
          <w:b/>
          <w:color w:val="auto"/>
          <w:kern w:val="0"/>
          <w:sz w:val="44"/>
          <w:szCs w:val="44"/>
          <w:highlight w:val="none"/>
          <w:shd w:val="clear" w:color="auto" w:fill="FFFFFF"/>
        </w:rPr>
        <w:t>招标</w:t>
      </w:r>
    </w:p>
    <w:p w14:paraId="49FC8E36">
      <w:pPr>
        <w:pStyle w:val="18"/>
        <w:shd w:val="clear" w:fill="FFFFFF" w:themeFill="background1"/>
        <w:rPr>
          <w:color w:val="auto"/>
          <w:highlight w:val="none"/>
        </w:rPr>
      </w:pPr>
    </w:p>
    <w:p w14:paraId="2EEF9897">
      <w:pPr>
        <w:pStyle w:val="55"/>
        <w:shd w:val="clear" w:fill="FFFFFF" w:themeFill="background1"/>
        <w:rPr>
          <w:color w:val="auto"/>
          <w:highlight w:val="none"/>
        </w:rPr>
      </w:pPr>
    </w:p>
    <w:p w14:paraId="04E27EB8">
      <w:pPr>
        <w:pStyle w:val="55"/>
        <w:shd w:val="clear" w:fill="FFFFFF" w:themeFill="background1"/>
        <w:rPr>
          <w:rFonts w:ascii="宋体" w:hAnsi="宋体"/>
          <w:b/>
          <w:color w:val="auto"/>
          <w:sz w:val="84"/>
          <w:szCs w:val="84"/>
          <w:highlight w:val="none"/>
        </w:rPr>
      </w:pPr>
    </w:p>
    <w:p w14:paraId="1C54A5CA">
      <w:pPr>
        <w:pStyle w:val="55"/>
        <w:shd w:val="clear" w:fill="FFFFFF" w:themeFill="background1"/>
        <w:rPr>
          <w:rFonts w:ascii="宋体" w:hAnsi="宋体"/>
          <w:b/>
          <w:color w:val="auto"/>
          <w:sz w:val="84"/>
          <w:szCs w:val="84"/>
          <w:highlight w:val="none"/>
        </w:rPr>
      </w:pPr>
    </w:p>
    <w:p w14:paraId="3D2C001F">
      <w:pPr>
        <w:pStyle w:val="55"/>
        <w:shd w:val="clear" w:fill="FFFFFF" w:themeFill="background1"/>
        <w:rPr>
          <w:rFonts w:ascii="宋体" w:hAnsi="宋体"/>
          <w:b/>
          <w:color w:val="auto"/>
          <w:sz w:val="84"/>
          <w:szCs w:val="84"/>
          <w:highlight w:val="none"/>
        </w:rPr>
      </w:pPr>
    </w:p>
    <w:p w14:paraId="34416BE2">
      <w:pPr>
        <w:pStyle w:val="55"/>
        <w:shd w:val="clear" w:fill="FFFFFF" w:themeFill="background1"/>
        <w:rPr>
          <w:rFonts w:ascii="宋体" w:hAnsi="宋体"/>
          <w:b/>
          <w:color w:val="auto"/>
          <w:sz w:val="84"/>
          <w:szCs w:val="84"/>
          <w:highlight w:val="none"/>
        </w:rPr>
      </w:pPr>
    </w:p>
    <w:p w14:paraId="0496F020">
      <w:pPr>
        <w:shd w:val="clear" w:fill="FFFFFF" w:themeFill="background1"/>
        <w:jc w:val="center"/>
        <w:rPr>
          <w:rFonts w:ascii="宋体" w:hAnsi="宋体"/>
          <w:b/>
          <w:color w:val="auto"/>
          <w:sz w:val="84"/>
          <w:szCs w:val="84"/>
          <w:highlight w:val="none"/>
        </w:rPr>
      </w:pPr>
      <w:r>
        <w:rPr>
          <w:rFonts w:ascii="宋体" w:hAnsi="宋体"/>
          <w:b/>
          <w:color w:val="auto"/>
          <w:sz w:val="84"/>
          <w:szCs w:val="84"/>
          <w:highlight w:val="none"/>
        </w:rPr>
        <w:t>招标文件</w:t>
      </w:r>
    </w:p>
    <w:p w14:paraId="0569D40C">
      <w:pPr>
        <w:shd w:val="clear" w:fill="FFFFFF" w:themeFill="background1"/>
        <w:ind w:firstLine="1600" w:firstLineChars="500"/>
        <w:jc w:val="center"/>
        <w:rPr>
          <w:rFonts w:ascii="宋体" w:hAnsi="宋体"/>
          <w:color w:val="auto"/>
          <w:sz w:val="32"/>
          <w:szCs w:val="32"/>
          <w:highlight w:val="none"/>
        </w:rPr>
      </w:pPr>
    </w:p>
    <w:p w14:paraId="52098A6D">
      <w:pPr>
        <w:pStyle w:val="18"/>
        <w:shd w:val="clear" w:fill="FFFFFF" w:themeFill="background1"/>
        <w:jc w:val="center"/>
        <w:rPr>
          <w:color w:val="auto"/>
          <w:highlight w:val="none"/>
        </w:rPr>
      </w:pPr>
    </w:p>
    <w:p w14:paraId="70093F3A">
      <w:pPr>
        <w:pStyle w:val="18"/>
        <w:shd w:val="clear" w:fill="FFFFFF" w:themeFill="background1"/>
        <w:jc w:val="center"/>
        <w:rPr>
          <w:color w:val="auto"/>
          <w:highlight w:val="none"/>
        </w:rPr>
      </w:pPr>
    </w:p>
    <w:p w14:paraId="4C210866">
      <w:pPr>
        <w:pStyle w:val="18"/>
        <w:shd w:val="clear" w:fill="FFFFFF" w:themeFill="background1"/>
        <w:jc w:val="center"/>
        <w:rPr>
          <w:color w:val="auto"/>
          <w:highlight w:val="none"/>
        </w:rPr>
      </w:pPr>
    </w:p>
    <w:p w14:paraId="267341FF">
      <w:pPr>
        <w:pStyle w:val="18"/>
        <w:shd w:val="clear" w:fill="FFFFFF" w:themeFill="background1"/>
        <w:jc w:val="center"/>
        <w:rPr>
          <w:color w:val="auto"/>
          <w:highlight w:val="none"/>
        </w:rPr>
      </w:pPr>
    </w:p>
    <w:p w14:paraId="11DD0685">
      <w:pPr>
        <w:pStyle w:val="18"/>
        <w:shd w:val="clear" w:fill="FFFFFF" w:themeFill="background1"/>
        <w:jc w:val="center"/>
        <w:rPr>
          <w:color w:val="auto"/>
          <w:highlight w:val="none"/>
        </w:rPr>
      </w:pPr>
    </w:p>
    <w:p w14:paraId="42CCFD6F">
      <w:pPr>
        <w:pStyle w:val="18"/>
        <w:shd w:val="clear" w:fill="FFFFFF" w:themeFill="background1"/>
        <w:jc w:val="center"/>
        <w:rPr>
          <w:color w:val="auto"/>
          <w:highlight w:val="none"/>
        </w:rPr>
      </w:pPr>
    </w:p>
    <w:p w14:paraId="5F6856A1">
      <w:pPr>
        <w:pStyle w:val="18"/>
        <w:shd w:val="clear" w:fill="FFFFFF" w:themeFill="background1"/>
        <w:jc w:val="center"/>
        <w:rPr>
          <w:color w:val="auto"/>
          <w:highlight w:val="none"/>
        </w:rPr>
      </w:pPr>
    </w:p>
    <w:p w14:paraId="20AB3D9F">
      <w:pPr>
        <w:pStyle w:val="18"/>
        <w:shd w:val="clear" w:fill="FFFFFF" w:themeFill="background1"/>
        <w:jc w:val="center"/>
        <w:rPr>
          <w:color w:val="auto"/>
          <w:highlight w:val="none"/>
        </w:rPr>
      </w:pPr>
    </w:p>
    <w:p w14:paraId="304B29D3">
      <w:pPr>
        <w:pStyle w:val="18"/>
        <w:shd w:val="clear" w:fill="FFFFFF" w:themeFill="background1"/>
        <w:jc w:val="center"/>
        <w:rPr>
          <w:color w:val="auto"/>
          <w:highlight w:val="none"/>
        </w:rPr>
      </w:pPr>
    </w:p>
    <w:p w14:paraId="37410E8C">
      <w:pPr>
        <w:pStyle w:val="18"/>
        <w:shd w:val="clear" w:fill="FFFFFF" w:themeFill="background1"/>
        <w:jc w:val="center"/>
        <w:rPr>
          <w:color w:val="auto"/>
          <w:highlight w:val="none"/>
        </w:rPr>
      </w:pPr>
    </w:p>
    <w:p w14:paraId="0B2822B0">
      <w:pPr>
        <w:pStyle w:val="18"/>
        <w:shd w:val="clear" w:fill="FFFFFF" w:themeFill="background1"/>
        <w:jc w:val="center"/>
        <w:rPr>
          <w:color w:val="auto"/>
          <w:highlight w:val="none"/>
        </w:rPr>
      </w:pPr>
    </w:p>
    <w:p w14:paraId="5B9523A2">
      <w:pPr>
        <w:pStyle w:val="18"/>
        <w:shd w:val="clear" w:fill="FFFFFF" w:themeFill="background1"/>
        <w:jc w:val="center"/>
        <w:rPr>
          <w:color w:val="auto"/>
          <w:highlight w:val="none"/>
        </w:rPr>
      </w:pPr>
    </w:p>
    <w:p w14:paraId="4D8A7666">
      <w:pPr>
        <w:pStyle w:val="18"/>
        <w:shd w:val="clear" w:fill="FFFFFF" w:themeFill="background1"/>
        <w:jc w:val="center"/>
        <w:rPr>
          <w:color w:val="auto"/>
          <w:highlight w:val="none"/>
        </w:rPr>
      </w:pPr>
    </w:p>
    <w:p w14:paraId="0DC4E23F">
      <w:pPr>
        <w:pStyle w:val="18"/>
        <w:shd w:val="clear" w:fill="FFFFFF" w:themeFill="background1"/>
        <w:jc w:val="center"/>
        <w:rPr>
          <w:color w:val="auto"/>
          <w:highlight w:val="none"/>
        </w:rPr>
      </w:pPr>
    </w:p>
    <w:p w14:paraId="0DC739B8">
      <w:pPr>
        <w:pStyle w:val="18"/>
        <w:shd w:val="clear" w:fill="FFFFFF" w:themeFill="background1"/>
        <w:jc w:val="center"/>
        <w:rPr>
          <w:color w:val="auto"/>
          <w:highlight w:val="none"/>
        </w:rPr>
      </w:pPr>
    </w:p>
    <w:p w14:paraId="0F65C8E8">
      <w:pPr>
        <w:pStyle w:val="18"/>
        <w:shd w:val="clear" w:fill="FFFFFF" w:themeFill="background1"/>
        <w:jc w:val="center"/>
        <w:rPr>
          <w:color w:val="auto"/>
          <w:highlight w:val="none"/>
        </w:rPr>
      </w:pPr>
    </w:p>
    <w:p w14:paraId="6B169A85">
      <w:pPr>
        <w:pStyle w:val="18"/>
        <w:shd w:val="clear" w:fill="FFFFFF" w:themeFill="background1"/>
        <w:jc w:val="center"/>
        <w:rPr>
          <w:color w:val="auto"/>
          <w:highlight w:val="none"/>
        </w:rPr>
      </w:pPr>
    </w:p>
    <w:p w14:paraId="4F2B560D">
      <w:pPr>
        <w:shd w:val="clear" w:fill="FFFFFF" w:themeFill="background1"/>
        <w:tabs>
          <w:tab w:val="left" w:pos="3730"/>
        </w:tabs>
        <w:jc w:val="left"/>
        <w:rPr>
          <w:rFonts w:ascii="宋体" w:hAnsi="宋体"/>
          <w:color w:val="auto"/>
          <w:sz w:val="32"/>
          <w:szCs w:val="32"/>
          <w:highlight w:val="none"/>
        </w:rPr>
      </w:pPr>
      <w:r>
        <w:rPr>
          <w:rFonts w:hint="eastAsia" w:ascii="宋体" w:hAnsi="宋体"/>
          <w:color w:val="auto"/>
          <w:sz w:val="32"/>
          <w:szCs w:val="32"/>
          <w:highlight w:val="none"/>
        </w:rPr>
        <w:tab/>
      </w:r>
    </w:p>
    <w:p w14:paraId="629BF90C">
      <w:pPr>
        <w:shd w:val="clear" w:fill="FFFFFF" w:themeFill="background1"/>
        <w:spacing w:line="600" w:lineRule="auto"/>
        <w:jc w:val="center"/>
        <w:rPr>
          <w:rFonts w:ascii="宋体" w:hAnsi="宋体"/>
          <w:b/>
          <w:color w:val="auto"/>
          <w:sz w:val="30"/>
          <w:szCs w:val="30"/>
          <w:highlight w:val="none"/>
        </w:rPr>
      </w:pPr>
      <w:r>
        <w:rPr>
          <w:rFonts w:hint="eastAsia" w:ascii="宋体" w:hAnsi="宋体"/>
          <w:b/>
          <w:color w:val="auto"/>
          <w:sz w:val="30"/>
          <w:szCs w:val="30"/>
          <w:highlight w:val="none"/>
        </w:rPr>
        <w:t>招   标   人：</w:t>
      </w:r>
      <w:r>
        <w:rPr>
          <w:rFonts w:hint="eastAsia" w:ascii="宋体" w:hAnsi="宋体" w:cs="宋体"/>
          <w:b/>
          <w:color w:val="auto"/>
          <w:sz w:val="30"/>
          <w:szCs w:val="30"/>
          <w:highlight w:val="none"/>
        </w:rPr>
        <w:t>乐昌市秀水镇人民政府</w:t>
      </w:r>
      <w:r>
        <w:rPr>
          <w:rFonts w:hint="eastAsia" w:ascii="宋体" w:hAnsi="宋体"/>
          <w:b/>
          <w:color w:val="auto"/>
          <w:sz w:val="30"/>
          <w:szCs w:val="30"/>
          <w:highlight w:val="none"/>
        </w:rPr>
        <w:t>（盖单位章）</w:t>
      </w:r>
    </w:p>
    <w:p w14:paraId="5BC72D1D">
      <w:pPr>
        <w:shd w:val="clear" w:fill="FFFFFF" w:themeFill="background1"/>
        <w:spacing w:line="600" w:lineRule="auto"/>
        <w:jc w:val="center"/>
        <w:rPr>
          <w:rFonts w:ascii="宋体" w:hAnsi="宋体"/>
          <w:b/>
          <w:color w:val="auto"/>
          <w:sz w:val="30"/>
          <w:szCs w:val="30"/>
          <w:highlight w:val="none"/>
        </w:rPr>
      </w:pPr>
      <w:r>
        <w:rPr>
          <w:rFonts w:hint="eastAsia" w:ascii="宋体" w:hAnsi="宋体" w:cs="宋体"/>
          <w:b/>
          <w:color w:val="auto"/>
          <w:sz w:val="30"/>
          <w:szCs w:val="30"/>
          <w:highlight w:val="none"/>
        </w:rPr>
        <w:t>招标代理机构：</w:t>
      </w:r>
      <w:r>
        <w:rPr>
          <w:rFonts w:hint="eastAsia" w:ascii="宋体" w:hAnsi="宋体" w:cs="宋体"/>
          <w:b/>
          <w:color w:val="auto"/>
          <w:sz w:val="30"/>
          <w:szCs w:val="30"/>
          <w:highlight w:val="none"/>
          <w:lang w:eastAsia="zh-CN"/>
        </w:rPr>
        <w:t>韶关市中知工程咨询有限公司</w:t>
      </w:r>
      <w:r>
        <w:rPr>
          <w:rFonts w:hint="eastAsia" w:ascii="宋体" w:hAnsi="宋体"/>
          <w:b/>
          <w:color w:val="auto"/>
          <w:sz w:val="30"/>
          <w:szCs w:val="30"/>
          <w:highlight w:val="none"/>
        </w:rPr>
        <w:t>（盖单位章）</w:t>
      </w:r>
    </w:p>
    <w:p w14:paraId="0F368042">
      <w:pPr>
        <w:shd w:val="clear" w:fill="FFFFFF" w:themeFill="background1"/>
        <w:jc w:val="center"/>
        <w:rPr>
          <w:rFonts w:ascii="宋体" w:hAnsi="宋体"/>
          <w:b/>
          <w:color w:val="auto"/>
          <w:sz w:val="30"/>
          <w:szCs w:val="30"/>
          <w:highlight w:val="none"/>
        </w:rPr>
        <w:sectPr>
          <w:headerReference r:id="rId3" w:type="first"/>
          <w:footerReference r:id="rId4" w:type="default"/>
          <w:pgSz w:w="11910" w:h="16840"/>
          <w:pgMar w:top="941" w:right="720" w:bottom="1179" w:left="980" w:header="707" w:footer="998" w:gutter="0"/>
          <w:cols w:space="720" w:num="1"/>
        </w:sectPr>
      </w:pPr>
      <w:r>
        <w:rPr>
          <w:rFonts w:hint="eastAsia" w:ascii="宋体" w:hAnsi="宋体" w:cs="宋体"/>
          <w:b/>
          <w:color w:val="auto"/>
          <w:sz w:val="30"/>
          <w:szCs w:val="30"/>
          <w:highlight w:val="none"/>
        </w:rPr>
        <w:t>202</w:t>
      </w:r>
      <w:r>
        <w:rPr>
          <w:rFonts w:hint="eastAsia" w:ascii="宋体" w:hAnsi="宋体" w:cs="宋体"/>
          <w:b/>
          <w:color w:val="auto"/>
          <w:sz w:val="30"/>
          <w:szCs w:val="30"/>
          <w:highlight w:val="none"/>
          <w:lang w:val="en-US" w:eastAsia="zh-CN"/>
        </w:rPr>
        <w:t>5</w:t>
      </w:r>
      <w:r>
        <w:rPr>
          <w:rFonts w:hint="eastAsia" w:ascii="宋体" w:hAnsi="宋体" w:cs="宋体"/>
          <w:b/>
          <w:color w:val="auto"/>
          <w:sz w:val="30"/>
          <w:szCs w:val="30"/>
          <w:highlight w:val="none"/>
        </w:rPr>
        <w:t>年</w:t>
      </w:r>
      <w:r>
        <w:rPr>
          <w:rFonts w:hint="eastAsia" w:ascii="宋体" w:hAnsi="宋体" w:cs="宋体"/>
          <w:b/>
          <w:color w:val="auto"/>
          <w:sz w:val="30"/>
          <w:szCs w:val="30"/>
          <w:highlight w:val="none"/>
          <w:lang w:val="en-US" w:eastAsia="zh-CN"/>
        </w:rPr>
        <w:t>8</w:t>
      </w:r>
      <w:r>
        <w:rPr>
          <w:rFonts w:hint="eastAsia" w:ascii="宋体" w:hAnsi="宋体" w:cs="宋体"/>
          <w:b/>
          <w:color w:val="auto"/>
          <w:sz w:val="30"/>
          <w:szCs w:val="30"/>
          <w:highlight w:val="none"/>
        </w:rPr>
        <w:t>月</w:t>
      </w:r>
    </w:p>
    <w:p w14:paraId="79558E8A">
      <w:pPr>
        <w:shd w:val="clear" w:fill="FFFFFF" w:themeFill="background1"/>
        <w:rPr>
          <w:color w:val="auto"/>
          <w:highlight w:val="none"/>
        </w:rPr>
      </w:pPr>
      <w:r>
        <w:rPr>
          <w:color w:val="auto"/>
          <w:highlight w:val="none"/>
        </w:rPr>
        <w:br w:type="page"/>
      </w:r>
    </w:p>
    <w:p w14:paraId="465EF63B">
      <w:pPr>
        <w:pStyle w:val="55"/>
        <w:shd w:val="clear" w:fill="FFFFFF" w:themeFill="background1"/>
        <w:spacing w:line="240" w:lineRule="auto"/>
        <w:ind w:firstLine="0"/>
        <w:rPr>
          <w:color w:val="auto"/>
          <w:highlight w:val="none"/>
        </w:rPr>
        <w:sectPr>
          <w:footerReference r:id="rId5" w:type="default"/>
          <w:pgSz w:w="11910" w:h="16840"/>
          <w:pgMar w:top="941" w:right="720" w:bottom="1179" w:left="980" w:header="707" w:footer="998" w:gutter="0"/>
          <w:pgNumType w:start="1"/>
          <w:cols w:space="720" w:num="1"/>
        </w:sectPr>
      </w:pPr>
    </w:p>
    <w:p w14:paraId="016C1FA0">
      <w:pPr>
        <w:pStyle w:val="55"/>
        <w:shd w:val="clear" w:fill="FFFFFF" w:themeFill="background1"/>
        <w:rPr>
          <w:color w:val="auto"/>
          <w:highlight w:val="none"/>
        </w:rPr>
      </w:pPr>
    </w:p>
    <w:p w14:paraId="1D11B93A">
      <w:pPr>
        <w:shd w:val="clear" w:fill="FFFFFF" w:themeFill="background1"/>
        <w:spacing w:line="600" w:lineRule="auto"/>
        <w:jc w:val="center"/>
        <w:rPr>
          <w:rFonts w:ascii="宋体" w:hAnsi="宋体"/>
          <w:b/>
          <w:color w:val="auto"/>
          <w:sz w:val="44"/>
          <w:szCs w:val="44"/>
          <w:highlight w:val="none"/>
        </w:rPr>
      </w:pPr>
      <w:r>
        <w:rPr>
          <w:rFonts w:hint="eastAsia" w:ascii="宋体" w:hAnsi="宋体"/>
          <w:b/>
          <w:color w:val="auto"/>
          <w:sz w:val="44"/>
          <w:szCs w:val="44"/>
          <w:highlight w:val="none"/>
        </w:rPr>
        <w:t>目      录</w:t>
      </w:r>
    </w:p>
    <w:p w14:paraId="6B2C0E2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rFonts w:hint="eastAsia" w:ascii="宋体" w:hAnsi="宋体" w:cs="宋体"/>
          <w:color w:val="auto"/>
          <w:sz w:val="24"/>
          <w:highlight w:val="none"/>
          <w:u w:val="single"/>
        </w:rPr>
        <w:fldChar w:fldCharType="begin"/>
      </w:r>
      <w:r>
        <w:rPr>
          <w:rFonts w:hint="eastAsia" w:ascii="宋体" w:hAnsi="宋体" w:cs="宋体"/>
          <w:color w:val="auto"/>
          <w:sz w:val="24"/>
          <w:highlight w:val="none"/>
          <w:u w:val="single"/>
        </w:rPr>
        <w:instrText xml:space="preserve">TOC \o "1-4" \h \u </w:instrText>
      </w:r>
      <w:r>
        <w:rPr>
          <w:rFonts w:hint="eastAsia" w:ascii="宋体" w:hAnsi="宋体" w:cs="宋体"/>
          <w:color w:val="auto"/>
          <w:sz w:val="24"/>
          <w:highlight w:val="none"/>
          <w:u w:val="single"/>
        </w:rPr>
        <w:fldChar w:fldCharType="separate"/>
      </w:r>
      <w:r>
        <w:rPr>
          <w:color w:val="auto"/>
          <w:highlight w:val="none"/>
        </w:rPr>
        <w:fldChar w:fldCharType="begin"/>
      </w:r>
      <w:r>
        <w:rPr>
          <w:color w:val="auto"/>
          <w:highlight w:val="none"/>
        </w:rPr>
        <w:instrText xml:space="preserve"> HYPERLINK \l "_Toc43475653" </w:instrText>
      </w:r>
      <w:r>
        <w:rPr>
          <w:color w:val="auto"/>
          <w:highlight w:val="none"/>
        </w:rPr>
        <w:fldChar w:fldCharType="separate"/>
      </w:r>
      <w:r>
        <w:rPr>
          <w:rStyle w:val="52"/>
          <w:rFonts w:hint="eastAsia" w:ascii="宋体" w:hAnsi="宋体"/>
          <w:color w:val="auto"/>
          <w:highlight w:val="none"/>
        </w:rPr>
        <w:t>第一章 招标公告</w:t>
      </w:r>
      <w:r>
        <w:rPr>
          <w:rStyle w:val="52"/>
          <w:rFonts w:ascii="宋体" w:hAnsi="宋体"/>
          <w:color w:val="auto"/>
          <w:highlight w:val="none"/>
        </w:rPr>
        <w:t>(</w:t>
      </w:r>
      <w:r>
        <w:rPr>
          <w:rStyle w:val="52"/>
          <w:rFonts w:hint="eastAsia" w:ascii="宋体" w:hAnsi="宋体"/>
          <w:color w:val="auto"/>
          <w:highlight w:val="none"/>
        </w:rPr>
        <w:t>未进行资格预审</w:t>
      </w:r>
      <w:r>
        <w:rPr>
          <w:rStyle w:val="52"/>
          <w:rFonts w:ascii="宋体" w:hAnsi="宋体"/>
          <w:color w:val="auto"/>
          <w:highlight w:val="none"/>
        </w:rPr>
        <w:t>)</w:t>
      </w:r>
      <w:r>
        <w:rPr>
          <w:color w:val="auto"/>
          <w:highlight w:val="none"/>
        </w:rPr>
        <w:tab/>
      </w:r>
      <w:r>
        <w:rPr>
          <w:color w:val="auto"/>
          <w:highlight w:val="none"/>
        </w:rPr>
        <w:fldChar w:fldCharType="begin"/>
      </w:r>
      <w:r>
        <w:rPr>
          <w:color w:val="auto"/>
          <w:highlight w:val="none"/>
        </w:rPr>
        <w:instrText xml:space="preserve"> PAGEREF _Toc43475653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82D9915">
      <w:pPr>
        <w:pStyle w:val="36"/>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"_Toc43475654" </w:instrText>
      </w:r>
      <w:r>
        <w:rPr>
          <w:color w:val="auto"/>
          <w:highlight w:val="none"/>
        </w:rPr>
        <w:fldChar w:fldCharType="separate"/>
      </w:r>
      <w:r>
        <w:rPr>
          <w:rStyle w:val="52"/>
          <w:rFonts w:ascii="宋体" w:hAnsi="宋体" w:cs="黑体"/>
          <w:color w:val="auto"/>
          <w:highlight w:val="none"/>
        </w:rPr>
        <w:t>1</w:t>
      </w:r>
      <w:r>
        <w:rPr>
          <w:rStyle w:val="52"/>
          <w:rFonts w:hint="eastAsia" w:ascii="宋体" w:hAnsi="宋体" w:cs="黑体"/>
          <w:color w:val="auto"/>
          <w:highlight w:val="none"/>
        </w:rPr>
        <w:t xml:space="preserve">.招标条件 </w:t>
      </w:r>
      <w:r>
        <w:rPr>
          <w:color w:val="auto"/>
          <w:highlight w:val="none"/>
        </w:rPr>
        <w:tab/>
      </w:r>
      <w:r>
        <w:rPr>
          <w:rFonts w:hint="eastAsia"/>
          <w:color w:val="auto"/>
          <w:highlight w:val="none"/>
        </w:rPr>
        <w:t>1</w:t>
      </w:r>
      <w:r>
        <w:rPr>
          <w:rFonts w:hint="eastAsia"/>
          <w:color w:val="auto"/>
          <w:highlight w:val="none"/>
        </w:rPr>
        <w:fldChar w:fldCharType="end"/>
      </w:r>
      <w:r>
        <w:rPr>
          <w:rFonts w:hint="eastAsia"/>
          <w:color w:val="auto"/>
          <w:highlight w:val="none"/>
        </w:rPr>
        <w:t>0</w:t>
      </w:r>
    </w:p>
    <w:p w14:paraId="3C241E54">
      <w:pPr>
        <w:pStyle w:val="36"/>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"_Toc43475655" </w:instrText>
      </w:r>
      <w:r>
        <w:rPr>
          <w:color w:val="auto"/>
          <w:highlight w:val="none"/>
        </w:rPr>
        <w:fldChar w:fldCharType="separate"/>
      </w:r>
      <w:r>
        <w:rPr>
          <w:rStyle w:val="52"/>
          <w:rFonts w:ascii="宋体" w:hAnsi="宋体" w:cs="黑体"/>
          <w:color w:val="auto"/>
          <w:highlight w:val="none"/>
        </w:rPr>
        <w:t>2</w:t>
      </w:r>
      <w:r>
        <w:rPr>
          <w:rStyle w:val="52"/>
          <w:rFonts w:hint="eastAsia" w:ascii="宋体" w:hAnsi="宋体" w:cs="黑体"/>
          <w:color w:val="auto"/>
          <w:highlight w:val="none"/>
        </w:rPr>
        <w:t>.项目概况与招标范围</w:t>
      </w:r>
      <w:r>
        <w:rPr>
          <w:color w:val="auto"/>
          <w:highlight w:val="none"/>
        </w:rPr>
        <w:tab/>
      </w:r>
      <w:r>
        <w:rPr>
          <w:rFonts w:hint="eastAsia"/>
          <w:color w:val="auto"/>
          <w:highlight w:val="none"/>
        </w:rPr>
        <w:t>1</w:t>
      </w:r>
      <w:r>
        <w:rPr>
          <w:rFonts w:hint="eastAsia"/>
          <w:color w:val="auto"/>
          <w:highlight w:val="none"/>
        </w:rPr>
        <w:fldChar w:fldCharType="end"/>
      </w:r>
      <w:r>
        <w:rPr>
          <w:rFonts w:hint="eastAsia"/>
          <w:color w:val="auto"/>
          <w:highlight w:val="none"/>
        </w:rPr>
        <w:t>0</w:t>
      </w:r>
    </w:p>
    <w:p w14:paraId="6F4C873C">
      <w:pPr>
        <w:pStyle w:val="36"/>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"_Toc43475656" </w:instrText>
      </w:r>
      <w:r>
        <w:rPr>
          <w:color w:val="auto"/>
          <w:highlight w:val="none"/>
        </w:rPr>
        <w:fldChar w:fldCharType="separate"/>
      </w:r>
      <w:r>
        <w:rPr>
          <w:rStyle w:val="52"/>
          <w:rFonts w:ascii="宋体" w:hAnsi="宋体" w:cs="黑体"/>
          <w:color w:val="auto"/>
          <w:highlight w:val="none"/>
        </w:rPr>
        <w:t>3</w:t>
      </w:r>
      <w:r>
        <w:rPr>
          <w:rStyle w:val="52"/>
          <w:rFonts w:hint="eastAsia" w:ascii="宋体" w:hAnsi="宋体" w:cs="黑体"/>
          <w:color w:val="auto"/>
          <w:highlight w:val="none"/>
        </w:rPr>
        <w:t>.投标人资格要求</w:t>
      </w:r>
      <w:r>
        <w:rPr>
          <w:color w:val="auto"/>
          <w:highlight w:val="none"/>
        </w:rPr>
        <w:tab/>
      </w:r>
      <w:r>
        <w:rPr>
          <w:rFonts w:hint="eastAsia"/>
          <w:color w:val="auto"/>
          <w:highlight w:val="none"/>
        </w:rPr>
        <w:t>1</w:t>
      </w:r>
      <w:r>
        <w:rPr>
          <w:rFonts w:hint="eastAsia"/>
          <w:color w:val="auto"/>
          <w:highlight w:val="none"/>
        </w:rPr>
        <w:fldChar w:fldCharType="end"/>
      </w:r>
      <w:r>
        <w:rPr>
          <w:rFonts w:hint="eastAsia"/>
          <w:color w:val="auto"/>
          <w:highlight w:val="none"/>
        </w:rPr>
        <w:t>1</w:t>
      </w:r>
    </w:p>
    <w:p w14:paraId="3BBFD53D">
      <w:pPr>
        <w:pStyle w:val="36"/>
        <w:shd w:val="clear" w:fill="FFFFFF" w:themeFill="background1"/>
        <w:tabs>
          <w:tab w:val="right" w:leader="dot" w:pos="10200"/>
        </w:tabs>
        <w:spacing w:line="250" w:lineRule="exact"/>
        <w:rPr>
          <w:color w:val="auto"/>
          <w:highlight w:val="none"/>
        </w:rPr>
      </w:pPr>
      <w:r>
        <w:rPr>
          <w:color w:val="auto"/>
          <w:highlight w:val="none"/>
        </w:rPr>
        <w:fldChar w:fldCharType="begin"/>
      </w:r>
      <w:r>
        <w:rPr>
          <w:color w:val="auto"/>
          <w:highlight w:val="none"/>
        </w:rPr>
        <w:instrText xml:space="preserve"> HYPERLINK \l "_Toc43475657" </w:instrText>
      </w:r>
      <w:r>
        <w:rPr>
          <w:color w:val="auto"/>
          <w:highlight w:val="none"/>
        </w:rPr>
        <w:fldChar w:fldCharType="separate"/>
      </w:r>
      <w:r>
        <w:rPr>
          <w:rStyle w:val="52"/>
          <w:rFonts w:ascii="宋体" w:hAnsi="宋体" w:cs="黑体"/>
          <w:color w:val="auto"/>
          <w:highlight w:val="none"/>
        </w:rPr>
        <w:t>4</w:t>
      </w:r>
      <w:r>
        <w:rPr>
          <w:rStyle w:val="52"/>
          <w:rFonts w:hint="eastAsia" w:ascii="宋体" w:hAnsi="宋体" w:cs="黑体"/>
          <w:color w:val="auto"/>
          <w:highlight w:val="none"/>
        </w:rPr>
        <w:t>.招标文件的获取</w:t>
      </w:r>
      <w:r>
        <w:rPr>
          <w:color w:val="auto"/>
          <w:highlight w:val="none"/>
        </w:rPr>
        <w:tab/>
      </w:r>
      <w:r>
        <w:rPr>
          <w:rFonts w:hint="eastAsia"/>
          <w:color w:val="auto"/>
          <w:highlight w:val="none"/>
        </w:rPr>
        <w:t>1</w:t>
      </w:r>
      <w:r>
        <w:rPr>
          <w:rFonts w:hint="eastAsia"/>
          <w:color w:val="auto"/>
          <w:highlight w:val="none"/>
        </w:rPr>
        <w:fldChar w:fldCharType="end"/>
      </w:r>
      <w:r>
        <w:rPr>
          <w:rFonts w:hint="eastAsia"/>
          <w:color w:val="auto"/>
          <w:highlight w:val="none"/>
        </w:rPr>
        <w:t>2</w:t>
      </w:r>
    </w:p>
    <w:p w14:paraId="4EA213E0">
      <w:pPr>
        <w:shd w:val="clear" w:fill="FFFFFF" w:themeFill="background1"/>
        <w:ind w:firstLine="360" w:firstLineChars="200"/>
        <w:rPr>
          <w:color w:val="auto"/>
          <w:highlight w:val="none"/>
        </w:rPr>
      </w:pPr>
      <w:r>
        <w:rPr>
          <w:rStyle w:val="52"/>
          <w:rFonts w:hint="eastAsia" w:ascii="宋体" w:hAnsi="宋体" w:cs="黑体"/>
          <w:color w:val="auto"/>
          <w:highlight w:val="none"/>
          <w:u w:val="none"/>
        </w:rPr>
        <w:t>5.电子投标及相关事宜</w:t>
      </w:r>
      <w:r>
        <w:rPr>
          <w:color w:val="auto"/>
          <w:sz w:val="18"/>
          <w:szCs w:val="21"/>
          <w:highlight w:val="none"/>
        </w:rPr>
        <w:t>…</w:t>
      </w:r>
      <w:r>
        <w:rPr>
          <w:color w:val="auto"/>
          <w:highlight w:val="none"/>
        </w:rPr>
        <w:t>………………………………………………………………</w:t>
      </w:r>
      <w:r>
        <w:rPr>
          <w:rFonts w:hint="eastAsia"/>
          <w:color w:val="auto"/>
          <w:highlight w:val="none"/>
        </w:rPr>
        <w:t>.......................</w:t>
      </w:r>
      <w:r>
        <w:rPr>
          <w:color w:val="auto"/>
          <w:highlight w:val="none"/>
        </w:rPr>
        <w:t>………………</w:t>
      </w:r>
      <w:r>
        <w:rPr>
          <w:rFonts w:hint="eastAsia"/>
          <w:color w:val="auto"/>
          <w:highlight w:val="none"/>
        </w:rPr>
        <w:t>..13</w:t>
      </w:r>
    </w:p>
    <w:p w14:paraId="770B2F55">
      <w:pPr>
        <w:pStyle w:val="36"/>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"_Toc43475658" </w:instrText>
      </w:r>
      <w:r>
        <w:rPr>
          <w:color w:val="auto"/>
          <w:highlight w:val="none"/>
        </w:rPr>
        <w:fldChar w:fldCharType="separate"/>
      </w:r>
      <w:r>
        <w:rPr>
          <w:rStyle w:val="52"/>
          <w:rFonts w:ascii="宋体" w:hAnsi="宋体" w:cs="黑体"/>
          <w:color w:val="auto"/>
          <w:highlight w:val="none"/>
        </w:rPr>
        <w:t>6</w:t>
      </w:r>
      <w:r>
        <w:rPr>
          <w:rStyle w:val="52"/>
          <w:rFonts w:hint="eastAsia" w:ascii="宋体" w:hAnsi="宋体" w:cs="黑体"/>
          <w:color w:val="auto"/>
          <w:highlight w:val="none"/>
        </w:rPr>
        <w:t>.发布公告的媒介</w:t>
      </w:r>
      <w:r>
        <w:rPr>
          <w:color w:val="auto"/>
          <w:highlight w:val="none"/>
        </w:rPr>
        <w:tab/>
      </w:r>
      <w:r>
        <w:rPr>
          <w:rFonts w:hint="eastAsia"/>
          <w:color w:val="auto"/>
          <w:highlight w:val="none"/>
        </w:rPr>
        <w:t>1</w:t>
      </w:r>
      <w:r>
        <w:rPr>
          <w:rFonts w:hint="eastAsia"/>
          <w:color w:val="auto"/>
          <w:highlight w:val="none"/>
        </w:rPr>
        <w:fldChar w:fldCharType="end"/>
      </w:r>
      <w:r>
        <w:rPr>
          <w:rFonts w:hint="eastAsia"/>
          <w:color w:val="auto"/>
          <w:highlight w:val="none"/>
        </w:rPr>
        <w:t>4</w:t>
      </w:r>
    </w:p>
    <w:p w14:paraId="1759A5DA">
      <w:pPr>
        <w:pStyle w:val="36"/>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"_Toc43475659" </w:instrText>
      </w:r>
      <w:r>
        <w:rPr>
          <w:color w:val="auto"/>
          <w:highlight w:val="none"/>
        </w:rPr>
        <w:fldChar w:fldCharType="separate"/>
      </w:r>
      <w:r>
        <w:rPr>
          <w:rStyle w:val="52"/>
          <w:rFonts w:ascii="宋体" w:hAnsi="宋体" w:cs="黑体"/>
          <w:color w:val="auto"/>
          <w:highlight w:val="none"/>
        </w:rPr>
        <w:t>7</w:t>
      </w:r>
      <w:r>
        <w:rPr>
          <w:rStyle w:val="52"/>
          <w:rFonts w:hint="eastAsia" w:ascii="宋体" w:hAnsi="宋体" w:cs="黑体"/>
          <w:color w:val="auto"/>
          <w:highlight w:val="none"/>
        </w:rPr>
        <w:t>.联系方式</w:t>
      </w:r>
      <w:r>
        <w:rPr>
          <w:color w:val="auto"/>
          <w:highlight w:val="none"/>
        </w:rPr>
        <w:tab/>
      </w:r>
      <w:r>
        <w:rPr>
          <w:rFonts w:hint="eastAsia"/>
          <w:color w:val="auto"/>
          <w:highlight w:val="none"/>
        </w:rPr>
        <w:t>1</w:t>
      </w:r>
      <w:r>
        <w:rPr>
          <w:rFonts w:hint="eastAsia"/>
          <w:color w:val="auto"/>
          <w:highlight w:val="none"/>
        </w:rPr>
        <w:fldChar w:fldCharType="end"/>
      </w:r>
      <w:r>
        <w:rPr>
          <w:rFonts w:hint="eastAsia"/>
          <w:color w:val="auto"/>
          <w:highlight w:val="none"/>
        </w:rPr>
        <w:t>5</w:t>
      </w:r>
    </w:p>
    <w:p w14:paraId="7B2EECDC">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"_Toc43475660" </w:instrText>
      </w:r>
      <w:r>
        <w:rPr>
          <w:color w:val="auto"/>
          <w:highlight w:val="none"/>
        </w:rPr>
        <w:fldChar w:fldCharType="separate"/>
      </w:r>
      <w:r>
        <w:rPr>
          <w:rStyle w:val="52"/>
          <w:rFonts w:hint="eastAsia" w:ascii="宋体" w:hAnsi="宋体" w:cs="黑体"/>
          <w:color w:val="auto"/>
          <w:highlight w:val="none"/>
        </w:rPr>
        <w:t>8.重要事项时间地点一览表</w:t>
      </w:r>
      <w:r>
        <w:rPr>
          <w:color w:val="auto"/>
          <w:highlight w:val="none"/>
        </w:rPr>
        <w:tab/>
      </w:r>
      <w:r>
        <w:rPr>
          <w:rFonts w:hint="eastAsia"/>
          <w:color w:val="auto"/>
          <w:highlight w:val="none"/>
        </w:rPr>
        <w:t>1</w:t>
      </w:r>
      <w:r>
        <w:rPr>
          <w:rFonts w:hint="eastAsia"/>
          <w:color w:val="auto"/>
          <w:highlight w:val="none"/>
        </w:rPr>
        <w:fldChar w:fldCharType="end"/>
      </w:r>
      <w:r>
        <w:rPr>
          <w:rFonts w:hint="eastAsia"/>
          <w:color w:val="auto"/>
          <w:highlight w:val="none"/>
        </w:rPr>
        <w:t>5</w:t>
      </w:r>
    </w:p>
    <w:p w14:paraId="1C08CA7D">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"_Toc43475661" </w:instrText>
      </w:r>
      <w:r>
        <w:rPr>
          <w:color w:val="auto"/>
          <w:highlight w:val="none"/>
        </w:rPr>
        <w:fldChar w:fldCharType="separate"/>
      </w:r>
      <w:r>
        <w:rPr>
          <w:rStyle w:val="52"/>
          <w:rFonts w:hint="eastAsia" w:ascii="宋体" w:hAnsi="宋体"/>
          <w:color w:val="auto"/>
          <w:highlight w:val="none"/>
        </w:rPr>
        <w:t>第二章投标人须知</w:t>
      </w:r>
      <w:r>
        <w:rPr>
          <w:color w:val="auto"/>
          <w:highlight w:val="none"/>
        </w:rPr>
        <w:tab/>
      </w:r>
      <w:r>
        <w:rPr>
          <w:color w:val="auto"/>
          <w:highlight w:val="none"/>
        </w:rPr>
        <w:fldChar w:fldCharType="begin"/>
      </w:r>
      <w:r>
        <w:rPr>
          <w:color w:val="auto"/>
          <w:highlight w:val="none"/>
        </w:rPr>
        <w:instrText xml:space="preserve"> PAGEREF _Toc43475661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2398C341">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"_Toc43475662" </w:instrText>
      </w:r>
      <w:r>
        <w:rPr>
          <w:color w:val="auto"/>
          <w:highlight w:val="none"/>
        </w:rPr>
        <w:fldChar w:fldCharType="separate"/>
      </w:r>
      <w:r>
        <w:rPr>
          <w:rStyle w:val="52"/>
          <w:rFonts w:hint="eastAsia"/>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_Toc43475662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0690885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"_Toc43475663" </w:instrText>
      </w:r>
      <w:r>
        <w:rPr>
          <w:color w:val="auto"/>
          <w:highlight w:val="none"/>
        </w:rPr>
        <w:fldChar w:fldCharType="separate"/>
      </w:r>
      <w:r>
        <w:rPr>
          <w:rStyle w:val="52"/>
          <w:rFonts w:hint="eastAsia" w:ascii="宋体" w:hAnsi="宋体" w:cs="黑体"/>
          <w:color w:val="auto"/>
          <w:highlight w:val="none"/>
        </w:rPr>
        <w:t>附录</w:t>
      </w:r>
      <w:r>
        <w:rPr>
          <w:rStyle w:val="52"/>
          <w:rFonts w:ascii="宋体" w:hAnsi="宋体" w:cs="黑体"/>
          <w:color w:val="auto"/>
          <w:highlight w:val="none"/>
        </w:rPr>
        <w:t xml:space="preserve">1  </w:t>
      </w:r>
      <w:r>
        <w:rPr>
          <w:rStyle w:val="52"/>
          <w:rFonts w:hint="eastAsia" w:ascii="宋体" w:hAnsi="宋体" w:cs="黑体"/>
          <w:color w:val="auto"/>
          <w:highlight w:val="none"/>
        </w:rPr>
        <w:t>资格审查条件（资质最低要求）</w:t>
      </w:r>
      <w:r>
        <w:rPr>
          <w:color w:val="auto"/>
          <w:highlight w:val="none"/>
        </w:rPr>
        <w:tab/>
      </w:r>
      <w:r>
        <w:rPr>
          <w:color w:val="auto"/>
          <w:highlight w:val="none"/>
        </w:rPr>
        <w:fldChar w:fldCharType="begin"/>
      </w:r>
      <w:r>
        <w:rPr>
          <w:color w:val="auto"/>
          <w:highlight w:val="none"/>
        </w:rPr>
        <w:instrText xml:space="preserve"> PAGEREF _Toc43475663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5671F77F">
      <w:pPr>
        <w:pStyle w:val="22"/>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"_Toc43475664" </w:instrText>
      </w:r>
      <w:r>
        <w:rPr>
          <w:color w:val="auto"/>
          <w:highlight w:val="none"/>
        </w:rPr>
        <w:fldChar w:fldCharType="separate"/>
      </w:r>
      <w:r>
        <w:rPr>
          <w:rStyle w:val="52"/>
          <w:rFonts w:hint="eastAsia" w:ascii="宋体" w:hAnsi="宋体" w:cs="黑体"/>
          <w:color w:val="auto"/>
          <w:highlight w:val="none"/>
        </w:rPr>
        <w:t>附录</w:t>
      </w:r>
      <w:r>
        <w:rPr>
          <w:rStyle w:val="52"/>
          <w:rFonts w:ascii="宋体" w:hAnsi="宋体" w:cs="黑体"/>
          <w:color w:val="auto"/>
          <w:highlight w:val="none"/>
        </w:rPr>
        <w:t xml:space="preserve">2  </w:t>
      </w:r>
      <w:r>
        <w:rPr>
          <w:rStyle w:val="52"/>
          <w:rFonts w:hint="eastAsia" w:ascii="宋体" w:hAnsi="宋体" w:cs="黑体"/>
          <w:color w:val="auto"/>
          <w:highlight w:val="none"/>
        </w:rPr>
        <w:t>资格审查条件（财务最低要求）</w:t>
      </w:r>
      <w:r>
        <w:rPr>
          <w:color w:val="auto"/>
          <w:highlight w:val="none"/>
        </w:rPr>
        <w:tab/>
      </w:r>
      <w:r>
        <w:rPr>
          <w:rFonts w:hint="eastAsia"/>
          <w:color w:val="auto"/>
          <w:highlight w:val="none"/>
        </w:rPr>
        <w:t>3</w:t>
      </w:r>
      <w:r>
        <w:rPr>
          <w:rFonts w:hint="eastAsia"/>
          <w:color w:val="auto"/>
          <w:highlight w:val="none"/>
        </w:rPr>
        <w:fldChar w:fldCharType="end"/>
      </w:r>
      <w:r>
        <w:rPr>
          <w:rFonts w:hint="eastAsia"/>
          <w:color w:val="auto"/>
          <w:highlight w:val="none"/>
        </w:rPr>
        <w:t>0</w:t>
      </w:r>
    </w:p>
    <w:p w14:paraId="4861DDF0">
      <w:pPr>
        <w:pStyle w:val="22"/>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"_Toc43475665" </w:instrText>
      </w:r>
      <w:r>
        <w:rPr>
          <w:color w:val="auto"/>
          <w:highlight w:val="none"/>
        </w:rPr>
        <w:fldChar w:fldCharType="separate"/>
      </w:r>
      <w:r>
        <w:rPr>
          <w:rStyle w:val="52"/>
          <w:rFonts w:hint="eastAsia" w:ascii="宋体" w:hAnsi="宋体" w:cs="黑体"/>
          <w:color w:val="auto"/>
          <w:highlight w:val="none"/>
        </w:rPr>
        <w:t>附录</w:t>
      </w:r>
      <w:r>
        <w:rPr>
          <w:rStyle w:val="52"/>
          <w:rFonts w:ascii="宋体" w:hAnsi="宋体" w:cs="黑体"/>
          <w:color w:val="auto"/>
          <w:highlight w:val="none"/>
        </w:rPr>
        <w:t xml:space="preserve">3  </w:t>
      </w:r>
      <w:r>
        <w:rPr>
          <w:rStyle w:val="52"/>
          <w:rFonts w:hint="eastAsia" w:ascii="宋体" w:hAnsi="宋体" w:cs="黑体"/>
          <w:color w:val="auto"/>
          <w:highlight w:val="none"/>
        </w:rPr>
        <w:t>资格审查条件（业绩最低要求）</w:t>
      </w:r>
      <w:r>
        <w:rPr>
          <w:color w:val="auto"/>
          <w:highlight w:val="none"/>
        </w:rPr>
        <w:tab/>
      </w:r>
      <w:r>
        <w:rPr>
          <w:rFonts w:hint="eastAsia"/>
          <w:color w:val="auto"/>
          <w:highlight w:val="none"/>
        </w:rPr>
        <w:t>3</w:t>
      </w:r>
      <w:r>
        <w:rPr>
          <w:rFonts w:hint="eastAsia"/>
          <w:color w:val="auto"/>
          <w:highlight w:val="none"/>
        </w:rPr>
        <w:fldChar w:fldCharType="end"/>
      </w:r>
      <w:r>
        <w:rPr>
          <w:rFonts w:hint="eastAsia"/>
          <w:color w:val="auto"/>
          <w:highlight w:val="none"/>
        </w:rPr>
        <w:t>0</w:t>
      </w:r>
    </w:p>
    <w:p w14:paraId="670C6305">
      <w:pPr>
        <w:pStyle w:val="22"/>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"_Toc43475666" </w:instrText>
      </w:r>
      <w:r>
        <w:rPr>
          <w:color w:val="auto"/>
          <w:highlight w:val="none"/>
        </w:rPr>
        <w:fldChar w:fldCharType="separate"/>
      </w:r>
      <w:r>
        <w:rPr>
          <w:rStyle w:val="52"/>
          <w:rFonts w:hint="eastAsia"/>
          <w:color w:val="auto"/>
          <w:highlight w:val="none"/>
        </w:rPr>
        <w:t>附录</w:t>
      </w:r>
      <w:r>
        <w:rPr>
          <w:rStyle w:val="52"/>
          <w:color w:val="auto"/>
          <w:highlight w:val="none"/>
        </w:rPr>
        <w:t xml:space="preserve">4  </w:t>
      </w:r>
      <w:r>
        <w:rPr>
          <w:rStyle w:val="52"/>
          <w:rFonts w:hint="eastAsia"/>
          <w:color w:val="auto"/>
          <w:highlight w:val="none"/>
        </w:rPr>
        <w:t>资格审查条件</w:t>
      </w:r>
      <w:r>
        <w:rPr>
          <w:rStyle w:val="52"/>
          <w:color w:val="auto"/>
          <w:highlight w:val="none"/>
        </w:rPr>
        <w:t>(</w:t>
      </w:r>
      <w:r>
        <w:rPr>
          <w:rStyle w:val="52"/>
          <w:rFonts w:hint="eastAsia"/>
          <w:color w:val="auto"/>
          <w:highlight w:val="none"/>
        </w:rPr>
        <w:t>信誉最低要求</w:t>
      </w:r>
      <w:r>
        <w:rPr>
          <w:rStyle w:val="52"/>
          <w:color w:val="auto"/>
          <w:highlight w:val="none"/>
        </w:rPr>
        <w:t>)</w:t>
      </w:r>
      <w:r>
        <w:rPr>
          <w:color w:val="auto"/>
          <w:highlight w:val="none"/>
        </w:rPr>
        <w:tab/>
      </w:r>
      <w:r>
        <w:rPr>
          <w:rFonts w:hint="eastAsia"/>
          <w:color w:val="auto"/>
          <w:highlight w:val="none"/>
        </w:rPr>
        <w:t>3</w:t>
      </w:r>
      <w:r>
        <w:rPr>
          <w:rFonts w:hint="eastAsia"/>
          <w:color w:val="auto"/>
          <w:highlight w:val="none"/>
        </w:rPr>
        <w:fldChar w:fldCharType="end"/>
      </w:r>
      <w:r>
        <w:rPr>
          <w:rFonts w:hint="eastAsia"/>
          <w:color w:val="auto"/>
          <w:highlight w:val="none"/>
        </w:rPr>
        <w:t>1</w:t>
      </w:r>
    </w:p>
    <w:p w14:paraId="768ADC59">
      <w:pPr>
        <w:pStyle w:val="22"/>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"_Toc43475667" </w:instrText>
      </w:r>
      <w:r>
        <w:rPr>
          <w:color w:val="auto"/>
          <w:highlight w:val="none"/>
        </w:rPr>
        <w:fldChar w:fldCharType="separate"/>
      </w:r>
      <w:r>
        <w:rPr>
          <w:rStyle w:val="52"/>
          <w:rFonts w:hint="eastAsia" w:ascii="宋体" w:hAnsi="宋体" w:cs="黑体"/>
          <w:color w:val="auto"/>
          <w:highlight w:val="none"/>
        </w:rPr>
        <w:t>附录</w:t>
      </w:r>
      <w:r>
        <w:rPr>
          <w:rStyle w:val="52"/>
          <w:rFonts w:ascii="宋体" w:hAnsi="宋体" w:cs="黑体"/>
          <w:color w:val="auto"/>
          <w:highlight w:val="none"/>
        </w:rPr>
        <w:t xml:space="preserve">5  </w:t>
      </w:r>
      <w:r>
        <w:rPr>
          <w:rStyle w:val="52"/>
          <w:rFonts w:hint="eastAsia" w:ascii="宋体" w:hAnsi="宋体" w:cs="黑体"/>
          <w:color w:val="auto"/>
          <w:highlight w:val="none"/>
        </w:rPr>
        <w:t>资格审查条件</w:t>
      </w:r>
      <w:r>
        <w:rPr>
          <w:rStyle w:val="52"/>
          <w:rFonts w:ascii="宋体" w:hAnsi="宋体" w:cs="黑体"/>
          <w:color w:val="auto"/>
          <w:highlight w:val="none"/>
        </w:rPr>
        <w:t>(</w:t>
      </w:r>
      <w:r>
        <w:rPr>
          <w:rStyle w:val="52"/>
          <w:rFonts w:hint="eastAsia" w:ascii="宋体" w:hAnsi="宋体" w:cs="黑体"/>
          <w:color w:val="auto"/>
          <w:highlight w:val="none"/>
        </w:rPr>
        <w:t>项目经理和项目总工最低要求</w:t>
      </w:r>
      <w:r>
        <w:rPr>
          <w:rStyle w:val="52"/>
          <w:rFonts w:ascii="宋体" w:hAnsi="宋体" w:cs="黑体"/>
          <w:color w:val="auto"/>
          <w:highlight w:val="none"/>
        </w:rPr>
        <w:t>)</w:t>
      </w:r>
      <w:r>
        <w:rPr>
          <w:color w:val="auto"/>
          <w:highlight w:val="none"/>
        </w:rPr>
        <w:tab/>
      </w:r>
      <w:r>
        <w:rPr>
          <w:rFonts w:hint="eastAsia"/>
          <w:color w:val="auto"/>
          <w:highlight w:val="none"/>
        </w:rPr>
        <w:t>3</w:t>
      </w:r>
      <w:r>
        <w:rPr>
          <w:rFonts w:hint="eastAsia"/>
          <w:color w:val="auto"/>
          <w:highlight w:val="none"/>
        </w:rPr>
        <w:fldChar w:fldCharType="end"/>
      </w:r>
      <w:r>
        <w:rPr>
          <w:rFonts w:hint="eastAsia"/>
          <w:color w:val="auto"/>
          <w:highlight w:val="none"/>
        </w:rPr>
        <w:t>1</w:t>
      </w:r>
    </w:p>
    <w:p w14:paraId="222B3CFC">
      <w:pPr>
        <w:pStyle w:val="22"/>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"_Toc43475668" </w:instrText>
      </w:r>
      <w:r>
        <w:rPr>
          <w:color w:val="auto"/>
          <w:highlight w:val="none"/>
        </w:rPr>
        <w:fldChar w:fldCharType="separate"/>
      </w:r>
      <w:r>
        <w:rPr>
          <w:rStyle w:val="52"/>
          <w:rFonts w:hint="eastAsia" w:ascii="宋体" w:hAnsi="宋体" w:cs="黑体"/>
          <w:color w:val="auto"/>
          <w:highlight w:val="none"/>
        </w:rPr>
        <w:t>附录</w:t>
      </w:r>
      <w:r>
        <w:rPr>
          <w:rStyle w:val="52"/>
          <w:rFonts w:ascii="宋体" w:hAnsi="宋体" w:cs="黑体"/>
          <w:color w:val="auto"/>
          <w:highlight w:val="none"/>
        </w:rPr>
        <w:t xml:space="preserve">6  </w:t>
      </w:r>
      <w:r>
        <w:rPr>
          <w:rStyle w:val="52"/>
          <w:rFonts w:hint="eastAsia" w:ascii="宋体" w:hAnsi="宋体" w:cs="黑体"/>
          <w:color w:val="auto"/>
          <w:highlight w:val="none"/>
        </w:rPr>
        <w:t>资格审查条件</w:t>
      </w:r>
      <w:r>
        <w:rPr>
          <w:rStyle w:val="52"/>
          <w:rFonts w:ascii="宋体" w:hAnsi="宋体" w:cs="黑体"/>
          <w:color w:val="auto"/>
          <w:highlight w:val="none"/>
        </w:rPr>
        <w:t>(</w:t>
      </w:r>
      <w:r>
        <w:rPr>
          <w:rStyle w:val="52"/>
          <w:rFonts w:hint="eastAsia" w:ascii="宋体" w:hAnsi="宋体" w:cs="黑体"/>
          <w:color w:val="auto"/>
          <w:highlight w:val="none"/>
        </w:rPr>
        <w:t>其他管理人员和技术人员最低要求</w:t>
      </w:r>
      <w:r>
        <w:rPr>
          <w:rStyle w:val="52"/>
          <w:rFonts w:ascii="宋体" w:hAnsi="宋体" w:cs="黑体"/>
          <w:color w:val="auto"/>
          <w:highlight w:val="none"/>
        </w:rPr>
        <w:t>)</w:t>
      </w:r>
      <w:r>
        <w:rPr>
          <w:color w:val="auto"/>
          <w:highlight w:val="none"/>
        </w:rPr>
        <w:tab/>
      </w:r>
      <w:r>
        <w:rPr>
          <w:rFonts w:hint="eastAsia"/>
          <w:color w:val="auto"/>
          <w:highlight w:val="none"/>
        </w:rPr>
        <w:t>3</w:t>
      </w:r>
      <w:r>
        <w:rPr>
          <w:rFonts w:hint="eastAsia"/>
          <w:color w:val="auto"/>
          <w:highlight w:val="none"/>
        </w:rPr>
        <w:fldChar w:fldCharType="end"/>
      </w:r>
      <w:r>
        <w:rPr>
          <w:rFonts w:hint="eastAsia"/>
          <w:color w:val="auto"/>
          <w:highlight w:val="none"/>
        </w:rPr>
        <w:t>2</w:t>
      </w:r>
    </w:p>
    <w:p w14:paraId="766F473C">
      <w:pPr>
        <w:pStyle w:val="22"/>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"_Toc43475669" </w:instrText>
      </w:r>
      <w:r>
        <w:rPr>
          <w:color w:val="auto"/>
          <w:highlight w:val="none"/>
        </w:rPr>
        <w:fldChar w:fldCharType="separate"/>
      </w:r>
      <w:r>
        <w:rPr>
          <w:rStyle w:val="52"/>
          <w:rFonts w:hint="eastAsia" w:ascii="宋体" w:hAnsi="宋体" w:cs="黑体"/>
          <w:color w:val="auto"/>
          <w:highlight w:val="none"/>
        </w:rPr>
        <w:t>附录</w:t>
      </w:r>
      <w:r>
        <w:rPr>
          <w:rStyle w:val="52"/>
          <w:rFonts w:ascii="宋体" w:hAnsi="宋体" w:cs="黑体"/>
          <w:color w:val="auto"/>
          <w:highlight w:val="none"/>
        </w:rPr>
        <w:t xml:space="preserve">7  </w:t>
      </w:r>
      <w:r>
        <w:rPr>
          <w:rStyle w:val="52"/>
          <w:rFonts w:hint="eastAsia" w:ascii="宋体" w:hAnsi="宋体" w:cs="黑体"/>
          <w:color w:val="auto"/>
          <w:highlight w:val="none"/>
        </w:rPr>
        <w:t>资格审查条件（主要设备最低要求）</w:t>
      </w:r>
      <w:r>
        <w:rPr>
          <w:color w:val="auto"/>
          <w:highlight w:val="none"/>
        </w:rPr>
        <w:tab/>
      </w:r>
      <w:r>
        <w:rPr>
          <w:rFonts w:hint="eastAsia"/>
          <w:color w:val="auto"/>
          <w:highlight w:val="none"/>
        </w:rPr>
        <w:t>3</w:t>
      </w:r>
      <w:r>
        <w:rPr>
          <w:rFonts w:hint="eastAsia"/>
          <w:color w:val="auto"/>
          <w:highlight w:val="none"/>
        </w:rPr>
        <w:fldChar w:fldCharType="end"/>
      </w:r>
      <w:r>
        <w:rPr>
          <w:rFonts w:hint="eastAsia"/>
          <w:color w:val="auto"/>
          <w:highlight w:val="none"/>
        </w:rPr>
        <w:t>3</w:t>
      </w:r>
    </w:p>
    <w:p w14:paraId="299A9948">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"_Toc43475670" </w:instrText>
      </w:r>
      <w:r>
        <w:rPr>
          <w:color w:val="auto"/>
          <w:highlight w:val="none"/>
        </w:rPr>
        <w:fldChar w:fldCharType="separate"/>
      </w:r>
      <w:r>
        <w:rPr>
          <w:rStyle w:val="52"/>
          <w:rFonts w:ascii="宋体" w:hAnsi="宋体" w:cs="宋体"/>
          <w:color w:val="auto"/>
          <w:highlight w:val="none"/>
        </w:rPr>
        <w:t>1.</w:t>
      </w:r>
      <w:r>
        <w:rPr>
          <w:rStyle w:val="52"/>
          <w:rFonts w:hint="eastAsia"/>
          <w:color w:val="auto"/>
          <w:highlight w:val="none"/>
        </w:rPr>
        <w:t>总则</w:t>
      </w:r>
      <w:r>
        <w:rPr>
          <w:color w:val="auto"/>
          <w:highlight w:val="none"/>
        </w:rPr>
        <w:tab/>
      </w:r>
      <w:r>
        <w:rPr>
          <w:color w:val="auto"/>
          <w:highlight w:val="none"/>
        </w:rPr>
        <w:fldChar w:fldCharType="begin"/>
      </w:r>
      <w:r>
        <w:rPr>
          <w:color w:val="auto"/>
          <w:highlight w:val="none"/>
        </w:rPr>
        <w:instrText xml:space="preserve"> PAGEREF _Toc43475670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034C1D8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"_Toc43475671" </w:instrText>
      </w:r>
      <w:r>
        <w:rPr>
          <w:color w:val="auto"/>
          <w:highlight w:val="none"/>
        </w:rPr>
        <w:fldChar w:fldCharType="separate"/>
      </w:r>
      <w:r>
        <w:rPr>
          <w:rStyle w:val="52"/>
          <w:color w:val="auto"/>
          <w:highlight w:val="none"/>
        </w:rPr>
        <w:t>1.1</w:t>
      </w:r>
      <w:r>
        <w:rPr>
          <w:rStyle w:val="52"/>
          <w:rFonts w:hint="eastAsia"/>
          <w:color w:val="auto"/>
          <w:highlight w:val="none"/>
        </w:rPr>
        <w:t>项目概况</w:t>
      </w:r>
      <w:r>
        <w:rPr>
          <w:color w:val="auto"/>
          <w:highlight w:val="none"/>
        </w:rPr>
        <w:tab/>
      </w:r>
      <w:r>
        <w:rPr>
          <w:color w:val="auto"/>
          <w:highlight w:val="none"/>
        </w:rPr>
        <w:fldChar w:fldCharType="begin"/>
      </w:r>
      <w:r>
        <w:rPr>
          <w:color w:val="auto"/>
          <w:highlight w:val="none"/>
        </w:rPr>
        <w:instrText xml:space="preserve"> PAGEREF _Toc43475671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719EC14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"_Toc43475672" </w:instrText>
      </w:r>
      <w:r>
        <w:rPr>
          <w:color w:val="auto"/>
          <w:highlight w:val="none"/>
        </w:rPr>
        <w:fldChar w:fldCharType="separate"/>
      </w:r>
      <w:r>
        <w:rPr>
          <w:rStyle w:val="52"/>
          <w:color w:val="auto"/>
          <w:highlight w:val="none"/>
        </w:rPr>
        <w:t>1.2</w:t>
      </w:r>
      <w:r>
        <w:rPr>
          <w:rStyle w:val="52"/>
          <w:rFonts w:hint="eastAsia"/>
          <w:color w:val="auto"/>
          <w:highlight w:val="none"/>
        </w:rPr>
        <w:t>招标项目的资金来源和落实情况</w:t>
      </w:r>
      <w:r>
        <w:rPr>
          <w:color w:val="auto"/>
          <w:highlight w:val="none"/>
        </w:rPr>
        <w:tab/>
      </w:r>
      <w:r>
        <w:rPr>
          <w:color w:val="auto"/>
          <w:highlight w:val="none"/>
        </w:rPr>
        <w:fldChar w:fldCharType="begin"/>
      </w:r>
      <w:r>
        <w:rPr>
          <w:color w:val="auto"/>
          <w:highlight w:val="none"/>
        </w:rPr>
        <w:instrText xml:space="preserve"> PAGEREF _Toc43475672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53F6069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"_Toc43475673" </w:instrText>
      </w:r>
      <w:r>
        <w:rPr>
          <w:color w:val="auto"/>
          <w:highlight w:val="none"/>
        </w:rPr>
        <w:fldChar w:fldCharType="separate"/>
      </w:r>
      <w:r>
        <w:rPr>
          <w:rStyle w:val="52"/>
          <w:color w:val="auto"/>
          <w:highlight w:val="none"/>
        </w:rPr>
        <w:t>1.3</w:t>
      </w:r>
      <w:r>
        <w:rPr>
          <w:rStyle w:val="52"/>
          <w:rFonts w:hint="eastAsia"/>
          <w:color w:val="auto"/>
          <w:highlight w:val="none"/>
        </w:rPr>
        <w:t>招标范围、计划工期、质量要求和安全目标</w:t>
      </w:r>
      <w:r>
        <w:rPr>
          <w:color w:val="auto"/>
          <w:highlight w:val="none"/>
        </w:rPr>
        <w:tab/>
      </w:r>
      <w:r>
        <w:rPr>
          <w:color w:val="auto"/>
          <w:highlight w:val="none"/>
        </w:rPr>
        <w:fldChar w:fldCharType="begin"/>
      </w:r>
      <w:r>
        <w:rPr>
          <w:color w:val="auto"/>
          <w:highlight w:val="none"/>
        </w:rPr>
        <w:instrText xml:space="preserve"> PAGEREF _Toc43475673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7EAF84E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"_Toc43475674" </w:instrText>
      </w:r>
      <w:r>
        <w:rPr>
          <w:color w:val="auto"/>
          <w:highlight w:val="none"/>
        </w:rPr>
        <w:fldChar w:fldCharType="separate"/>
      </w:r>
      <w:r>
        <w:rPr>
          <w:rStyle w:val="52"/>
          <w:color w:val="auto"/>
          <w:highlight w:val="none"/>
        </w:rPr>
        <w:t>1.4</w:t>
      </w:r>
      <w:r>
        <w:rPr>
          <w:rStyle w:val="52"/>
          <w:rFonts w:hint="eastAsia"/>
          <w:color w:val="auto"/>
          <w:highlight w:val="none"/>
        </w:rPr>
        <w:t>投标人资格要求（适用于未进行资格预审的）</w:t>
      </w:r>
      <w:r>
        <w:rPr>
          <w:color w:val="auto"/>
          <w:highlight w:val="none"/>
        </w:rPr>
        <w:tab/>
      </w:r>
      <w:r>
        <w:rPr>
          <w:color w:val="auto"/>
          <w:highlight w:val="none"/>
        </w:rPr>
        <w:fldChar w:fldCharType="begin"/>
      </w:r>
      <w:r>
        <w:rPr>
          <w:color w:val="auto"/>
          <w:highlight w:val="none"/>
        </w:rPr>
        <w:instrText xml:space="preserve"> PAGEREF _Toc43475674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2157B1D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"_Toc43475675" </w:instrText>
      </w:r>
      <w:r>
        <w:rPr>
          <w:color w:val="auto"/>
          <w:highlight w:val="none"/>
        </w:rPr>
        <w:fldChar w:fldCharType="separate"/>
      </w:r>
      <w:r>
        <w:rPr>
          <w:rStyle w:val="52"/>
          <w:color w:val="auto"/>
          <w:highlight w:val="none"/>
        </w:rPr>
        <w:t>1.5</w:t>
      </w:r>
      <w:r>
        <w:rPr>
          <w:rStyle w:val="52"/>
          <w:rFonts w:hint="eastAsia"/>
          <w:color w:val="auto"/>
          <w:highlight w:val="none"/>
        </w:rPr>
        <w:t>费用承担</w:t>
      </w:r>
      <w:r>
        <w:rPr>
          <w:color w:val="auto"/>
          <w:highlight w:val="none"/>
        </w:rPr>
        <w:tab/>
      </w:r>
      <w:r>
        <w:rPr>
          <w:color w:val="auto"/>
          <w:highlight w:val="none"/>
        </w:rPr>
        <w:fldChar w:fldCharType="begin"/>
      </w:r>
      <w:r>
        <w:rPr>
          <w:color w:val="auto"/>
          <w:highlight w:val="none"/>
        </w:rPr>
        <w:instrText xml:space="preserve"> PAGEREF _Toc43475675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50AA6C55">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"_Toc43475676" </w:instrText>
      </w:r>
      <w:r>
        <w:rPr>
          <w:color w:val="auto"/>
          <w:highlight w:val="none"/>
        </w:rPr>
        <w:fldChar w:fldCharType="separate"/>
      </w:r>
      <w:r>
        <w:rPr>
          <w:rStyle w:val="52"/>
          <w:color w:val="auto"/>
          <w:highlight w:val="none"/>
        </w:rPr>
        <w:t>1.6</w:t>
      </w:r>
      <w:r>
        <w:rPr>
          <w:rStyle w:val="52"/>
          <w:rFonts w:hint="eastAsia"/>
          <w:color w:val="auto"/>
          <w:highlight w:val="none"/>
        </w:rPr>
        <w:t>保密</w:t>
      </w:r>
      <w:r>
        <w:rPr>
          <w:color w:val="auto"/>
          <w:highlight w:val="none"/>
        </w:rPr>
        <w:tab/>
      </w:r>
      <w:r>
        <w:rPr>
          <w:color w:val="auto"/>
          <w:highlight w:val="none"/>
        </w:rPr>
        <w:fldChar w:fldCharType="begin"/>
      </w:r>
      <w:r>
        <w:rPr>
          <w:color w:val="auto"/>
          <w:highlight w:val="none"/>
        </w:rPr>
        <w:instrText xml:space="preserve"> PAGEREF _Toc43475676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7BE923B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"_Toc43475677" </w:instrText>
      </w:r>
      <w:r>
        <w:rPr>
          <w:color w:val="auto"/>
          <w:highlight w:val="none"/>
        </w:rPr>
        <w:fldChar w:fldCharType="separate"/>
      </w:r>
      <w:r>
        <w:rPr>
          <w:rStyle w:val="52"/>
          <w:color w:val="auto"/>
          <w:highlight w:val="none"/>
        </w:rPr>
        <w:t>1.7</w:t>
      </w:r>
      <w:r>
        <w:rPr>
          <w:rStyle w:val="52"/>
          <w:rFonts w:hint="eastAsia"/>
          <w:color w:val="auto"/>
          <w:highlight w:val="none"/>
        </w:rPr>
        <w:t>语言文字</w:t>
      </w:r>
      <w:r>
        <w:rPr>
          <w:color w:val="auto"/>
          <w:highlight w:val="none"/>
        </w:rPr>
        <w:tab/>
      </w:r>
      <w:r>
        <w:rPr>
          <w:color w:val="auto"/>
          <w:highlight w:val="none"/>
        </w:rPr>
        <w:fldChar w:fldCharType="begin"/>
      </w:r>
      <w:r>
        <w:rPr>
          <w:color w:val="auto"/>
          <w:highlight w:val="none"/>
        </w:rPr>
        <w:instrText xml:space="preserve"> PAGEREF _Toc43475677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2832E69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"_Toc43475678" </w:instrText>
      </w:r>
      <w:r>
        <w:rPr>
          <w:color w:val="auto"/>
          <w:highlight w:val="none"/>
        </w:rPr>
        <w:fldChar w:fldCharType="separate"/>
      </w:r>
      <w:r>
        <w:rPr>
          <w:rStyle w:val="52"/>
          <w:color w:val="auto"/>
          <w:highlight w:val="none"/>
        </w:rPr>
        <w:t>1.8</w:t>
      </w:r>
      <w:r>
        <w:rPr>
          <w:rStyle w:val="52"/>
          <w:rFonts w:hint="eastAsia"/>
          <w:color w:val="auto"/>
          <w:highlight w:val="none"/>
        </w:rPr>
        <w:t>计量单位</w:t>
      </w:r>
      <w:r>
        <w:rPr>
          <w:color w:val="auto"/>
          <w:highlight w:val="none"/>
        </w:rPr>
        <w:tab/>
      </w:r>
      <w:r>
        <w:rPr>
          <w:color w:val="auto"/>
          <w:highlight w:val="none"/>
        </w:rPr>
        <w:fldChar w:fldCharType="begin"/>
      </w:r>
      <w:r>
        <w:rPr>
          <w:color w:val="auto"/>
          <w:highlight w:val="none"/>
        </w:rPr>
        <w:instrText xml:space="preserve"> PAGEREF _Toc43475678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08E7AC15">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"_Toc43475679" </w:instrText>
      </w:r>
      <w:r>
        <w:rPr>
          <w:color w:val="auto"/>
          <w:highlight w:val="none"/>
        </w:rPr>
        <w:fldChar w:fldCharType="separate"/>
      </w:r>
      <w:r>
        <w:rPr>
          <w:rStyle w:val="52"/>
          <w:color w:val="auto"/>
          <w:highlight w:val="none"/>
        </w:rPr>
        <w:t>1.9</w:t>
      </w:r>
      <w:r>
        <w:rPr>
          <w:rStyle w:val="52"/>
          <w:rFonts w:hint="eastAsia"/>
          <w:color w:val="auto"/>
          <w:highlight w:val="none"/>
        </w:rPr>
        <w:t>踏勘现场</w:t>
      </w:r>
      <w:r>
        <w:rPr>
          <w:color w:val="auto"/>
          <w:highlight w:val="none"/>
        </w:rPr>
        <w:tab/>
      </w:r>
      <w:r>
        <w:rPr>
          <w:color w:val="auto"/>
          <w:highlight w:val="none"/>
        </w:rPr>
        <w:fldChar w:fldCharType="begin"/>
      </w:r>
      <w:r>
        <w:rPr>
          <w:color w:val="auto"/>
          <w:highlight w:val="none"/>
        </w:rPr>
        <w:instrText xml:space="preserve"> PAGEREF _Toc43475679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53EBCA1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"_Toc43475680" </w:instrText>
      </w:r>
      <w:r>
        <w:rPr>
          <w:color w:val="auto"/>
          <w:highlight w:val="none"/>
        </w:rPr>
        <w:fldChar w:fldCharType="separate"/>
      </w:r>
      <w:r>
        <w:rPr>
          <w:rStyle w:val="52"/>
          <w:color w:val="auto"/>
          <w:highlight w:val="none"/>
        </w:rPr>
        <w:t>1.10</w:t>
      </w:r>
      <w:r>
        <w:rPr>
          <w:rStyle w:val="52"/>
          <w:rFonts w:hint="eastAsia"/>
          <w:color w:val="auto"/>
          <w:highlight w:val="none"/>
        </w:rPr>
        <w:t>投标预备会</w:t>
      </w:r>
      <w:r>
        <w:rPr>
          <w:color w:val="auto"/>
          <w:highlight w:val="none"/>
        </w:rPr>
        <w:tab/>
      </w:r>
      <w:r>
        <w:rPr>
          <w:color w:val="auto"/>
          <w:highlight w:val="none"/>
        </w:rPr>
        <w:fldChar w:fldCharType="begin"/>
      </w:r>
      <w:r>
        <w:rPr>
          <w:color w:val="auto"/>
          <w:highlight w:val="none"/>
        </w:rPr>
        <w:instrText xml:space="preserve"> PAGEREF _Toc43475680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272DC33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"_Toc43475681" </w:instrText>
      </w:r>
      <w:r>
        <w:rPr>
          <w:color w:val="auto"/>
          <w:highlight w:val="none"/>
        </w:rPr>
        <w:fldChar w:fldCharType="separate"/>
      </w:r>
      <w:r>
        <w:rPr>
          <w:rStyle w:val="52"/>
          <w:color w:val="auto"/>
          <w:highlight w:val="none"/>
        </w:rPr>
        <w:t>1.11</w:t>
      </w:r>
      <w:r>
        <w:rPr>
          <w:rStyle w:val="52"/>
          <w:rFonts w:hint="eastAsia"/>
          <w:color w:val="auto"/>
          <w:highlight w:val="none"/>
        </w:rPr>
        <w:t>分包</w:t>
      </w:r>
      <w:r>
        <w:rPr>
          <w:color w:val="auto"/>
          <w:highlight w:val="none"/>
        </w:rPr>
        <w:tab/>
      </w:r>
      <w:r>
        <w:rPr>
          <w:color w:val="auto"/>
          <w:highlight w:val="none"/>
        </w:rPr>
        <w:fldChar w:fldCharType="begin"/>
      </w:r>
      <w:r>
        <w:rPr>
          <w:color w:val="auto"/>
          <w:highlight w:val="none"/>
        </w:rPr>
        <w:instrText xml:space="preserve"> PAGEREF _Toc43475681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1FC21F0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"_Toc43475682" </w:instrText>
      </w:r>
      <w:r>
        <w:rPr>
          <w:color w:val="auto"/>
          <w:highlight w:val="none"/>
        </w:rPr>
        <w:fldChar w:fldCharType="separate"/>
      </w:r>
      <w:r>
        <w:rPr>
          <w:rStyle w:val="52"/>
          <w:color w:val="auto"/>
          <w:highlight w:val="none"/>
        </w:rPr>
        <w:t>1.12</w:t>
      </w:r>
      <w:r>
        <w:rPr>
          <w:rStyle w:val="52"/>
          <w:rFonts w:hint="eastAsia"/>
          <w:color w:val="auto"/>
          <w:highlight w:val="none"/>
        </w:rPr>
        <w:t>响应和偏差</w:t>
      </w:r>
      <w:r>
        <w:rPr>
          <w:color w:val="auto"/>
          <w:highlight w:val="none"/>
        </w:rPr>
        <w:tab/>
      </w:r>
      <w:r>
        <w:rPr>
          <w:color w:val="auto"/>
          <w:highlight w:val="none"/>
        </w:rPr>
        <w:fldChar w:fldCharType="begin"/>
      </w:r>
      <w:r>
        <w:rPr>
          <w:color w:val="auto"/>
          <w:highlight w:val="none"/>
        </w:rPr>
        <w:instrText xml:space="preserve"> PAGEREF _Toc43475682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35375628">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"_Toc43475683" </w:instrText>
      </w:r>
      <w:r>
        <w:rPr>
          <w:color w:val="auto"/>
          <w:highlight w:val="none"/>
        </w:rPr>
        <w:fldChar w:fldCharType="separate"/>
      </w:r>
      <w:r>
        <w:rPr>
          <w:rStyle w:val="52"/>
          <w:rFonts w:ascii="宋体" w:hAnsi="宋体" w:cs="宋体"/>
          <w:color w:val="auto"/>
          <w:highlight w:val="none"/>
        </w:rPr>
        <w:t>2.</w:t>
      </w:r>
      <w:r>
        <w:rPr>
          <w:rStyle w:val="52"/>
          <w:rFonts w:hint="eastAsia"/>
          <w:color w:val="auto"/>
          <w:highlight w:val="none"/>
        </w:rPr>
        <w:t>招标文件</w:t>
      </w:r>
      <w:r>
        <w:rPr>
          <w:color w:val="auto"/>
          <w:highlight w:val="none"/>
        </w:rPr>
        <w:tab/>
      </w:r>
      <w:r>
        <w:rPr>
          <w:color w:val="auto"/>
          <w:highlight w:val="none"/>
        </w:rPr>
        <w:fldChar w:fldCharType="begin"/>
      </w:r>
      <w:r>
        <w:rPr>
          <w:color w:val="auto"/>
          <w:highlight w:val="none"/>
        </w:rPr>
        <w:instrText xml:space="preserve"> PAGEREF _Toc43475683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F13030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"_Toc43475684" </w:instrText>
      </w:r>
      <w:r>
        <w:rPr>
          <w:color w:val="auto"/>
          <w:highlight w:val="none"/>
        </w:rPr>
        <w:fldChar w:fldCharType="separate"/>
      </w:r>
      <w:r>
        <w:rPr>
          <w:rStyle w:val="52"/>
          <w:color w:val="auto"/>
          <w:highlight w:val="none"/>
        </w:rPr>
        <w:t>2.1</w:t>
      </w:r>
      <w:r>
        <w:rPr>
          <w:rStyle w:val="52"/>
          <w:rFonts w:hint="eastAsia"/>
          <w:color w:val="auto"/>
          <w:highlight w:val="none"/>
        </w:rPr>
        <w:t>招标文件的组成</w:t>
      </w:r>
      <w:r>
        <w:rPr>
          <w:color w:val="auto"/>
          <w:highlight w:val="none"/>
        </w:rPr>
        <w:tab/>
      </w:r>
      <w:r>
        <w:rPr>
          <w:color w:val="auto"/>
          <w:highlight w:val="none"/>
        </w:rPr>
        <w:fldChar w:fldCharType="begin"/>
      </w:r>
      <w:r>
        <w:rPr>
          <w:color w:val="auto"/>
          <w:highlight w:val="none"/>
        </w:rPr>
        <w:instrText xml:space="preserve"> PAGEREF _Toc43475684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68C62F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"_Toc43475685" </w:instrText>
      </w:r>
      <w:r>
        <w:rPr>
          <w:color w:val="auto"/>
          <w:highlight w:val="none"/>
        </w:rPr>
        <w:fldChar w:fldCharType="separate"/>
      </w:r>
      <w:r>
        <w:rPr>
          <w:rStyle w:val="52"/>
          <w:color w:val="auto"/>
          <w:highlight w:val="none"/>
        </w:rPr>
        <w:t>2.2</w:t>
      </w:r>
      <w:r>
        <w:rPr>
          <w:rStyle w:val="52"/>
          <w:rFonts w:hint="eastAsia"/>
          <w:color w:val="auto"/>
          <w:highlight w:val="none"/>
        </w:rPr>
        <w:t>招标文件的澄清</w:t>
      </w:r>
      <w:r>
        <w:rPr>
          <w:color w:val="auto"/>
          <w:highlight w:val="none"/>
        </w:rPr>
        <w:tab/>
      </w:r>
      <w:r>
        <w:rPr>
          <w:color w:val="auto"/>
          <w:highlight w:val="none"/>
        </w:rPr>
        <w:fldChar w:fldCharType="begin"/>
      </w:r>
      <w:r>
        <w:rPr>
          <w:color w:val="auto"/>
          <w:highlight w:val="none"/>
        </w:rPr>
        <w:instrText xml:space="preserve"> PAGEREF _Toc43475685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2DFAC89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"_Toc43475686" </w:instrText>
      </w:r>
      <w:r>
        <w:rPr>
          <w:color w:val="auto"/>
          <w:highlight w:val="none"/>
        </w:rPr>
        <w:fldChar w:fldCharType="separate"/>
      </w:r>
      <w:r>
        <w:rPr>
          <w:rStyle w:val="52"/>
          <w:color w:val="auto"/>
          <w:highlight w:val="none"/>
        </w:rPr>
        <w:t>2.3</w:t>
      </w:r>
      <w:r>
        <w:rPr>
          <w:rStyle w:val="52"/>
          <w:rFonts w:hint="eastAsia"/>
          <w:color w:val="auto"/>
          <w:highlight w:val="none"/>
        </w:rPr>
        <w:t>招标文件的修改</w:t>
      </w:r>
      <w:r>
        <w:rPr>
          <w:color w:val="auto"/>
          <w:highlight w:val="none"/>
        </w:rPr>
        <w:tab/>
      </w:r>
      <w:r>
        <w:rPr>
          <w:color w:val="auto"/>
          <w:highlight w:val="none"/>
        </w:rPr>
        <w:fldChar w:fldCharType="begin"/>
      </w:r>
      <w:r>
        <w:rPr>
          <w:color w:val="auto"/>
          <w:highlight w:val="none"/>
        </w:rPr>
        <w:instrText xml:space="preserve"> PAGEREF _Toc43475686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79CD30E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"_Toc43475687" </w:instrText>
      </w:r>
      <w:r>
        <w:rPr>
          <w:color w:val="auto"/>
          <w:highlight w:val="none"/>
        </w:rPr>
        <w:fldChar w:fldCharType="separate"/>
      </w:r>
      <w:r>
        <w:rPr>
          <w:rStyle w:val="52"/>
          <w:color w:val="auto"/>
          <w:highlight w:val="none"/>
        </w:rPr>
        <w:t>2.4</w:t>
      </w:r>
      <w:r>
        <w:rPr>
          <w:rStyle w:val="52"/>
          <w:rFonts w:hint="eastAsia"/>
          <w:color w:val="auto"/>
          <w:highlight w:val="none"/>
        </w:rPr>
        <w:t>招标文件的异议</w:t>
      </w:r>
      <w:r>
        <w:rPr>
          <w:color w:val="auto"/>
          <w:highlight w:val="none"/>
        </w:rPr>
        <w:tab/>
      </w:r>
      <w:r>
        <w:rPr>
          <w:color w:val="auto"/>
          <w:highlight w:val="none"/>
        </w:rPr>
        <w:fldChar w:fldCharType="begin"/>
      </w:r>
      <w:r>
        <w:rPr>
          <w:color w:val="auto"/>
          <w:highlight w:val="none"/>
        </w:rPr>
        <w:instrText xml:space="preserve"> PAGEREF _Toc43475687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14B8BBC1">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"_Toc43475688" </w:instrText>
      </w:r>
      <w:r>
        <w:rPr>
          <w:color w:val="auto"/>
          <w:highlight w:val="none"/>
        </w:rPr>
        <w:fldChar w:fldCharType="separate"/>
      </w:r>
      <w:r>
        <w:rPr>
          <w:rStyle w:val="52"/>
          <w:rFonts w:ascii="宋体" w:hAnsi="宋体" w:cs="宋体"/>
          <w:color w:val="auto"/>
          <w:highlight w:val="none"/>
        </w:rPr>
        <w:t>3.</w:t>
      </w:r>
      <w:r>
        <w:rPr>
          <w:rStyle w:val="52"/>
          <w:rFonts w:hint="eastAsia"/>
          <w:color w:val="auto"/>
          <w:highlight w:val="none"/>
        </w:rPr>
        <w:t>投标文件</w:t>
      </w:r>
      <w:r>
        <w:rPr>
          <w:color w:val="auto"/>
          <w:highlight w:val="none"/>
        </w:rPr>
        <w:tab/>
      </w:r>
      <w:r>
        <w:rPr>
          <w:color w:val="auto"/>
          <w:highlight w:val="none"/>
        </w:rPr>
        <w:fldChar w:fldCharType="begin"/>
      </w:r>
      <w:r>
        <w:rPr>
          <w:color w:val="auto"/>
          <w:highlight w:val="none"/>
        </w:rPr>
        <w:instrText xml:space="preserve"> PAGEREF _Toc43475688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A7F77E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"_Toc43475689" </w:instrText>
      </w:r>
      <w:r>
        <w:rPr>
          <w:color w:val="auto"/>
          <w:highlight w:val="none"/>
        </w:rPr>
        <w:fldChar w:fldCharType="separate"/>
      </w:r>
      <w:r>
        <w:rPr>
          <w:rStyle w:val="52"/>
          <w:color w:val="auto"/>
          <w:highlight w:val="none"/>
        </w:rPr>
        <w:t>3.1</w:t>
      </w:r>
      <w:r>
        <w:rPr>
          <w:rStyle w:val="52"/>
          <w:rFonts w:hint="eastAsia"/>
          <w:color w:val="auto"/>
          <w:highlight w:val="none"/>
        </w:rPr>
        <w:t>投标文件的组成</w:t>
      </w:r>
      <w:r>
        <w:rPr>
          <w:color w:val="auto"/>
          <w:highlight w:val="none"/>
        </w:rPr>
        <w:tab/>
      </w:r>
      <w:r>
        <w:rPr>
          <w:color w:val="auto"/>
          <w:highlight w:val="none"/>
        </w:rPr>
        <w:fldChar w:fldCharType="begin"/>
      </w:r>
      <w:r>
        <w:rPr>
          <w:color w:val="auto"/>
          <w:highlight w:val="none"/>
        </w:rPr>
        <w:instrText xml:space="preserve"> PAGEREF _Toc43475689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64217EE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"_Toc43475690" </w:instrText>
      </w:r>
      <w:r>
        <w:rPr>
          <w:color w:val="auto"/>
          <w:highlight w:val="none"/>
        </w:rPr>
        <w:fldChar w:fldCharType="separate"/>
      </w:r>
      <w:r>
        <w:rPr>
          <w:rStyle w:val="52"/>
          <w:color w:val="auto"/>
          <w:highlight w:val="none"/>
        </w:rPr>
        <w:t>3.2</w:t>
      </w:r>
      <w:r>
        <w:rPr>
          <w:rStyle w:val="52"/>
          <w:rFonts w:hint="eastAsia"/>
          <w:color w:val="auto"/>
          <w:highlight w:val="none"/>
        </w:rPr>
        <w:t>投标报价</w:t>
      </w:r>
      <w:r>
        <w:rPr>
          <w:color w:val="auto"/>
          <w:highlight w:val="none"/>
        </w:rPr>
        <w:tab/>
      </w:r>
      <w:r>
        <w:rPr>
          <w:color w:val="auto"/>
          <w:highlight w:val="none"/>
        </w:rPr>
        <w:fldChar w:fldCharType="begin"/>
      </w:r>
      <w:r>
        <w:rPr>
          <w:color w:val="auto"/>
          <w:highlight w:val="none"/>
        </w:rPr>
        <w:instrText xml:space="preserve"> PAGEREF _Toc43475690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0B92CF2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"_Toc43475691" </w:instrText>
      </w:r>
      <w:r>
        <w:rPr>
          <w:color w:val="auto"/>
          <w:highlight w:val="none"/>
        </w:rPr>
        <w:fldChar w:fldCharType="separate"/>
      </w:r>
      <w:r>
        <w:rPr>
          <w:rStyle w:val="52"/>
          <w:color w:val="auto"/>
          <w:highlight w:val="none"/>
        </w:rPr>
        <w:t>3.3</w:t>
      </w:r>
      <w:r>
        <w:rPr>
          <w:rStyle w:val="52"/>
          <w:rFonts w:hint="eastAsia"/>
          <w:color w:val="auto"/>
          <w:highlight w:val="none"/>
        </w:rPr>
        <w:t>投标有效期</w:t>
      </w:r>
      <w:r>
        <w:rPr>
          <w:color w:val="auto"/>
          <w:highlight w:val="none"/>
        </w:rPr>
        <w:tab/>
      </w:r>
      <w:r>
        <w:rPr>
          <w:color w:val="auto"/>
          <w:highlight w:val="none"/>
        </w:rPr>
        <w:fldChar w:fldCharType="begin"/>
      </w:r>
      <w:r>
        <w:rPr>
          <w:color w:val="auto"/>
          <w:highlight w:val="none"/>
        </w:rPr>
        <w:instrText xml:space="preserve"> PAGEREF _Toc43475691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11D13F5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"_Toc43475692" </w:instrText>
      </w:r>
      <w:r>
        <w:rPr>
          <w:color w:val="auto"/>
          <w:highlight w:val="none"/>
        </w:rPr>
        <w:fldChar w:fldCharType="separate"/>
      </w:r>
      <w:r>
        <w:rPr>
          <w:rStyle w:val="52"/>
          <w:color w:val="auto"/>
          <w:highlight w:val="none"/>
        </w:rPr>
        <w:t>3.4</w:t>
      </w:r>
      <w:r>
        <w:rPr>
          <w:rStyle w:val="52"/>
          <w:rFonts w:hint="eastAsia"/>
          <w:color w:val="auto"/>
          <w:highlight w:val="none"/>
        </w:rPr>
        <w:t>投标保证金</w:t>
      </w:r>
      <w:r>
        <w:rPr>
          <w:color w:val="auto"/>
          <w:highlight w:val="none"/>
        </w:rPr>
        <w:tab/>
      </w:r>
      <w:r>
        <w:rPr>
          <w:color w:val="auto"/>
          <w:highlight w:val="none"/>
        </w:rPr>
        <w:fldChar w:fldCharType="begin"/>
      </w:r>
      <w:r>
        <w:rPr>
          <w:color w:val="auto"/>
          <w:highlight w:val="none"/>
        </w:rPr>
        <w:instrText xml:space="preserve"> PAGEREF _Toc43475692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452639D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"_Toc43475693" </w:instrText>
      </w:r>
      <w:r>
        <w:rPr>
          <w:color w:val="auto"/>
          <w:highlight w:val="none"/>
        </w:rPr>
        <w:fldChar w:fldCharType="separate"/>
      </w:r>
      <w:r>
        <w:rPr>
          <w:rStyle w:val="52"/>
          <w:color w:val="auto"/>
          <w:highlight w:val="none"/>
        </w:rPr>
        <w:t>3.5</w:t>
      </w:r>
      <w:r>
        <w:rPr>
          <w:rStyle w:val="52"/>
          <w:rFonts w:hint="eastAsia"/>
          <w:color w:val="auto"/>
          <w:highlight w:val="none"/>
        </w:rPr>
        <w:t>资格审查资料（适用于未进行资格预审的）</w:t>
      </w:r>
      <w:r>
        <w:rPr>
          <w:color w:val="auto"/>
          <w:highlight w:val="none"/>
        </w:rPr>
        <w:tab/>
      </w:r>
      <w:r>
        <w:rPr>
          <w:color w:val="auto"/>
          <w:highlight w:val="none"/>
        </w:rPr>
        <w:fldChar w:fldCharType="begin"/>
      </w:r>
      <w:r>
        <w:rPr>
          <w:color w:val="auto"/>
          <w:highlight w:val="none"/>
        </w:rPr>
        <w:instrText xml:space="preserve"> PAGEREF _Toc43475693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68E1015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"_Toc43475694" </w:instrText>
      </w:r>
      <w:r>
        <w:rPr>
          <w:color w:val="auto"/>
          <w:highlight w:val="none"/>
        </w:rPr>
        <w:fldChar w:fldCharType="separate"/>
      </w:r>
      <w:r>
        <w:rPr>
          <w:rStyle w:val="52"/>
          <w:color w:val="auto"/>
          <w:highlight w:val="none"/>
        </w:rPr>
        <w:t>3.6</w:t>
      </w:r>
      <w:r>
        <w:rPr>
          <w:rStyle w:val="52"/>
          <w:rFonts w:hint="eastAsia"/>
          <w:color w:val="auto"/>
          <w:highlight w:val="none"/>
        </w:rPr>
        <w:t>备选投标方案</w:t>
      </w:r>
      <w:r>
        <w:rPr>
          <w:color w:val="auto"/>
          <w:highlight w:val="none"/>
        </w:rPr>
        <w:tab/>
      </w:r>
      <w:r>
        <w:rPr>
          <w:color w:val="auto"/>
          <w:highlight w:val="none"/>
        </w:rPr>
        <w:fldChar w:fldCharType="begin"/>
      </w:r>
      <w:r>
        <w:rPr>
          <w:color w:val="auto"/>
          <w:highlight w:val="none"/>
        </w:rPr>
        <w:instrText xml:space="preserve"> PAGEREF _Toc43475694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6D5F764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"_Toc43475695" </w:instrText>
      </w:r>
      <w:r>
        <w:rPr>
          <w:color w:val="auto"/>
          <w:highlight w:val="none"/>
        </w:rPr>
        <w:fldChar w:fldCharType="separate"/>
      </w:r>
      <w:r>
        <w:rPr>
          <w:rStyle w:val="52"/>
          <w:color w:val="auto"/>
          <w:highlight w:val="none"/>
        </w:rPr>
        <w:t>3.7</w:t>
      </w:r>
      <w:r>
        <w:rPr>
          <w:rStyle w:val="52"/>
          <w:rFonts w:hint="eastAsia"/>
          <w:color w:val="auto"/>
          <w:highlight w:val="none"/>
        </w:rPr>
        <w:t>投标文件的编制</w:t>
      </w:r>
      <w:r>
        <w:rPr>
          <w:color w:val="auto"/>
          <w:highlight w:val="none"/>
        </w:rPr>
        <w:tab/>
      </w:r>
      <w:r>
        <w:rPr>
          <w:color w:val="auto"/>
          <w:highlight w:val="none"/>
        </w:rPr>
        <w:fldChar w:fldCharType="begin"/>
      </w:r>
      <w:r>
        <w:rPr>
          <w:color w:val="auto"/>
          <w:highlight w:val="none"/>
        </w:rPr>
        <w:instrText xml:space="preserve"> PAGEREF _Toc43475695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0EE15929">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"_Toc43475696" </w:instrText>
      </w:r>
      <w:r>
        <w:rPr>
          <w:color w:val="auto"/>
          <w:highlight w:val="none"/>
        </w:rPr>
        <w:fldChar w:fldCharType="separate"/>
      </w:r>
      <w:r>
        <w:rPr>
          <w:rStyle w:val="52"/>
          <w:rFonts w:ascii="宋体" w:hAnsi="宋体" w:cs="宋体"/>
          <w:color w:val="auto"/>
          <w:highlight w:val="none"/>
        </w:rPr>
        <w:t>4.</w:t>
      </w:r>
      <w:r>
        <w:rPr>
          <w:rStyle w:val="52"/>
          <w:rFonts w:hint="eastAsia"/>
          <w:color w:val="auto"/>
          <w:highlight w:val="none"/>
        </w:rPr>
        <w:t>投标</w:t>
      </w:r>
      <w:r>
        <w:rPr>
          <w:color w:val="auto"/>
          <w:highlight w:val="none"/>
        </w:rPr>
        <w:tab/>
      </w:r>
      <w:r>
        <w:rPr>
          <w:color w:val="auto"/>
          <w:highlight w:val="none"/>
        </w:rPr>
        <w:fldChar w:fldCharType="begin"/>
      </w:r>
      <w:r>
        <w:rPr>
          <w:color w:val="auto"/>
          <w:highlight w:val="none"/>
        </w:rPr>
        <w:instrText xml:space="preserve"> PAGEREF _Toc43475696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6BF3928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"_Toc43475697" </w:instrText>
      </w:r>
      <w:r>
        <w:rPr>
          <w:color w:val="auto"/>
          <w:highlight w:val="none"/>
        </w:rPr>
        <w:fldChar w:fldCharType="separate"/>
      </w:r>
      <w:r>
        <w:rPr>
          <w:rStyle w:val="52"/>
          <w:color w:val="auto"/>
          <w:highlight w:val="none"/>
        </w:rPr>
        <w:t>4.1</w:t>
      </w:r>
      <w:r>
        <w:rPr>
          <w:rStyle w:val="52"/>
          <w:rFonts w:hint="eastAsia"/>
          <w:color w:val="auto"/>
          <w:highlight w:val="none"/>
        </w:rPr>
        <w:t>投标文件的密封和标识</w:t>
      </w:r>
      <w:r>
        <w:rPr>
          <w:color w:val="auto"/>
          <w:highlight w:val="none"/>
        </w:rPr>
        <w:tab/>
      </w:r>
      <w:r>
        <w:rPr>
          <w:color w:val="auto"/>
          <w:highlight w:val="none"/>
        </w:rPr>
        <w:fldChar w:fldCharType="begin"/>
      </w:r>
      <w:r>
        <w:rPr>
          <w:color w:val="auto"/>
          <w:highlight w:val="none"/>
        </w:rPr>
        <w:instrText xml:space="preserve"> PAGEREF _Toc43475697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1FB0DB9F">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"_Toc43475698" </w:instrText>
      </w:r>
      <w:r>
        <w:rPr>
          <w:color w:val="auto"/>
          <w:highlight w:val="none"/>
        </w:rPr>
        <w:fldChar w:fldCharType="separate"/>
      </w:r>
      <w:r>
        <w:rPr>
          <w:rStyle w:val="52"/>
          <w:color w:val="auto"/>
          <w:highlight w:val="none"/>
        </w:rPr>
        <w:t>4.2</w:t>
      </w:r>
      <w:r>
        <w:rPr>
          <w:rStyle w:val="52"/>
          <w:rFonts w:hint="eastAsia"/>
          <w:color w:val="auto"/>
          <w:highlight w:val="none"/>
        </w:rPr>
        <w:t>投标文件的递交</w:t>
      </w:r>
      <w:r>
        <w:rPr>
          <w:color w:val="auto"/>
          <w:highlight w:val="none"/>
        </w:rPr>
        <w:tab/>
      </w:r>
      <w:r>
        <w:rPr>
          <w:color w:val="auto"/>
          <w:highlight w:val="none"/>
        </w:rPr>
        <w:fldChar w:fldCharType="begin"/>
      </w:r>
      <w:r>
        <w:rPr>
          <w:color w:val="auto"/>
          <w:highlight w:val="none"/>
        </w:rPr>
        <w:instrText xml:space="preserve"> PAGEREF _Toc43475698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2742B2D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"_Toc43475699" </w:instrText>
      </w:r>
      <w:r>
        <w:rPr>
          <w:color w:val="auto"/>
          <w:highlight w:val="none"/>
        </w:rPr>
        <w:fldChar w:fldCharType="separate"/>
      </w:r>
      <w:r>
        <w:rPr>
          <w:rStyle w:val="52"/>
          <w:color w:val="auto"/>
          <w:highlight w:val="none"/>
        </w:rPr>
        <w:t>4.3</w:t>
      </w:r>
      <w:r>
        <w:rPr>
          <w:rStyle w:val="52"/>
          <w:rFonts w:hint="eastAsia"/>
          <w:color w:val="auto"/>
          <w:highlight w:val="none"/>
        </w:rPr>
        <w:t>投标文件的修改与撤回</w:t>
      </w:r>
      <w:r>
        <w:rPr>
          <w:color w:val="auto"/>
          <w:highlight w:val="none"/>
        </w:rPr>
        <w:tab/>
      </w:r>
      <w:r>
        <w:rPr>
          <w:color w:val="auto"/>
          <w:highlight w:val="none"/>
        </w:rPr>
        <w:fldChar w:fldCharType="begin"/>
      </w:r>
      <w:r>
        <w:rPr>
          <w:color w:val="auto"/>
          <w:highlight w:val="none"/>
        </w:rPr>
        <w:instrText xml:space="preserve"> PAGEREF _Toc43475699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0C01D2B8">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"_Toc43475700" </w:instrText>
      </w:r>
      <w:r>
        <w:rPr>
          <w:color w:val="auto"/>
          <w:highlight w:val="none"/>
        </w:rPr>
        <w:fldChar w:fldCharType="separate"/>
      </w:r>
      <w:r>
        <w:rPr>
          <w:rStyle w:val="52"/>
          <w:rFonts w:ascii="宋体" w:hAnsi="宋体" w:cs="宋体"/>
          <w:color w:val="auto"/>
          <w:highlight w:val="none"/>
        </w:rPr>
        <w:t>5.</w:t>
      </w:r>
      <w:r>
        <w:rPr>
          <w:rStyle w:val="52"/>
          <w:rFonts w:hint="eastAsia"/>
          <w:color w:val="auto"/>
          <w:highlight w:val="none"/>
        </w:rPr>
        <w:t>开标</w:t>
      </w:r>
      <w:r>
        <w:rPr>
          <w:color w:val="auto"/>
          <w:highlight w:val="none"/>
        </w:rPr>
        <w:tab/>
      </w:r>
      <w:r>
        <w:rPr>
          <w:color w:val="auto"/>
          <w:highlight w:val="none"/>
        </w:rPr>
        <w:fldChar w:fldCharType="begin"/>
      </w:r>
      <w:r>
        <w:rPr>
          <w:color w:val="auto"/>
          <w:highlight w:val="none"/>
        </w:rPr>
        <w:instrText xml:space="preserve"> PAGEREF _Toc43475700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776B99C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"_Toc43475701" </w:instrText>
      </w:r>
      <w:r>
        <w:rPr>
          <w:color w:val="auto"/>
          <w:highlight w:val="none"/>
        </w:rPr>
        <w:fldChar w:fldCharType="separate"/>
      </w:r>
      <w:r>
        <w:rPr>
          <w:rStyle w:val="52"/>
          <w:color w:val="auto"/>
          <w:highlight w:val="none"/>
        </w:rPr>
        <w:t xml:space="preserve">5.1 </w:t>
      </w:r>
      <w:r>
        <w:rPr>
          <w:rStyle w:val="52"/>
          <w:rFonts w:hint="eastAsia"/>
          <w:color w:val="auto"/>
          <w:highlight w:val="none"/>
        </w:rPr>
        <w:t>开标时间和地点</w:t>
      </w:r>
      <w:r>
        <w:rPr>
          <w:color w:val="auto"/>
          <w:highlight w:val="none"/>
        </w:rPr>
        <w:tab/>
      </w:r>
      <w:r>
        <w:rPr>
          <w:color w:val="auto"/>
          <w:highlight w:val="none"/>
        </w:rPr>
        <w:fldChar w:fldCharType="begin"/>
      </w:r>
      <w:r>
        <w:rPr>
          <w:color w:val="auto"/>
          <w:highlight w:val="none"/>
        </w:rPr>
        <w:instrText xml:space="preserve"> PAGEREF _Toc43475701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68C0904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"_Toc43475702" </w:instrText>
      </w:r>
      <w:r>
        <w:rPr>
          <w:color w:val="auto"/>
          <w:highlight w:val="none"/>
        </w:rPr>
        <w:fldChar w:fldCharType="separate"/>
      </w:r>
      <w:r>
        <w:rPr>
          <w:rStyle w:val="52"/>
          <w:color w:val="auto"/>
          <w:highlight w:val="none"/>
        </w:rPr>
        <w:t xml:space="preserve">5.1 </w:t>
      </w:r>
      <w:r>
        <w:rPr>
          <w:rStyle w:val="52"/>
          <w:rFonts w:hint="eastAsia"/>
          <w:color w:val="auto"/>
          <w:highlight w:val="none"/>
        </w:rPr>
        <w:t>开标时间和地点</w:t>
      </w:r>
      <w:r>
        <w:rPr>
          <w:color w:val="auto"/>
          <w:highlight w:val="none"/>
        </w:rPr>
        <w:tab/>
      </w:r>
      <w:r>
        <w:rPr>
          <w:color w:val="auto"/>
          <w:highlight w:val="none"/>
        </w:rPr>
        <w:fldChar w:fldCharType="begin"/>
      </w:r>
      <w:r>
        <w:rPr>
          <w:color w:val="auto"/>
          <w:highlight w:val="none"/>
        </w:rPr>
        <w:instrText xml:space="preserve"> PAGEREF _Toc43475702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204BABD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"_Toc43475703" </w:instrText>
      </w:r>
      <w:r>
        <w:rPr>
          <w:color w:val="auto"/>
          <w:highlight w:val="none"/>
        </w:rPr>
        <w:fldChar w:fldCharType="separate"/>
      </w:r>
      <w:r>
        <w:rPr>
          <w:rStyle w:val="52"/>
          <w:rFonts w:ascii="宋体" w:hAnsi="宋体" w:cs="宋体"/>
          <w:color w:val="auto"/>
          <w:highlight w:val="none"/>
        </w:rPr>
        <w:t xml:space="preserve">5.2 </w:t>
      </w:r>
      <w:r>
        <w:rPr>
          <w:rStyle w:val="52"/>
          <w:rFonts w:hint="eastAsia" w:ascii="宋体" w:hAnsi="宋体" w:cs="宋体"/>
          <w:color w:val="auto"/>
          <w:highlight w:val="none"/>
        </w:rPr>
        <w:t>开标程序</w:t>
      </w:r>
      <w:r>
        <w:rPr>
          <w:color w:val="auto"/>
          <w:highlight w:val="none"/>
        </w:rPr>
        <w:tab/>
      </w:r>
      <w:r>
        <w:rPr>
          <w:color w:val="auto"/>
          <w:highlight w:val="none"/>
        </w:rPr>
        <w:fldChar w:fldCharType="begin"/>
      </w:r>
      <w:r>
        <w:rPr>
          <w:color w:val="auto"/>
          <w:highlight w:val="none"/>
        </w:rPr>
        <w:instrText xml:space="preserve"> PAGEREF _Toc43475703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6D558A1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"_Toc43475704" </w:instrText>
      </w:r>
      <w:r>
        <w:rPr>
          <w:color w:val="auto"/>
          <w:highlight w:val="none"/>
        </w:rPr>
        <w:fldChar w:fldCharType="separate"/>
      </w:r>
      <w:r>
        <w:rPr>
          <w:rStyle w:val="52"/>
          <w:rFonts w:ascii="宋体" w:hAnsi="宋体" w:cs="宋体"/>
          <w:color w:val="auto"/>
          <w:highlight w:val="none"/>
        </w:rPr>
        <w:t xml:space="preserve">5.2 </w:t>
      </w:r>
      <w:r>
        <w:rPr>
          <w:rStyle w:val="52"/>
          <w:rFonts w:hint="eastAsia" w:ascii="宋体" w:hAnsi="宋体" w:cs="宋体"/>
          <w:color w:val="auto"/>
          <w:highlight w:val="none"/>
        </w:rPr>
        <w:t>开标程序</w:t>
      </w:r>
      <w:r>
        <w:rPr>
          <w:color w:val="auto"/>
          <w:highlight w:val="none"/>
        </w:rPr>
        <w:tab/>
      </w:r>
      <w:r>
        <w:rPr>
          <w:color w:val="auto"/>
          <w:highlight w:val="none"/>
        </w:rPr>
        <w:fldChar w:fldCharType="begin"/>
      </w:r>
      <w:r>
        <w:rPr>
          <w:color w:val="auto"/>
          <w:highlight w:val="none"/>
        </w:rPr>
        <w:instrText xml:space="preserve"> PAGEREF _Toc43475704 \h </w:instrText>
      </w:r>
      <w:r>
        <w:rPr>
          <w:color w:val="auto"/>
          <w:highlight w:val="none"/>
        </w:rPr>
        <w:fldChar w:fldCharType="separate"/>
      </w:r>
      <w:r>
        <w:rPr>
          <w:color w:val="auto"/>
          <w:highlight w:val="none"/>
        </w:rPr>
        <w:t>48</w:t>
      </w:r>
      <w:r>
        <w:rPr>
          <w:color w:val="auto"/>
          <w:highlight w:val="none"/>
        </w:rPr>
        <w:fldChar w:fldCharType="end"/>
      </w:r>
      <w:r>
        <w:rPr>
          <w:color w:val="auto"/>
          <w:highlight w:val="none"/>
        </w:rPr>
        <w:fldChar w:fldCharType="end"/>
      </w:r>
    </w:p>
    <w:p w14:paraId="06D80F5C">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"_Toc43475705" </w:instrText>
      </w:r>
      <w:r>
        <w:rPr>
          <w:color w:val="auto"/>
          <w:highlight w:val="none"/>
        </w:rPr>
        <w:fldChar w:fldCharType="separate"/>
      </w:r>
      <w:r>
        <w:rPr>
          <w:rStyle w:val="52"/>
          <w:rFonts w:ascii="宋体" w:hAnsi="宋体" w:cs="宋体"/>
          <w:color w:val="auto"/>
          <w:highlight w:val="none"/>
        </w:rPr>
        <w:t>6.</w:t>
      </w:r>
      <w:r>
        <w:rPr>
          <w:rStyle w:val="52"/>
          <w:rFonts w:hint="eastAsia"/>
          <w:color w:val="auto"/>
          <w:highlight w:val="none"/>
        </w:rPr>
        <w:t>评标</w:t>
      </w:r>
      <w:r>
        <w:rPr>
          <w:color w:val="auto"/>
          <w:highlight w:val="none"/>
        </w:rPr>
        <w:tab/>
      </w:r>
      <w:r>
        <w:rPr>
          <w:color w:val="auto"/>
          <w:highlight w:val="none"/>
        </w:rPr>
        <w:fldChar w:fldCharType="begin"/>
      </w:r>
      <w:r>
        <w:rPr>
          <w:color w:val="auto"/>
          <w:highlight w:val="none"/>
        </w:rPr>
        <w:instrText xml:space="preserve"> PAGEREF _Toc43475705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3C4D874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"_Toc43475706" </w:instrText>
      </w:r>
      <w:r>
        <w:rPr>
          <w:color w:val="auto"/>
          <w:highlight w:val="none"/>
        </w:rPr>
        <w:fldChar w:fldCharType="separate"/>
      </w:r>
      <w:r>
        <w:rPr>
          <w:rStyle w:val="52"/>
          <w:rFonts w:ascii="宋体" w:hAnsi="宋体" w:cs="宋体"/>
          <w:color w:val="auto"/>
          <w:highlight w:val="none"/>
        </w:rPr>
        <w:t xml:space="preserve">6.1 </w:t>
      </w:r>
      <w:r>
        <w:rPr>
          <w:rStyle w:val="52"/>
          <w:rFonts w:hint="eastAsia" w:ascii="宋体" w:hAnsi="宋体" w:cs="宋体"/>
          <w:color w:val="auto"/>
          <w:highlight w:val="none"/>
        </w:rPr>
        <w:t>评标委员会</w:t>
      </w:r>
      <w:r>
        <w:rPr>
          <w:color w:val="auto"/>
          <w:highlight w:val="none"/>
        </w:rPr>
        <w:tab/>
      </w:r>
      <w:r>
        <w:rPr>
          <w:color w:val="auto"/>
          <w:highlight w:val="none"/>
        </w:rPr>
        <w:fldChar w:fldCharType="begin"/>
      </w:r>
      <w:r>
        <w:rPr>
          <w:color w:val="auto"/>
          <w:highlight w:val="none"/>
        </w:rPr>
        <w:instrText xml:space="preserve"> PAGEREF _Toc43475706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9EAF9D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"_Toc43475707" </w:instrText>
      </w:r>
      <w:r>
        <w:rPr>
          <w:color w:val="auto"/>
          <w:highlight w:val="none"/>
        </w:rPr>
        <w:fldChar w:fldCharType="separate"/>
      </w:r>
      <w:r>
        <w:rPr>
          <w:rStyle w:val="52"/>
          <w:rFonts w:ascii="宋体" w:hAnsi="宋体" w:cs="宋体"/>
          <w:color w:val="auto"/>
          <w:highlight w:val="none"/>
        </w:rPr>
        <w:t xml:space="preserve">6.2 </w:t>
      </w:r>
      <w:r>
        <w:rPr>
          <w:rStyle w:val="52"/>
          <w:rFonts w:hint="eastAsia" w:ascii="宋体" w:hAnsi="宋体" w:cs="宋体"/>
          <w:color w:val="auto"/>
          <w:highlight w:val="none"/>
        </w:rPr>
        <w:t>评标原则</w:t>
      </w:r>
      <w:r>
        <w:rPr>
          <w:color w:val="auto"/>
          <w:highlight w:val="none"/>
        </w:rPr>
        <w:tab/>
      </w:r>
      <w:r>
        <w:rPr>
          <w:color w:val="auto"/>
          <w:highlight w:val="none"/>
        </w:rPr>
        <w:fldChar w:fldCharType="begin"/>
      </w:r>
      <w:r>
        <w:rPr>
          <w:color w:val="auto"/>
          <w:highlight w:val="none"/>
        </w:rPr>
        <w:instrText xml:space="preserve"> PAGEREF _Toc43475707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43B30C6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"_Toc43475708" </w:instrText>
      </w:r>
      <w:r>
        <w:rPr>
          <w:color w:val="auto"/>
          <w:highlight w:val="none"/>
        </w:rPr>
        <w:fldChar w:fldCharType="separate"/>
      </w:r>
      <w:r>
        <w:rPr>
          <w:rStyle w:val="52"/>
          <w:rFonts w:ascii="宋体" w:hAnsi="宋体" w:cs="宋体"/>
          <w:color w:val="auto"/>
          <w:highlight w:val="none"/>
        </w:rPr>
        <w:t xml:space="preserve">6.3 </w:t>
      </w:r>
      <w:r>
        <w:rPr>
          <w:rStyle w:val="52"/>
          <w:rFonts w:hint="eastAsia" w:ascii="宋体" w:hAnsi="宋体" w:cs="宋体"/>
          <w:color w:val="auto"/>
          <w:highlight w:val="none"/>
        </w:rPr>
        <w:t>评标</w:t>
      </w:r>
      <w:r>
        <w:rPr>
          <w:color w:val="auto"/>
          <w:highlight w:val="none"/>
        </w:rPr>
        <w:tab/>
      </w:r>
      <w:r>
        <w:rPr>
          <w:color w:val="auto"/>
          <w:highlight w:val="none"/>
        </w:rPr>
        <w:fldChar w:fldCharType="begin"/>
      </w:r>
      <w:r>
        <w:rPr>
          <w:color w:val="auto"/>
          <w:highlight w:val="none"/>
        </w:rPr>
        <w:instrText xml:space="preserve"> PAGEREF _Toc43475708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9E6FFEF">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"_Toc43475709" </w:instrText>
      </w:r>
      <w:r>
        <w:rPr>
          <w:color w:val="auto"/>
          <w:highlight w:val="none"/>
        </w:rPr>
        <w:fldChar w:fldCharType="separate"/>
      </w:r>
      <w:r>
        <w:rPr>
          <w:rStyle w:val="52"/>
          <w:rFonts w:ascii="宋体" w:hAnsi="宋体" w:cs="宋体"/>
          <w:color w:val="auto"/>
          <w:highlight w:val="none"/>
        </w:rPr>
        <w:t>7.</w:t>
      </w:r>
      <w:r>
        <w:rPr>
          <w:rStyle w:val="52"/>
          <w:rFonts w:hint="eastAsia"/>
          <w:color w:val="auto"/>
          <w:highlight w:val="none"/>
        </w:rPr>
        <w:t>合同授予</w:t>
      </w:r>
      <w:r>
        <w:rPr>
          <w:color w:val="auto"/>
          <w:highlight w:val="none"/>
        </w:rPr>
        <w:tab/>
      </w:r>
      <w:r>
        <w:rPr>
          <w:color w:val="auto"/>
          <w:highlight w:val="none"/>
        </w:rPr>
        <w:fldChar w:fldCharType="begin"/>
      </w:r>
      <w:r>
        <w:rPr>
          <w:color w:val="auto"/>
          <w:highlight w:val="none"/>
        </w:rPr>
        <w:instrText xml:space="preserve"> PAGEREF _Toc43475709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3357C75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"_Toc43475710" </w:instrText>
      </w:r>
      <w:r>
        <w:rPr>
          <w:color w:val="auto"/>
          <w:highlight w:val="none"/>
        </w:rPr>
        <w:fldChar w:fldCharType="separate"/>
      </w:r>
      <w:r>
        <w:rPr>
          <w:rStyle w:val="52"/>
          <w:rFonts w:ascii="宋体" w:hAnsi="宋体" w:cs="宋体"/>
          <w:color w:val="auto"/>
          <w:highlight w:val="none"/>
        </w:rPr>
        <w:t>7.1</w:t>
      </w:r>
      <w:r>
        <w:rPr>
          <w:rStyle w:val="52"/>
          <w:rFonts w:hint="eastAsia" w:ascii="宋体" w:hAnsi="宋体" w:cs="宋体"/>
          <w:color w:val="auto"/>
          <w:highlight w:val="none"/>
        </w:rPr>
        <w:t>中标候选人公示</w:t>
      </w:r>
      <w:r>
        <w:rPr>
          <w:color w:val="auto"/>
          <w:highlight w:val="none"/>
        </w:rPr>
        <w:tab/>
      </w:r>
      <w:r>
        <w:rPr>
          <w:color w:val="auto"/>
          <w:highlight w:val="none"/>
        </w:rPr>
        <w:fldChar w:fldCharType="begin"/>
      </w:r>
      <w:r>
        <w:rPr>
          <w:color w:val="auto"/>
          <w:highlight w:val="none"/>
        </w:rPr>
        <w:instrText xml:space="preserve"> PAGEREF _Toc43475710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79FD1B3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"_Toc43475711" </w:instrText>
      </w:r>
      <w:r>
        <w:rPr>
          <w:color w:val="auto"/>
          <w:highlight w:val="none"/>
        </w:rPr>
        <w:fldChar w:fldCharType="separate"/>
      </w:r>
      <w:r>
        <w:rPr>
          <w:rStyle w:val="52"/>
          <w:rFonts w:ascii="宋体" w:hAnsi="宋体" w:cs="宋体"/>
          <w:color w:val="auto"/>
          <w:highlight w:val="none"/>
        </w:rPr>
        <w:t>7.2</w:t>
      </w:r>
      <w:r>
        <w:rPr>
          <w:rStyle w:val="52"/>
          <w:rFonts w:hint="eastAsia" w:ascii="宋体" w:hAnsi="宋体" w:cs="宋体"/>
          <w:color w:val="auto"/>
          <w:highlight w:val="none"/>
        </w:rPr>
        <w:t>评标结果异议</w:t>
      </w:r>
      <w:r>
        <w:rPr>
          <w:color w:val="auto"/>
          <w:highlight w:val="none"/>
        </w:rPr>
        <w:tab/>
      </w:r>
      <w:r>
        <w:rPr>
          <w:color w:val="auto"/>
          <w:highlight w:val="none"/>
        </w:rPr>
        <w:fldChar w:fldCharType="begin"/>
      </w:r>
      <w:r>
        <w:rPr>
          <w:color w:val="auto"/>
          <w:highlight w:val="none"/>
        </w:rPr>
        <w:instrText xml:space="preserve"> PAGEREF _Toc43475711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6C19802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"_Toc43475712" </w:instrText>
      </w:r>
      <w:r>
        <w:rPr>
          <w:color w:val="auto"/>
          <w:highlight w:val="none"/>
        </w:rPr>
        <w:fldChar w:fldCharType="separate"/>
      </w:r>
      <w:r>
        <w:rPr>
          <w:rStyle w:val="52"/>
          <w:rFonts w:ascii="宋体" w:hAnsi="宋体" w:cs="宋体"/>
          <w:color w:val="auto"/>
          <w:highlight w:val="none"/>
        </w:rPr>
        <w:t>7.3</w:t>
      </w:r>
      <w:r>
        <w:rPr>
          <w:rStyle w:val="52"/>
          <w:rFonts w:hint="eastAsia" w:ascii="宋体" w:hAnsi="宋体" w:cs="宋体"/>
          <w:color w:val="auto"/>
          <w:highlight w:val="none"/>
        </w:rPr>
        <w:t>中标候选人履约能力审查</w:t>
      </w:r>
      <w:r>
        <w:rPr>
          <w:color w:val="auto"/>
          <w:highlight w:val="none"/>
        </w:rPr>
        <w:tab/>
      </w:r>
      <w:r>
        <w:rPr>
          <w:color w:val="auto"/>
          <w:highlight w:val="none"/>
        </w:rPr>
        <w:fldChar w:fldCharType="begin"/>
      </w:r>
      <w:r>
        <w:rPr>
          <w:color w:val="auto"/>
          <w:highlight w:val="none"/>
        </w:rPr>
        <w:instrText xml:space="preserve"> PAGEREF _Toc43475712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280A122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"_Toc43475713" </w:instrText>
      </w:r>
      <w:r>
        <w:rPr>
          <w:color w:val="auto"/>
          <w:highlight w:val="none"/>
        </w:rPr>
        <w:fldChar w:fldCharType="separate"/>
      </w:r>
      <w:r>
        <w:rPr>
          <w:rStyle w:val="52"/>
          <w:rFonts w:ascii="宋体" w:hAnsi="宋体" w:cs="宋体"/>
          <w:color w:val="auto"/>
          <w:highlight w:val="none"/>
        </w:rPr>
        <w:t>7.4</w:t>
      </w:r>
      <w:r>
        <w:rPr>
          <w:rStyle w:val="52"/>
          <w:rFonts w:hint="eastAsia" w:ascii="宋体" w:hAnsi="宋体" w:cs="宋体"/>
          <w:color w:val="auto"/>
          <w:highlight w:val="none"/>
        </w:rPr>
        <w:t>定标</w:t>
      </w:r>
      <w:r>
        <w:rPr>
          <w:color w:val="auto"/>
          <w:highlight w:val="none"/>
        </w:rPr>
        <w:tab/>
      </w:r>
      <w:r>
        <w:rPr>
          <w:color w:val="auto"/>
          <w:highlight w:val="none"/>
        </w:rPr>
        <w:fldChar w:fldCharType="begin"/>
      </w:r>
      <w:r>
        <w:rPr>
          <w:color w:val="auto"/>
          <w:highlight w:val="none"/>
        </w:rPr>
        <w:instrText xml:space="preserve"> PAGEREF _Toc43475713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47F9B4F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"_Toc43475714" </w:instrText>
      </w:r>
      <w:r>
        <w:rPr>
          <w:color w:val="auto"/>
          <w:highlight w:val="none"/>
        </w:rPr>
        <w:fldChar w:fldCharType="separate"/>
      </w:r>
      <w:r>
        <w:rPr>
          <w:rStyle w:val="52"/>
          <w:rFonts w:ascii="宋体" w:hAnsi="宋体" w:cs="宋体"/>
          <w:color w:val="auto"/>
          <w:highlight w:val="none"/>
        </w:rPr>
        <w:t>7.5</w:t>
      </w:r>
      <w:r>
        <w:rPr>
          <w:rStyle w:val="52"/>
          <w:rFonts w:hint="eastAsia" w:ascii="宋体" w:hAnsi="宋体" w:cs="宋体"/>
          <w:color w:val="auto"/>
          <w:highlight w:val="none"/>
        </w:rPr>
        <w:t>中标通知</w:t>
      </w:r>
      <w:r>
        <w:rPr>
          <w:color w:val="auto"/>
          <w:highlight w:val="none"/>
        </w:rPr>
        <w:tab/>
      </w:r>
      <w:r>
        <w:rPr>
          <w:color w:val="auto"/>
          <w:highlight w:val="none"/>
        </w:rPr>
        <w:fldChar w:fldCharType="begin"/>
      </w:r>
      <w:r>
        <w:rPr>
          <w:color w:val="auto"/>
          <w:highlight w:val="none"/>
        </w:rPr>
        <w:instrText xml:space="preserve"> PAGEREF _Toc43475714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31C9A10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"_Toc43475715" </w:instrText>
      </w:r>
      <w:r>
        <w:rPr>
          <w:color w:val="auto"/>
          <w:highlight w:val="none"/>
        </w:rPr>
        <w:fldChar w:fldCharType="separate"/>
      </w:r>
      <w:r>
        <w:rPr>
          <w:rStyle w:val="52"/>
          <w:rFonts w:ascii="宋体" w:hAnsi="宋体" w:cs="宋体"/>
          <w:color w:val="auto"/>
          <w:highlight w:val="none"/>
        </w:rPr>
        <w:t>7.6</w:t>
      </w:r>
      <w:r>
        <w:rPr>
          <w:rStyle w:val="52"/>
          <w:rFonts w:hint="eastAsia" w:ascii="宋体" w:hAnsi="宋体" w:cs="宋体"/>
          <w:color w:val="auto"/>
          <w:highlight w:val="none"/>
        </w:rPr>
        <w:t>中标结果公告</w:t>
      </w:r>
      <w:r>
        <w:rPr>
          <w:color w:val="auto"/>
          <w:highlight w:val="none"/>
        </w:rPr>
        <w:tab/>
      </w:r>
      <w:r>
        <w:rPr>
          <w:color w:val="auto"/>
          <w:highlight w:val="none"/>
        </w:rPr>
        <w:fldChar w:fldCharType="begin"/>
      </w:r>
      <w:r>
        <w:rPr>
          <w:color w:val="auto"/>
          <w:highlight w:val="none"/>
        </w:rPr>
        <w:instrText xml:space="preserve"> PAGEREF _Toc43475715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1A6A5DA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"_Toc43475716" </w:instrText>
      </w:r>
      <w:r>
        <w:rPr>
          <w:color w:val="auto"/>
          <w:highlight w:val="none"/>
        </w:rPr>
        <w:fldChar w:fldCharType="separate"/>
      </w:r>
      <w:r>
        <w:rPr>
          <w:rStyle w:val="52"/>
          <w:rFonts w:ascii="宋体" w:hAnsi="宋体" w:cs="宋体"/>
          <w:color w:val="auto"/>
          <w:highlight w:val="none"/>
        </w:rPr>
        <w:t>7.7</w:t>
      </w:r>
      <w:r>
        <w:rPr>
          <w:rStyle w:val="52"/>
          <w:rFonts w:hint="eastAsia" w:ascii="宋体" w:hAnsi="宋体" w:cs="宋体"/>
          <w:color w:val="auto"/>
          <w:highlight w:val="none"/>
        </w:rPr>
        <w:t>履约保证金</w:t>
      </w:r>
      <w:r>
        <w:rPr>
          <w:color w:val="auto"/>
          <w:highlight w:val="none"/>
        </w:rPr>
        <w:tab/>
      </w:r>
      <w:r>
        <w:rPr>
          <w:color w:val="auto"/>
          <w:highlight w:val="none"/>
        </w:rPr>
        <w:fldChar w:fldCharType="begin"/>
      </w:r>
      <w:r>
        <w:rPr>
          <w:color w:val="auto"/>
          <w:highlight w:val="none"/>
        </w:rPr>
        <w:instrText xml:space="preserve"> PAGEREF _Toc43475716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32F36C4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"_Toc43475717" </w:instrText>
      </w:r>
      <w:r>
        <w:rPr>
          <w:color w:val="auto"/>
          <w:highlight w:val="none"/>
        </w:rPr>
        <w:fldChar w:fldCharType="separate"/>
      </w:r>
      <w:r>
        <w:rPr>
          <w:rStyle w:val="52"/>
          <w:rFonts w:ascii="宋体" w:hAnsi="宋体" w:cs="宋体"/>
          <w:color w:val="auto"/>
          <w:highlight w:val="none"/>
        </w:rPr>
        <w:t>7.8</w:t>
      </w:r>
      <w:r>
        <w:rPr>
          <w:rStyle w:val="52"/>
          <w:rFonts w:hint="eastAsia" w:ascii="宋体" w:hAnsi="宋体" w:cs="宋体"/>
          <w:color w:val="auto"/>
          <w:highlight w:val="none"/>
        </w:rPr>
        <w:t>签订合同</w:t>
      </w:r>
      <w:r>
        <w:rPr>
          <w:color w:val="auto"/>
          <w:highlight w:val="none"/>
        </w:rPr>
        <w:tab/>
      </w:r>
      <w:r>
        <w:rPr>
          <w:color w:val="auto"/>
          <w:highlight w:val="none"/>
        </w:rPr>
        <w:fldChar w:fldCharType="begin"/>
      </w:r>
      <w:r>
        <w:rPr>
          <w:color w:val="auto"/>
          <w:highlight w:val="none"/>
        </w:rPr>
        <w:instrText xml:space="preserve"> PAGEREF _Toc43475717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34F66019">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"_Toc43475718" </w:instrText>
      </w:r>
      <w:r>
        <w:rPr>
          <w:color w:val="auto"/>
          <w:highlight w:val="none"/>
        </w:rPr>
        <w:fldChar w:fldCharType="separate"/>
      </w:r>
      <w:r>
        <w:rPr>
          <w:rStyle w:val="52"/>
          <w:rFonts w:ascii="宋体" w:hAnsi="宋体" w:cs="宋体"/>
          <w:color w:val="auto"/>
          <w:highlight w:val="none"/>
        </w:rPr>
        <w:t>8.</w:t>
      </w:r>
      <w:r>
        <w:rPr>
          <w:rStyle w:val="52"/>
          <w:rFonts w:hint="eastAsia"/>
          <w:color w:val="auto"/>
          <w:highlight w:val="none"/>
        </w:rPr>
        <w:t>纪律和监督</w:t>
      </w:r>
      <w:r>
        <w:rPr>
          <w:color w:val="auto"/>
          <w:highlight w:val="none"/>
        </w:rPr>
        <w:tab/>
      </w:r>
      <w:r>
        <w:rPr>
          <w:color w:val="auto"/>
          <w:highlight w:val="none"/>
        </w:rPr>
        <w:fldChar w:fldCharType="begin"/>
      </w:r>
      <w:r>
        <w:rPr>
          <w:color w:val="auto"/>
          <w:highlight w:val="none"/>
        </w:rPr>
        <w:instrText xml:space="preserve"> PAGEREF _Toc43475718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39C39EB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"_Toc43475719" </w:instrText>
      </w:r>
      <w:r>
        <w:rPr>
          <w:color w:val="auto"/>
          <w:highlight w:val="none"/>
        </w:rPr>
        <w:fldChar w:fldCharType="separate"/>
      </w:r>
      <w:r>
        <w:rPr>
          <w:rStyle w:val="52"/>
          <w:rFonts w:ascii="宋体" w:hAnsi="宋体" w:cs="宋体"/>
          <w:color w:val="auto"/>
          <w:highlight w:val="none"/>
        </w:rPr>
        <w:t>8.1</w:t>
      </w:r>
      <w:r>
        <w:rPr>
          <w:rStyle w:val="52"/>
          <w:rFonts w:hint="eastAsia" w:ascii="宋体" w:hAnsi="宋体" w:cs="宋体"/>
          <w:color w:val="auto"/>
          <w:highlight w:val="none"/>
        </w:rPr>
        <w:t>对招标人的纪律要求</w:t>
      </w:r>
      <w:r>
        <w:rPr>
          <w:color w:val="auto"/>
          <w:highlight w:val="none"/>
        </w:rPr>
        <w:tab/>
      </w:r>
      <w:r>
        <w:rPr>
          <w:color w:val="auto"/>
          <w:highlight w:val="none"/>
        </w:rPr>
        <w:fldChar w:fldCharType="begin"/>
      </w:r>
      <w:r>
        <w:rPr>
          <w:color w:val="auto"/>
          <w:highlight w:val="none"/>
        </w:rPr>
        <w:instrText xml:space="preserve"> PAGEREF _Toc43475719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196205B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"_Toc43475720" </w:instrText>
      </w:r>
      <w:r>
        <w:rPr>
          <w:color w:val="auto"/>
          <w:highlight w:val="none"/>
        </w:rPr>
        <w:fldChar w:fldCharType="separate"/>
      </w:r>
      <w:r>
        <w:rPr>
          <w:rStyle w:val="52"/>
          <w:rFonts w:ascii="宋体" w:hAnsi="宋体" w:cs="宋体"/>
          <w:color w:val="auto"/>
          <w:highlight w:val="none"/>
        </w:rPr>
        <w:t>8.2</w:t>
      </w:r>
      <w:r>
        <w:rPr>
          <w:rStyle w:val="52"/>
          <w:rFonts w:hint="eastAsia" w:ascii="宋体" w:hAnsi="宋体" w:cs="宋体"/>
          <w:color w:val="auto"/>
          <w:highlight w:val="none"/>
        </w:rPr>
        <w:t>对投标人的纪律要求</w:t>
      </w:r>
      <w:r>
        <w:rPr>
          <w:color w:val="auto"/>
          <w:highlight w:val="none"/>
        </w:rPr>
        <w:tab/>
      </w:r>
      <w:r>
        <w:rPr>
          <w:color w:val="auto"/>
          <w:highlight w:val="none"/>
        </w:rPr>
        <w:fldChar w:fldCharType="begin"/>
      </w:r>
      <w:r>
        <w:rPr>
          <w:color w:val="auto"/>
          <w:highlight w:val="none"/>
        </w:rPr>
        <w:instrText xml:space="preserve"> PAGEREF _Toc43475720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25711CF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"_Toc43475721" </w:instrText>
      </w:r>
      <w:r>
        <w:rPr>
          <w:color w:val="auto"/>
          <w:highlight w:val="none"/>
        </w:rPr>
        <w:fldChar w:fldCharType="separate"/>
      </w:r>
      <w:r>
        <w:rPr>
          <w:rStyle w:val="52"/>
          <w:rFonts w:ascii="宋体" w:hAnsi="宋体" w:cs="宋体"/>
          <w:color w:val="auto"/>
          <w:highlight w:val="none"/>
        </w:rPr>
        <w:t>8.3</w:t>
      </w:r>
      <w:r>
        <w:rPr>
          <w:rStyle w:val="52"/>
          <w:rFonts w:hint="eastAsia" w:ascii="宋体" w:hAnsi="宋体" w:cs="宋体"/>
          <w:color w:val="auto"/>
          <w:highlight w:val="none"/>
        </w:rPr>
        <w:t>对评标委员会成员的纪律要求</w:t>
      </w:r>
      <w:r>
        <w:rPr>
          <w:color w:val="auto"/>
          <w:highlight w:val="none"/>
        </w:rPr>
        <w:tab/>
      </w:r>
      <w:r>
        <w:rPr>
          <w:color w:val="auto"/>
          <w:highlight w:val="none"/>
        </w:rPr>
        <w:fldChar w:fldCharType="begin"/>
      </w:r>
      <w:r>
        <w:rPr>
          <w:color w:val="auto"/>
          <w:highlight w:val="none"/>
        </w:rPr>
        <w:instrText xml:space="preserve"> PAGEREF _Toc43475721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44A09E4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"_Toc43475722" </w:instrText>
      </w:r>
      <w:r>
        <w:rPr>
          <w:color w:val="auto"/>
          <w:highlight w:val="none"/>
        </w:rPr>
        <w:fldChar w:fldCharType="separate"/>
      </w:r>
      <w:r>
        <w:rPr>
          <w:rStyle w:val="52"/>
          <w:rFonts w:ascii="宋体" w:hAnsi="宋体" w:cs="宋体"/>
          <w:color w:val="auto"/>
          <w:highlight w:val="none"/>
        </w:rPr>
        <w:t>8.4</w:t>
      </w:r>
      <w:r>
        <w:rPr>
          <w:rStyle w:val="52"/>
          <w:rFonts w:hint="eastAsia" w:ascii="宋体" w:hAnsi="宋体" w:cs="宋体"/>
          <w:color w:val="auto"/>
          <w:highlight w:val="none"/>
        </w:rPr>
        <w:t>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_Toc43475722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12EB46F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"_Toc43475723" </w:instrText>
      </w:r>
      <w:r>
        <w:rPr>
          <w:color w:val="auto"/>
          <w:highlight w:val="none"/>
        </w:rPr>
        <w:fldChar w:fldCharType="separate"/>
      </w:r>
      <w:r>
        <w:rPr>
          <w:rStyle w:val="52"/>
          <w:rFonts w:ascii="宋体" w:hAnsi="宋体" w:cs="宋体"/>
          <w:color w:val="auto"/>
          <w:highlight w:val="none"/>
        </w:rPr>
        <w:t>8.5</w:t>
      </w:r>
      <w:r>
        <w:rPr>
          <w:rStyle w:val="52"/>
          <w:rFonts w:hint="eastAsia" w:ascii="宋体" w:hAnsi="宋体" w:cs="宋体"/>
          <w:color w:val="auto"/>
          <w:highlight w:val="none"/>
        </w:rPr>
        <w:t>投诉</w:t>
      </w:r>
      <w:r>
        <w:rPr>
          <w:color w:val="auto"/>
          <w:highlight w:val="none"/>
        </w:rPr>
        <w:tab/>
      </w:r>
      <w:r>
        <w:rPr>
          <w:color w:val="auto"/>
          <w:highlight w:val="none"/>
        </w:rPr>
        <w:fldChar w:fldCharType="begin"/>
      </w:r>
      <w:r>
        <w:rPr>
          <w:color w:val="auto"/>
          <w:highlight w:val="none"/>
        </w:rPr>
        <w:instrText xml:space="preserve"> PAGEREF _Toc43475723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517D197D">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"_Toc43475724" </w:instrText>
      </w:r>
      <w:r>
        <w:rPr>
          <w:color w:val="auto"/>
          <w:highlight w:val="none"/>
        </w:rPr>
        <w:fldChar w:fldCharType="separate"/>
      </w:r>
      <w:r>
        <w:rPr>
          <w:rStyle w:val="52"/>
          <w:rFonts w:ascii="宋体" w:hAnsi="宋体" w:cs="宋体"/>
          <w:color w:val="auto"/>
          <w:highlight w:val="none"/>
        </w:rPr>
        <w:t>9.</w:t>
      </w:r>
      <w:r>
        <w:rPr>
          <w:rStyle w:val="52"/>
          <w:rFonts w:hint="eastAsia"/>
          <w:color w:val="auto"/>
          <w:highlight w:val="none"/>
        </w:rPr>
        <w:t>是否采用电子招标投标</w:t>
      </w:r>
      <w:r>
        <w:rPr>
          <w:color w:val="auto"/>
          <w:highlight w:val="none"/>
        </w:rPr>
        <w:tab/>
      </w:r>
      <w:r>
        <w:rPr>
          <w:color w:val="auto"/>
          <w:highlight w:val="none"/>
        </w:rPr>
        <w:fldChar w:fldCharType="begin"/>
      </w:r>
      <w:r>
        <w:rPr>
          <w:color w:val="auto"/>
          <w:highlight w:val="none"/>
        </w:rPr>
        <w:instrText xml:space="preserve"> PAGEREF _Toc43475724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184EC00D">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"_Toc43475725" </w:instrText>
      </w:r>
      <w:r>
        <w:rPr>
          <w:color w:val="auto"/>
          <w:highlight w:val="none"/>
        </w:rPr>
        <w:fldChar w:fldCharType="separate"/>
      </w:r>
      <w:r>
        <w:rPr>
          <w:rStyle w:val="52"/>
          <w:rFonts w:ascii="宋体" w:hAnsi="宋体" w:cs="宋体"/>
          <w:color w:val="auto"/>
          <w:highlight w:val="none"/>
        </w:rPr>
        <w:t>10.</w:t>
      </w:r>
      <w:r>
        <w:rPr>
          <w:rStyle w:val="52"/>
          <w:rFonts w:hint="eastAsia" w:ascii="宋体" w:hAnsi="宋体" w:cs="宋体"/>
          <w:color w:val="auto"/>
          <w:highlight w:val="none"/>
        </w:rPr>
        <w:t xml:space="preserve"> 需要补充的其他内容</w:t>
      </w:r>
      <w:r>
        <w:rPr>
          <w:color w:val="auto"/>
          <w:highlight w:val="none"/>
        </w:rPr>
        <w:tab/>
      </w:r>
      <w:r>
        <w:rPr>
          <w:color w:val="auto"/>
          <w:highlight w:val="none"/>
        </w:rPr>
        <w:fldChar w:fldCharType="begin"/>
      </w:r>
      <w:r>
        <w:rPr>
          <w:color w:val="auto"/>
          <w:highlight w:val="none"/>
        </w:rPr>
        <w:instrText xml:space="preserve"> PAGEREF _Toc43475725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597DB20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"_Toc43475726" </w:instrText>
      </w:r>
      <w:r>
        <w:rPr>
          <w:color w:val="auto"/>
          <w:highlight w:val="none"/>
        </w:rPr>
        <w:fldChar w:fldCharType="separate"/>
      </w:r>
      <w:r>
        <w:rPr>
          <w:rStyle w:val="52"/>
          <w:rFonts w:hint="eastAsia" w:ascii="宋体" w:hAnsi="宋体" w:cs="宋体"/>
          <w:color w:val="auto"/>
          <w:highlight w:val="none"/>
        </w:rPr>
        <w:t>附件一：开标记录表</w:t>
      </w:r>
      <w:r>
        <w:rPr>
          <w:color w:val="auto"/>
          <w:highlight w:val="none"/>
        </w:rPr>
        <w:tab/>
      </w:r>
      <w:r>
        <w:rPr>
          <w:color w:val="auto"/>
          <w:highlight w:val="none"/>
        </w:rPr>
        <w:fldChar w:fldCharType="begin"/>
      </w:r>
      <w:r>
        <w:rPr>
          <w:color w:val="auto"/>
          <w:highlight w:val="none"/>
        </w:rPr>
        <w:instrText xml:space="preserve"> PAGEREF _Toc43475726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359C0AC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"_Toc43475727" </w:instrText>
      </w:r>
      <w:r>
        <w:rPr>
          <w:color w:val="auto"/>
          <w:highlight w:val="none"/>
        </w:rPr>
        <w:fldChar w:fldCharType="separate"/>
      </w:r>
      <w:r>
        <w:rPr>
          <w:rStyle w:val="52"/>
          <w:rFonts w:hint="eastAsia" w:ascii="宋体" w:hAnsi="宋体" w:cs="宋体"/>
          <w:color w:val="auto"/>
          <w:highlight w:val="none"/>
        </w:rPr>
        <w:t>附件二：问题澄清通知</w:t>
      </w:r>
      <w:r>
        <w:rPr>
          <w:color w:val="auto"/>
          <w:highlight w:val="none"/>
        </w:rPr>
        <w:tab/>
      </w:r>
      <w:r>
        <w:rPr>
          <w:color w:val="auto"/>
          <w:highlight w:val="none"/>
        </w:rPr>
        <w:fldChar w:fldCharType="begin"/>
      </w:r>
      <w:r>
        <w:rPr>
          <w:color w:val="auto"/>
          <w:highlight w:val="none"/>
        </w:rPr>
        <w:instrText xml:space="preserve"> PAGEREF _Toc43475727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162348D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"_Toc43475728" </w:instrText>
      </w:r>
      <w:r>
        <w:rPr>
          <w:color w:val="auto"/>
          <w:highlight w:val="none"/>
        </w:rPr>
        <w:fldChar w:fldCharType="separate"/>
      </w:r>
      <w:r>
        <w:rPr>
          <w:rStyle w:val="52"/>
          <w:rFonts w:hint="eastAsia" w:ascii="宋体" w:hAnsi="宋体" w:cs="宋体"/>
          <w:color w:val="auto"/>
          <w:highlight w:val="none"/>
        </w:rPr>
        <w:t>附件三：问题的澄清</w:t>
      </w:r>
      <w:r>
        <w:rPr>
          <w:color w:val="auto"/>
          <w:highlight w:val="none"/>
        </w:rPr>
        <w:tab/>
      </w:r>
      <w:r>
        <w:rPr>
          <w:color w:val="auto"/>
          <w:highlight w:val="none"/>
        </w:rPr>
        <w:fldChar w:fldCharType="begin"/>
      </w:r>
      <w:r>
        <w:rPr>
          <w:color w:val="auto"/>
          <w:highlight w:val="none"/>
        </w:rPr>
        <w:instrText xml:space="preserve"> PAGEREF _Toc43475728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126D1C1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"_Toc43475729" </w:instrText>
      </w:r>
      <w:r>
        <w:rPr>
          <w:color w:val="auto"/>
          <w:highlight w:val="none"/>
        </w:rPr>
        <w:fldChar w:fldCharType="separate"/>
      </w:r>
      <w:r>
        <w:rPr>
          <w:rStyle w:val="52"/>
          <w:rFonts w:hint="eastAsia" w:ascii="宋体" w:hAnsi="宋体" w:cs="宋体"/>
          <w:color w:val="auto"/>
          <w:highlight w:val="none"/>
        </w:rPr>
        <w:t>附件四：中标通知书</w:t>
      </w:r>
      <w:r>
        <w:rPr>
          <w:color w:val="auto"/>
          <w:highlight w:val="none"/>
        </w:rPr>
        <w:tab/>
      </w:r>
      <w:r>
        <w:rPr>
          <w:color w:val="auto"/>
          <w:highlight w:val="none"/>
        </w:rPr>
        <w:fldChar w:fldCharType="begin"/>
      </w:r>
      <w:r>
        <w:rPr>
          <w:color w:val="auto"/>
          <w:highlight w:val="none"/>
        </w:rPr>
        <w:instrText xml:space="preserve"> PAGEREF _Toc43475729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940C70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"_Toc43475730" </w:instrText>
      </w:r>
      <w:r>
        <w:rPr>
          <w:color w:val="auto"/>
          <w:highlight w:val="none"/>
        </w:rPr>
        <w:fldChar w:fldCharType="separate"/>
      </w:r>
      <w:r>
        <w:rPr>
          <w:rStyle w:val="52"/>
          <w:rFonts w:hint="eastAsia" w:ascii="宋体" w:hAnsi="宋体" w:cs="宋体"/>
          <w:color w:val="auto"/>
          <w:highlight w:val="none"/>
        </w:rPr>
        <w:t>附件五：中标结果通知书</w:t>
      </w:r>
      <w:r>
        <w:rPr>
          <w:color w:val="auto"/>
          <w:highlight w:val="none"/>
        </w:rPr>
        <w:tab/>
      </w:r>
      <w:r>
        <w:rPr>
          <w:color w:val="auto"/>
          <w:highlight w:val="none"/>
        </w:rPr>
        <w:fldChar w:fldCharType="begin"/>
      </w:r>
      <w:r>
        <w:rPr>
          <w:color w:val="auto"/>
          <w:highlight w:val="none"/>
        </w:rPr>
        <w:instrText xml:space="preserve"> PAGEREF _Toc43475730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32B57A7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"_Toc43475731" </w:instrText>
      </w:r>
      <w:r>
        <w:rPr>
          <w:color w:val="auto"/>
          <w:highlight w:val="none"/>
        </w:rPr>
        <w:fldChar w:fldCharType="separate"/>
      </w:r>
      <w:r>
        <w:rPr>
          <w:rStyle w:val="52"/>
          <w:rFonts w:hint="eastAsia" w:ascii="宋体" w:hAnsi="宋体" w:cs="宋体"/>
          <w:color w:val="auto"/>
          <w:highlight w:val="none"/>
        </w:rPr>
        <w:t>附表六：确认通知</w:t>
      </w:r>
      <w:r>
        <w:rPr>
          <w:color w:val="auto"/>
          <w:highlight w:val="none"/>
        </w:rPr>
        <w:tab/>
      </w:r>
      <w:r>
        <w:rPr>
          <w:color w:val="auto"/>
          <w:highlight w:val="none"/>
        </w:rPr>
        <w:fldChar w:fldCharType="begin"/>
      </w:r>
      <w:r>
        <w:rPr>
          <w:color w:val="auto"/>
          <w:highlight w:val="none"/>
        </w:rPr>
        <w:instrText xml:space="preserve"> PAGEREF _Toc43475731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1C8823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"_Toc43475732" </w:instrText>
      </w:r>
      <w:r>
        <w:rPr>
          <w:color w:val="auto"/>
          <w:highlight w:val="none"/>
        </w:rPr>
        <w:fldChar w:fldCharType="separate"/>
      </w:r>
      <w:r>
        <w:rPr>
          <w:rStyle w:val="52"/>
          <w:rFonts w:hint="eastAsia"/>
          <w:color w:val="auto"/>
          <w:highlight w:val="none"/>
        </w:rPr>
        <w:t>第三章评标办法（双信封的技术评分最低标价法）</w:t>
      </w:r>
      <w:r>
        <w:rPr>
          <w:color w:val="auto"/>
          <w:highlight w:val="none"/>
        </w:rPr>
        <w:tab/>
      </w:r>
      <w:r>
        <w:rPr>
          <w:color w:val="auto"/>
          <w:highlight w:val="none"/>
        </w:rPr>
        <w:fldChar w:fldCharType="begin"/>
      </w:r>
      <w:r>
        <w:rPr>
          <w:color w:val="auto"/>
          <w:highlight w:val="none"/>
        </w:rPr>
        <w:instrText xml:space="preserve"> PAGEREF _Toc43475732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6B6D0113">
      <w:pPr>
        <w:pStyle w:val="36"/>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"_Toc43475733" </w:instrText>
      </w:r>
      <w:r>
        <w:rPr>
          <w:color w:val="auto"/>
          <w:highlight w:val="none"/>
        </w:rPr>
        <w:fldChar w:fldCharType="separate"/>
      </w:r>
      <w:r>
        <w:rPr>
          <w:rStyle w:val="52"/>
          <w:rFonts w:hint="eastAsia"/>
          <w:color w:val="auto"/>
          <w:highlight w:val="none"/>
        </w:rPr>
        <w:t>评标办法前附表</w:t>
      </w:r>
      <w:r>
        <w:rPr>
          <w:color w:val="auto"/>
          <w:highlight w:val="none"/>
        </w:rPr>
        <w:tab/>
      </w:r>
      <w:r>
        <w:rPr>
          <w:rFonts w:hint="eastAsia"/>
          <w:color w:val="auto"/>
          <w:highlight w:val="none"/>
        </w:rPr>
        <w:t>5</w:t>
      </w:r>
      <w:r>
        <w:rPr>
          <w:rFonts w:hint="eastAsia"/>
          <w:color w:val="auto"/>
          <w:highlight w:val="none"/>
        </w:rPr>
        <w:fldChar w:fldCharType="end"/>
      </w:r>
      <w:r>
        <w:rPr>
          <w:rFonts w:hint="eastAsia"/>
          <w:color w:val="auto"/>
          <w:highlight w:val="none"/>
        </w:rPr>
        <w:t>8</w:t>
      </w:r>
    </w:p>
    <w:p w14:paraId="1412D8C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"_Toc43475734" </w:instrText>
      </w:r>
      <w:r>
        <w:rPr>
          <w:color w:val="auto"/>
          <w:highlight w:val="none"/>
        </w:rPr>
        <w:fldChar w:fldCharType="separate"/>
      </w:r>
      <w:r>
        <w:rPr>
          <w:rStyle w:val="52"/>
          <w:rFonts w:ascii="宋体" w:hAnsi="宋体"/>
          <w:color w:val="auto"/>
          <w:highlight w:val="none"/>
        </w:rPr>
        <w:t xml:space="preserve">1. </w:t>
      </w:r>
      <w:r>
        <w:rPr>
          <w:rStyle w:val="52"/>
          <w:rFonts w:hint="eastAsia" w:ascii="宋体" w:hAnsi="宋体"/>
          <w:color w:val="auto"/>
          <w:highlight w:val="none"/>
        </w:rPr>
        <w:t>评标方法</w:t>
      </w:r>
      <w:r>
        <w:rPr>
          <w:color w:val="auto"/>
          <w:highlight w:val="none"/>
        </w:rPr>
        <w:tab/>
      </w:r>
      <w:r>
        <w:rPr>
          <w:rFonts w:hint="eastAsia"/>
          <w:color w:val="auto"/>
          <w:highlight w:val="none"/>
        </w:rPr>
        <w:t>6</w:t>
      </w:r>
      <w:r>
        <w:rPr>
          <w:rFonts w:hint="eastAsia"/>
          <w:color w:val="auto"/>
          <w:highlight w:val="none"/>
        </w:rPr>
        <w:fldChar w:fldCharType="end"/>
      </w:r>
      <w:r>
        <w:rPr>
          <w:rFonts w:hint="eastAsia"/>
          <w:color w:val="auto"/>
          <w:highlight w:val="none"/>
        </w:rPr>
        <w:t>5</w:t>
      </w:r>
    </w:p>
    <w:p w14:paraId="395293A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"_Toc43475735" </w:instrText>
      </w:r>
      <w:r>
        <w:rPr>
          <w:color w:val="auto"/>
          <w:highlight w:val="none"/>
        </w:rPr>
        <w:fldChar w:fldCharType="separate"/>
      </w:r>
      <w:r>
        <w:rPr>
          <w:rStyle w:val="52"/>
          <w:rFonts w:ascii="宋体" w:hAnsi="宋体"/>
          <w:color w:val="auto"/>
          <w:highlight w:val="none"/>
        </w:rPr>
        <w:t xml:space="preserve">2. </w:t>
      </w:r>
      <w:r>
        <w:rPr>
          <w:rStyle w:val="52"/>
          <w:rFonts w:hint="eastAsia" w:ascii="宋体" w:hAnsi="宋体"/>
          <w:color w:val="auto"/>
          <w:highlight w:val="none"/>
        </w:rPr>
        <w:t>评审标准</w:t>
      </w:r>
      <w:r>
        <w:rPr>
          <w:color w:val="auto"/>
          <w:highlight w:val="none"/>
        </w:rPr>
        <w:tab/>
      </w:r>
      <w:r>
        <w:rPr>
          <w:rFonts w:hint="eastAsia"/>
          <w:color w:val="auto"/>
          <w:highlight w:val="none"/>
        </w:rPr>
        <w:t>6</w:t>
      </w:r>
      <w:r>
        <w:rPr>
          <w:rFonts w:hint="eastAsia"/>
          <w:color w:val="auto"/>
          <w:highlight w:val="none"/>
        </w:rPr>
        <w:fldChar w:fldCharType="end"/>
      </w:r>
      <w:r>
        <w:rPr>
          <w:rFonts w:hint="eastAsia"/>
          <w:color w:val="auto"/>
          <w:highlight w:val="none"/>
        </w:rPr>
        <w:t>5</w:t>
      </w:r>
    </w:p>
    <w:p w14:paraId="1DFB4E2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"_Toc43475738" </w:instrText>
      </w:r>
      <w:r>
        <w:rPr>
          <w:color w:val="auto"/>
          <w:highlight w:val="none"/>
        </w:rPr>
        <w:fldChar w:fldCharType="separate"/>
      </w:r>
      <w:r>
        <w:rPr>
          <w:rStyle w:val="52"/>
          <w:rFonts w:ascii="宋体" w:hAnsi="宋体"/>
          <w:color w:val="auto"/>
          <w:highlight w:val="none"/>
        </w:rPr>
        <w:t xml:space="preserve">3. </w:t>
      </w:r>
      <w:r>
        <w:rPr>
          <w:rStyle w:val="52"/>
          <w:rFonts w:hint="eastAsia" w:ascii="宋体" w:hAnsi="宋体"/>
          <w:color w:val="auto"/>
          <w:highlight w:val="none"/>
        </w:rPr>
        <w:t>评标程序</w:t>
      </w:r>
      <w:r>
        <w:rPr>
          <w:color w:val="auto"/>
          <w:highlight w:val="none"/>
        </w:rPr>
        <w:tab/>
      </w:r>
      <w:r>
        <w:rPr>
          <w:rFonts w:hint="eastAsia"/>
          <w:color w:val="auto"/>
          <w:highlight w:val="none"/>
        </w:rPr>
        <w:t>6</w:t>
      </w:r>
      <w:r>
        <w:rPr>
          <w:rFonts w:hint="eastAsia"/>
          <w:color w:val="auto"/>
          <w:highlight w:val="none"/>
        </w:rPr>
        <w:fldChar w:fldCharType="end"/>
      </w:r>
      <w:r>
        <w:rPr>
          <w:rFonts w:hint="eastAsia"/>
          <w:color w:val="auto"/>
          <w:highlight w:val="none"/>
        </w:rPr>
        <w:t>5</w:t>
      </w:r>
    </w:p>
    <w:p w14:paraId="26E623FD">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"_Toc43475747" </w:instrText>
      </w:r>
      <w:r>
        <w:rPr>
          <w:color w:val="auto"/>
          <w:highlight w:val="none"/>
        </w:rPr>
        <w:fldChar w:fldCharType="separate"/>
      </w:r>
      <w:r>
        <w:rPr>
          <w:rStyle w:val="52"/>
          <w:rFonts w:hint="eastAsia"/>
          <w:color w:val="auto"/>
          <w:highlight w:val="none"/>
        </w:rPr>
        <w:t>第四章合同条款及格式</w:t>
      </w:r>
      <w:r>
        <w:rPr>
          <w:color w:val="auto"/>
          <w:highlight w:val="none"/>
        </w:rPr>
        <w:tab/>
      </w:r>
      <w:r>
        <w:rPr>
          <w:color w:val="auto"/>
          <w:highlight w:val="none"/>
        </w:rPr>
        <w:fldChar w:fldCharType="begin"/>
      </w:r>
      <w:r>
        <w:rPr>
          <w:color w:val="auto"/>
          <w:highlight w:val="none"/>
        </w:rPr>
        <w:instrText xml:space="preserve"> PAGEREF _Toc43475747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C1169E4">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"_Toc43475748" </w:instrText>
      </w:r>
      <w:r>
        <w:rPr>
          <w:color w:val="auto"/>
          <w:highlight w:val="none"/>
        </w:rPr>
        <w:fldChar w:fldCharType="separate"/>
      </w:r>
      <w:r>
        <w:rPr>
          <w:rStyle w:val="52"/>
          <w:rFonts w:hint="eastAsia" w:ascii="宋体" w:hAnsi="宋体"/>
          <w:color w:val="auto"/>
          <w:highlight w:val="none"/>
        </w:rPr>
        <w:t>第一节通用合同条款</w:t>
      </w:r>
      <w:r>
        <w:rPr>
          <w:color w:val="auto"/>
          <w:highlight w:val="none"/>
        </w:rPr>
        <w:tab/>
      </w:r>
      <w:r>
        <w:rPr>
          <w:color w:val="auto"/>
          <w:highlight w:val="none"/>
        </w:rPr>
        <w:fldChar w:fldCharType="begin"/>
      </w:r>
      <w:r>
        <w:rPr>
          <w:color w:val="auto"/>
          <w:highlight w:val="none"/>
        </w:rPr>
        <w:instrText xml:space="preserve"> PAGEREF _Toc43475748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6F32C031">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"_Toc43475749" </w:instrText>
      </w:r>
      <w:r>
        <w:rPr>
          <w:color w:val="auto"/>
          <w:highlight w:val="none"/>
        </w:rPr>
        <w:fldChar w:fldCharType="separate"/>
      </w:r>
      <w:r>
        <w:rPr>
          <w:rStyle w:val="52"/>
          <w:rFonts w:ascii="宋体" w:hAnsi="宋体"/>
          <w:color w:val="auto"/>
          <w:highlight w:val="none"/>
        </w:rPr>
        <w:t xml:space="preserve">1. </w:t>
      </w:r>
      <w:r>
        <w:rPr>
          <w:rStyle w:val="52"/>
          <w:rFonts w:hint="eastAsia" w:ascii="宋体" w:hAnsi="宋体"/>
          <w:color w:val="auto"/>
          <w:highlight w:val="none"/>
        </w:rPr>
        <w:t>一般约定</w:t>
      </w:r>
      <w:r>
        <w:rPr>
          <w:color w:val="auto"/>
          <w:highlight w:val="none"/>
        </w:rPr>
        <w:tab/>
      </w:r>
      <w:r>
        <w:rPr>
          <w:color w:val="auto"/>
          <w:highlight w:val="none"/>
        </w:rPr>
        <w:fldChar w:fldCharType="begin"/>
      </w:r>
      <w:r>
        <w:rPr>
          <w:color w:val="auto"/>
          <w:highlight w:val="none"/>
        </w:rPr>
        <w:instrText xml:space="preserve"> PAGEREF _Toc43475749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1CCC76D5">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"_Toc43475750" </w:instrText>
      </w:r>
      <w:r>
        <w:rPr>
          <w:color w:val="auto"/>
          <w:highlight w:val="none"/>
        </w:rPr>
        <w:fldChar w:fldCharType="separate"/>
      </w:r>
      <w:r>
        <w:rPr>
          <w:rStyle w:val="52"/>
          <w:rFonts w:ascii="宋体"/>
          <w:color w:val="auto"/>
          <w:highlight w:val="none"/>
        </w:rPr>
        <w:t xml:space="preserve">1.1 </w:t>
      </w:r>
      <w:r>
        <w:rPr>
          <w:rStyle w:val="52"/>
          <w:rFonts w:hint="eastAsia" w:ascii="宋体"/>
          <w:color w:val="auto"/>
          <w:highlight w:val="none"/>
        </w:rPr>
        <w:t>词语定义</w:t>
      </w:r>
      <w:r>
        <w:rPr>
          <w:color w:val="auto"/>
          <w:highlight w:val="none"/>
        </w:rPr>
        <w:tab/>
      </w:r>
      <w:r>
        <w:rPr>
          <w:color w:val="auto"/>
          <w:highlight w:val="none"/>
        </w:rPr>
        <w:fldChar w:fldCharType="begin"/>
      </w:r>
      <w:r>
        <w:rPr>
          <w:color w:val="auto"/>
          <w:highlight w:val="none"/>
        </w:rPr>
        <w:instrText xml:space="preserve"> PAGEREF _Toc43475750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0FBCCA4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"_Toc43475751" </w:instrText>
      </w:r>
      <w:r>
        <w:rPr>
          <w:color w:val="auto"/>
          <w:highlight w:val="none"/>
        </w:rPr>
        <w:fldChar w:fldCharType="separate"/>
      </w:r>
      <w:r>
        <w:rPr>
          <w:rStyle w:val="52"/>
          <w:rFonts w:ascii="宋体"/>
          <w:color w:val="auto"/>
          <w:highlight w:val="none"/>
        </w:rPr>
        <w:t xml:space="preserve">1.2 </w:t>
      </w:r>
      <w:r>
        <w:rPr>
          <w:rStyle w:val="52"/>
          <w:rFonts w:hint="eastAsia" w:ascii="宋体"/>
          <w:color w:val="auto"/>
          <w:highlight w:val="none"/>
        </w:rPr>
        <w:t>语言文字</w:t>
      </w:r>
      <w:r>
        <w:rPr>
          <w:color w:val="auto"/>
          <w:highlight w:val="none"/>
        </w:rPr>
        <w:tab/>
      </w:r>
      <w:r>
        <w:rPr>
          <w:color w:val="auto"/>
          <w:highlight w:val="none"/>
        </w:rPr>
        <w:fldChar w:fldCharType="begin"/>
      </w:r>
      <w:r>
        <w:rPr>
          <w:color w:val="auto"/>
          <w:highlight w:val="none"/>
        </w:rPr>
        <w:instrText xml:space="preserve"> PAGEREF _Toc43475751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3825CDD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"_Toc43475752" </w:instrText>
      </w:r>
      <w:r>
        <w:rPr>
          <w:color w:val="auto"/>
          <w:highlight w:val="none"/>
        </w:rPr>
        <w:fldChar w:fldCharType="separate"/>
      </w:r>
      <w:r>
        <w:rPr>
          <w:rStyle w:val="52"/>
          <w:rFonts w:ascii="宋体"/>
          <w:color w:val="auto"/>
          <w:highlight w:val="none"/>
        </w:rPr>
        <w:t xml:space="preserve">1.3 </w:t>
      </w:r>
      <w:r>
        <w:rPr>
          <w:rStyle w:val="52"/>
          <w:rFonts w:hint="eastAsia" w:ascii="宋体"/>
          <w:color w:val="auto"/>
          <w:highlight w:val="none"/>
        </w:rPr>
        <w:t>法律</w:t>
      </w:r>
      <w:r>
        <w:rPr>
          <w:color w:val="auto"/>
          <w:highlight w:val="none"/>
        </w:rPr>
        <w:tab/>
      </w:r>
      <w:r>
        <w:rPr>
          <w:color w:val="auto"/>
          <w:highlight w:val="none"/>
        </w:rPr>
        <w:fldChar w:fldCharType="begin"/>
      </w:r>
      <w:r>
        <w:rPr>
          <w:color w:val="auto"/>
          <w:highlight w:val="none"/>
        </w:rPr>
        <w:instrText xml:space="preserve"> PAGEREF _Toc43475752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23C54B1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"_Toc43475753" </w:instrText>
      </w:r>
      <w:r>
        <w:rPr>
          <w:color w:val="auto"/>
          <w:highlight w:val="none"/>
        </w:rPr>
        <w:fldChar w:fldCharType="separate"/>
      </w:r>
      <w:r>
        <w:rPr>
          <w:rStyle w:val="52"/>
          <w:rFonts w:ascii="宋体"/>
          <w:color w:val="auto"/>
          <w:highlight w:val="none"/>
        </w:rPr>
        <w:t xml:space="preserve">1.4 </w:t>
      </w:r>
      <w:r>
        <w:rPr>
          <w:rStyle w:val="52"/>
          <w:rFonts w:hint="eastAsia" w:ascii="宋体"/>
          <w:color w:val="auto"/>
          <w:highlight w:val="none"/>
        </w:rPr>
        <w:t>合同文件的优先顺序</w:t>
      </w:r>
      <w:r>
        <w:rPr>
          <w:color w:val="auto"/>
          <w:highlight w:val="none"/>
        </w:rPr>
        <w:tab/>
      </w:r>
      <w:r>
        <w:rPr>
          <w:color w:val="auto"/>
          <w:highlight w:val="none"/>
        </w:rPr>
        <w:fldChar w:fldCharType="begin"/>
      </w:r>
      <w:r>
        <w:rPr>
          <w:color w:val="auto"/>
          <w:highlight w:val="none"/>
        </w:rPr>
        <w:instrText xml:space="preserve"> PAGEREF _Toc43475753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23BFA6A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"_Toc43475754" </w:instrText>
      </w:r>
      <w:r>
        <w:rPr>
          <w:color w:val="auto"/>
          <w:highlight w:val="none"/>
        </w:rPr>
        <w:fldChar w:fldCharType="separate"/>
      </w:r>
      <w:r>
        <w:rPr>
          <w:rStyle w:val="52"/>
          <w:rFonts w:ascii="宋体"/>
          <w:color w:val="auto"/>
          <w:highlight w:val="none"/>
        </w:rPr>
        <w:t xml:space="preserve">1.5 </w:t>
      </w:r>
      <w:r>
        <w:rPr>
          <w:rStyle w:val="52"/>
          <w:rFonts w:hint="eastAsia" w:ascii="宋体"/>
          <w:color w:val="auto"/>
          <w:highlight w:val="none"/>
        </w:rPr>
        <w:t>合同协议书</w:t>
      </w:r>
      <w:r>
        <w:rPr>
          <w:color w:val="auto"/>
          <w:highlight w:val="none"/>
        </w:rPr>
        <w:tab/>
      </w:r>
      <w:r>
        <w:rPr>
          <w:color w:val="auto"/>
          <w:highlight w:val="none"/>
        </w:rPr>
        <w:fldChar w:fldCharType="begin"/>
      </w:r>
      <w:r>
        <w:rPr>
          <w:color w:val="auto"/>
          <w:highlight w:val="none"/>
        </w:rPr>
        <w:instrText xml:space="preserve"> PAGEREF _Toc43475754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706D562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"_Toc43475755" </w:instrText>
      </w:r>
      <w:r>
        <w:rPr>
          <w:color w:val="auto"/>
          <w:highlight w:val="none"/>
        </w:rPr>
        <w:fldChar w:fldCharType="separate"/>
      </w:r>
      <w:r>
        <w:rPr>
          <w:rStyle w:val="52"/>
          <w:rFonts w:ascii="宋体"/>
          <w:color w:val="auto"/>
          <w:highlight w:val="none"/>
        </w:rPr>
        <w:t xml:space="preserve">1.6 </w:t>
      </w:r>
      <w:r>
        <w:rPr>
          <w:rStyle w:val="52"/>
          <w:rFonts w:hint="eastAsia" w:ascii="宋体"/>
          <w:color w:val="auto"/>
          <w:highlight w:val="none"/>
        </w:rPr>
        <w:t>图纸和承包人文件</w:t>
      </w:r>
      <w:r>
        <w:rPr>
          <w:color w:val="auto"/>
          <w:highlight w:val="none"/>
        </w:rPr>
        <w:tab/>
      </w:r>
      <w:r>
        <w:rPr>
          <w:color w:val="auto"/>
          <w:highlight w:val="none"/>
        </w:rPr>
        <w:fldChar w:fldCharType="begin"/>
      </w:r>
      <w:r>
        <w:rPr>
          <w:color w:val="auto"/>
          <w:highlight w:val="none"/>
        </w:rPr>
        <w:instrText xml:space="preserve"> PAGEREF _Toc43475755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3968C5A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"_Toc43475756" </w:instrText>
      </w:r>
      <w:r>
        <w:rPr>
          <w:color w:val="auto"/>
          <w:highlight w:val="none"/>
        </w:rPr>
        <w:fldChar w:fldCharType="separate"/>
      </w:r>
      <w:r>
        <w:rPr>
          <w:rStyle w:val="52"/>
          <w:rFonts w:ascii="宋体"/>
          <w:color w:val="auto"/>
          <w:highlight w:val="none"/>
        </w:rPr>
        <w:t xml:space="preserve">1.7 </w:t>
      </w:r>
      <w:r>
        <w:rPr>
          <w:rStyle w:val="52"/>
          <w:rFonts w:hint="eastAsia" w:ascii="宋体"/>
          <w:color w:val="auto"/>
          <w:highlight w:val="none"/>
        </w:rPr>
        <w:t>联络</w:t>
      </w:r>
      <w:r>
        <w:rPr>
          <w:color w:val="auto"/>
          <w:highlight w:val="none"/>
        </w:rPr>
        <w:tab/>
      </w:r>
      <w:r>
        <w:rPr>
          <w:color w:val="auto"/>
          <w:highlight w:val="none"/>
        </w:rPr>
        <w:fldChar w:fldCharType="begin"/>
      </w:r>
      <w:r>
        <w:rPr>
          <w:color w:val="auto"/>
          <w:highlight w:val="none"/>
        </w:rPr>
        <w:instrText xml:space="preserve"> PAGEREF _Toc43475756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398E89F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"_Toc43475757" </w:instrText>
      </w:r>
      <w:r>
        <w:rPr>
          <w:color w:val="auto"/>
          <w:highlight w:val="none"/>
        </w:rPr>
        <w:fldChar w:fldCharType="separate"/>
      </w:r>
      <w:r>
        <w:rPr>
          <w:rStyle w:val="52"/>
          <w:rFonts w:ascii="宋体"/>
          <w:color w:val="auto"/>
          <w:highlight w:val="none"/>
        </w:rPr>
        <w:t xml:space="preserve">1.8 </w:t>
      </w:r>
      <w:r>
        <w:rPr>
          <w:rStyle w:val="52"/>
          <w:rFonts w:hint="eastAsia" w:ascii="宋体"/>
          <w:color w:val="auto"/>
          <w:highlight w:val="none"/>
        </w:rPr>
        <w:t>转让</w:t>
      </w:r>
      <w:r>
        <w:rPr>
          <w:color w:val="auto"/>
          <w:highlight w:val="none"/>
        </w:rPr>
        <w:tab/>
      </w:r>
      <w:r>
        <w:rPr>
          <w:color w:val="auto"/>
          <w:highlight w:val="none"/>
        </w:rPr>
        <w:fldChar w:fldCharType="begin"/>
      </w:r>
      <w:r>
        <w:rPr>
          <w:color w:val="auto"/>
          <w:highlight w:val="none"/>
        </w:rPr>
        <w:instrText xml:space="preserve"> PAGEREF _Toc43475757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428DA50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"_Toc43475758" </w:instrText>
      </w:r>
      <w:r>
        <w:rPr>
          <w:color w:val="auto"/>
          <w:highlight w:val="none"/>
        </w:rPr>
        <w:fldChar w:fldCharType="separate"/>
      </w:r>
      <w:r>
        <w:rPr>
          <w:rStyle w:val="52"/>
          <w:rFonts w:ascii="宋体"/>
          <w:color w:val="auto"/>
          <w:highlight w:val="none"/>
        </w:rPr>
        <w:t xml:space="preserve">1.9 </w:t>
      </w:r>
      <w:r>
        <w:rPr>
          <w:rStyle w:val="52"/>
          <w:rFonts w:hint="eastAsia" w:ascii="宋体"/>
          <w:color w:val="auto"/>
          <w:highlight w:val="none"/>
        </w:rPr>
        <w:t>严禁贿赂</w:t>
      </w:r>
      <w:r>
        <w:rPr>
          <w:color w:val="auto"/>
          <w:highlight w:val="none"/>
        </w:rPr>
        <w:tab/>
      </w:r>
      <w:r>
        <w:rPr>
          <w:color w:val="auto"/>
          <w:highlight w:val="none"/>
        </w:rPr>
        <w:fldChar w:fldCharType="begin"/>
      </w:r>
      <w:r>
        <w:rPr>
          <w:color w:val="auto"/>
          <w:highlight w:val="none"/>
        </w:rPr>
        <w:instrText xml:space="preserve"> PAGEREF _Toc43475758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6C719F1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"_Toc43475759" </w:instrText>
      </w:r>
      <w:r>
        <w:rPr>
          <w:color w:val="auto"/>
          <w:highlight w:val="none"/>
        </w:rPr>
        <w:fldChar w:fldCharType="separate"/>
      </w:r>
      <w:r>
        <w:rPr>
          <w:rStyle w:val="52"/>
          <w:rFonts w:ascii="宋体"/>
          <w:color w:val="auto"/>
          <w:highlight w:val="none"/>
        </w:rPr>
        <w:t xml:space="preserve">1.10 </w:t>
      </w:r>
      <w:r>
        <w:rPr>
          <w:rStyle w:val="52"/>
          <w:rFonts w:hint="eastAsia" w:ascii="宋体"/>
          <w:color w:val="auto"/>
          <w:highlight w:val="none"/>
        </w:rPr>
        <w:t>化石、文物</w:t>
      </w:r>
      <w:r>
        <w:rPr>
          <w:color w:val="auto"/>
          <w:highlight w:val="none"/>
        </w:rPr>
        <w:tab/>
      </w:r>
      <w:r>
        <w:rPr>
          <w:color w:val="auto"/>
          <w:highlight w:val="none"/>
        </w:rPr>
        <w:fldChar w:fldCharType="begin"/>
      </w:r>
      <w:r>
        <w:rPr>
          <w:color w:val="auto"/>
          <w:highlight w:val="none"/>
        </w:rPr>
        <w:instrText xml:space="preserve"> PAGEREF _Toc43475759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762A58A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"_Toc43475760" </w:instrText>
      </w:r>
      <w:r>
        <w:rPr>
          <w:color w:val="auto"/>
          <w:highlight w:val="none"/>
        </w:rPr>
        <w:fldChar w:fldCharType="separate"/>
      </w:r>
      <w:r>
        <w:rPr>
          <w:rStyle w:val="52"/>
          <w:rFonts w:ascii="宋体"/>
          <w:color w:val="auto"/>
          <w:highlight w:val="none"/>
        </w:rPr>
        <w:t xml:space="preserve">1.11 </w:t>
      </w:r>
      <w:r>
        <w:rPr>
          <w:rStyle w:val="52"/>
          <w:rFonts w:hint="eastAsia" w:ascii="宋体"/>
          <w:color w:val="auto"/>
          <w:highlight w:val="none"/>
        </w:rPr>
        <w:t>专利技术</w:t>
      </w:r>
      <w:r>
        <w:rPr>
          <w:color w:val="auto"/>
          <w:highlight w:val="none"/>
        </w:rPr>
        <w:tab/>
      </w:r>
      <w:r>
        <w:rPr>
          <w:color w:val="auto"/>
          <w:highlight w:val="none"/>
        </w:rPr>
        <w:fldChar w:fldCharType="begin"/>
      </w:r>
      <w:r>
        <w:rPr>
          <w:color w:val="auto"/>
          <w:highlight w:val="none"/>
        </w:rPr>
        <w:instrText xml:space="preserve"> PAGEREF _Toc43475760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1DE298E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"_Toc43475761" </w:instrText>
      </w:r>
      <w:r>
        <w:rPr>
          <w:color w:val="auto"/>
          <w:highlight w:val="none"/>
        </w:rPr>
        <w:fldChar w:fldCharType="separate"/>
      </w:r>
      <w:r>
        <w:rPr>
          <w:rStyle w:val="52"/>
          <w:rFonts w:ascii="宋体"/>
          <w:color w:val="auto"/>
          <w:highlight w:val="none"/>
        </w:rPr>
        <w:t xml:space="preserve">1.12 </w:t>
      </w:r>
      <w:r>
        <w:rPr>
          <w:rStyle w:val="52"/>
          <w:rFonts w:hint="eastAsia" w:ascii="宋体"/>
          <w:color w:val="auto"/>
          <w:highlight w:val="none"/>
        </w:rPr>
        <w:t>图纸和文件的保密</w:t>
      </w:r>
      <w:r>
        <w:rPr>
          <w:color w:val="auto"/>
          <w:highlight w:val="none"/>
        </w:rPr>
        <w:tab/>
      </w:r>
      <w:r>
        <w:rPr>
          <w:color w:val="auto"/>
          <w:highlight w:val="none"/>
        </w:rPr>
        <w:fldChar w:fldCharType="begin"/>
      </w:r>
      <w:r>
        <w:rPr>
          <w:color w:val="auto"/>
          <w:highlight w:val="none"/>
        </w:rPr>
        <w:instrText xml:space="preserve"> PAGEREF _Toc43475761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3503F15">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"_Toc43475762" </w:instrText>
      </w:r>
      <w:r>
        <w:rPr>
          <w:color w:val="auto"/>
          <w:highlight w:val="none"/>
        </w:rPr>
        <w:fldChar w:fldCharType="separate"/>
      </w:r>
      <w:r>
        <w:rPr>
          <w:rStyle w:val="52"/>
          <w:rFonts w:ascii="宋体" w:hAnsi="宋体"/>
          <w:color w:val="auto"/>
          <w:highlight w:val="none"/>
        </w:rPr>
        <w:t xml:space="preserve">2. </w:t>
      </w:r>
      <w:r>
        <w:rPr>
          <w:rStyle w:val="52"/>
          <w:rFonts w:hint="eastAsia" w:ascii="宋体" w:hAnsi="宋体"/>
          <w:color w:val="auto"/>
          <w:highlight w:val="none"/>
        </w:rPr>
        <w:t>发包人义务</w:t>
      </w:r>
      <w:r>
        <w:rPr>
          <w:color w:val="auto"/>
          <w:highlight w:val="none"/>
        </w:rPr>
        <w:tab/>
      </w:r>
      <w:r>
        <w:rPr>
          <w:color w:val="auto"/>
          <w:highlight w:val="none"/>
        </w:rPr>
        <w:fldChar w:fldCharType="begin"/>
      </w:r>
      <w:r>
        <w:rPr>
          <w:color w:val="auto"/>
          <w:highlight w:val="none"/>
        </w:rPr>
        <w:instrText xml:space="preserve"> PAGEREF _Toc43475762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45BC933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"_Toc43475763" </w:instrText>
      </w:r>
      <w:r>
        <w:rPr>
          <w:color w:val="auto"/>
          <w:highlight w:val="none"/>
        </w:rPr>
        <w:fldChar w:fldCharType="separate"/>
      </w:r>
      <w:r>
        <w:rPr>
          <w:rStyle w:val="52"/>
          <w:rFonts w:ascii="宋体"/>
          <w:color w:val="auto"/>
          <w:highlight w:val="none"/>
        </w:rPr>
        <w:t xml:space="preserve">2.1 </w:t>
      </w:r>
      <w:r>
        <w:rPr>
          <w:rStyle w:val="52"/>
          <w:rFonts w:hint="eastAsia" w:ascii="宋体"/>
          <w:color w:val="auto"/>
          <w:highlight w:val="none"/>
        </w:rPr>
        <w:t>遵守法律</w:t>
      </w:r>
      <w:r>
        <w:rPr>
          <w:color w:val="auto"/>
          <w:highlight w:val="none"/>
        </w:rPr>
        <w:tab/>
      </w:r>
      <w:r>
        <w:rPr>
          <w:color w:val="auto"/>
          <w:highlight w:val="none"/>
        </w:rPr>
        <w:fldChar w:fldCharType="begin"/>
      </w:r>
      <w:r>
        <w:rPr>
          <w:color w:val="auto"/>
          <w:highlight w:val="none"/>
        </w:rPr>
        <w:instrText xml:space="preserve"> PAGEREF _Toc43475763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1502B5A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"_Toc43475764" </w:instrText>
      </w:r>
      <w:r>
        <w:rPr>
          <w:color w:val="auto"/>
          <w:highlight w:val="none"/>
        </w:rPr>
        <w:fldChar w:fldCharType="separate"/>
      </w:r>
      <w:r>
        <w:rPr>
          <w:rStyle w:val="52"/>
          <w:rFonts w:ascii="宋体"/>
          <w:color w:val="auto"/>
          <w:highlight w:val="none"/>
        </w:rPr>
        <w:t xml:space="preserve">2.2 </w:t>
      </w:r>
      <w:r>
        <w:rPr>
          <w:rStyle w:val="52"/>
          <w:rFonts w:hint="eastAsia" w:ascii="宋体"/>
          <w:color w:val="auto"/>
          <w:highlight w:val="none"/>
        </w:rPr>
        <w:t>发出开工通知</w:t>
      </w:r>
      <w:r>
        <w:rPr>
          <w:color w:val="auto"/>
          <w:highlight w:val="none"/>
        </w:rPr>
        <w:tab/>
      </w:r>
      <w:r>
        <w:rPr>
          <w:color w:val="auto"/>
          <w:highlight w:val="none"/>
        </w:rPr>
        <w:fldChar w:fldCharType="begin"/>
      </w:r>
      <w:r>
        <w:rPr>
          <w:color w:val="auto"/>
          <w:highlight w:val="none"/>
        </w:rPr>
        <w:instrText xml:space="preserve"> PAGEREF _Toc43475764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0BE9875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"_Toc43475765" </w:instrText>
      </w:r>
      <w:r>
        <w:rPr>
          <w:color w:val="auto"/>
          <w:highlight w:val="none"/>
        </w:rPr>
        <w:fldChar w:fldCharType="separate"/>
      </w:r>
      <w:r>
        <w:rPr>
          <w:rStyle w:val="52"/>
          <w:rFonts w:ascii="宋体"/>
          <w:color w:val="auto"/>
          <w:highlight w:val="none"/>
        </w:rPr>
        <w:t xml:space="preserve">2.3 </w:t>
      </w:r>
      <w:r>
        <w:rPr>
          <w:rStyle w:val="52"/>
          <w:rFonts w:hint="eastAsia" w:ascii="宋体"/>
          <w:color w:val="auto"/>
          <w:highlight w:val="none"/>
        </w:rPr>
        <w:t>提供施工场地</w:t>
      </w:r>
      <w:r>
        <w:rPr>
          <w:color w:val="auto"/>
          <w:highlight w:val="none"/>
        </w:rPr>
        <w:tab/>
      </w:r>
      <w:r>
        <w:rPr>
          <w:color w:val="auto"/>
          <w:highlight w:val="none"/>
        </w:rPr>
        <w:fldChar w:fldCharType="begin"/>
      </w:r>
      <w:r>
        <w:rPr>
          <w:color w:val="auto"/>
          <w:highlight w:val="none"/>
        </w:rPr>
        <w:instrText xml:space="preserve"> PAGEREF _Toc43475765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5BA5A4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"_Toc43475766" </w:instrText>
      </w:r>
      <w:r>
        <w:rPr>
          <w:color w:val="auto"/>
          <w:highlight w:val="none"/>
        </w:rPr>
        <w:fldChar w:fldCharType="separate"/>
      </w:r>
      <w:r>
        <w:rPr>
          <w:rStyle w:val="52"/>
          <w:rFonts w:ascii="宋体"/>
          <w:color w:val="auto"/>
          <w:highlight w:val="none"/>
        </w:rPr>
        <w:t xml:space="preserve">2.4 </w:t>
      </w:r>
      <w:r>
        <w:rPr>
          <w:rStyle w:val="52"/>
          <w:rFonts w:hint="eastAsia" w:ascii="宋体"/>
          <w:color w:val="auto"/>
          <w:highlight w:val="none"/>
        </w:rPr>
        <w:t>协助承包人办理证件和批件</w:t>
      </w:r>
      <w:r>
        <w:rPr>
          <w:color w:val="auto"/>
          <w:highlight w:val="none"/>
        </w:rPr>
        <w:tab/>
      </w:r>
      <w:r>
        <w:rPr>
          <w:color w:val="auto"/>
          <w:highlight w:val="none"/>
        </w:rPr>
        <w:fldChar w:fldCharType="begin"/>
      </w:r>
      <w:r>
        <w:rPr>
          <w:color w:val="auto"/>
          <w:highlight w:val="none"/>
        </w:rPr>
        <w:instrText xml:space="preserve"> PAGEREF _Toc43475766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037496C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"_Toc43475767" </w:instrText>
      </w:r>
      <w:r>
        <w:rPr>
          <w:color w:val="auto"/>
          <w:highlight w:val="none"/>
        </w:rPr>
        <w:fldChar w:fldCharType="separate"/>
      </w:r>
      <w:r>
        <w:rPr>
          <w:rStyle w:val="52"/>
          <w:rFonts w:ascii="宋体"/>
          <w:color w:val="auto"/>
          <w:highlight w:val="none"/>
        </w:rPr>
        <w:t xml:space="preserve">2.5 </w:t>
      </w:r>
      <w:r>
        <w:rPr>
          <w:rStyle w:val="52"/>
          <w:rFonts w:hint="eastAsia" w:ascii="宋体"/>
          <w:color w:val="auto"/>
          <w:highlight w:val="none"/>
        </w:rPr>
        <w:t>组织设计交底</w:t>
      </w:r>
      <w:r>
        <w:rPr>
          <w:color w:val="auto"/>
          <w:highlight w:val="none"/>
        </w:rPr>
        <w:tab/>
      </w:r>
      <w:r>
        <w:rPr>
          <w:color w:val="auto"/>
          <w:highlight w:val="none"/>
        </w:rPr>
        <w:fldChar w:fldCharType="begin"/>
      </w:r>
      <w:r>
        <w:rPr>
          <w:color w:val="auto"/>
          <w:highlight w:val="none"/>
        </w:rPr>
        <w:instrText xml:space="preserve"> PAGEREF _Toc43475767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426BB85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"_Toc43475768" </w:instrText>
      </w:r>
      <w:r>
        <w:rPr>
          <w:color w:val="auto"/>
          <w:highlight w:val="none"/>
        </w:rPr>
        <w:fldChar w:fldCharType="separate"/>
      </w:r>
      <w:r>
        <w:rPr>
          <w:rStyle w:val="52"/>
          <w:rFonts w:ascii="宋体"/>
          <w:color w:val="auto"/>
          <w:highlight w:val="none"/>
        </w:rPr>
        <w:t xml:space="preserve">2.6 </w:t>
      </w:r>
      <w:r>
        <w:rPr>
          <w:rStyle w:val="52"/>
          <w:rFonts w:hint="eastAsia" w:ascii="宋体"/>
          <w:color w:val="auto"/>
          <w:highlight w:val="none"/>
        </w:rPr>
        <w:t>支付合同价款</w:t>
      </w:r>
      <w:r>
        <w:rPr>
          <w:color w:val="auto"/>
          <w:highlight w:val="none"/>
        </w:rPr>
        <w:tab/>
      </w:r>
      <w:r>
        <w:rPr>
          <w:color w:val="auto"/>
          <w:highlight w:val="none"/>
        </w:rPr>
        <w:fldChar w:fldCharType="begin"/>
      </w:r>
      <w:r>
        <w:rPr>
          <w:color w:val="auto"/>
          <w:highlight w:val="none"/>
        </w:rPr>
        <w:instrText xml:space="preserve"> PAGEREF _Toc43475768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515A8C3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"_Toc43475769" </w:instrText>
      </w:r>
      <w:r>
        <w:rPr>
          <w:color w:val="auto"/>
          <w:highlight w:val="none"/>
        </w:rPr>
        <w:fldChar w:fldCharType="separate"/>
      </w:r>
      <w:r>
        <w:rPr>
          <w:rStyle w:val="52"/>
          <w:rFonts w:ascii="宋体"/>
          <w:color w:val="auto"/>
          <w:highlight w:val="none"/>
        </w:rPr>
        <w:t xml:space="preserve">2.7 </w:t>
      </w:r>
      <w:r>
        <w:rPr>
          <w:rStyle w:val="52"/>
          <w:rFonts w:hint="eastAsia" w:ascii="宋体"/>
          <w:color w:val="auto"/>
          <w:highlight w:val="none"/>
        </w:rPr>
        <w:t>组织竣工验收</w:t>
      </w:r>
      <w:r>
        <w:rPr>
          <w:color w:val="auto"/>
          <w:highlight w:val="none"/>
        </w:rPr>
        <w:tab/>
      </w:r>
      <w:r>
        <w:rPr>
          <w:color w:val="auto"/>
          <w:highlight w:val="none"/>
        </w:rPr>
        <w:fldChar w:fldCharType="begin"/>
      </w:r>
      <w:r>
        <w:rPr>
          <w:color w:val="auto"/>
          <w:highlight w:val="none"/>
        </w:rPr>
        <w:instrText xml:space="preserve"> PAGEREF _Toc43475769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33A6DBB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"_Toc43475770" </w:instrText>
      </w:r>
      <w:r>
        <w:rPr>
          <w:color w:val="auto"/>
          <w:highlight w:val="none"/>
        </w:rPr>
        <w:fldChar w:fldCharType="separate"/>
      </w:r>
      <w:r>
        <w:rPr>
          <w:rStyle w:val="52"/>
          <w:rFonts w:ascii="宋体"/>
          <w:color w:val="auto"/>
          <w:highlight w:val="none"/>
        </w:rPr>
        <w:t xml:space="preserve">2.8 </w:t>
      </w:r>
      <w:r>
        <w:rPr>
          <w:rStyle w:val="52"/>
          <w:rFonts w:hint="eastAsia" w:ascii="宋体"/>
          <w:color w:val="auto"/>
          <w:highlight w:val="none"/>
        </w:rPr>
        <w:t>其他义务</w:t>
      </w:r>
      <w:r>
        <w:rPr>
          <w:color w:val="auto"/>
          <w:highlight w:val="none"/>
        </w:rPr>
        <w:tab/>
      </w:r>
      <w:r>
        <w:rPr>
          <w:color w:val="auto"/>
          <w:highlight w:val="none"/>
        </w:rPr>
        <w:fldChar w:fldCharType="begin"/>
      </w:r>
      <w:r>
        <w:rPr>
          <w:color w:val="auto"/>
          <w:highlight w:val="none"/>
        </w:rPr>
        <w:instrText xml:space="preserve"> PAGEREF _Toc43475770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6DE521E3">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"_Toc43475771" </w:instrText>
      </w:r>
      <w:r>
        <w:rPr>
          <w:color w:val="auto"/>
          <w:highlight w:val="none"/>
        </w:rPr>
        <w:fldChar w:fldCharType="separate"/>
      </w:r>
      <w:r>
        <w:rPr>
          <w:rStyle w:val="52"/>
          <w:rFonts w:ascii="宋体" w:hAnsi="宋体"/>
          <w:color w:val="auto"/>
          <w:highlight w:val="none"/>
        </w:rPr>
        <w:t xml:space="preserve">3. </w:t>
      </w:r>
      <w:r>
        <w:rPr>
          <w:rStyle w:val="52"/>
          <w:rFonts w:hint="eastAsia" w:ascii="宋体" w:hAnsi="宋体"/>
          <w:color w:val="auto"/>
          <w:highlight w:val="none"/>
        </w:rPr>
        <w:t>监理人</w:t>
      </w:r>
      <w:r>
        <w:rPr>
          <w:color w:val="auto"/>
          <w:highlight w:val="none"/>
        </w:rPr>
        <w:tab/>
      </w:r>
      <w:r>
        <w:rPr>
          <w:color w:val="auto"/>
          <w:highlight w:val="none"/>
        </w:rPr>
        <w:fldChar w:fldCharType="begin"/>
      </w:r>
      <w:r>
        <w:rPr>
          <w:color w:val="auto"/>
          <w:highlight w:val="none"/>
        </w:rPr>
        <w:instrText xml:space="preserve"> PAGEREF _Toc43475771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09CCB7B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"_Toc43475772" </w:instrText>
      </w:r>
      <w:r>
        <w:rPr>
          <w:color w:val="auto"/>
          <w:highlight w:val="none"/>
        </w:rPr>
        <w:fldChar w:fldCharType="separate"/>
      </w:r>
      <w:r>
        <w:rPr>
          <w:rStyle w:val="52"/>
          <w:rFonts w:ascii="宋体"/>
          <w:color w:val="auto"/>
          <w:highlight w:val="none"/>
        </w:rPr>
        <w:t xml:space="preserve">3.1 </w:t>
      </w:r>
      <w:r>
        <w:rPr>
          <w:rStyle w:val="52"/>
          <w:rFonts w:hint="eastAsia" w:ascii="宋体"/>
          <w:color w:val="auto"/>
          <w:highlight w:val="none"/>
        </w:rPr>
        <w:t>监理人的职责和权力</w:t>
      </w:r>
      <w:r>
        <w:rPr>
          <w:color w:val="auto"/>
          <w:highlight w:val="none"/>
        </w:rPr>
        <w:tab/>
      </w:r>
      <w:r>
        <w:rPr>
          <w:color w:val="auto"/>
          <w:highlight w:val="none"/>
        </w:rPr>
        <w:fldChar w:fldCharType="begin"/>
      </w:r>
      <w:r>
        <w:rPr>
          <w:color w:val="auto"/>
          <w:highlight w:val="none"/>
        </w:rPr>
        <w:instrText xml:space="preserve"> PAGEREF _Toc43475772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0375A3C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"_Toc43475773" </w:instrText>
      </w:r>
      <w:r>
        <w:rPr>
          <w:color w:val="auto"/>
          <w:highlight w:val="none"/>
        </w:rPr>
        <w:fldChar w:fldCharType="separate"/>
      </w:r>
      <w:r>
        <w:rPr>
          <w:rStyle w:val="52"/>
          <w:rFonts w:ascii="宋体"/>
          <w:color w:val="auto"/>
          <w:highlight w:val="none"/>
        </w:rPr>
        <w:t xml:space="preserve">3.2 </w:t>
      </w:r>
      <w:r>
        <w:rPr>
          <w:rStyle w:val="52"/>
          <w:rFonts w:hint="eastAsia" w:ascii="宋体"/>
          <w:color w:val="auto"/>
          <w:highlight w:val="none"/>
        </w:rPr>
        <w:t>总监理工程师</w:t>
      </w:r>
      <w:r>
        <w:rPr>
          <w:color w:val="auto"/>
          <w:highlight w:val="none"/>
        </w:rPr>
        <w:tab/>
      </w:r>
      <w:r>
        <w:rPr>
          <w:color w:val="auto"/>
          <w:highlight w:val="none"/>
        </w:rPr>
        <w:fldChar w:fldCharType="begin"/>
      </w:r>
      <w:r>
        <w:rPr>
          <w:color w:val="auto"/>
          <w:highlight w:val="none"/>
        </w:rPr>
        <w:instrText xml:space="preserve"> PAGEREF _Toc43475773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23FDCF3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"_Toc43475774" </w:instrText>
      </w:r>
      <w:r>
        <w:rPr>
          <w:color w:val="auto"/>
          <w:highlight w:val="none"/>
        </w:rPr>
        <w:fldChar w:fldCharType="separate"/>
      </w:r>
      <w:r>
        <w:rPr>
          <w:rStyle w:val="52"/>
          <w:rFonts w:ascii="宋体"/>
          <w:color w:val="auto"/>
          <w:highlight w:val="none"/>
        </w:rPr>
        <w:t xml:space="preserve">3.3 </w:t>
      </w:r>
      <w:r>
        <w:rPr>
          <w:rStyle w:val="52"/>
          <w:rFonts w:hint="eastAsia" w:ascii="宋体"/>
          <w:color w:val="auto"/>
          <w:highlight w:val="none"/>
        </w:rPr>
        <w:t>监理人员</w:t>
      </w:r>
      <w:r>
        <w:rPr>
          <w:color w:val="auto"/>
          <w:highlight w:val="none"/>
        </w:rPr>
        <w:tab/>
      </w:r>
      <w:r>
        <w:rPr>
          <w:color w:val="auto"/>
          <w:highlight w:val="none"/>
        </w:rPr>
        <w:fldChar w:fldCharType="begin"/>
      </w:r>
      <w:r>
        <w:rPr>
          <w:color w:val="auto"/>
          <w:highlight w:val="none"/>
        </w:rPr>
        <w:instrText xml:space="preserve"> PAGEREF _Toc43475774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648537AF">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"_Toc43475775" </w:instrText>
      </w:r>
      <w:r>
        <w:rPr>
          <w:color w:val="auto"/>
          <w:highlight w:val="none"/>
        </w:rPr>
        <w:fldChar w:fldCharType="separate"/>
      </w:r>
      <w:r>
        <w:rPr>
          <w:rStyle w:val="52"/>
          <w:rFonts w:ascii="宋体"/>
          <w:color w:val="auto"/>
          <w:highlight w:val="none"/>
        </w:rPr>
        <w:t xml:space="preserve">3.4 </w:t>
      </w:r>
      <w:r>
        <w:rPr>
          <w:rStyle w:val="52"/>
          <w:rFonts w:hint="eastAsia" w:ascii="宋体"/>
          <w:color w:val="auto"/>
          <w:highlight w:val="none"/>
        </w:rPr>
        <w:t>监理人的指示</w:t>
      </w:r>
      <w:r>
        <w:rPr>
          <w:color w:val="auto"/>
          <w:highlight w:val="none"/>
        </w:rPr>
        <w:tab/>
      </w:r>
      <w:r>
        <w:rPr>
          <w:color w:val="auto"/>
          <w:highlight w:val="none"/>
        </w:rPr>
        <w:fldChar w:fldCharType="begin"/>
      </w:r>
      <w:r>
        <w:rPr>
          <w:color w:val="auto"/>
          <w:highlight w:val="none"/>
        </w:rPr>
        <w:instrText xml:space="preserve"> PAGEREF _Toc43475775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5603E3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"_Toc43475776" </w:instrText>
      </w:r>
      <w:r>
        <w:rPr>
          <w:color w:val="auto"/>
          <w:highlight w:val="none"/>
        </w:rPr>
        <w:fldChar w:fldCharType="separate"/>
      </w:r>
      <w:r>
        <w:rPr>
          <w:rStyle w:val="52"/>
          <w:rFonts w:ascii="宋体"/>
          <w:color w:val="auto"/>
          <w:highlight w:val="none"/>
        </w:rPr>
        <w:t xml:space="preserve">3.5 </w:t>
      </w:r>
      <w:r>
        <w:rPr>
          <w:rStyle w:val="52"/>
          <w:rFonts w:hint="eastAsia" w:ascii="宋体"/>
          <w:color w:val="auto"/>
          <w:highlight w:val="none"/>
        </w:rPr>
        <w:t>商定或确定</w:t>
      </w:r>
      <w:r>
        <w:rPr>
          <w:color w:val="auto"/>
          <w:highlight w:val="none"/>
        </w:rPr>
        <w:tab/>
      </w:r>
      <w:r>
        <w:rPr>
          <w:color w:val="auto"/>
          <w:highlight w:val="none"/>
        </w:rPr>
        <w:fldChar w:fldCharType="begin"/>
      </w:r>
      <w:r>
        <w:rPr>
          <w:color w:val="auto"/>
          <w:highlight w:val="none"/>
        </w:rPr>
        <w:instrText xml:space="preserve"> PAGEREF _Toc43475776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57483386">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"_Toc43475777" </w:instrText>
      </w:r>
      <w:r>
        <w:rPr>
          <w:color w:val="auto"/>
          <w:highlight w:val="none"/>
        </w:rPr>
        <w:fldChar w:fldCharType="separate"/>
      </w:r>
      <w:r>
        <w:rPr>
          <w:rStyle w:val="52"/>
          <w:rFonts w:ascii="宋体" w:hAnsi="宋体"/>
          <w:color w:val="auto"/>
          <w:highlight w:val="none"/>
        </w:rPr>
        <w:t xml:space="preserve">4. </w:t>
      </w:r>
      <w:r>
        <w:rPr>
          <w:rStyle w:val="52"/>
          <w:rFonts w:hint="eastAsia" w:ascii="宋体" w:hAnsi="宋体"/>
          <w:color w:val="auto"/>
          <w:highlight w:val="none"/>
        </w:rPr>
        <w:t>承包人</w:t>
      </w:r>
      <w:r>
        <w:rPr>
          <w:color w:val="auto"/>
          <w:highlight w:val="none"/>
        </w:rPr>
        <w:tab/>
      </w:r>
      <w:r>
        <w:rPr>
          <w:color w:val="auto"/>
          <w:highlight w:val="none"/>
        </w:rPr>
        <w:fldChar w:fldCharType="begin"/>
      </w:r>
      <w:r>
        <w:rPr>
          <w:color w:val="auto"/>
          <w:highlight w:val="none"/>
        </w:rPr>
        <w:instrText xml:space="preserve"> PAGEREF _Toc43475777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45CD1CD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"_Toc43475778" </w:instrText>
      </w:r>
      <w:r>
        <w:rPr>
          <w:color w:val="auto"/>
          <w:highlight w:val="none"/>
        </w:rPr>
        <w:fldChar w:fldCharType="separate"/>
      </w:r>
      <w:r>
        <w:rPr>
          <w:rStyle w:val="52"/>
          <w:rFonts w:ascii="宋体"/>
          <w:color w:val="auto"/>
          <w:highlight w:val="none"/>
        </w:rPr>
        <w:t xml:space="preserve">4.1 </w:t>
      </w:r>
      <w:r>
        <w:rPr>
          <w:rStyle w:val="52"/>
          <w:rFonts w:hint="eastAsia" w:ascii="宋体"/>
          <w:color w:val="auto"/>
          <w:highlight w:val="none"/>
        </w:rPr>
        <w:t>承包人的一般义务</w:t>
      </w:r>
      <w:r>
        <w:rPr>
          <w:color w:val="auto"/>
          <w:highlight w:val="none"/>
        </w:rPr>
        <w:tab/>
      </w:r>
      <w:r>
        <w:rPr>
          <w:color w:val="auto"/>
          <w:highlight w:val="none"/>
        </w:rPr>
        <w:fldChar w:fldCharType="begin"/>
      </w:r>
      <w:r>
        <w:rPr>
          <w:color w:val="auto"/>
          <w:highlight w:val="none"/>
        </w:rPr>
        <w:instrText xml:space="preserve"> PAGEREF _Toc43475778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2ECB7F7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"_Toc43475779" </w:instrText>
      </w:r>
      <w:r>
        <w:rPr>
          <w:color w:val="auto"/>
          <w:highlight w:val="none"/>
        </w:rPr>
        <w:fldChar w:fldCharType="separate"/>
      </w:r>
      <w:r>
        <w:rPr>
          <w:rStyle w:val="52"/>
          <w:rFonts w:ascii="宋体"/>
          <w:color w:val="auto"/>
          <w:highlight w:val="none"/>
        </w:rPr>
        <w:t xml:space="preserve">4.2 </w:t>
      </w:r>
      <w:r>
        <w:rPr>
          <w:rStyle w:val="52"/>
          <w:rFonts w:hint="eastAsia" w:ascii="宋体"/>
          <w:color w:val="auto"/>
          <w:highlight w:val="none"/>
        </w:rPr>
        <w:t>履约担保</w:t>
      </w:r>
      <w:r>
        <w:rPr>
          <w:color w:val="auto"/>
          <w:highlight w:val="none"/>
        </w:rPr>
        <w:tab/>
      </w:r>
      <w:r>
        <w:rPr>
          <w:color w:val="auto"/>
          <w:highlight w:val="none"/>
        </w:rPr>
        <w:fldChar w:fldCharType="begin"/>
      </w:r>
      <w:r>
        <w:rPr>
          <w:color w:val="auto"/>
          <w:highlight w:val="none"/>
        </w:rPr>
        <w:instrText xml:space="preserve"> PAGEREF _Toc43475779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5AFD6B8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"_Toc43475780" </w:instrText>
      </w:r>
      <w:r>
        <w:rPr>
          <w:color w:val="auto"/>
          <w:highlight w:val="none"/>
        </w:rPr>
        <w:fldChar w:fldCharType="separate"/>
      </w:r>
      <w:r>
        <w:rPr>
          <w:rStyle w:val="52"/>
          <w:rFonts w:ascii="宋体"/>
          <w:color w:val="auto"/>
          <w:highlight w:val="none"/>
        </w:rPr>
        <w:t xml:space="preserve">4.3 </w:t>
      </w:r>
      <w:r>
        <w:rPr>
          <w:rStyle w:val="52"/>
          <w:rFonts w:hint="eastAsia" w:ascii="宋体"/>
          <w:color w:val="auto"/>
          <w:highlight w:val="none"/>
        </w:rPr>
        <w:t>分包</w:t>
      </w:r>
      <w:r>
        <w:rPr>
          <w:color w:val="auto"/>
          <w:highlight w:val="none"/>
        </w:rPr>
        <w:tab/>
      </w:r>
      <w:r>
        <w:rPr>
          <w:color w:val="auto"/>
          <w:highlight w:val="none"/>
        </w:rPr>
        <w:fldChar w:fldCharType="begin"/>
      </w:r>
      <w:r>
        <w:rPr>
          <w:color w:val="auto"/>
          <w:highlight w:val="none"/>
        </w:rPr>
        <w:instrText xml:space="preserve"> PAGEREF _Toc43475780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2008218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"_Toc43475781" </w:instrText>
      </w:r>
      <w:r>
        <w:rPr>
          <w:color w:val="auto"/>
          <w:highlight w:val="none"/>
        </w:rPr>
        <w:fldChar w:fldCharType="separate"/>
      </w:r>
      <w:r>
        <w:rPr>
          <w:rStyle w:val="52"/>
          <w:rFonts w:ascii="宋体"/>
          <w:color w:val="auto"/>
          <w:highlight w:val="none"/>
        </w:rPr>
        <w:t xml:space="preserve">4.4 </w:t>
      </w:r>
      <w:r>
        <w:rPr>
          <w:rStyle w:val="52"/>
          <w:rFonts w:hint="eastAsia" w:ascii="宋体"/>
          <w:color w:val="auto"/>
          <w:highlight w:val="none"/>
        </w:rPr>
        <w:t>联合体</w:t>
      </w:r>
      <w:r>
        <w:rPr>
          <w:color w:val="auto"/>
          <w:highlight w:val="none"/>
        </w:rPr>
        <w:tab/>
      </w:r>
      <w:r>
        <w:rPr>
          <w:color w:val="auto"/>
          <w:highlight w:val="none"/>
        </w:rPr>
        <w:fldChar w:fldCharType="begin"/>
      </w:r>
      <w:r>
        <w:rPr>
          <w:color w:val="auto"/>
          <w:highlight w:val="none"/>
        </w:rPr>
        <w:instrText xml:space="preserve"> PAGEREF _Toc43475781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17BAC43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"_Toc43475782" </w:instrText>
      </w:r>
      <w:r>
        <w:rPr>
          <w:color w:val="auto"/>
          <w:highlight w:val="none"/>
        </w:rPr>
        <w:fldChar w:fldCharType="separate"/>
      </w:r>
      <w:r>
        <w:rPr>
          <w:rStyle w:val="52"/>
          <w:rFonts w:ascii="宋体"/>
          <w:color w:val="auto"/>
          <w:highlight w:val="none"/>
        </w:rPr>
        <w:t xml:space="preserve">4.5 </w:t>
      </w:r>
      <w:r>
        <w:rPr>
          <w:rStyle w:val="52"/>
          <w:rFonts w:hint="eastAsia" w:ascii="宋体"/>
          <w:color w:val="auto"/>
          <w:highlight w:val="none"/>
        </w:rPr>
        <w:t>承包人项目经理</w:t>
      </w:r>
      <w:r>
        <w:rPr>
          <w:color w:val="auto"/>
          <w:highlight w:val="none"/>
        </w:rPr>
        <w:tab/>
      </w:r>
      <w:r>
        <w:rPr>
          <w:color w:val="auto"/>
          <w:highlight w:val="none"/>
        </w:rPr>
        <w:fldChar w:fldCharType="begin"/>
      </w:r>
      <w:r>
        <w:rPr>
          <w:color w:val="auto"/>
          <w:highlight w:val="none"/>
        </w:rPr>
        <w:instrText xml:space="preserve"> PAGEREF _Toc43475782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598CC32F">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"_Toc43475783" </w:instrText>
      </w:r>
      <w:r>
        <w:rPr>
          <w:color w:val="auto"/>
          <w:highlight w:val="none"/>
        </w:rPr>
        <w:fldChar w:fldCharType="separate"/>
      </w:r>
      <w:r>
        <w:rPr>
          <w:rStyle w:val="52"/>
          <w:rFonts w:ascii="宋体"/>
          <w:color w:val="auto"/>
          <w:highlight w:val="none"/>
        </w:rPr>
        <w:t xml:space="preserve">4.6 </w:t>
      </w:r>
      <w:r>
        <w:rPr>
          <w:rStyle w:val="52"/>
          <w:rFonts w:hint="eastAsia" w:ascii="宋体"/>
          <w:color w:val="auto"/>
          <w:highlight w:val="none"/>
        </w:rPr>
        <w:t>承包人人员的管理</w:t>
      </w:r>
      <w:r>
        <w:rPr>
          <w:color w:val="auto"/>
          <w:highlight w:val="none"/>
        </w:rPr>
        <w:tab/>
      </w:r>
      <w:r>
        <w:rPr>
          <w:color w:val="auto"/>
          <w:highlight w:val="none"/>
        </w:rPr>
        <w:fldChar w:fldCharType="begin"/>
      </w:r>
      <w:r>
        <w:rPr>
          <w:color w:val="auto"/>
          <w:highlight w:val="none"/>
        </w:rPr>
        <w:instrText xml:space="preserve"> PAGEREF _Toc43475783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6C46D5A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"_Toc43475784" </w:instrText>
      </w:r>
      <w:r>
        <w:rPr>
          <w:color w:val="auto"/>
          <w:highlight w:val="none"/>
        </w:rPr>
        <w:fldChar w:fldCharType="separate"/>
      </w:r>
      <w:r>
        <w:rPr>
          <w:rStyle w:val="52"/>
          <w:rFonts w:ascii="宋体"/>
          <w:color w:val="auto"/>
          <w:highlight w:val="none"/>
        </w:rPr>
        <w:t xml:space="preserve">4.7 </w:t>
      </w:r>
      <w:r>
        <w:rPr>
          <w:rStyle w:val="52"/>
          <w:rFonts w:hint="eastAsia" w:ascii="宋体"/>
          <w:color w:val="auto"/>
          <w:highlight w:val="none"/>
        </w:rPr>
        <w:t>撤换承包人项目经理和其他人员</w:t>
      </w:r>
      <w:r>
        <w:rPr>
          <w:color w:val="auto"/>
          <w:highlight w:val="none"/>
        </w:rPr>
        <w:tab/>
      </w:r>
      <w:r>
        <w:rPr>
          <w:color w:val="auto"/>
          <w:highlight w:val="none"/>
        </w:rPr>
        <w:fldChar w:fldCharType="begin"/>
      </w:r>
      <w:r>
        <w:rPr>
          <w:color w:val="auto"/>
          <w:highlight w:val="none"/>
        </w:rPr>
        <w:instrText xml:space="preserve"> PAGEREF _Toc43475784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07E3732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"_Toc43475785" </w:instrText>
      </w:r>
      <w:r>
        <w:rPr>
          <w:color w:val="auto"/>
          <w:highlight w:val="none"/>
        </w:rPr>
        <w:fldChar w:fldCharType="separate"/>
      </w:r>
      <w:r>
        <w:rPr>
          <w:rStyle w:val="52"/>
          <w:rFonts w:ascii="宋体"/>
          <w:color w:val="auto"/>
          <w:highlight w:val="none"/>
        </w:rPr>
        <w:t xml:space="preserve">4.8 </w:t>
      </w:r>
      <w:r>
        <w:rPr>
          <w:rStyle w:val="52"/>
          <w:rFonts w:hint="eastAsia" w:ascii="宋体"/>
          <w:color w:val="auto"/>
          <w:highlight w:val="none"/>
        </w:rPr>
        <w:t>保障承包人人员的合法权益</w:t>
      </w:r>
      <w:r>
        <w:rPr>
          <w:color w:val="auto"/>
          <w:highlight w:val="none"/>
        </w:rPr>
        <w:tab/>
      </w:r>
      <w:r>
        <w:rPr>
          <w:color w:val="auto"/>
          <w:highlight w:val="none"/>
        </w:rPr>
        <w:fldChar w:fldCharType="begin"/>
      </w:r>
      <w:r>
        <w:rPr>
          <w:color w:val="auto"/>
          <w:highlight w:val="none"/>
        </w:rPr>
        <w:instrText xml:space="preserve"> PAGEREF _Toc43475785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748DFCB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"_Toc43475786" </w:instrText>
      </w:r>
      <w:r>
        <w:rPr>
          <w:color w:val="auto"/>
          <w:highlight w:val="none"/>
        </w:rPr>
        <w:fldChar w:fldCharType="separate"/>
      </w:r>
      <w:r>
        <w:rPr>
          <w:rStyle w:val="52"/>
          <w:rFonts w:ascii="宋体"/>
          <w:color w:val="auto"/>
          <w:highlight w:val="none"/>
        </w:rPr>
        <w:t xml:space="preserve">4.9 </w:t>
      </w:r>
      <w:r>
        <w:rPr>
          <w:rStyle w:val="52"/>
          <w:rFonts w:hint="eastAsia" w:ascii="宋体"/>
          <w:color w:val="auto"/>
          <w:highlight w:val="none"/>
        </w:rPr>
        <w:t>工程价款应专款专用</w:t>
      </w:r>
      <w:r>
        <w:rPr>
          <w:color w:val="auto"/>
          <w:highlight w:val="none"/>
        </w:rPr>
        <w:tab/>
      </w:r>
      <w:r>
        <w:rPr>
          <w:color w:val="auto"/>
          <w:highlight w:val="none"/>
        </w:rPr>
        <w:fldChar w:fldCharType="begin"/>
      </w:r>
      <w:r>
        <w:rPr>
          <w:color w:val="auto"/>
          <w:highlight w:val="none"/>
        </w:rPr>
        <w:instrText xml:space="preserve"> PAGEREF _Toc43475786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6D441D7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"_Toc43475787" </w:instrText>
      </w:r>
      <w:r>
        <w:rPr>
          <w:color w:val="auto"/>
          <w:highlight w:val="none"/>
        </w:rPr>
        <w:fldChar w:fldCharType="separate"/>
      </w:r>
      <w:r>
        <w:rPr>
          <w:rStyle w:val="52"/>
          <w:rFonts w:ascii="宋体"/>
          <w:color w:val="auto"/>
          <w:highlight w:val="none"/>
        </w:rPr>
        <w:t xml:space="preserve">4.10 </w:t>
      </w:r>
      <w:r>
        <w:rPr>
          <w:rStyle w:val="52"/>
          <w:rFonts w:hint="eastAsia" w:ascii="宋体"/>
          <w:color w:val="auto"/>
          <w:highlight w:val="none"/>
        </w:rPr>
        <w:t>承包人现场查勘</w:t>
      </w:r>
      <w:r>
        <w:rPr>
          <w:color w:val="auto"/>
          <w:highlight w:val="none"/>
        </w:rPr>
        <w:tab/>
      </w:r>
      <w:r>
        <w:rPr>
          <w:color w:val="auto"/>
          <w:highlight w:val="none"/>
        </w:rPr>
        <w:fldChar w:fldCharType="begin"/>
      </w:r>
      <w:r>
        <w:rPr>
          <w:color w:val="auto"/>
          <w:highlight w:val="none"/>
        </w:rPr>
        <w:instrText xml:space="preserve"> PAGEREF _Toc43475787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476219C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"_Toc43475788" </w:instrText>
      </w:r>
      <w:r>
        <w:rPr>
          <w:color w:val="auto"/>
          <w:highlight w:val="none"/>
        </w:rPr>
        <w:fldChar w:fldCharType="separate"/>
      </w:r>
      <w:r>
        <w:rPr>
          <w:rStyle w:val="52"/>
          <w:rFonts w:ascii="宋体"/>
          <w:color w:val="auto"/>
          <w:highlight w:val="none"/>
        </w:rPr>
        <w:t xml:space="preserve">4.11 </w:t>
      </w:r>
      <w:r>
        <w:rPr>
          <w:rStyle w:val="52"/>
          <w:rFonts w:hint="eastAsia" w:ascii="宋体"/>
          <w:color w:val="auto"/>
          <w:highlight w:val="none"/>
        </w:rPr>
        <w:t>不利物质条件</w:t>
      </w:r>
      <w:r>
        <w:rPr>
          <w:color w:val="auto"/>
          <w:highlight w:val="none"/>
        </w:rPr>
        <w:tab/>
      </w:r>
      <w:r>
        <w:rPr>
          <w:color w:val="auto"/>
          <w:highlight w:val="none"/>
        </w:rPr>
        <w:fldChar w:fldCharType="begin"/>
      </w:r>
      <w:r>
        <w:rPr>
          <w:color w:val="auto"/>
          <w:highlight w:val="none"/>
        </w:rPr>
        <w:instrText xml:space="preserve"> PAGEREF _Toc43475788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6F7B94FA">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"_Toc43475789" </w:instrText>
      </w:r>
      <w:r>
        <w:rPr>
          <w:color w:val="auto"/>
          <w:highlight w:val="none"/>
        </w:rPr>
        <w:fldChar w:fldCharType="separate"/>
      </w:r>
      <w:r>
        <w:rPr>
          <w:rStyle w:val="52"/>
          <w:rFonts w:ascii="宋体" w:hAnsi="宋体"/>
          <w:color w:val="auto"/>
          <w:highlight w:val="none"/>
        </w:rPr>
        <w:t xml:space="preserve">5. </w:t>
      </w:r>
      <w:r>
        <w:rPr>
          <w:rStyle w:val="52"/>
          <w:rFonts w:hint="eastAsia" w:ascii="宋体" w:hAnsi="宋体"/>
          <w:color w:val="auto"/>
          <w:highlight w:val="none"/>
        </w:rPr>
        <w:t>材料和工程设备</w:t>
      </w:r>
      <w:r>
        <w:rPr>
          <w:color w:val="auto"/>
          <w:highlight w:val="none"/>
        </w:rPr>
        <w:tab/>
      </w:r>
      <w:r>
        <w:rPr>
          <w:color w:val="auto"/>
          <w:highlight w:val="none"/>
        </w:rPr>
        <w:fldChar w:fldCharType="begin"/>
      </w:r>
      <w:r>
        <w:rPr>
          <w:color w:val="auto"/>
          <w:highlight w:val="none"/>
        </w:rPr>
        <w:instrText xml:space="preserve"> PAGEREF _Toc43475789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03E130F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"_Toc43475790" </w:instrText>
      </w:r>
      <w:r>
        <w:rPr>
          <w:color w:val="auto"/>
          <w:highlight w:val="none"/>
        </w:rPr>
        <w:fldChar w:fldCharType="separate"/>
      </w:r>
      <w:r>
        <w:rPr>
          <w:rStyle w:val="52"/>
          <w:rFonts w:ascii="宋体"/>
          <w:color w:val="auto"/>
          <w:highlight w:val="none"/>
        </w:rPr>
        <w:t xml:space="preserve">5.1 </w:t>
      </w:r>
      <w:r>
        <w:rPr>
          <w:rStyle w:val="52"/>
          <w:rFonts w:hint="eastAsia" w:ascii="宋体"/>
          <w:color w:val="auto"/>
          <w:highlight w:val="none"/>
        </w:rPr>
        <w:t>承包人提供的材料和工程设备</w:t>
      </w:r>
      <w:r>
        <w:rPr>
          <w:color w:val="auto"/>
          <w:highlight w:val="none"/>
        </w:rPr>
        <w:tab/>
      </w:r>
      <w:r>
        <w:rPr>
          <w:color w:val="auto"/>
          <w:highlight w:val="none"/>
        </w:rPr>
        <w:fldChar w:fldCharType="begin"/>
      </w:r>
      <w:r>
        <w:rPr>
          <w:color w:val="auto"/>
          <w:highlight w:val="none"/>
        </w:rPr>
        <w:instrText xml:space="preserve"> PAGEREF _Toc43475790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69D24A2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"_Toc43475791" </w:instrText>
      </w:r>
      <w:r>
        <w:rPr>
          <w:color w:val="auto"/>
          <w:highlight w:val="none"/>
        </w:rPr>
        <w:fldChar w:fldCharType="separate"/>
      </w:r>
      <w:r>
        <w:rPr>
          <w:rStyle w:val="52"/>
          <w:rFonts w:ascii="宋体"/>
          <w:color w:val="auto"/>
          <w:highlight w:val="none"/>
        </w:rPr>
        <w:t xml:space="preserve">5.2 </w:t>
      </w:r>
      <w:r>
        <w:rPr>
          <w:rStyle w:val="52"/>
          <w:rFonts w:hint="eastAsia" w:ascii="宋体"/>
          <w:color w:val="auto"/>
          <w:highlight w:val="none"/>
        </w:rPr>
        <w:t>发包人提供的材料和工程设备</w:t>
      </w:r>
      <w:r>
        <w:rPr>
          <w:color w:val="auto"/>
          <w:highlight w:val="none"/>
        </w:rPr>
        <w:tab/>
      </w:r>
      <w:r>
        <w:rPr>
          <w:color w:val="auto"/>
          <w:highlight w:val="none"/>
        </w:rPr>
        <w:fldChar w:fldCharType="begin"/>
      </w:r>
      <w:r>
        <w:rPr>
          <w:color w:val="auto"/>
          <w:highlight w:val="none"/>
        </w:rPr>
        <w:instrText xml:space="preserve"> PAGEREF _Toc43475791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4F59764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"_Toc43475792" </w:instrText>
      </w:r>
      <w:r>
        <w:rPr>
          <w:color w:val="auto"/>
          <w:highlight w:val="none"/>
        </w:rPr>
        <w:fldChar w:fldCharType="separate"/>
      </w:r>
      <w:r>
        <w:rPr>
          <w:rStyle w:val="52"/>
          <w:rFonts w:ascii="宋体"/>
          <w:color w:val="auto"/>
          <w:highlight w:val="none"/>
        </w:rPr>
        <w:t xml:space="preserve">5.3 </w:t>
      </w:r>
      <w:r>
        <w:rPr>
          <w:rStyle w:val="52"/>
          <w:rFonts w:hint="eastAsia" w:ascii="宋体"/>
          <w:color w:val="auto"/>
          <w:highlight w:val="none"/>
        </w:rPr>
        <w:t>材料和工程设备专用于合同工程</w:t>
      </w:r>
      <w:r>
        <w:rPr>
          <w:color w:val="auto"/>
          <w:highlight w:val="none"/>
        </w:rPr>
        <w:tab/>
      </w:r>
      <w:r>
        <w:rPr>
          <w:color w:val="auto"/>
          <w:highlight w:val="none"/>
        </w:rPr>
        <w:fldChar w:fldCharType="begin"/>
      </w:r>
      <w:r>
        <w:rPr>
          <w:color w:val="auto"/>
          <w:highlight w:val="none"/>
        </w:rPr>
        <w:instrText xml:space="preserve"> PAGEREF _Toc43475792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5ACCE17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"_Toc43475793" </w:instrText>
      </w:r>
      <w:r>
        <w:rPr>
          <w:color w:val="auto"/>
          <w:highlight w:val="none"/>
        </w:rPr>
        <w:fldChar w:fldCharType="separate"/>
      </w:r>
      <w:r>
        <w:rPr>
          <w:rStyle w:val="52"/>
          <w:rFonts w:ascii="宋体"/>
          <w:color w:val="auto"/>
          <w:highlight w:val="none"/>
        </w:rPr>
        <w:t xml:space="preserve">5.4 </w:t>
      </w:r>
      <w:r>
        <w:rPr>
          <w:rStyle w:val="52"/>
          <w:rFonts w:hint="eastAsia" w:ascii="宋体"/>
          <w:color w:val="auto"/>
          <w:highlight w:val="none"/>
        </w:rPr>
        <w:t>禁止使用不合格的材料和工程设备</w:t>
      </w:r>
      <w:r>
        <w:rPr>
          <w:color w:val="auto"/>
          <w:highlight w:val="none"/>
        </w:rPr>
        <w:tab/>
      </w:r>
      <w:r>
        <w:rPr>
          <w:color w:val="auto"/>
          <w:highlight w:val="none"/>
        </w:rPr>
        <w:fldChar w:fldCharType="begin"/>
      </w:r>
      <w:r>
        <w:rPr>
          <w:color w:val="auto"/>
          <w:highlight w:val="none"/>
        </w:rPr>
        <w:instrText xml:space="preserve"> PAGEREF _Toc43475793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6E618811">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"_Toc43475794" </w:instrText>
      </w:r>
      <w:r>
        <w:rPr>
          <w:color w:val="auto"/>
          <w:highlight w:val="none"/>
        </w:rPr>
        <w:fldChar w:fldCharType="separate"/>
      </w:r>
      <w:r>
        <w:rPr>
          <w:rStyle w:val="52"/>
          <w:rFonts w:ascii="宋体" w:hAnsi="宋体"/>
          <w:color w:val="auto"/>
          <w:highlight w:val="none"/>
        </w:rPr>
        <w:t xml:space="preserve">6. </w:t>
      </w:r>
      <w:r>
        <w:rPr>
          <w:rStyle w:val="52"/>
          <w:rFonts w:hint="eastAsia" w:ascii="宋体" w:hAnsi="宋体"/>
          <w:color w:val="auto"/>
          <w:highlight w:val="none"/>
        </w:rPr>
        <w:t>施工设备和临时设施</w:t>
      </w:r>
      <w:r>
        <w:rPr>
          <w:color w:val="auto"/>
          <w:highlight w:val="none"/>
        </w:rPr>
        <w:tab/>
      </w:r>
      <w:r>
        <w:rPr>
          <w:color w:val="auto"/>
          <w:highlight w:val="none"/>
        </w:rPr>
        <w:fldChar w:fldCharType="begin"/>
      </w:r>
      <w:r>
        <w:rPr>
          <w:color w:val="auto"/>
          <w:highlight w:val="none"/>
        </w:rPr>
        <w:instrText xml:space="preserve"> PAGEREF _Toc43475794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3C6DB4E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"_Toc43475795" </w:instrText>
      </w:r>
      <w:r>
        <w:rPr>
          <w:color w:val="auto"/>
          <w:highlight w:val="none"/>
        </w:rPr>
        <w:fldChar w:fldCharType="separate"/>
      </w:r>
      <w:r>
        <w:rPr>
          <w:rStyle w:val="52"/>
          <w:rFonts w:ascii="宋体"/>
          <w:color w:val="auto"/>
          <w:highlight w:val="none"/>
        </w:rPr>
        <w:t xml:space="preserve">6.1 </w:t>
      </w:r>
      <w:r>
        <w:rPr>
          <w:rStyle w:val="52"/>
          <w:rFonts w:hint="eastAsia" w:ascii="宋体"/>
          <w:color w:val="auto"/>
          <w:highlight w:val="none"/>
        </w:rPr>
        <w:t>承包人提供的施工设备和临时设施</w:t>
      </w:r>
      <w:r>
        <w:rPr>
          <w:color w:val="auto"/>
          <w:highlight w:val="none"/>
        </w:rPr>
        <w:tab/>
      </w:r>
      <w:r>
        <w:rPr>
          <w:color w:val="auto"/>
          <w:highlight w:val="none"/>
        </w:rPr>
        <w:fldChar w:fldCharType="begin"/>
      </w:r>
      <w:r>
        <w:rPr>
          <w:color w:val="auto"/>
          <w:highlight w:val="none"/>
        </w:rPr>
        <w:instrText xml:space="preserve"> PAGEREF _Toc43475795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643FF6E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"_Toc43475796" </w:instrText>
      </w:r>
      <w:r>
        <w:rPr>
          <w:color w:val="auto"/>
          <w:highlight w:val="none"/>
        </w:rPr>
        <w:fldChar w:fldCharType="separate"/>
      </w:r>
      <w:r>
        <w:rPr>
          <w:rStyle w:val="52"/>
          <w:rFonts w:ascii="宋体"/>
          <w:color w:val="auto"/>
          <w:highlight w:val="none"/>
        </w:rPr>
        <w:t xml:space="preserve">6.2 </w:t>
      </w:r>
      <w:r>
        <w:rPr>
          <w:rStyle w:val="52"/>
          <w:rFonts w:hint="eastAsia" w:ascii="宋体"/>
          <w:color w:val="auto"/>
          <w:highlight w:val="none"/>
        </w:rPr>
        <w:t>发包人提供的施工设备和临时设施</w:t>
      </w:r>
      <w:r>
        <w:rPr>
          <w:color w:val="auto"/>
          <w:highlight w:val="none"/>
        </w:rPr>
        <w:tab/>
      </w:r>
      <w:r>
        <w:rPr>
          <w:color w:val="auto"/>
          <w:highlight w:val="none"/>
        </w:rPr>
        <w:fldChar w:fldCharType="begin"/>
      </w:r>
      <w:r>
        <w:rPr>
          <w:color w:val="auto"/>
          <w:highlight w:val="none"/>
        </w:rPr>
        <w:instrText xml:space="preserve"> PAGEREF _Toc43475796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2CBCF9F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"_Toc43475797" </w:instrText>
      </w:r>
      <w:r>
        <w:rPr>
          <w:color w:val="auto"/>
          <w:highlight w:val="none"/>
        </w:rPr>
        <w:fldChar w:fldCharType="separate"/>
      </w:r>
      <w:r>
        <w:rPr>
          <w:rStyle w:val="52"/>
          <w:rFonts w:ascii="宋体"/>
          <w:color w:val="auto"/>
          <w:highlight w:val="none"/>
        </w:rPr>
        <w:t xml:space="preserve">6.3 </w:t>
      </w:r>
      <w:r>
        <w:rPr>
          <w:rStyle w:val="52"/>
          <w:rFonts w:hint="eastAsia" w:ascii="宋体"/>
          <w:color w:val="auto"/>
          <w:highlight w:val="none"/>
        </w:rPr>
        <w:t>要求承包人增加或更换施工设备</w:t>
      </w:r>
      <w:r>
        <w:rPr>
          <w:color w:val="auto"/>
          <w:highlight w:val="none"/>
        </w:rPr>
        <w:tab/>
      </w:r>
      <w:r>
        <w:rPr>
          <w:color w:val="auto"/>
          <w:highlight w:val="none"/>
        </w:rPr>
        <w:fldChar w:fldCharType="begin"/>
      </w:r>
      <w:r>
        <w:rPr>
          <w:color w:val="auto"/>
          <w:highlight w:val="none"/>
        </w:rPr>
        <w:instrText xml:space="preserve"> PAGEREF _Toc43475797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4B0B7A6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"_Toc43475798" </w:instrText>
      </w:r>
      <w:r>
        <w:rPr>
          <w:color w:val="auto"/>
          <w:highlight w:val="none"/>
        </w:rPr>
        <w:fldChar w:fldCharType="separate"/>
      </w:r>
      <w:r>
        <w:rPr>
          <w:rStyle w:val="52"/>
          <w:rFonts w:ascii="宋体"/>
          <w:color w:val="auto"/>
          <w:highlight w:val="none"/>
        </w:rPr>
        <w:t xml:space="preserve">6.4 </w:t>
      </w:r>
      <w:r>
        <w:rPr>
          <w:rStyle w:val="52"/>
          <w:rFonts w:hint="eastAsia" w:ascii="宋体"/>
          <w:color w:val="auto"/>
          <w:highlight w:val="none"/>
        </w:rPr>
        <w:t>施工设备和临时设施专用于合同工程</w:t>
      </w:r>
      <w:r>
        <w:rPr>
          <w:color w:val="auto"/>
          <w:highlight w:val="none"/>
        </w:rPr>
        <w:tab/>
      </w:r>
      <w:r>
        <w:rPr>
          <w:color w:val="auto"/>
          <w:highlight w:val="none"/>
        </w:rPr>
        <w:fldChar w:fldCharType="begin"/>
      </w:r>
      <w:r>
        <w:rPr>
          <w:color w:val="auto"/>
          <w:highlight w:val="none"/>
        </w:rPr>
        <w:instrText xml:space="preserve"> PAGEREF _Toc43475798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6DFC4967">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"_Toc43475799" </w:instrText>
      </w:r>
      <w:r>
        <w:rPr>
          <w:color w:val="auto"/>
          <w:highlight w:val="none"/>
        </w:rPr>
        <w:fldChar w:fldCharType="separate"/>
      </w:r>
      <w:r>
        <w:rPr>
          <w:rStyle w:val="52"/>
          <w:rFonts w:ascii="宋体" w:hAnsi="宋体"/>
          <w:color w:val="auto"/>
          <w:highlight w:val="none"/>
        </w:rPr>
        <w:t xml:space="preserve">7. </w:t>
      </w:r>
      <w:r>
        <w:rPr>
          <w:rStyle w:val="52"/>
          <w:rFonts w:hint="eastAsia" w:ascii="宋体" w:hAnsi="宋体"/>
          <w:color w:val="auto"/>
          <w:highlight w:val="none"/>
        </w:rPr>
        <w:t>交通运输</w:t>
      </w:r>
      <w:r>
        <w:rPr>
          <w:color w:val="auto"/>
          <w:highlight w:val="none"/>
        </w:rPr>
        <w:tab/>
      </w:r>
      <w:r>
        <w:rPr>
          <w:color w:val="auto"/>
          <w:highlight w:val="none"/>
        </w:rPr>
        <w:fldChar w:fldCharType="begin"/>
      </w:r>
      <w:r>
        <w:rPr>
          <w:color w:val="auto"/>
          <w:highlight w:val="none"/>
        </w:rPr>
        <w:instrText xml:space="preserve"> PAGEREF _Toc43475799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18D89C7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"_Toc43475800" </w:instrText>
      </w:r>
      <w:r>
        <w:rPr>
          <w:color w:val="auto"/>
          <w:highlight w:val="none"/>
        </w:rPr>
        <w:fldChar w:fldCharType="separate"/>
      </w:r>
      <w:r>
        <w:rPr>
          <w:rStyle w:val="52"/>
          <w:rFonts w:ascii="宋体"/>
          <w:color w:val="auto"/>
          <w:highlight w:val="none"/>
        </w:rPr>
        <w:t xml:space="preserve">7.1 </w:t>
      </w:r>
      <w:r>
        <w:rPr>
          <w:rStyle w:val="52"/>
          <w:rFonts w:hint="eastAsia" w:ascii="宋体"/>
          <w:color w:val="auto"/>
          <w:highlight w:val="none"/>
        </w:rPr>
        <w:t>道路通行权和场外设施</w:t>
      </w:r>
      <w:r>
        <w:rPr>
          <w:color w:val="auto"/>
          <w:highlight w:val="none"/>
        </w:rPr>
        <w:tab/>
      </w:r>
      <w:r>
        <w:rPr>
          <w:color w:val="auto"/>
          <w:highlight w:val="none"/>
        </w:rPr>
        <w:fldChar w:fldCharType="begin"/>
      </w:r>
      <w:r>
        <w:rPr>
          <w:color w:val="auto"/>
          <w:highlight w:val="none"/>
        </w:rPr>
        <w:instrText xml:space="preserve"> PAGEREF _Toc43475800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00D45DB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"_Toc43475801" </w:instrText>
      </w:r>
      <w:r>
        <w:rPr>
          <w:color w:val="auto"/>
          <w:highlight w:val="none"/>
        </w:rPr>
        <w:fldChar w:fldCharType="separate"/>
      </w:r>
      <w:r>
        <w:rPr>
          <w:rStyle w:val="52"/>
          <w:rFonts w:ascii="宋体"/>
          <w:color w:val="auto"/>
          <w:highlight w:val="none"/>
        </w:rPr>
        <w:t xml:space="preserve">7.2 </w:t>
      </w:r>
      <w:r>
        <w:rPr>
          <w:rStyle w:val="52"/>
          <w:rFonts w:hint="eastAsia" w:ascii="宋体"/>
          <w:color w:val="auto"/>
          <w:highlight w:val="none"/>
        </w:rPr>
        <w:t>场内施工道路</w:t>
      </w:r>
      <w:r>
        <w:rPr>
          <w:color w:val="auto"/>
          <w:highlight w:val="none"/>
        </w:rPr>
        <w:tab/>
      </w:r>
      <w:r>
        <w:rPr>
          <w:color w:val="auto"/>
          <w:highlight w:val="none"/>
        </w:rPr>
        <w:fldChar w:fldCharType="begin"/>
      </w:r>
      <w:r>
        <w:rPr>
          <w:color w:val="auto"/>
          <w:highlight w:val="none"/>
        </w:rPr>
        <w:instrText xml:space="preserve"> PAGEREF _Toc43475801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2F453DF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"_Toc43475802" </w:instrText>
      </w:r>
      <w:r>
        <w:rPr>
          <w:color w:val="auto"/>
          <w:highlight w:val="none"/>
        </w:rPr>
        <w:fldChar w:fldCharType="separate"/>
      </w:r>
      <w:r>
        <w:rPr>
          <w:rStyle w:val="52"/>
          <w:rFonts w:ascii="宋体"/>
          <w:color w:val="auto"/>
          <w:highlight w:val="none"/>
        </w:rPr>
        <w:t xml:space="preserve">7.3 </w:t>
      </w:r>
      <w:r>
        <w:rPr>
          <w:rStyle w:val="52"/>
          <w:rFonts w:hint="eastAsia" w:ascii="宋体"/>
          <w:color w:val="auto"/>
          <w:highlight w:val="none"/>
        </w:rPr>
        <w:t>场外交通</w:t>
      </w:r>
      <w:r>
        <w:rPr>
          <w:color w:val="auto"/>
          <w:highlight w:val="none"/>
        </w:rPr>
        <w:tab/>
      </w:r>
      <w:r>
        <w:rPr>
          <w:color w:val="auto"/>
          <w:highlight w:val="none"/>
        </w:rPr>
        <w:fldChar w:fldCharType="begin"/>
      </w:r>
      <w:r>
        <w:rPr>
          <w:color w:val="auto"/>
          <w:highlight w:val="none"/>
        </w:rPr>
        <w:instrText xml:space="preserve"> PAGEREF _Toc43475802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73B9BED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"_Toc43475803" </w:instrText>
      </w:r>
      <w:r>
        <w:rPr>
          <w:color w:val="auto"/>
          <w:highlight w:val="none"/>
        </w:rPr>
        <w:fldChar w:fldCharType="separate"/>
      </w:r>
      <w:r>
        <w:rPr>
          <w:rStyle w:val="52"/>
          <w:rFonts w:ascii="宋体"/>
          <w:color w:val="auto"/>
          <w:highlight w:val="none"/>
        </w:rPr>
        <w:t xml:space="preserve">7.4 </w:t>
      </w:r>
      <w:r>
        <w:rPr>
          <w:rStyle w:val="52"/>
          <w:rFonts w:hint="eastAsia" w:ascii="宋体"/>
          <w:color w:val="auto"/>
          <w:highlight w:val="none"/>
        </w:rPr>
        <w:t>超大件和超重件的运输</w:t>
      </w:r>
      <w:r>
        <w:rPr>
          <w:color w:val="auto"/>
          <w:highlight w:val="none"/>
        </w:rPr>
        <w:tab/>
      </w:r>
      <w:r>
        <w:rPr>
          <w:color w:val="auto"/>
          <w:highlight w:val="none"/>
        </w:rPr>
        <w:fldChar w:fldCharType="begin"/>
      </w:r>
      <w:r>
        <w:rPr>
          <w:color w:val="auto"/>
          <w:highlight w:val="none"/>
        </w:rPr>
        <w:instrText xml:space="preserve"> PAGEREF _Toc43475803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4C3B625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"_Toc43475804" </w:instrText>
      </w:r>
      <w:r>
        <w:rPr>
          <w:color w:val="auto"/>
          <w:highlight w:val="none"/>
        </w:rPr>
        <w:fldChar w:fldCharType="separate"/>
      </w:r>
      <w:r>
        <w:rPr>
          <w:rStyle w:val="52"/>
          <w:rFonts w:ascii="宋体"/>
          <w:color w:val="auto"/>
          <w:highlight w:val="none"/>
        </w:rPr>
        <w:t xml:space="preserve">7.5 </w:t>
      </w:r>
      <w:r>
        <w:rPr>
          <w:rStyle w:val="52"/>
          <w:rFonts w:hint="eastAsia" w:ascii="宋体"/>
          <w:color w:val="auto"/>
          <w:highlight w:val="none"/>
        </w:rPr>
        <w:t>道路和桥梁的损坏责任</w:t>
      </w:r>
      <w:r>
        <w:rPr>
          <w:color w:val="auto"/>
          <w:highlight w:val="none"/>
        </w:rPr>
        <w:tab/>
      </w:r>
      <w:r>
        <w:rPr>
          <w:color w:val="auto"/>
          <w:highlight w:val="none"/>
        </w:rPr>
        <w:fldChar w:fldCharType="begin"/>
      </w:r>
      <w:r>
        <w:rPr>
          <w:color w:val="auto"/>
          <w:highlight w:val="none"/>
        </w:rPr>
        <w:instrText xml:space="preserve"> PAGEREF _Toc43475804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4F6EB85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"_Toc43475805" </w:instrText>
      </w:r>
      <w:r>
        <w:rPr>
          <w:color w:val="auto"/>
          <w:highlight w:val="none"/>
        </w:rPr>
        <w:fldChar w:fldCharType="separate"/>
      </w:r>
      <w:r>
        <w:rPr>
          <w:rStyle w:val="52"/>
          <w:rFonts w:ascii="宋体"/>
          <w:color w:val="auto"/>
          <w:highlight w:val="none"/>
        </w:rPr>
        <w:t xml:space="preserve">7.6 </w:t>
      </w:r>
      <w:r>
        <w:rPr>
          <w:rStyle w:val="52"/>
          <w:rFonts w:hint="eastAsia" w:ascii="宋体"/>
          <w:color w:val="auto"/>
          <w:highlight w:val="none"/>
        </w:rPr>
        <w:t>水路和航空运输</w:t>
      </w:r>
      <w:r>
        <w:rPr>
          <w:color w:val="auto"/>
          <w:highlight w:val="none"/>
        </w:rPr>
        <w:tab/>
      </w:r>
      <w:r>
        <w:rPr>
          <w:color w:val="auto"/>
          <w:highlight w:val="none"/>
        </w:rPr>
        <w:fldChar w:fldCharType="begin"/>
      </w:r>
      <w:r>
        <w:rPr>
          <w:color w:val="auto"/>
          <w:highlight w:val="none"/>
        </w:rPr>
        <w:instrText xml:space="preserve"> PAGEREF _Toc43475805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5BFB0D5C">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"_Toc43475806" </w:instrText>
      </w:r>
      <w:r>
        <w:rPr>
          <w:color w:val="auto"/>
          <w:highlight w:val="none"/>
        </w:rPr>
        <w:fldChar w:fldCharType="separate"/>
      </w:r>
      <w:r>
        <w:rPr>
          <w:rStyle w:val="52"/>
          <w:rFonts w:ascii="宋体" w:hAnsi="宋体"/>
          <w:color w:val="auto"/>
          <w:highlight w:val="none"/>
        </w:rPr>
        <w:t xml:space="preserve">8. </w:t>
      </w:r>
      <w:r>
        <w:rPr>
          <w:rStyle w:val="52"/>
          <w:rFonts w:hint="eastAsia" w:ascii="宋体" w:hAnsi="宋体"/>
          <w:color w:val="auto"/>
          <w:highlight w:val="none"/>
        </w:rPr>
        <w:t>测量放线</w:t>
      </w:r>
      <w:r>
        <w:rPr>
          <w:color w:val="auto"/>
          <w:highlight w:val="none"/>
        </w:rPr>
        <w:tab/>
      </w:r>
      <w:r>
        <w:rPr>
          <w:color w:val="auto"/>
          <w:highlight w:val="none"/>
        </w:rPr>
        <w:fldChar w:fldCharType="begin"/>
      </w:r>
      <w:r>
        <w:rPr>
          <w:color w:val="auto"/>
          <w:highlight w:val="none"/>
        </w:rPr>
        <w:instrText xml:space="preserve"> PAGEREF _Toc43475806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02F9B6E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"_Toc43475807" </w:instrText>
      </w:r>
      <w:r>
        <w:rPr>
          <w:color w:val="auto"/>
          <w:highlight w:val="none"/>
        </w:rPr>
        <w:fldChar w:fldCharType="separate"/>
      </w:r>
      <w:r>
        <w:rPr>
          <w:rStyle w:val="52"/>
          <w:rFonts w:ascii="宋体"/>
          <w:color w:val="auto"/>
          <w:highlight w:val="none"/>
        </w:rPr>
        <w:t xml:space="preserve">8.1 </w:t>
      </w:r>
      <w:r>
        <w:rPr>
          <w:rStyle w:val="52"/>
          <w:rFonts w:hint="eastAsia" w:ascii="宋体"/>
          <w:color w:val="auto"/>
          <w:highlight w:val="none"/>
        </w:rPr>
        <w:t>施工控制网</w:t>
      </w:r>
      <w:r>
        <w:rPr>
          <w:color w:val="auto"/>
          <w:highlight w:val="none"/>
        </w:rPr>
        <w:tab/>
      </w:r>
      <w:r>
        <w:rPr>
          <w:color w:val="auto"/>
          <w:highlight w:val="none"/>
        </w:rPr>
        <w:fldChar w:fldCharType="begin"/>
      </w:r>
      <w:r>
        <w:rPr>
          <w:color w:val="auto"/>
          <w:highlight w:val="none"/>
        </w:rPr>
        <w:instrText xml:space="preserve"> PAGEREF _Toc43475807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0696309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"_Toc43475808" </w:instrText>
      </w:r>
      <w:r>
        <w:rPr>
          <w:color w:val="auto"/>
          <w:highlight w:val="none"/>
        </w:rPr>
        <w:fldChar w:fldCharType="separate"/>
      </w:r>
      <w:r>
        <w:rPr>
          <w:rStyle w:val="52"/>
          <w:rFonts w:ascii="宋体"/>
          <w:color w:val="auto"/>
          <w:highlight w:val="none"/>
        </w:rPr>
        <w:t xml:space="preserve">8.2 </w:t>
      </w:r>
      <w:r>
        <w:rPr>
          <w:rStyle w:val="52"/>
          <w:rFonts w:hint="eastAsia" w:ascii="宋体"/>
          <w:color w:val="auto"/>
          <w:highlight w:val="none"/>
        </w:rPr>
        <w:t>施工测量</w:t>
      </w:r>
      <w:r>
        <w:rPr>
          <w:color w:val="auto"/>
          <w:highlight w:val="none"/>
        </w:rPr>
        <w:tab/>
      </w:r>
      <w:r>
        <w:rPr>
          <w:color w:val="auto"/>
          <w:highlight w:val="none"/>
        </w:rPr>
        <w:fldChar w:fldCharType="begin"/>
      </w:r>
      <w:r>
        <w:rPr>
          <w:color w:val="auto"/>
          <w:highlight w:val="none"/>
        </w:rPr>
        <w:instrText xml:space="preserve"> PAGEREF _Toc43475808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B1CDD1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"_Toc43475809" </w:instrText>
      </w:r>
      <w:r>
        <w:rPr>
          <w:color w:val="auto"/>
          <w:highlight w:val="none"/>
        </w:rPr>
        <w:fldChar w:fldCharType="separate"/>
      </w:r>
      <w:r>
        <w:rPr>
          <w:rStyle w:val="52"/>
          <w:rFonts w:ascii="宋体"/>
          <w:color w:val="auto"/>
          <w:highlight w:val="none"/>
        </w:rPr>
        <w:t xml:space="preserve">8.3 </w:t>
      </w:r>
      <w:r>
        <w:rPr>
          <w:rStyle w:val="52"/>
          <w:rFonts w:hint="eastAsia" w:ascii="宋体"/>
          <w:color w:val="auto"/>
          <w:highlight w:val="none"/>
        </w:rPr>
        <w:t>基准资料错误的责任</w:t>
      </w:r>
      <w:r>
        <w:rPr>
          <w:color w:val="auto"/>
          <w:highlight w:val="none"/>
        </w:rPr>
        <w:tab/>
      </w:r>
      <w:r>
        <w:rPr>
          <w:color w:val="auto"/>
          <w:highlight w:val="none"/>
        </w:rPr>
        <w:fldChar w:fldCharType="begin"/>
      </w:r>
      <w:r>
        <w:rPr>
          <w:color w:val="auto"/>
          <w:highlight w:val="none"/>
        </w:rPr>
        <w:instrText xml:space="preserve"> PAGEREF _Toc43475809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2E20F7C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"_Toc43475810" </w:instrText>
      </w:r>
      <w:r>
        <w:rPr>
          <w:color w:val="auto"/>
          <w:highlight w:val="none"/>
        </w:rPr>
        <w:fldChar w:fldCharType="separate"/>
      </w:r>
      <w:r>
        <w:rPr>
          <w:rStyle w:val="52"/>
          <w:rFonts w:ascii="宋体"/>
          <w:color w:val="auto"/>
          <w:highlight w:val="none"/>
        </w:rPr>
        <w:t xml:space="preserve">8.4 </w:t>
      </w:r>
      <w:r>
        <w:rPr>
          <w:rStyle w:val="52"/>
          <w:rFonts w:hint="eastAsia" w:ascii="宋体"/>
          <w:color w:val="auto"/>
          <w:highlight w:val="none"/>
        </w:rPr>
        <w:t>监理人使用施工控制网</w:t>
      </w:r>
      <w:r>
        <w:rPr>
          <w:color w:val="auto"/>
          <w:highlight w:val="none"/>
        </w:rPr>
        <w:tab/>
      </w:r>
      <w:r>
        <w:rPr>
          <w:color w:val="auto"/>
          <w:highlight w:val="none"/>
        </w:rPr>
        <w:fldChar w:fldCharType="begin"/>
      </w:r>
      <w:r>
        <w:rPr>
          <w:color w:val="auto"/>
          <w:highlight w:val="none"/>
        </w:rPr>
        <w:instrText xml:space="preserve"> PAGEREF _Toc43475810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632D7768">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"_Toc43475811" </w:instrText>
      </w:r>
      <w:r>
        <w:rPr>
          <w:color w:val="auto"/>
          <w:highlight w:val="none"/>
        </w:rPr>
        <w:fldChar w:fldCharType="separate"/>
      </w:r>
      <w:r>
        <w:rPr>
          <w:rStyle w:val="52"/>
          <w:rFonts w:ascii="宋体" w:hAnsi="宋体"/>
          <w:color w:val="auto"/>
          <w:highlight w:val="none"/>
        </w:rPr>
        <w:t xml:space="preserve">9. </w:t>
      </w:r>
      <w:r>
        <w:rPr>
          <w:rStyle w:val="52"/>
          <w:rFonts w:hint="eastAsia" w:ascii="宋体" w:hAnsi="宋体"/>
          <w:color w:val="auto"/>
          <w:highlight w:val="none"/>
        </w:rPr>
        <w:t>施工安全、治安保卫和环境保护</w:t>
      </w:r>
      <w:r>
        <w:rPr>
          <w:color w:val="auto"/>
          <w:highlight w:val="none"/>
        </w:rPr>
        <w:tab/>
      </w:r>
      <w:r>
        <w:rPr>
          <w:color w:val="auto"/>
          <w:highlight w:val="none"/>
        </w:rPr>
        <w:fldChar w:fldCharType="begin"/>
      </w:r>
      <w:r>
        <w:rPr>
          <w:color w:val="auto"/>
          <w:highlight w:val="none"/>
        </w:rPr>
        <w:instrText xml:space="preserve"> PAGEREF _Toc43475811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61A8437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"_Toc43475812" </w:instrText>
      </w:r>
      <w:r>
        <w:rPr>
          <w:color w:val="auto"/>
          <w:highlight w:val="none"/>
        </w:rPr>
        <w:fldChar w:fldCharType="separate"/>
      </w:r>
      <w:r>
        <w:rPr>
          <w:rStyle w:val="52"/>
          <w:rFonts w:ascii="宋体"/>
          <w:color w:val="auto"/>
          <w:highlight w:val="none"/>
        </w:rPr>
        <w:t xml:space="preserve">9.1 </w:t>
      </w:r>
      <w:r>
        <w:rPr>
          <w:rStyle w:val="52"/>
          <w:rFonts w:hint="eastAsia" w:ascii="宋体"/>
          <w:color w:val="auto"/>
          <w:highlight w:val="none"/>
        </w:rPr>
        <w:t>发包人的施工安全责任</w:t>
      </w:r>
      <w:r>
        <w:rPr>
          <w:color w:val="auto"/>
          <w:highlight w:val="none"/>
        </w:rPr>
        <w:tab/>
      </w:r>
      <w:r>
        <w:rPr>
          <w:color w:val="auto"/>
          <w:highlight w:val="none"/>
        </w:rPr>
        <w:fldChar w:fldCharType="begin"/>
      </w:r>
      <w:r>
        <w:rPr>
          <w:color w:val="auto"/>
          <w:highlight w:val="none"/>
        </w:rPr>
        <w:instrText xml:space="preserve"> PAGEREF _Toc43475812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371535A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"_Toc43475813" </w:instrText>
      </w:r>
      <w:r>
        <w:rPr>
          <w:color w:val="auto"/>
          <w:highlight w:val="none"/>
        </w:rPr>
        <w:fldChar w:fldCharType="separate"/>
      </w:r>
      <w:r>
        <w:rPr>
          <w:rStyle w:val="52"/>
          <w:rFonts w:ascii="宋体"/>
          <w:color w:val="auto"/>
          <w:highlight w:val="none"/>
        </w:rPr>
        <w:t xml:space="preserve">9.2 </w:t>
      </w:r>
      <w:r>
        <w:rPr>
          <w:rStyle w:val="52"/>
          <w:rFonts w:hint="eastAsia" w:ascii="宋体"/>
          <w:color w:val="auto"/>
          <w:highlight w:val="none"/>
        </w:rPr>
        <w:t>承包人的施工安全责任</w:t>
      </w:r>
      <w:r>
        <w:rPr>
          <w:color w:val="auto"/>
          <w:highlight w:val="none"/>
        </w:rPr>
        <w:tab/>
      </w:r>
      <w:r>
        <w:rPr>
          <w:color w:val="auto"/>
          <w:highlight w:val="none"/>
        </w:rPr>
        <w:fldChar w:fldCharType="begin"/>
      </w:r>
      <w:r>
        <w:rPr>
          <w:color w:val="auto"/>
          <w:highlight w:val="none"/>
        </w:rPr>
        <w:instrText xml:space="preserve"> PAGEREF _Toc43475813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46F0DEA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"_Toc43475814" </w:instrText>
      </w:r>
      <w:r>
        <w:rPr>
          <w:color w:val="auto"/>
          <w:highlight w:val="none"/>
        </w:rPr>
        <w:fldChar w:fldCharType="separate"/>
      </w:r>
      <w:r>
        <w:rPr>
          <w:rStyle w:val="52"/>
          <w:rFonts w:ascii="宋体"/>
          <w:color w:val="auto"/>
          <w:highlight w:val="none"/>
        </w:rPr>
        <w:t xml:space="preserve">9.3 </w:t>
      </w:r>
      <w:r>
        <w:rPr>
          <w:rStyle w:val="52"/>
          <w:rFonts w:hint="eastAsia" w:ascii="宋体"/>
          <w:color w:val="auto"/>
          <w:highlight w:val="none"/>
        </w:rPr>
        <w:t>治安保卫</w:t>
      </w:r>
      <w:r>
        <w:rPr>
          <w:color w:val="auto"/>
          <w:highlight w:val="none"/>
        </w:rPr>
        <w:tab/>
      </w:r>
      <w:r>
        <w:rPr>
          <w:color w:val="auto"/>
          <w:highlight w:val="none"/>
        </w:rPr>
        <w:fldChar w:fldCharType="begin"/>
      </w:r>
      <w:r>
        <w:rPr>
          <w:color w:val="auto"/>
          <w:highlight w:val="none"/>
        </w:rPr>
        <w:instrText xml:space="preserve"> PAGEREF _Toc43475814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270A48F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"_Toc43475815" </w:instrText>
      </w:r>
      <w:r>
        <w:rPr>
          <w:color w:val="auto"/>
          <w:highlight w:val="none"/>
        </w:rPr>
        <w:fldChar w:fldCharType="separate"/>
      </w:r>
      <w:r>
        <w:rPr>
          <w:rStyle w:val="52"/>
          <w:rFonts w:ascii="宋体"/>
          <w:color w:val="auto"/>
          <w:highlight w:val="none"/>
        </w:rPr>
        <w:t xml:space="preserve">9.4 </w:t>
      </w:r>
      <w:r>
        <w:rPr>
          <w:rStyle w:val="52"/>
          <w:rFonts w:hint="eastAsia" w:ascii="宋体"/>
          <w:color w:val="auto"/>
          <w:highlight w:val="none"/>
        </w:rPr>
        <w:t>环境保护</w:t>
      </w:r>
      <w:r>
        <w:rPr>
          <w:color w:val="auto"/>
          <w:highlight w:val="none"/>
        </w:rPr>
        <w:tab/>
      </w:r>
      <w:r>
        <w:rPr>
          <w:color w:val="auto"/>
          <w:highlight w:val="none"/>
        </w:rPr>
        <w:fldChar w:fldCharType="begin"/>
      </w:r>
      <w:r>
        <w:rPr>
          <w:color w:val="auto"/>
          <w:highlight w:val="none"/>
        </w:rPr>
        <w:instrText xml:space="preserve"> PAGEREF _Toc43475815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33C56EC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"_Toc43475816" </w:instrText>
      </w:r>
      <w:r>
        <w:rPr>
          <w:color w:val="auto"/>
          <w:highlight w:val="none"/>
        </w:rPr>
        <w:fldChar w:fldCharType="separate"/>
      </w:r>
      <w:r>
        <w:rPr>
          <w:rStyle w:val="52"/>
          <w:rFonts w:ascii="宋体"/>
          <w:color w:val="auto"/>
          <w:highlight w:val="none"/>
        </w:rPr>
        <w:t xml:space="preserve">9.5 </w:t>
      </w:r>
      <w:r>
        <w:rPr>
          <w:rStyle w:val="52"/>
          <w:rFonts w:hint="eastAsia" w:ascii="宋体"/>
          <w:color w:val="auto"/>
          <w:highlight w:val="none"/>
        </w:rPr>
        <w:t>事故处理</w:t>
      </w:r>
      <w:r>
        <w:rPr>
          <w:color w:val="auto"/>
          <w:highlight w:val="none"/>
        </w:rPr>
        <w:tab/>
      </w:r>
      <w:r>
        <w:rPr>
          <w:color w:val="auto"/>
          <w:highlight w:val="none"/>
        </w:rPr>
        <w:fldChar w:fldCharType="begin"/>
      </w:r>
      <w:r>
        <w:rPr>
          <w:color w:val="auto"/>
          <w:highlight w:val="none"/>
        </w:rPr>
        <w:instrText xml:space="preserve"> PAGEREF _Toc43475816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273DB1D6">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"_Toc43475817" </w:instrText>
      </w:r>
      <w:r>
        <w:rPr>
          <w:color w:val="auto"/>
          <w:highlight w:val="none"/>
        </w:rPr>
        <w:fldChar w:fldCharType="separate"/>
      </w:r>
      <w:r>
        <w:rPr>
          <w:rStyle w:val="52"/>
          <w:rFonts w:ascii="宋体" w:hAnsi="宋体"/>
          <w:color w:val="auto"/>
          <w:highlight w:val="none"/>
        </w:rPr>
        <w:t xml:space="preserve">10. </w:t>
      </w:r>
      <w:r>
        <w:rPr>
          <w:rStyle w:val="52"/>
          <w:rFonts w:hint="eastAsia" w:ascii="宋体" w:hAnsi="宋体"/>
          <w:color w:val="auto"/>
          <w:highlight w:val="none"/>
        </w:rPr>
        <w:t>进度计划</w:t>
      </w:r>
      <w:r>
        <w:rPr>
          <w:color w:val="auto"/>
          <w:highlight w:val="none"/>
        </w:rPr>
        <w:tab/>
      </w:r>
      <w:r>
        <w:rPr>
          <w:color w:val="auto"/>
          <w:highlight w:val="none"/>
        </w:rPr>
        <w:fldChar w:fldCharType="begin"/>
      </w:r>
      <w:r>
        <w:rPr>
          <w:color w:val="auto"/>
          <w:highlight w:val="none"/>
        </w:rPr>
        <w:instrText xml:space="preserve"> PAGEREF _Toc43475817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1A14401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"_Toc43475818" </w:instrText>
      </w:r>
      <w:r>
        <w:rPr>
          <w:color w:val="auto"/>
          <w:highlight w:val="none"/>
        </w:rPr>
        <w:fldChar w:fldCharType="separate"/>
      </w:r>
      <w:r>
        <w:rPr>
          <w:rStyle w:val="52"/>
          <w:rFonts w:ascii="宋体"/>
          <w:color w:val="auto"/>
          <w:highlight w:val="none"/>
        </w:rPr>
        <w:t xml:space="preserve">10.1 </w:t>
      </w:r>
      <w:r>
        <w:rPr>
          <w:rStyle w:val="52"/>
          <w:rFonts w:hint="eastAsia" w:ascii="宋体"/>
          <w:color w:val="auto"/>
          <w:highlight w:val="none"/>
        </w:rPr>
        <w:t>合同进度计划</w:t>
      </w:r>
      <w:r>
        <w:rPr>
          <w:color w:val="auto"/>
          <w:highlight w:val="none"/>
        </w:rPr>
        <w:tab/>
      </w:r>
      <w:r>
        <w:rPr>
          <w:color w:val="auto"/>
          <w:highlight w:val="none"/>
        </w:rPr>
        <w:fldChar w:fldCharType="begin"/>
      </w:r>
      <w:r>
        <w:rPr>
          <w:color w:val="auto"/>
          <w:highlight w:val="none"/>
        </w:rPr>
        <w:instrText xml:space="preserve"> PAGEREF _Toc43475818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6302009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"_Toc43475819" </w:instrText>
      </w:r>
      <w:r>
        <w:rPr>
          <w:color w:val="auto"/>
          <w:highlight w:val="none"/>
        </w:rPr>
        <w:fldChar w:fldCharType="separate"/>
      </w:r>
      <w:r>
        <w:rPr>
          <w:rStyle w:val="52"/>
          <w:rFonts w:ascii="宋体"/>
          <w:color w:val="auto"/>
          <w:highlight w:val="none"/>
        </w:rPr>
        <w:t xml:space="preserve">10.2 </w:t>
      </w:r>
      <w:r>
        <w:rPr>
          <w:rStyle w:val="52"/>
          <w:rFonts w:hint="eastAsia" w:ascii="宋体"/>
          <w:color w:val="auto"/>
          <w:highlight w:val="none"/>
        </w:rPr>
        <w:t>合同进度计划的修订</w:t>
      </w:r>
      <w:r>
        <w:rPr>
          <w:color w:val="auto"/>
          <w:highlight w:val="none"/>
        </w:rPr>
        <w:tab/>
      </w:r>
      <w:r>
        <w:rPr>
          <w:color w:val="auto"/>
          <w:highlight w:val="none"/>
        </w:rPr>
        <w:fldChar w:fldCharType="begin"/>
      </w:r>
      <w:r>
        <w:rPr>
          <w:color w:val="auto"/>
          <w:highlight w:val="none"/>
        </w:rPr>
        <w:instrText xml:space="preserve"> PAGEREF _Toc43475819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27C837FC">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"_Toc43475820" </w:instrText>
      </w:r>
      <w:r>
        <w:rPr>
          <w:color w:val="auto"/>
          <w:highlight w:val="none"/>
        </w:rPr>
        <w:fldChar w:fldCharType="separate"/>
      </w:r>
      <w:r>
        <w:rPr>
          <w:rStyle w:val="52"/>
          <w:rFonts w:ascii="宋体" w:hAnsi="宋体"/>
          <w:color w:val="auto"/>
          <w:highlight w:val="none"/>
        </w:rPr>
        <w:t xml:space="preserve">11. </w:t>
      </w:r>
      <w:r>
        <w:rPr>
          <w:rStyle w:val="52"/>
          <w:rFonts w:hint="eastAsia" w:ascii="宋体" w:hAnsi="宋体"/>
          <w:color w:val="auto"/>
          <w:highlight w:val="none"/>
        </w:rPr>
        <w:t>开工和竣工</w:t>
      </w:r>
      <w:r>
        <w:rPr>
          <w:color w:val="auto"/>
          <w:highlight w:val="none"/>
        </w:rPr>
        <w:tab/>
      </w:r>
      <w:r>
        <w:rPr>
          <w:color w:val="auto"/>
          <w:highlight w:val="none"/>
        </w:rPr>
        <w:fldChar w:fldCharType="begin"/>
      </w:r>
      <w:r>
        <w:rPr>
          <w:color w:val="auto"/>
          <w:highlight w:val="none"/>
        </w:rPr>
        <w:instrText xml:space="preserve"> PAGEREF _Toc43475820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09F0B4C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"_Toc43475821" </w:instrText>
      </w:r>
      <w:r>
        <w:rPr>
          <w:color w:val="auto"/>
          <w:highlight w:val="none"/>
        </w:rPr>
        <w:fldChar w:fldCharType="separate"/>
      </w:r>
      <w:r>
        <w:rPr>
          <w:rStyle w:val="52"/>
          <w:rFonts w:ascii="宋体"/>
          <w:color w:val="auto"/>
          <w:highlight w:val="none"/>
        </w:rPr>
        <w:t xml:space="preserve">11.1 </w:t>
      </w:r>
      <w:r>
        <w:rPr>
          <w:rStyle w:val="52"/>
          <w:rFonts w:hint="eastAsia" w:ascii="宋体"/>
          <w:color w:val="auto"/>
          <w:highlight w:val="none"/>
        </w:rPr>
        <w:t>开工</w:t>
      </w:r>
      <w:r>
        <w:rPr>
          <w:color w:val="auto"/>
          <w:highlight w:val="none"/>
        </w:rPr>
        <w:tab/>
      </w:r>
      <w:r>
        <w:rPr>
          <w:color w:val="auto"/>
          <w:highlight w:val="none"/>
        </w:rPr>
        <w:fldChar w:fldCharType="begin"/>
      </w:r>
      <w:r>
        <w:rPr>
          <w:color w:val="auto"/>
          <w:highlight w:val="none"/>
        </w:rPr>
        <w:instrText xml:space="preserve"> PAGEREF _Toc43475821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63E671A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"_Toc43475822" </w:instrText>
      </w:r>
      <w:r>
        <w:rPr>
          <w:color w:val="auto"/>
          <w:highlight w:val="none"/>
        </w:rPr>
        <w:fldChar w:fldCharType="separate"/>
      </w:r>
      <w:r>
        <w:rPr>
          <w:rStyle w:val="52"/>
          <w:rFonts w:ascii="宋体"/>
          <w:color w:val="auto"/>
          <w:highlight w:val="none"/>
        </w:rPr>
        <w:t xml:space="preserve">11.2 </w:t>
      </w:r>
      <w:r>
        <w:rPr>
          <w:rStyle w:val="52"/>
          <w:rFonts w:hint="eastAsia" w:ascii="宋体"/>
          <w:color w:val="auto"/>
          <w:highlight w:val="none"/>
        </w:rPr>
        <w:t>竣工</w:t>
      </w:r>
      <w:r>
        <w:rPr>
          <w:color w:val="auto"/>
          <w:highlight w:val="none"/>
        </w:rPr>
        <w:tab/>
      </w:r>
      <w:r>
        <w:rPr>
          <w:color w:val="auto"/>
          <w:highlight w:val="none"/>
        </w:rPr>
        <w:fldChar w:fldCharType="begin"/>
      </w:r>
      <w:r>
        <w:rPr>
          <w:color w:val="auto"/>
          <w:highlight w:val="none"/>
        </w:rPr>
        <w:instrText xml:space="preserve"> PAGEREF _Toc43475822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4946A8F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"_Toc43475823" </w:instrText>
      </w:r>
      <w:r>
        <w:rPr>
          <w:color w:val="auto"/>
          <w:highlight w:val="none"/>
        </w:rPr>
        <w:fldChar w:fldCharType="separate"/>
      </w:r>
      <w:r>
        <w:rPr>
          <w:rStyle w:val="52"/>
          <w:rFonts w:ascii="宋体"/>
          <w:color w:val="auto"/>
          <w:highlight w:val="none"/>
        </w:rPr>
        <w:t xml:space="preserve">11.3 </w:t>
      </w:r>
      <w:r>
        <w:rPr>
          <w:rStyle w:val="52"/>
          <w:rFonts w:hint="eastAsia" w:ascii="宋体"/>
          <w:color w:val="auto"/>
          <w:highlight w:val="none"/>
        </w:rPr>
        <w:t>发包人的工期延误</w:t>
      </w:r>
      <w:r>
        <w:rPr>
          <w:color w:val="auto"/>
          <w:highlight w:val="none"/>
        </w:rPr>
        <w:tab/>
      </w:r>
      <w:r>
        <w:rPr>
          <w:color w:val="auto"/>
          <w:highlight w:val="none"/>
        </w:rPr>
        <w:fldChar w:fldCharType="begin"/>
      </w:r>
      <w:r>
        <w:rPr>
          <w:color w:val="auto"/>
          <w:highlight w:val="none"/>
        </w:rPr>
        <w:instrText xml:space="preserve"> PAGEREF _Toc43475823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61FD4A7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"_Toc43475824" </w:instrText>
      </w:r>
      <w:r>
        <w:rPr>
          <w:color w:val="auto"/>
          <w:highlight w:val="none"/>
        </w:rPr>
        <w:fldChar w:fldCharType="separate"/>
      </w:r>
      <w:r>
        <w:rPr>
          <w:rStyle w:val="52"/>
          <w:rFonts w:ascii="宋体"/>
          <w:color w:val="auto"/>
          <w:highlight w:val="none"/>
        </w:rPr>
        <w:t xml:space="preserve">11.4 </w:t>
      </w:r>
      <w:r>
        <w:rPr>
          <w:rStyle w:val="52"/>
          <w:rFonts w:hint="eastAsia" w:ascii="宋体"/>
          <w:color w:val="auto"/>
          <w:highlight w:val="none"/>
        </w:rPr>
        <w:t>异常恶劣的气候条件</w:t>
      </w:r>
      <w:r>
        <w:rPr>
          <w:color w:val="auto"/>
          <w:highlight w:val="none"/>
        </w:rPr>
        <w:tab/>
      </w:r>
      <w:r>
        <w:rPr>
          <w:color w:val="auto"/>
          <w:highlight w:val="none"/>
        </w:rPr>
        <w:fldChar w:fldCharType="begin"/>
      </w:r>
      <w:r>
        <w:rPr>
          <w:color w:val="auto"/>
          <w:highlight w:val="none"/>
        </w:rPr>
        <w:instrText xml:space="preserve"> PAGEREF _Toc43475824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5885302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"_Toc43475825" </w:instrText>
      </w:r>
      <w:r>
        <w:rPr>
          <w:color w:val="auto"/>
          <w:highlight w:val="none"/>
        </w:rPr>
        <w:fldChar w:fldCharType="separate"/>
      </w:r>
      <w:r>
        <w:rPr>
          <w:rStyle w:val="52"/>
          <w:rFonts w:ascii="宋体"/>
          <w:color w:val="auto"/>
          <w:highlight w:val="none"/>
        </w:rPr>
        <w:t xml:space="preserve">11.5 </w:t>
      </w:r>
      <w:r>
        <w:rPr>
          <w:rStyle w:val="52"/>
          <w:rFonts w:hint="eastAsia" w:ascii="宋体"/>
          <w:color w:val="auto"/>
          <w:highlight w:val="none"/>
        </w:rPr>
        <w:t>承包人的工期延误</w:t>
      </w:r>
      <w:r>
        <w:rPr>
          <w:color w:val="auto"/>
          <w:highlight w:val="none"/>
        </w:rPr>
        <w:tab/>
      </w:r>
      <w:r>
        <w:rPr>
          <w:color w:val="auto"/>
          <w:highlight w:val="none"/>
        </w:rPr>
        <w:fldChar w:fldCharType="begin"/>
      </w:r>
      <w:r>
        <w:rPr>
          <w:color w:val="auto"/>
          <w:highlight w:val="none"/>
        </w:rPr>
        <w:instrText xml:space="preserve"> PAGEREF _Toc43475825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1423EBC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"_Toc43475826" </w:instrText>
      </w:r>
      <w:r>
        <w:rPr>
          <w:color w:val="auto"/>
          <w:highlight w:val="none"/>
        </w:rPr>
        <w:fldChar w:fldCharType="separate"/>
      </w:r>
      <w:r>
        <w:rPr>
          <w:rStyle w:val="52"/>
          <w:rFonts w:ascii="宋体"/>
          <w:color w:val="auto"/>
          <w:highlight w:val="none"/>
        </w:rPr>
        <w:t xml:space="preserve">11.6 </w:t>
      </w:r>
      <w:r>
        <w:rPr>
          <w:rStyle w:val="52"/>
          <w:rFonts w:hint="eastAsia" w:ascii="宋体"/>
          <w:color w:val="auto"/>
          <w:highlight w:val="none"/>
        </w:rPr>
        <w:t>工期提前</w:t>
      </w:r>
      <w:r>
        <w:rPr>
          <w:color w:val="auto"/>
          <w:highlight w:val="none"/>
        </w:rPr>
        <w:tab/>
      </w:r>
      <w:r>
        <w:rPr>
          <w:color w:val="auto"/>
          <w:highlight w:val="none"/>
        </w:rPr>
        <w:fldChar w:fldCharType="begin"/>
      </w:r>
      <w:r>
        <w:rPr>
          <w:color w:val="auto"/>
          <w:highlight w:val="none"/>
        </w:rPr>
        <w:instrText xml:space="preserve"> PAGEREF _Toc43475826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16055F57">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"_Toc43475827" </w:instrText>
      </w:r>
      <w:r>
        <w:rPr>
          <w:color w:val="auto"/>
          <w:highlight w:val="none"/>
        </w:rPr>
        <w:fldChar w:fldCharType="separate"/>
      </w:r>
      <w:r>
        <w:rPr>
          <w:rStyle w:val="52"/>
          <w:rFonts w:ascii="宋体" w:hAnsi="宋体"/>
          <w:color w:val="auto"/>
          <w:highlight w:val="none"/>
        </w:rPr>
        <w:t xml:space="preserve">12. </w:t>
      </w:r>
      <w:r>
        <w:rPr>
          <w:rStyle w:val="52"/>
          <w:rFonts w:hint="eastAsia" w:ascii="宋体" w:hAnsi="宋体"/>
          <w:color w:val="auto"/>
          <w:highlight w:val="none"/>
        </w:rPr>
        <w:t>暂停施工</w:t>
      </w:r>
      <w:r>
        <w:rPr>
          <w:color w:val="auto"/>
          <w:highlight w:val="none"/>
        </w:rPr>
        <w:tab/>
      </w:r>
      <w:r>
        <w:rPr>
          <w:color w:val="auto"/>
          <w:highlight w:val="none"/>
        </w:rPr>
        <w:fldChar w:fldCharType="begin"/>
      </w:r>
      <w:r>
        <w:rPr>
          <w:color w:val="auto"/>
          <w:highlight w:val="none"/>
        </w:rPr>
        <w:instrText xml:space="preserve"> PAGEREF _Toc43475827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2CEAF9F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"_Toc43475828" </w:instrText>
      </w:r>
      <w:r>
        <w:rPr>
          <w:color w:val="auto"/>
          <w:highlight w:val="none"/>
        </w:rPr>
        <w:fldChar w:fldCharType="separate"/>
      </w:r>
      <w:r>
        <w:rPr>
          <w:rStyle w:val="52"/>
          <w:rFonts w:ascii="宋体"/>
          <w:color w:val="auto"/>
          <w:highlight w:val="none"/>
        </w:rPr>
        <w:t xml:space="preserve">12.1 </w:t>
      </w:r>
      <w:r>
        <w:rPr>
          <w:rStyle w:val="52"/>
          <w:rFonts w:hint="eastAsia" w:ascii="宋体"/>
          <w:color w:val="auto"/>
          <w:highlight w:val="none"/>
        </w:rPr>
        <w:t>承包人暂停施工的责任</w:t>
      </w:r>
      <w:r>
        <w:rPr>
          <w:color w:val="auto"/>
          <w:highlight w:val="none"/>
        </w:rPr>
        <w:tab/>
      </w:r>
      <w:r>
        <w:rPr>
          <w:color w:val="auto"/>
          <w:highlight w:val="none"/>
        </w:rPr>
        <w:fldChar w:fldCharType="begin"/>
      </w:r>
      <w:r>
        <w:rPr>
          <w:color w:val="auto"/>
          <w:highlight w:val="none"/>
        </w:rPr>
        <w:instrText xml:space="preserve"> PAGEREF _Toc43475828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5770E42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"_Toc43475829" </w:instrText>
      </w:r>
      <w:r>
        <w:rPr>
          <w:color w:val="auto"/>
          <w:highlight w:val="none"/>
        </w:rPr>
        <w:fldChar w:fldCharType="separate"/>
      </w:r>
      <w:r>
        <w:rPr>
          <w:rStyle w:val="52"/>
          <w:rFonts w:ascii="宋体"/>
          <w:color w:val="auto"/>
          <w:highlight w:val="none"/>
        </w:rPr>
        <w:t xml:space="preserve">12.2 </w:t>
      </w:r>
      <w:r>
        <w:rPr>
          <w:rStyle w:val="52"/>
          <w:rFonts w:hint="eastAsia" w:ascii="宋体"/>
          <w:color w:val="auto"/>
          <w:highlight w:val="none"/>
        </w:rPr>
        <w:t>发包人暂停施工的责任</w:t>
      </w:r>
      <w:r>
        <w:rPr>
          <w:color w:val="auto"/>
          <w:highlight w:val="none"/>
        </w:rPr>
        <w:tab/>
      </w:r>
      <w:r>
        <w:rPr>
          <w:color w:val="auto"/>
          <w:highlight w:val="none"/>
        </w:rPr>
        <w:fldChar w:fldCharType="begin"/>
      </w:r>
      <w:r>
        <w:rPr>
          <w:color w:val="auto"/>
          <w:highlight w:val="none"/>
        </w:rPr>
        <w:instrText xml:space="preserve"> PAGEREF _Toc43475829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34F505A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"_Toc43475830" </w:instrText>
      </w:r>
      <w:r>
        <w:rPr>
          <w:color w:val="auto"/>
          <w:highlight w:val="none"/>
        </w:rPr>
        <w:fldChar w:fldCharType="separate"/>
      </w:r>
      <w:r>
        <w:rPr>
          <w:rStyle w:val="52"/>
          <w:rFonts w:ascii="宋体"/>
          <w:color w:val="auto"/>
          <w:highlight w:val="none"/>
        </w:rPr>
        <w:t xml:space="preserve">12.3 </w:t>
      </w:r>
      <w:r>
        <w:rPr>
          <w:rStyle w:val="52"/>
          <w:rFonts w:hint="eastAsia" w:ascii="宋体"/>
          <w:color w:val="auto"/>
          <w:highlight w:val="none"/>
        </w:rPr>
        <w:t>监理人暂停施工指示</w:t>
      </w:r>
      <w:r>
        <w:rPr>
          <w:color w:val="auto"/>
          <w:highlight w:val="none"/>
        </w:rPr>
        <w:tab/>
      </w:r>
      <w:r>
        <w:rPr>
          <w:color w:val="auto"/>
          <w:highlight w:val="none"/>
        </w:rPr>
        <w:fldChar w:fldCharType="begin"/>
      </w:r>
      <w:r>
        <w:rPr>
          <w:color w:val="auto"/>
          <w:highlight w:val="none"/>
        </w:rPr>
        <w:instrText xml:space="preserve"> PAGEREF _Toc43475830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76C9B30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"_Toc43475831" </w:instrText>
      </w:r>
      <w:r>
        <w:rPr>
          <w:color w:val="auto"/>
          <w:highlight w:val="none"/>
        </w:rPr>
        <w:fldChar w:fldCharType="separate"/>
      </w:r>
      <w:r>
        <w:rPr>
          <w:rStyle w:val="52"/>
          <w:rFonts w:ascii="宋体"/>
          <w:color w:val="auto"/>
          <w:highlight w:val="none"/>
        </w:rPr>
        <w:t xml:space="preserve">12.4 </w:t>
      </w:r>
      <w:r>
        <w:rPr>
          <w:rStyle w:val="52"/>
          <w:rFonts w:hint="eastAsia" w:ascii="宋体"/>
          <w:color w:val="auto"/>
          <w:highlight w:val="none"/>
        </w:rPr>
        <w:t>暂停施工后的复工</w:t>
      </w:r>
      <w:r>
        <w:rPr>
          <w:color w:val="auto"/>
          <w:highlight w:val="none"/>
        </w:rPr>
        <w:tab/>
      </w:r>
      <w:r>
        <w:rPr>
          <w:color w:val="auto"/>
          <w:highlight w:val="none"/>
        </w:rPr>
        <w:fldChar w:fldCharType="begin"/>
      </w:r>
      <w:r>
        <w:rPr>
          <w:color w:val="auto"/>
          <w:highlight w:val="none"/>
        </w:rPr>
        <w:instrText xml:space="preserve"> PAGEREF _Toc43475831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7CEB011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"_Toc43475832" </w:instrText>
      </w:r>
      <w:r>
        <w:rPr>
          <w:color w:val="auto"/>
          <w:highlight w:val="none"/>
        </w:rPr>
        <w:fldChar w:fldCharType="separate"/>
      </w:r>
      <w:r>
        <w:rPr>
          <w:rStyle w:val="52"/>
          <w:rFonts w:ascii="宋体"/>
          <w:color w:val="auto"/>
          <w:highlight w:val="none"/>
        </w:rPr>
        <w:t xml:space="preserve">12.5 </w:t>
      </w:r>
      <w:r>
        <w:rPr>
          <w:rStyle w:val="52"/>
          <w:rFonts w:hint="eastAsia" w:ascii="宋体"/>
          <w:color w:val="auto"/>
          <w:highlight w:val="none"/>
        </w:rPr>
        <w:t>暂停施工持续</w:t>
      </w:r>
      <w:r>
        <w:rPr>
          <w:rStyle w:val="52"/>
          <w:rFonts w:ascii="宋体"/>
          <w:color w:val="auto"/>
          <w:highlight w:val="none"/>
        </w:rPr>
        <w:t>56</w:t>
      </w:r>
      <w:r>
        <w:rPr>
          <w:rStyle w:val="52"/>
          <w:rFonts w:hint="eastAsia" w:ascii="宋体"/>
          <w:color w:val="auto"/>
          <w:highlight w:val="none"/>
        </w:rPr>
        <w:t>天以上</w:t>
      </w:r>
      <w:r>
        <w:rPr>
          <w:color w:val="auto"/>
          <w:highlight w:val="none"/>
        </w:rPr>
        <w:tab/>
      </w:r>
      <w:r>
        <w:rPr>
          <w:color w:val="auto"/>
          <w:highlight w:val="none"/>
        </w:rPr>
        <w:fldChar w:fldCharType="begin"/>
      </w:r>
      <w:r>
        <w:rPr>
          <w:color w:val="auto"/>
          <w:highlight w:val="none"/>
        </w:rPr>
        <w:instrText xml:space="preserve"> PAGEREF _Toc43475832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2F527158">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"_Toc43475833" </w:instrText>
      </w:r>
      <w:r>
        <w:rPr>
          <w:color w:val="auto"/>
          <w:highlight w:val="none"/>
        </w:rPr>
        <w:fldChar w:fldCharType="separate"/>
      </w:r>
      <w:r>
        <w:rPr>
          <w:rStyle w:val="52"/>
          <w:rFonts w:ascii="宋体" w:hAnsi="宋体"/>
          <w:color w:val="auto"/>
          <w:highlight w:val="none"/>
        </w:rPr>
        <w:t xml:space="preserve">13. </w:t>
      </w:r>
      <w:r>
        <w:rPr>
          <w:rStyle w:val="52"/>
          <w:rFonts w:hint="eastAsia" w:ascii="宋体" w:hAnsi="宋体"/>
          <w:color w:val="auto"/>
          <w:highlight w:val="none"/>
        </w:rPr>
        <w:t>工程质量</w:t>
      </w:r>
      <w:r>
        <w:rPr>
          <w:color w:val="auto"/>
          <w:highlight w:val="none"/>
        </w:rPr>
        <w:tab/>
      </w:r>
      <w:r>
        <w:rPr>
          <w:color w:val="auto"/>
          <w:highlight w:val="none"/>
        </w:rPr>
        <w:fldChar w:fldCharType="begin"/>
      </w:r>
      <w:r>
        <w:rPr>
          <w:color w:val="auto"/>
          <w:highlight w:val="none"/>
        </w:rPr>
        <w:instrText xml:space="preserve"> PAGEREF _Toc43475833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41A79D9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"_Toc43475834" </w:instrText>
      </w:r>
      <w:r>
        <w:rPr>
          <w:color w:val="auto"/>
          <w:highlight w:val="none"/>
        </w:rPr>
        <w:fldChar w:fldCharType="separate"/>
      </w:r>
      <w:r>
        <w:rPr>
          <w:rStyle w:val="52"/>
          <w:rFonts w:ascii="宋体"/>
          <w:color w:val="auto"/>
          <w:highlight w:val="none"/>
        </w:rPr>
        <w:t xml:space="preserve">13.1 </w:t>
      </w:r>
      <w:r>
        <w:rPr>
          <w:rStyle w:val="52"/>
          <w:rFonts w:hint="eastAsia" w:ascii="宋体"/>
          <w:color w:val="auto"/>
          <w:highlight w:val="none"/>
        </w:rPr>
        <w:t>工程质量要求</w:t>
      </w:r>
      <w:r>
        <w:rPr>
          <w:color w:val="auto"/>
          <w:highlight w:val="none"/>
        </w:rPr>
        <w:tab/>
      </w:r>
      <w:r>
        <w:rPr>
          <w:color w:val="auto"/>
          <w:highlight w:val="none"/>
        </w:rPr>
        <w:fldChar w:fldCharType="begin"/>
      </w:r>
      <w:r>
        <w:rPr>
          <w:color w:val="auto"/>
          <w:highlight w:val="none"/>
        </w:rPr>
        <w:instrText xml:space="preserve"> PAGEREF _Toc43475834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7DC2011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"_Toc43475835" </w:instrText>
      </w:r>
      <w:r>
        <w:rPr>
          <w:color w:val="auto"/>
          <w:highlight w:val="none"/>
        </w:rPr>
        <w:fldChar w:fldCharType="separate"/>
      </w:r>
      <w:r>
        <w:rPr>
          <w:rStyle w:val="52"/>
          <w:rFonts w:ascii="宋体"/>
          <w:color w:val="auto"/>
          <w:highlight w:val="none"/>
        </w:rPr>
        <w:t xml:space="preserve">13.2 </w:t>
      </w:r>
      <w:r>
        <w:rPr>
          <w:rStyle w:val="52"/>
          <w:rFonts w:hint="eastAsia" w:ascii="宋体"/>
          <w:color w:val="auto"/>
          <w:highlight w:val="none"/>
        </w:rPr>
        <w:t>承包人的质量管理</w:t>
      </w:r>
      <w:r>
        <w:rPr>
          <w:color w:val="auto"/>
          <w:highlight w:val="none"/>
        </w:rPr>
        <w:tab/>
      </w:r>
      <w:r>
        <w:rPr>
          <w:color w:val="auto"/>
          <w:highlight w:val="none"/>
        </w:rPr>
        <w:fldChar w:fldCharType="begin"/>
      </w:r>
      <w:r>
        <w:rPr>
          <w:color w:val="auto"/>
          <w:highlight w:val="none"/>
        </w:rPr>
        <w:instrText xml:space="preserve"> PAGEREF _Toc43475835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114E95A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"_Toc43475836" </w:instrText>
      </w:r>
      <w:r>
        <w:rPr>
          <w:color w:val="auto"/>
          <w:highlight w:val="none"/>
        </w:rPr>
        <w:fldChar w:fldCharType="separate"/>
      </w:r>
      <w:r>
        <w:rPr>
          <w:rStyle w:val="52"/>
          <w:rFonts w:ascii="宋体"/>
          <w:color w:val="auto"/>
          <w:highlight w:val="none"/>
        </w:rPr>
        <w:t xml:space="preserve">13.3 </w:t>
      </w:r>
      <w:r>
        <w:rPr>
          <w:rStyle w:val="52"/>
          <w:rFonts w:hint="eastAsia" w:ascii="宋体"/>
          <w:color w:val="auto"/>
          <w:highlight w:val="none"/>
        </w:rPr>
        <w:t>承包人的质量检查</w:t>
      </w:r>
      <w:r>
        <w:rPr>
          <w:color w:val="auto"/>
          <w:highlight w:val="none"/>
        </w:rPr>
        <w:tab/>
      </w:r>
      <w:r>
        <w:rPr>
          <w:color w:val="auto"/>
          <w:highlight w:val="none"/>
        </w:rPr>
        <w:fldChar w:fldCharType="begin"/>
      </w:r>
      <w:r>
        <w:rPr>
          <w:color w:val="auto"/>
          <w:highlight w:val="none"/>
        </w:rPr>
        <w:instrText xml:space="preserve"> PAGEREF _Toc43475836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2A48709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"_Toc43475837" </w:instrText>
      </w:r>
      <w:r>
        <w:rPr>
          <w:color w:val="auto"/>
          <w:highlight w:val="none"/>
        </w:rPr>
        <w:fldChar w:fldCharType="separate"/>
      </w:r>
      <w:r>
        <w:rPr>
          <w:rStyle w:val="52"/>
          <w:rFonts w:ascii="宋体"/>
          <w:color w:val="auto"/>
          <w:highlight w:val="none"/>
        </w:rPr>
        <w:t xml:space="preserve">13.4 </w:t>
      </w:r>
      <w:r>
        <w:rPr>
          <w:rStyle w:val="52"/>
          <w:rFonts w:hint="eastAsia" w:ascii="宋体"/>
          <w:color w:val="auto"/>
          <w:highlight w:val="none"/>
        </w:rPr>
        <w:t>监理人的质量检查</w:t>
      </w:r>
      <w:r>
        <w:rPr>
          <w:color w:val="auto"/>
          <w:highlight w:val="none"/>
        </w:rPr>
        <w:tab/>
      </w:r>
      <w:r>
        <w:rPr>
          <w:color w:val="auto"/>
          <w:highlight w:val="none"/>
        </w:rPr>
        <w:fldChar w:fldCharType="begin"/>
      </w:r>
      <w:r>
        <w:rPr>
          <w:color w:val="auto"/>
          <w:highlight w:val="none"/>
        </w:rPr>
        <w:instrText xml:space="preserve"> PAGEREF _Toc43475837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73624EC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"_Toc43475838" </w:instrText>
      </w:r>
      <w:r>
        <w:rPr>
          <w:color w:val="auto"/>
          <w:highlight w:val="none"/>
        </w:rPr>
        <w:fldChar w:fldCharType="separate"/>
      </w:r>
      <w:r>
        <w:rPr>
          <w:rStyle w:val="52"/>
          <w:rFonts w:ascii="宋体"/>
          <w:color w:val="auto"/>
          <w:highlight w:val="none"/>
        </w:rPr>
        <w:t xml:space="preserve">13.5 </w:t>
      </w:r>
      <w:r>
        <w:rPr>
          <w:rStyle w:val="52"/>
          <w:rFonts w:hint="eastAsia" w:ascii="宋体"/>
          <w:color w:val="auto"/>
          <w:highlight w:val="none"/>
        </w:rPr>
        <w:t>工程隐蔽部位覆盖前的检查</w:t>
      </w:r>
      <w:r>
        <w:rPr>
          <w:color w:val="auto"/>
          <w:highlight w:val="none"/>
        </w:rPr>
        <w:tab/>
      </w:r>
      <w:r>
        <w:rPr>
          <w:color w:val="auto"/>
          <w:highlight w:val="none"/>
        </w:rPr>
        <w:fldChar w:fldCharType="begin"/>
      </w:r>
      <w:r>
        <w:rPr>
          <w:color w:val="auto"/>
          <w:highlight w:val="none"/>
        </w:rPr>
        <w:instrText xml:space="preserve"> PAGEREF _Toc43475838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6418C7C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"_Toc43475839" </w:instrText>
      </w:r>
      <w:r>
        <w:rPr>
          <w:color w:val="auto"/>
          <w:highlight w:val="none"/>
        </w:rPr>
        <w:fldChar w:fldCharType="separate"/>
      </w:r>
      <w:r>
        <w:rPr>
          <w:rStyle w:val="52"/>
          <w:rFonts w:ascii="宋体"/>
          <w:color w:val="auto"/>
          <w:highlight w:val="none"/>
        </w:rPr>
        <w:t xml:space="preserve">13.6 </w:t>
      </w:r>
      <w:r>
        <w:rPr>
          <w:rStyle w:val="52"/>
          <w:rFonts w:hint="eastAsia" w:ascii="宋体"/>
          <w:color w:val="auto"/>
          <w:highlight w:val="none"/>
        </w:rPr>
        <w:t>清除不合格工程</w:t>
      </w:r>
      <w:r>
        <w:rPr>
          <w:color w:val="auto"/>
          <w:highlight w:val="none"/>
        </w:rPr>
        <w:tab/>
      </w:r>
      <w:r>
        <w:rPr>
          <w:color w:val="auto"/>
          <w:highlight w:val="none"/>
        </w:rPr>
        <w:fldChar w:fldCharType="begin"/>
      </w:r>
      <w:r>
        <w:rPr>
          <w:color w:val="auto"/>
          <w:highlight w:val="none"/>
        </w:rPr>
        <w:instrText xml:space="preserve"> PAGEREF _Toc43475839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2BD29063">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"_Toc43475840" </w:instrText>
      </w:r>
      <w:r>
        <w:rPr>
          <w:color w:val="auto"/>
          <w:highlight w:val="none"/>
        </w:rPr>
        <w:fldChar w:fldCharType="separate"/>
      </w:r>
      <w:r>
        <w:rPr>
          <w:rStyle w:val="52"/>
          <w:rFonts w:ascii="宋体" w:hAnsi="宋体"/>
          <w:color w:val="auto"/>
          <w:highlight w:val="none"/>
        </w:rPr>
        <w:t xml:space="preserve">14. </w:t>
      </w:r>
      <w:r>
        <w:rPr>
          <w:rStyle w:val="52"/>
          <w:rFonts w:hint="eastAsia" w:ascii="宋体" w:hAnsi="宋体"/>
          <w:color w:val="auto"/>
          <w:highlight w:val="none"/>
        </w:rPr>
        <w:t>试验和检验</w:t>
      </w:r>
      <w:r>
        <w:rPr>
          <w:color w:val="auto"/>
          <w:highlight w:val="none"/>
        </w:rPr>
        <w:tab/>
      </w:r>
      <w:r>
        <w:rPr>
          <w:color w:val="auto"/>
          <w:highlight w:val="none"/>
        </w:rPr>
        <w:fldChar w:fldCharType="begin"/>
      </w:r>
      <w:r>
        <w:rPr>
          <w:color w:val="auto"/>
          <w:highlight w:val="none"/>
        </w:rPr>
        <w:instrText xml:space="preserve"> PAGEREF _Toc43475840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652DEEF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"_Toc43475841" </w:instrText>
      </w:r>
      <w:r>
        <w:rPr>
          <w:color w:val="auto"/>
          <w:highlight w:val="none"/>
        </w:rPr>
        <w:fldChar w:fldCharType="separate"/>
      </w:r>
      <w:r>
        <w:rPr>
          <w:rStyle w:val="52"/>
          <w:rFonts w:ascii="宋体"/>
          <w:color w:val="auto"/>
          <w:highlight w:val="none"/>
        </w:rPr>
        <w:t xml:space="preserve">14.1 </w:t>
      </w:r>
      <w:r>
        <w:rPr>
          <w:rStyle w:val="52"/>
          <w:rFonts w:hint="eastAsia" w:ascii="宋体"/>
          <w:color w:val="auto"/>
          <w:highlight w:val="none"/>
        </w:rPr>
        <w:t>材料、工程设备和工程的试验和检验</w:t>
      </w:r>
      <w:r>
        <w:rPr>
          <w:color w:val="auto"/>
          <w:highlight w:val="none"/>
        </w:rPr>
        <w:tab/>
      </w:r>
      <w:r>
        <w:rPr>
          <w:color w:val="auto"/>
          <w:highlight w:val="none"/>
        </w:rPr>
        <w:fldChar w:fldCharType="begin"/>
      </w:r>
      <w:r>
        <w:rPr>
          <w:color w:val="auto"/>
          <w:highlight w:val="none"/>
        </w:rPr>
        <w:instrText xml:space="preserve"> PAGEREF _Toc43475841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1A4FD05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"_Toc43475842" </w:instrText>
      </w:r>
      <w:r>
        <w:rPr>
          <w:color w:val="auto"/>
          <w:highlight w:val="none"/>
        </w:rPr>
        <w:fldChar w:fldCharType="separate"/>
      </w:r>
      <w:r>
        <w:rPr>
          <w:rStyle w:val="52"/>
          <w:rFonts w:ascii="宋体"/>
          <w:color w:val="auto"/>
          <w:highlight w:val="none"/>
        </w:rPr>
        <w:t xml:space="preserve">14.2 </w:t>
      </w:r>
      <w:r>
        <w:rPr>
          <w:rStyle w:val="52"/>
          <w:rFonts w:hint="eastAsia" w:ascii="宋体"/>
          <w:color w:val="auto"/>
          <w:highlight w:val="none"/>
        </w:rPr>
        <w:t>现场材料试验</w:t>
      </w:r>
      <w:r>
        <w:rPr>
          <w:color w:val="auto"/>
          <w:highlight w:val="none"/>
        </w:rPr>
        <w:tab/>
      </w:r>
      <w:r>
        <w:rPr>
          <w:color w:val="auto"/>
          <w:highlight w:val="none"/>
        </w:rPr>
        <w:fldChar w:fldCharType="begin"/>
      </w:r>
      <w:r>
        <w:rPr>
          <w:color w:val="auto"/>
          <w:highlight w:val="none"/>
        </w:rPr>
        <w:instrText xml:space="preserve"> PAGEREF _Toc43475842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4A9B164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"_Toc43475843" </w:instrText>
      </w:r>
      <w:r>
        <w:rPr>
          <w:color w:val="auto"/>
          <w:highlight w:val="none"/>
        </w:rPr>
        <w:fldChar w:fldCharType="separate"/>
      </w:r>
      <w:r>
        <w:rPr>
          <w:rStyle w:val="52"/>
          <w:rFonts w:ascii="宋体"/>
          <w:color w:val="auto"/>
          <w:highlight w:val="none"/>
        </w:rPr>
        <w:t xml:space="preserve">14.3 </w:t>
      </w:r>
      <w:r>
        <w:rPr>
          <w:rStyle w:val="52"/>
          <w:rFonts w:hint="eastAsia" w:ascii="宋体"/>
          <w:color w:val="auto"/>
          <w:highlight w:val="none"/>
        </w:rPr>
        <w:t>现场工艺试验</w:t>
      </w:r>
      <w:r>
        <w:rPr>
          <w:color w:val="auto"/>
          <w:highlight w:val="none"/>
        </w:rPr>
        <w:tab/>
      </w:r>
      <w:r>
        <w:rPr>
          <w:color w:val="auto"/>
          <w:highlight w:val="none"/>
        </w:rPr>
        <w:fldChar w:fldCharType="begin"/>
      </w:r>
      <w:r>
        <w:rPr>
          <w:color w:val="auto"/>
          <w:highlight w:val="none"/>
        </w:rPr>
        <w:instrText xml:space="preserve"> PAGEREF _Toc43475843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5C4B7CB0">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"_Toc43475844" </w:instrText>
      </w:r>
      <w:r>
        <w:rPr>
          <w:color w:val="auto"/>
          <w:highlight w:val="none"/>
        </w:rPr>
        <w:fldChar w:fldCharType="separate"/>
      </w:r>
      <w:r>
        <w:rPr>
          <w:rStyle w:val="52"/>
          <w:rFonts w:ascii="宋体" w:hAnsi="宋体"/>
          <w:color w:val="auto"/>
          <w:highlight w:val="none"/>
        </w:rPr>
        <w:t xml:space="preserve">15. </w:t>
      </w:r>
      <w:r>
        <w:rPr>
          <w:rStyle w:val="52"/>
          <w:rFonts w:hint="eastAsia" w:ascii="宋体" w:hAnsi="宋体"/>
          <w:color w:val="auto"/>
          <w:highlight w:val="none"/>
        </w:rPr>
        <w:t>变更</w:t>
      </w:r>
      <w:r>
        <w:rPr>
          <w:color w:val="auto"/>
          <w:highlight w:val="none"/>
        </w:rPr>
        <w:tab/>
      </w:r>
      <w:r>
        <w:rPr>
          <w:color w:val="auto"/>
          <w:highlight w:val="none"/>
        </w:rPr>
        <w:fldChar w:fldCharType="begin"/>
      </w:r>
      <w:r>
        <w:rPr>
          <w:color w:val="auto"/>
          <w:highlight w:val="none"/>
        </w:rPr>
        <w:instrText xml:space="preserve"> PAGEREF _Toc43475844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752460C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"_Toc43475845" </w:instrText>
      </w:r>
      <w:r>
        <w:rPr>
          <w:color w:val="auto"/>
          <w:highlight w:val="none"/>
        </w:rPr>
        <w:fldChar w:fldCharType="separate"/>
      </w:r>
      <w:r>
        <w:rPr>
          <w:rStyle w:val="52"/>
          <w:rFonts w:ascii="宋体"/>
          <w:color w:val="auto"/>
          <w:highlight w:val="none"/>
        </w:rPr>
        <w:t xml:space="preserve">15.1 </w:t>
      </w:r>
      <w:r>
        <w:rPr>
          <w:rStyle w:val="52"/>
          <w:rFonts w:hint="eastAsia" w:ascii="宋体"/>
          <w:color w:val="auto"/>
          <w:highlight w:val="none"/>
        </w:rPr>
        <w:t>变更的范围和内容</w:t>
      </w:r>
      <w:r>
        <w:rPr>
          <w:color w:val="auto"/>
          <w:highlight w:val="none"/>
        </w:rPr>
        <w:tab/>
      </w:r>
      <w:r>
        <w:rPr>
          <w:color w:val="auto"/>
          <w:highlight w:val="none"/>
        </w:rPr>
        <w:fldChar w:fldCharType="begin"/>
      </w:r>
      <w:r>
        <w:rPr>
          <w:color w:val="auto"/>
          <w:highlight w:val="none"/>
        </w:rPr>
        <w:instrText xml:space="preserve"> PAGEREF _Toc43475845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725630E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"_Toc43475846" </w:instrText>
      </w:r>
      <w:r>
        <w:rPr>
          <w:color w:val="auto"/>
          <w:highlight w:val="none"/>
        </w:rPr>
        <w:fldChar w:fldCharType="separate"/>
      </w:r>
      <w:r>
        <w:rPr>
          <w:rStyle w:val="52"/>
          <w:rFonts w:ascii="宋体"/>
          <w:color w:val="auto"/>
          <w:highlight w:val="none"/>
        </w:rPr>
        <w:t xml:space="preserve">15.2 </w:t>
      </w:r>
      <w:r>
        <w:rPr>
          <w:rStyle w:val="52"/>
          <w:rFonts w:hint="eastAsia" w:ascii="宋体"/>
          <w:color w:val="auto"/>
          <w:highlight w:val="none"/>
        </w:rPr>
        <w:t>变更权</w:t>
      </w:r>
      <w:r>
        <w:rPr>
          <w:color w:val="auto"/>
          <w:highlight w:val="none"/>
        </w:rPr>
        <w:tab/>
      </w:r>
      <w:r>
        <w:rPr>
          <w:color w:val="auto"/>
          <w:highlight w:val="none"/>
        </w:rPr>
        <w:fldChar w:fldCharType="begin"/>
      </w:r>
      <w:r>
        <w:rPr>
          <w:color w:val="auto"/>
          <w:highlight w:val="none"/>
        </w:rPr>
        <w:instrText xml:space="preserve"> PAGEREF _Toc43475846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57AAFD3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"_Toc43475847" </w:instrText>
      </w:r>
      <w:r>
        <w:rPr>
          <w:color w:val="auto"/>
          <w:highlight w:val="none"/>
        </w:rPr>
        <w:fldChar w:fldCharType="separate"/>
      </w:r>
      <w:r>
        <w:rPr>
          <w:rStyle w:val="52"/>
          <w:rFonts w:ascii="宋体"/>
          <w:color w:val="auto"/>
          <w:highlight w:val="none"/>
        </w:rPr>
        <w:t xml:space="preserve">15.3 </w:t>
      </w:r>
      <w:r>
        <w:rPr>
          <w:rStyle w:val="52"/>
          <w:rFonts w:hint="eastAsia" w:ascii="宋体"/>
          <w:color w:val="auto"/>
          <w:highlight w:val="none"/>
        </w:rPr>
        <w:t>变更程序</w:t>
      </w:r>
      <w:r>
        <w:rPr>
          <w:color w:val="auto"/>
          <w:highlight w:val="none"/>
        </w:rPr>
        <w:tab/>
      </w:r>
      <w:r>
        <w:rPr>
          <w:color w:val="auto"/>
          <w:highlight w:val="none"/>
        </w:rPr>
        <w:fldChar w:fldCharType="begin"/>
      </w:r>
      <w:r>
        <w:rPr>
          <w:color w:val="auto"/>
          <w:highlight w:val="none"/>
        </w:rPr>
        <w:instrText xml:space="preserve"> PAGEREF _Toc43475847 \h </w:instrText>
      </w:r>
      <w:r>
        <w:rPr>
          <w:color w:val="auto"/>
          <w:highlight w:val="none"/>
        </w:rPr>
        <w:fldChar w:fldCharType="separate"/>
      </w:r>
      <w:r>
        <w:rPr>
          <w:color w:val="auto"/>
          <w:highlight w:val="none"/>
        </w:rPr>
        <w:t>89</w:t>
      </w:r>
      <w:r>
        <w:rPr>
          <w:color w:val="auto"/>
          <w:highlight w:val="none"/>
        </w:rPr>
        <w:fldChar w:fldCharType="end"/>
      </w:r>
      <w:r>
        <w:rPr>
          <w:color w:val="auto"/>
          <w:highlight w:val="none"/>
        </w:rPr>
        <w:fldChar w:fldCharType="end"/>
      </w:r>
    </w:p>
    <w:p w14:paraId="03C99A4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"_Toc43475848" </w:instrText>
      </w:r>
      <w:r>
        <w:rPr>
          <w:color w:val="auto"/>
          <w:highlight w:val="none"/>
        </w:rPr>
        <w:fldChar w:fldCharType="separate"/>
      </w:r>
      <w:r>
        <w:rPr>
          <w:rStyle w:val="52"/>
          <w:rFonts w:ascii="宋体"/>
          <w:color w:val="auto"/>
          <w:highlight w:val="none"/>
        </w:rPr>
        <w:t xml:space="preserve">15.4 </w:t>
      </w:r>
      <w:r>
        <w:rPr>
          <w:rStyle w:val="52"/>
          <w:rFonts w:hint="eastAsia" w:ascii="宋体"/>
          <w:color w:val="auto"/>
          <w:highlight w:val="none"/>
        </w:rPr>
        <w:t>变更的估价原则</w:t>
      </w:r>
      <w:r>
        <w:rPr>
          <w:color w:val="auto"/>
          <w:highlight w:val="none"/>
        </w:rPr>
        <w:tab/>
      </w:r>
      <w:r>
        <w:rPr>
          <w:color w:val="auto"/>
          <w:highlight w:val="none"/>
        </w:rPr>
        <w:fldChar w:fldCharType="begin"/>
      </w:r>
      <w:r>
        <w:rPr>
          <w:color w:val="auto"/>
          <w:highlight w:val="none"/>
        </w:rPr>
        <w:instrText xml:space="preserve"> PAGEREF _Toc43475848 \h </w:instrText>
      </w:r>
      <w:r>
        <w:rPr>
          <w:color w:val="auto"/>
          <w:highlight w:val="none"/>
        </w:rPr>
        <w:fldChar w:fldCharType="separate"/>
      </w:r>
      <w:r>
        <w:rPr>
          <w:color w:val="auto"/>
          <w:highlight w:val="none"/>
        </w:rPr>
        <w:t>89</w:t>
      </w:r>
      <w:r>
        <w:rPr>
          <w:color w:val="auto"/>
          <w:highlight w:val="none"/>
        </w:rPr>
        <w:fldChar w:fldCharType="end"/>
      </w:r>
      <w:r>
        <w:rPr>
          <w:color w:val="auto"/>
          <w:highlight w:val="none"/>
        </w:rPr>
        <w:fldChar w:fldCharType="end"/>
      </w:r>
    </w:p>
    <w:p w14:paraId="132986A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"_Toc43475849" </w:instrText>
      </w:r>
      <w:r>
        <w:rPr>
          <w:color w:val="auto"/>
          <w:highlight w:val="none"/>
        </w:rPr>
        <w:fldChar w:fldCharType="separate"/>
      </w:r>
      <w:r>
        <w:rPr>
          <w:rStyle w:val="52"/>
          <w:rFonts w:ascii="宋体"/>
          <w:color w:val="auto"/>
          <w:highlight w:val="none"/>
        </w:rPr>
        <w:t xml:space="preserve">15.5 </w:t>
      </w:r>
      <w:r>
        <w:rPr>
          <w:rStyle w:val="52"/>
          <w:rFonts w:hint="eastAsia" w:ascii="宋体"/>
          <w:color w:val="auto"/>
          <w:highlight w:val="none"/>
        </w:rPr>
        <w:t>承包人的合理化建议</w:t>
      </w:r>
      <w:r>
        <w:rPr>
          <w:color w:val="auto"/>
          <w:highlight w:val="none"/>
        </w:rPr>
        <w:tab/>
      </w:r>
      <w:r>
        <w:rPr>
          <w:color w:val="auto"/>
          <w:highlight w:val="none"/>
        </w:rPr>
        <w:fldChar w:fldCharType="begin"/>
      </w:r>
      <w:r>
        <w:rPr>
          <w:color w:val="auto"/>
          <w:highlight w:val="none"/>
        </w:rPr>
        <w:instrText xml:space="preserve"> PAGEREF _Toc43475849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242F118E">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"_Toc43475850" </w:instrText>
      </w:r>
      <w:r>
        <w:rPr>
          <w:color w:val="auto"/>
          <w:highlight w:val="none"/>
        </w:rPr>
        <w:fldChar w:fldCharType="separate"/>
      </w:r>
      <w:r>
        <w:rPr>
          <w:rStyle w:val="52"/>
          <w:rFonts w:ascii="宋体"/>
          <w:color w:val="auto"/>
          <w:highlight w:val="none"/>
        </w:rPr>
        <w:t xml:space="preserve">15.6 </w:t>
      </w:r>
      <w:r>
        <w:rPr>
          <w:rStyle w:val="52"/>
          <w:rFonts w:hint="eastAsia" w:ascii="宋体"/>
          <w:color w:val="auto"/>
          <w:highlight w:val="none"/>
        </w:rPr>
        <w:t>暂列金额</w:t>
      </w:r>
      <w:r>
        <w:rPr>
          <w:color w:val="auto"/>
          <w:highlight w:val="none"/>
        </w:rPr>
        <w:tab/>
      </w:r>
      <w:r>
        <w:rPr>
          <w:color w:val="auto"/>
          <w:highlight w:val="none"/>
        </w:rPr>
        <w:fldChar w:fldCharType="begin"/>
      </w:r>
      <w:r>
        <w:rPr>
          <w:color w:val="auto"/>
          <w:highlight w:val="none"/>
        </w:rPr>
        <w:instrText xml:space="preserve"> PAGEREF _Toc43475850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0BA2CF4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"_Toc43475851" </w:instrText>
      </w:r>
      <w:r>
        <w:rPr>
          <w:color w:val="auto"/>
          <w:highlight w:val="none"/>
        </w:rPr>
        <w:fldChar w:fldCharType="separate"/>
      </w:r>
      <w:r>
        <w:rPr>
          <w:rStyle w:val="52"/>
          <w:rFonts w:ascii="宋体"/>
          <w:color w:val="auto"/>
          <w:highlight w:val="none"/>
        </w:rPr>
        <w:t xml:space="preserve">15.7 </w:t>
      </w:r>
      <w:r>
        <w:rPr>
          <w:rStyle w:val="52"/>
          <w:rFonts w:hint="eastAsia" w:ascii="宋体"/>
          <w:color w:val="auto"/>
          <w:highlight w:val="none"/>
        </w:rPr>
        <w:t>计日工</w:t>
      </w:r>
      <w:r>
        <w:rPr>
          <w:color w:val="auto"/>
          <w:highlight w:val="none"/>
        </w:rPr>
        <w:tab/>
      </w:r>
      <w:r>
        <w:rPr>
          <w:color w:val="auto"/>
          <w:highlight w:val="none"/>
        </w:rPr>
        <w:fldChar w:fldCharType="begin"/>
      </w:r>
      <w:r>
        <w:rPr>
          <w:color w:val="auto"/>
          <w:highlight w:val="none"/>
        </w:rPr>
        <w:instrText xml:space="preserve"> PAGEREF _Toc43475851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5CE9237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"_Toc43475852" </w:instrText>
      </w:r>
      <w:r>
        <w:rPr>
          <w:color w:val="auto"/>
          <w:highlight w:val="none"/>
        </w:rPr>
        <w:fldChar w:fldCharType="separate"/>
      </w:r>
      <w:r>
        <w:rPr>
          <w:rStyle w:val="52"/>
          <w:rFonts w:ascii="宋体"/>
          <w:color w:val="auto"/>
          <w:highlight w:val="none"/>
        </w:rPr>
        <w:t xml:space="preserve">15.8 </w:t>
      </w:r>
      <w:r>
        <w:rPr>
          <w:rStyle w:val="52"/>
          <w:rFonts w:hint="eastAsia" w:ascii="宋体"/>
          <w:color w:val="auto"/>
          <w:highlight w:val="none"/>
        </w:rPr>
        <w:t>暂估价</w:t>
      </w:r>
      <w:r>
        <w:rPr>
          <w:color w:val="auto"/>
          <w:highlight w:val="none"/>
        </w:rPr>
        <w:tab/>
      </w:r>
      <w:r>
        <w:rPr>
          <w:color w:val="auto"/>
          <w:highlight w:val="none"/>
        </w:rPr>
        <w:fldChar w:fldCharType="begin"/>
      </w:r>
      <w:r>
        <w:rPr>
          <w:color w:val="auto"/>
          <w:highlight w:val="none"/>
        </w:rPr>
        <w:instrText xml:space="preserve"> PAGEREF _Toc43475852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43C7BA8C">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"_Toc43475853" </w:instrText>
      </w:r>
      <w:r>
        <w:rPr>
          <w:color w:val="auto"/>
          <w:highlight w:val="none"/>
        </w:rPr>
        <w:fldChar w:fldCharType="separate"/>
      </w:r>
      <w:r>
        <w:rPr>
          <w:rStyle w:val="52"/>
          <w:rFonts w:ascii="宋体" w:hAnsi="宋体"/>
          <w:color w:val="auto"/>
          <w:highlight w:val="none"/>
        </w:rPr>
        <w:t xml:space="preserve">16. </w:t>
      </w:r>
      <w:r>
        <w:rPr>
          <w:rStyle w:val="52"/>
          <w:rFonts w:hint="eastAsia" w:ascii="宋体" w:hAnsi="宋体"/>
          <w:color w:val="auto"/>
          <w:highlight w:val="none"/>
        </w:rPr>
        <w:t>价格调整</w:t>
      </w:r>
      <w:r>
        <w:rPr>
          <w:color w:val="auto"/>
          <w:highlight w:val="none"/>
        </w:rPr>
        <w:tab/>
      </w:r>
      <w:r>
        <w:rPr>
          <w:color w:val="auto"/>
          <w:highlight w:val="none"/>
        </w:rPr>
        <w:fldChar w:fldCharType="begin"/>
      </w:r>
      <w:r>
        <w:rPr>
          <w:color w:val="auto"/>
          <w:highlight w:val="none"/>
        </w:rPr>
        <w:instrText xml:space="preserve"> PAGEREF _Toc43475853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4CD2F87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"_Toc43475854" </w:instrText>
      </w:r>
      <w:r>
        <w:rPr>
          <w:color w:val="auto"/>
          <w:highlight w:val="none"/>
        </w:rPr>
        <w:fldChar w:fldCharType="separate"/>
      </w:r>
      <w:r>
        <w:rPr>
          <w:rStyle w:val="52"/>
          <w:rFonts w:ascii="宋体"/>
          <w:color w:val="auto"/>
          <w:highlight w:val="none"/>
        </w:rPr>
        <w:t xml:space="preserve">16.1 </w:t>
      </w:r>
      <w:r>
        <w:rPr>
          <w:rStyle w:val="52"/>
          <w:rFonts w:hint="eastAsia" w:ascii="宋体"/>
          <w:color w:val="auto"/>
          <w:highlight w:val="none"/>
        </w:rPr>
        <w:t>物价波动引起的价格调整</w:t>
      </w:r>
      <w:r>
        <w:rPr>
          <w:color w:val="auto"/>
          <w:highlight w:val="none"/>
        </w:rPr>
        <w:tab/>
      </w:r>
      <w:r>
        <w:rPr>
          <w:color w:val="auto"/>
          <w:highlight w:val="none"/>
        </w:rPr>
        <w:fldChar w:fldCharType="begin"/>
      </w:r>
      <w:r>
        <w:rPr>
          <w:color w:val="auto"/>
          <w:highlight w:val="none"/>
        </w:rPr>
        <w:instrText xml:space="preserve"> PAGEREF _Toc43475854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37A3264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"_Toc43475855" </w:instrText>
      </w:r>
      <w:r>
        <w:rPr>
          <w:color w:val="auto"/>
          <w:highlight w:val="none"/>
        </w:rPr>
        <w:fldChar w:fldCharType="separate"/>
      </w:r>
      <w:r>
        <w:rPr>
          <w:rStyle w:val="52"/>
          <w:rFonts w:ascii="宋体"/>
          <w:color w:val="auto"/>
          <w:highlight w:val="none"/>
        </w:rPr>
        <w:t xml:space="preserve">16.2 </w:t>
      </w:r>
      <w:r>
        <w:rPr>
          <w:rStyle w:val="52"/>
          <w:rFonts w:hint="eastAsia" w:ascii="宋体"/>
          <w:color w:val="auto"/>
          <w:highlight w:val="none"/>
        </w:rPr>
        <w:t>法律变化引起的价格调整</w:t>
      </w:r>
      <w:r>
        <w:rPr>
          <w:color w:val="auto"/>
          <w:highlight w:val="none"/>
        </w:rPr>
        <w:tab/>
      </w:r>
      <w:r>
        <w:rPr>
          <w:color w:val="auto"/>
          <w:highlight w:val="none"/>
        </w:rPr>
        <w:fldChar w:fldCharType="begin"/>
      </w:r>
      <w:r>
        <w:rPr>
          <w:color w:val="auto"/>
          <w:highlight w:val="none"/>
        </w:rPr>
        <w:instrText xml:space="preserve"> PAGEREF _Toc43475855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4A57A2E1">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"_Toc43475856" </w:instrText>
      </w:r>
      <w:r>
        <w:rPr>
          <w:color w:val="auto"/>
          <w:highlight w:val="none"/>
        </w:rPr>
        <w:fldChar w:fldCharType="separate"/>
      </w:r>
      <w:r>
        <w:rPr>
          <w:rStyle w:val="52"/>
          <w:rFonts w:ascii="宋体" w:hAnsi="宋体"/>
          <w:color w:val="auto"/>
          <w:highlight w:val="none"/>
        </w:rPr>
        <w:t xml:space="preserve">17. </w:t>
      </w:r>
      <w:r>
        <w:rPr>
          <w:rStyle w:val="52"/>
          <w:rFonts w:hint="eastAsia" w:ascii="宋体" w:hAnsi="宋体"/>
          <w:color w:val="auto"/>
          <w:highlight w:val="none"/>
        </w:rPr>
        <w:t>计量与支付</w:t>
      </w:r>
      <w:r>
        <w:rPr>
          <w:color w:val="auto"/>
          <w:highlight w:val="none"/>
        </w:rPr>
        <w:tab/>
      </w:r>
      <w:r>
        <w:rPr>
          <w:color w:val="auto"/>
          <w:highlight w:val="none"/>
        </w:rPr>
        <w:fldChar w:fldCharType="begin"/>
      </w:r>
      <w:r>
        <w:rPr>
          <w:color w:val="auto"/>
          <w:highlight w:val="none"/>
        </w:rPr>
        <w:instrText xml:space="preserve"> PAGEREF _Toc43475856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059C08C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"_Toc43475857" </w:instrText>
      </w:r>
      <w:r>
        <w:rPr>
          <w:color w:val="auto"/>
          <w:highlight w:val="none"/>
        </w:rPr>
        <w:fldChar w:fldCharType="separate"/>
      </w:r>
      <w:r>
        <w:rPr>
          <w:rStyle w:val="52"/>
          <w:rFonts w:ascii="宋体"/>
          <w:color w:val="auto"/>
          <w:highlight w:val="none"/>
        </w:rPr>
        <w:t xml:space="preserve">17.1 </w:t>
      </w:r>
      <w:r>
        <w:rPr>
          <w:rStyle w:val="52"/>
          <w:rFonts w:hint="eastAsia" w:ascii="宋体"/>
          <w:color w:val="auto"/>
          <w:highlight w:val="none"/>
        </w:rPr>
        <w:t>计量</w:t>
      </w:r>
      <w:r>
        <w:rPr>
          <w:color w:val="auto"/>
          <w:highlight w:val="none"/>
        </w:rPr>
        <w:tab/>
      </w:r>
      <w:r>
        <w:rPr>
          <w:color w:val="auto"/>
          <w:highlight w:val="none"/>
        </w:rPr>
        <w:fldChar w:fldCharType="begin"/>
      </w:r>
      <w:r>
        <w:rPr>
          <w:color w:val="auto"/>
          <w:highlight w:val="none"/>
        </w:rPr>
        <w:instrText xml:space="preserve"> PAGEREF _Toc43475857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11FE1B4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"_Toc43475858" </w:instrText>
      </w:r>
      <w:r>
        <w:rPr>
          <w:color w:val="auto"/>
          <w:highlight w:val="none"/>
        </w:rPr>
        <w:fldChar w:fldCharType="separate"/>
      </w:r>
      <w:r>
        <w:rPr>
          <w:rStyle w:val="52"/>
          <w:rFonts w:ascii="宋体"/>
          <w:color w:val="auto"/>
          <w:highlight w:val="none"/>
        </w:rPr>
        <w:t xml:space="preserve">17.2 </w:t>
      </w:r>
      <w:r>
        <w:rPr>
          <w:rStyle w:val="52"/>
          <w:rFonts w:hint="eastAsia" w:ascii="宋体"/>
          <w:color w:val="auto"/>
          <w:highlight w:val="none"/>
        </w:rPr>
        <w:t>预付款</w:t>
      </w:r>
      <w:r>
        <w:rPr>
          <w:color w:val="auto"/>
          <w:highlight w:val="none"/>
        </w:rPr>
        <w:tab/>
      </w:r>
      <w:r>
        <w:rPr>
          <w:color w:val="auto"/>
          <w:highlight w:val="none"/>
        </w:rPr>
        <w:fldChar w:fldCharType="begin"/>
      </w:r>
      <w:r>
        <w:rPr>
          <w:color w:val="auto"/>
          <w:highlight w:val="none"/>
        </w:rPr>
        <w:instrText xml:space="preserve"> PAGEREF _Toc43475858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4DEA509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"_Toc43475859" </w:instrText>
      </w:r>
      <w:r>
        <w:rPr>
          <w:color w:val="auto"/>
          <w:highlight w:val="none"/>
        </w:rPr>
        <w:fldChar w:fldCharType="separate"/>
      </w:r>
      <w:r>
        <w:rPr>
          <w:rStyle w:val="52"/>
          <w:rFonts w:ascii="宋体"/>
          <w:color w:val="auto"/>
          <w:highlight w:val="none"/>
        </w:rPr>
        <w:t xml:space="preserve">17.3 </w:t>
      </w:r>
      <w:r>
        <w:rPr>
          <w:rStyle w:val="52"/>
          <w:rFonts w:hint="eastAsia" w:ascii="宋体"/>
          <w:color w:val="auto"/>
          <w:highlight w:val="none"/>
        </w:rPr>
        <w:t>工程进度付款</w:t>
      </w:r>
      <w:r>
        <w:rPr>
          <w:color w:val="auto"/>
          <w:highlight w:val="none"/>
        </w:rPr>
        <w:tab/>
      </w:r>
      <w:r>
        <w:rPr>
          <w:color w:val="auto"/>
          <w:highlight w:val="none"/>
        </w:rPr>
        <w:fldChar w:fldCharType="begin"/>
      </w:r>
      <w:r>
        <w:rPr>
          <w:color w:val="auto"/>
          <w:highlight w:val="none"/>
        </w:rPr>
        <w:instrText xml:space="preserve"> PAGEREF _Toc43475859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5E8BE4C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"_Toc43475860" </w:instrText>
      </w:r>
      <w:r>
        <w:rPr>
          <w:color w:val="auto"/>
          <w:highlight w:val="none"/>
        </w:rPr>
        <w:fldChar w:fldCharType="separate"/>
      </w:r>
      <w:r>
        <w:rPr>
          <w:rStyle w:val="52"/>
          <w:rFonts w:ascii="宋体"/>
          <w:color w:val="auto"/>
          <w:highlight w:val="none"/>
        </w:rPr>
        <w:t xml:space="preserve">17.4 </w:t>
      </w:r>
      <w:r>
        <w:rPr>
          <w:rStyle w:val="52"/>
          <w:rFonts w:hint="eastAsia" w:ascii="宋体"/>
          <w:color w:val="auto"/>
          <w:highlight w:val="none"/>
        </w:rPr>
        <w:t>质量保证金</w:t>
      </w:r>
      <w:r>
        <w:rPr>
          <w:color w:val="auto"/>
          <w:highlight w:val="none"/>
        </w:rPr>
        <w:tab/>
      </w:r>
      <w:r>
        <w:rPr>
          <w:color w:val="auto"/>
          <w:highlight w:val="none"/>
        </w:rPr>
        <w:fldChar w:fldCharType="begin"/>
      </w:r>
      <w:r>
        <w:rPr>
          <w:color w:val="auto"/>
          <w:highlight w:val="none"/>
        </w:rPr>
        <w:instrText xml:space="preserve"> PAGEREF _Toc43475860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74358C0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"_Toc43475861" </w:instrText>
      </w:r>
      <w:r>
        <w:rPr>
          <w:color w:val="auto"/>
          <w:highlight w:val="none"/>
        </w:rPr>
        <w:fldChar w:fldCharType="separate"/>
      </w:r>
      <w:r>
        <w:rPr>
          <w:rStyle w:val="52"/>
          <w:rFonts w:ascii="宋体"/>
          <w:color w:val="auto"/>
          <w:highlight w:val="none"/>
        </w:rPr>
        <w:t xml:space="preserve">17.5 </w:t>
      </w:r>
      <w:r>
        <w:rPr>
          <w:rStyle w:val="52"/>
          <w:rFonts w:hint="eastAsia" w:ascii="宋体"/>
          <w:color w:val="auto"/>
          <w:highlight w:val="none"/>
        </w:rPr>
        <w:t>竣工结算</w:t>
      </w:r>
      <w:r>
        <w:rPr>
          <w:color w:val="auto"/>
          <w:highlight w:val="none"/>
        </w:rPr>
        <w:tab/>
      </w:r>
      <w:r>
        <w:rPr>
          <w:color w:val="auto"/>
          <w:highlight w:val="none"/>
        </w:rPr>
        <w:fldChar w:fldCharType="begin"/>
      </w:r>
      <w:r>
        <w:rPr>
          <w:color w:val="auto"/>
          <w:highlight w:val="none"/>
        </w:rPr>
        <w:instrText xml:space="preserve"> PAGEREF _Toc43475861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4EE20D8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"_Toc43475862" </w:instrText>
      </w:r>
      <w:r>
        <w:rPr>
          <w:color w:val="auto"/>
          <w:highlight w:val="none"/>
        </w:rPr>
        <w:fldChar w:fldCharType="separate"/>
      </w:r>
      <w:r>
        <w:rPr>
          <w:rStyle w:val="52"/>
          <w:rFonts w:ascii="宋体"/>
          <w:color w:val="auto"/>
          <w:highlight w:val="none"/>
        </w:rPr>
        <w:t xml:space="preserve">17.6 </w:t>
      </w:r>
      <w:r>
        <w:rPr>
          <w:rStyle w:val="52"/>
          <w:rFonts w:hint="eastAsia" w:ascii="宋体"/>
          <w:color w:val="auto"/>
          <w:highlight w:val="none"/>
        </w:rPr>
        <w:t>最终结清</w:t>
      </w:r>
      <w:r>
        <w:rPr>
          <w:color w:val="auto"/>
          <w:highlight w:val="none"/>
        </w:rPr>
        <w:tab/>
      </w:r>
      <w:r>
        <w:rPr>
          <w:color w:val="auto"/>
          <w:highlight w:val="none"/>
        </w:rPr>
        <w:fldChar w:fldCharType="begin"/>
      </w:r>
      <w:r>
        <w:rPr>
          <w:color w:val="auto"/>
          <w:highlight w:val="none"/>
        </w:rPr>
        <w:instrText xml:space="preserve"> PAGEREF _Toc43475862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45147A76">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"_Toc43475863" </w:instrText>
      </w:r>
      <w:r>
        <w:rPr>
          <w:color w:val="auto"/>
          <w:highlight w:val="none"/>
        </w:rPr>
        <w:fldChar w:fldCharType="separate"/>
      </w:r>
      <w:r>
        <w:rPr>
          <w:rStyle w:val="52"/>
          <w:rFonts w:ascii="宋体" w:hAnsi="宋体"/>
          <w:color w:val="auto"/>
          <w:highlight w:val="none"/>
        </w:rPr>
        <w:t xml:space="preserve">18. </w:t>
      </w:r>
      <w:r>
        <w:rPr>
          <w:rStyle w:val="52"/>
          <w:rFonts w:hint="eastAsia" w:ascii="宋体" w:hAnsi="宋体"/>
          <w:color w:val="auto"/>
          <w:highlight w:val="none"/>
        </w:rPr>
        <w:t>竣工验收</w:t>
      </w:r>
      <w:r>
        <w:rPr>
          <w:color w:val="auto"/>
          <w:highlight w:val="none"/>
        </w:rPr>
        <w:tab/>
      </w:r>
      <w:r>
        <w:rPr>
          <w:color w:val="auto"/>
          <w:highlight w:val="none"/>
        </w:rPr>
        <w:fldChar w:fldCharType="begin"/>
      </w:r>
      <w:r>
        <w:rPr>
          <w:color w:val="auto"/>
          <w:highlight w:val="none"/>
        </w:rPr>
        <w:instrText xml:space="preserve"> PAGEREF _Toc43475863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2303780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"_Toc43475864" </w:instrText>
      </w:r>
      <w:r>
        <w:rPr>
          <w:color w:val="auto"/>
          <w:highlight w:val="none"/>
        </w:rPr>
        <w:fldChar w:fldCharType="separate"/>
      </w:r>
      <w:r>
        <w:rPr>
          <w:rStyle w:val="52"/>
          <w:rFonts w:ascii="宋体"/>
          <w:color w:val="auto"/>
          <w:highlight w:val="none"/>
        </w:rPr>
        <w:t xml:space="preserve">18.1 </w:t>
      </w:r>
      <w:r>
        <w:rPr>
          <w:rStyle w:val="52"/>
          <w:rFonts w:hint="eastAsia" w:ascii="宋体"/>
          <w:color w:val="auto"/>
          <w:highlight w:val="none"/>
        </w:rPr>
        <w:t>竣工验收的含义</w:t>
      </w:r>
      <w:r>
        <w:rPr>
          <w:color w:val="auto"/>
          <w:highlight w:val="none"/>
        </w:rPr>
        <w:tab/>
      </w:r>
      <w:r>
        <w:rPr>
          <w:color w:val="auto"/>
          <w:highlight w:val="none"/>
        </w:rPr>
        <w:fldChar w:fldCharType="begin"/>
      </w:r>
      <w:r>
        <w:rPr>
          <w:color w:val="auto"/>
          <w:highlight w:val="none"/>
        </w:rPr>
        <w:instrText xml:space="preserve"> PAGEREF _Toc43475864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101B797F">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"_Toc43475865" </w:instrText>
      </w:r>
      <w:r>
        <w:rPr>
          <w:color w:val="auto"/>
          <w:highlight w:val="none"/>
        </w:rPr>
        <w:fldChar w:fldCharType="separate"/>
      </w:r>
      <w:r>
        <w:rPr>
          <w:rStyle w:val="52"/>
          <w:rFonts w:ascii="宋体"/>
          <w:color w:val="auto"/>
          <w:highlight w:val="none"/>
        </w:rPr>
        <w:t xml:space="preserve">18.2 </w:t>
      </w:r>
      <w:r>
        <w:rPr>
          <w:rStyle w:val="52"/>
          <w:rFonts w:hint="eastAsia" w:ascii="宋体"/>
          <w:color w:val="auto"/>
          <w:highlight w:val="none"/>
        </w:rPr>
        <w:t>竣工验收申请报告</w:t>
      </w:r>
      <w:r>
        <w:rPr>
          <w:color w:val="auto"/>
          <w:highlight w:val="none"/>
        </w:rPr>
        <w:tab/>
      </w:r>
      <w:r>
        <w:rPr>
          <w:color w:val="auto"/>
          <w:highlight w:val="none"/>
        </w:rPr>
        <w:fldChar w:fldCharType="begin"/>
      </w:r>
      <w:r>
        <w:rPr>
          <w:color w:val="auto"/>
          <w:highlight w:val="none"/>
        </w:rPr>
        <w:instrText xml:space="preserve"> PAGEREF _Toc43475865 \h </w:instrText>
      </w:r>
      <w:r>
        <w:rPr>
          <w:color w:val="auto"/>
          <w:highlight w:val="none"/>
        </w:rPr>
        <w:fldChar w:fldCharType="separate"/>
      </w:r>
      <w:r>
        <w:rPr>
          <w:color w:val="auto"/>
          <w:highlight w:val="none"/>
        </w:rPr>
        <w:t>96</w:t>
      </w:r>
      <w:r>
        <w:rPr>
          <w:color w:val="auto"/>
          <w:highlight w:val="none"/>
        </w:rPr>
        <w:fldChar w:fldCharType="end"/>
      </w:r>
      <w:r>
        <w:rPr>
          <w:color w:val="auto"/>
          <w:highlight w:val="none"/>
        </w:rPr>
        <w:fldChar w:fldCharType="end"/>
      </w:r>
    </w:p>
    <w:p w14:paraId="626E7A3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"_Toc43475866" </w:instrText>
      </w:r>
      <w:r>
        <w:rPr>
          <w:color w:val="auto"/>
          <w:highlight w:val="none"/>
        </w:rPr>
        <w:fldChar w:fldCharType="separate"/>
      </w:r>
      <w:r>
        <w:rPr>
          <w:rStyle w:val="52"/>
          <w:rFonts w:ascii="宋体"/>
          <w:color w:val="auto"/>
          <w:highlight w:val="none"/>
        </w:rPr>
        <w:t xml:space="preserve">18.3 </w:t>
      </w:r>
      <w:r>
        <w:rPr>
          <w:rStyle w:val="52"/>
          <w:rFonts w:hint="eastAsia" w:ascii="宋体"/>
          <w:color w:val="auto"/>
          <w:highlight w:val="none"/>
        </w:rPr>
        <w:t>验收</w:t>
      </w:r>
      <w:r>
        <w:rPr>
          <w:color w:val="auto"/>
          <w:highlight w:val="none"/>
        </w:rPr>
        <w:tab/>
      </w:r>
      <w:r>
        <w:rPr>
          <w:color w:val="auto"/>
          <w:highlight w:val="none"/>
        </w:rPr>
        <w:fldChar w:fldCharType="begin"/>
      </w:r>
      <w:r>
        <w:rPr>
          <w:color w:val="auto"/>
          <w:highlight w:val="none"/>
        </w:rPr>
        <w:instrText xml:space="preserve"> PAGEREF _Toc43475866 \h </w:instrText>
      </w:r>
      <w:r>
        <w:rPr>
          <w:color w:val="auto"/>
          <w:highlight w:val="none"/>
        </w:rPr>
        <w:fldChar w:fldCharType="separate"/>
      </w:r>
      <w:r>
        <w:rPr>
          <w:color w:val="auto"/>
          <w:highlight w:val="none"/>
        </w:rPr>
        <w:t>96</w:t>
      </w:r>
      <w:r>
        <w:rPr>
          <w:color w:val="auto"/>
          <w:highlight w:val="none"/>
        </w:rPr>
        <w:fldChar w:fldCharType="end"/>
      </w:r>
      <w:r>
        <w:rPr>
          <w:color w:val="auto"/>
          <w:highlight w:val="none"/>
        </w:rPr>
        <w:fldChar w:fldCharType="end"/>
      </w:r>
    </w:p>
    <w:p w14:paraId="0C6DF65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"_Toc43475867" </w:instrText>
      </w:r>
      <w:r>
        <w:rPr>
          <w:color w:val="auto"/>
          <w:highlight w:val="none"/>
        </w:rPr>
        <w:fldChar w:fldCharType="separate"/>
      </w:r>
      <w:r>
        <w:rPr>
          <w:rStyle w:val="52"/>
          <w:rFonts w:ascii="宋体"/>
          <w:color w:val="auto"/>
          <w:highlight w:val="none"/>
        </w:rPr>
        <w:t xml:space="preserve">18.4 </w:t>
      </w:r>
      <w:r>
        <w:rPr>
          <w:rStyle w:val="52"/>
          <w:rFonts w:hint="eastAsia" w:ascii="宋体"/>
          <w:color w:val="auto"/>
          <w:highlight w:val="none"/>
        </w:rPr>
        <w:t>单位工程验收</w:t>
      </w:r>
      <w:r>
        <w:rPr>
          <w:color w:val="auto"/>
          <w:highlight w:val="none"/>
        </w:rPr>
        <w:tab/>
      </w:r>
      <w:r>
        <w:rPr>
          <w:color w:val="auto"/>
          <w:highlight w:val="none"/>
        </w:rPr>
        <w:fldChar w:fldCharType="begin"/>
      </w:r>
      <w:r>
        <w:rPr>
          <w:color w:val="auto"/>
          <w:highlight w:val="none"/>
        </w:rPr>
        <w:instrText xml:space="preserve"> PAGEREF _Toc43475867 \h </w:instrText>
      </w:r>
      <w:r>
        <w:rPr>
          <w:color w:val="auto"/>
          <w:highlight w:val="none"/>
        </w:rPr>
        <w:fldChar w:fldCharType="separate"/>
      </w:r>
      <w:r>
        <w:rPr>
          <w:color w:val="auto"/>
          <w:highlight w:val="none"/>
        </w:rPr>
        <w:t>96</w:t>
      </w:r>
      <w:r>
        <w:rPr>
          <w:color w:val="auto"/>
          <w:highlight w:val="none"/>
        </w:rPr>
        <w:fldChar w:fldCharType="end"/>
      </w:r>
      <w:r>
        <w:rPr>
          <w:color w:val="auto"/>
          <w:highlight w:val="none"/>
        </w:rPr>
        <w:fldChar w:fldCharType="end"/>
      </w:r>
    </w:p>
    <w:p w14:paraId="1FCD684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"_Toc43475868" </w:instrText>
      </w:r>
      <w:r>
        <w:rPr>
          <w:color w:val="auto"/>
          <w:highlight w:val="none"/>
        </w:rPr>
        <w:fldChar w:fldCharType="separate"/>
      </w:r>
      <w:r>
        <w:rPr>
          <w:rStyle w:val="52"/>
          <w:rFonts w:ascii="宋体"/>
          <w:color w:val="auto"/>
          <w:highlight w:val="none"/>
        </w:rPr>
        <w:t xml:space="preserve">18.5 </w:t>
      </w:r>
      <w:r>
        <w:rPr>
          <w:rStyle w:val="52"/>
          <w:rFonts w:hint="eastAsia" w:ascii="宋体"/>
          <w:color w:val="auto"/>
          <w:highlight w:val="none"/>
        </w:rPr>
        <w:t>施工期运行</w:t>
      </w:r>
      <w:r>
        <w:rPr>
          <w:color w:val="auto"/>
          <w:highlight w:val="none"/>
        </w:rPr>
        <w:tab/>
      </w:r>
      <w:r>
        <w:rPr>
          <w:color w:val="auto"/>
          <w:highlight w:val="none"/>
        </w:rPr>
        <w:fldChar w:fldCharType="begin"/>
      </w:r>
      <w:r>
        <w:rPr>
          <w:color w:val="auto"/>
          <w:highlight w:val="none"/>
        </w:rPr>
        <w:instrText xml:space="preserve"> PAGEREF _Toc43475868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517FB0D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"_Toc43475869" </w:instrText>
      </w:r>
      <w:r>
        <w:rPr>
          <w:color w:val="auto"/>
          <w:highlight w:val="none"/>
        </w:rPr>
        <w:fldChar w:fldCharType="separate"/>
      </w:r>
      <w:r>
        <w:rPr>
          <w:rStyle w:val="52"/>
          <w:rFonts w:ascii="宋体"/>
          <w:color w:val="auto"/>
          <w:highlight w:val="none"/>
        </w:rPr>
        <w:t xml:space="preserve">18.6 </w:t>
      </w:r>
      <w:r>
        <w:rPr>
          <w:rStyle w:val="52"/>
          <w:rFonts w:hint="eastAsia" w:ascii="宋体"/>
          <w:color w:val="auto"/>
          <w:highlight w:val="none"/>
        </w:rPr>
        <w:t>试运行</w:t>
      </w:r>
      <w:r>
        <w:rPr>
          <w:color w:val="auto"/>
          <w:highlight w:val="none"/>
        </w:rPr>
        <w:tab/>
      </w:r>
      <w:r>
        <w:rPr>
          <w:color w:val="auto"/>
          <w:highlight w:val="none"/>
        </w:rPr>
        <w:fldChar w:fldCharType="begin"/>
      </w:r>
      <w:r>
        <w:rPr>
          <w:color w:val="auto"/>
          <w:highlight w:val="none"/>
        </w:rPr>
        <w:instrText xml:space="preserve"> PAGEREF _Toc43475869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2025ED15">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"_Toc43475870" </w:instrText>
      </w:r>
      <w:r>
        <w:rPr>
          <w:color w:val="auto"/>
          <w:highlight w:val="none"/>
        </w:rPr>
        <w:fldChar w:fldCharType="separate"/>
      </w:r>
      <w:r>
        <w:rPr>
          <w:rStyle w:val="52"/>
          <w:rFonts w:ascii="宋体"/>
          <w:color w:val="auto"/>
          <w:highlight w:val="none"/>
        </w:rPr>
        <w:t xml:space="preserve">18.7 </w:t>
      </w:r>
      <w:r>
        <w:rPr>
          <w:rStyle w:val="52"/>
          <w:rFonts w:hint="eastAsia" w:ascii="宋体"/>
          <w:color w:val="auto"/>
          <w:highlight w:val="none"/>
        </w:rPr>
        <w:t>竣工清场</w:t>
      </w:r>
      <w:r>
        <w:rPr>
          <w:color w:val="auto"/>
          <w:highlight w:val="none"/>
        </w:rPr>
        <w:tab/>
      </w:r>
      <w:r>
        <w:rPr>
          <w:color w:val="auto"/>
          <w:highlight w:val="none"/>
        </w:rPr>
        <w:fldChar w:fldCharType="begin"/>
      </w:r>
      <w:r>
        <w:rPr>
          <w:color w:val="auto"/>
          <w:highlight w:val="none"/>
        </w:rPr>
        <w:instrText xml:space="preserve"> PAGEREF _Toc43475870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6D95921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"_Toc43475871" </w:instrText>
      </w:r>
      <w:r>
        <w:rPr>
          <w:color w:val="auto"/>
          <w:highlight w:val="none"/>
        </w:rPr>
        <w:fldChar w:fldCharType="separate"/>
      </w:r>
      <w:r>
        <w:rPr>
          <w:rStyle w:val="52"/>
          <w:rFonts w:ascii="宋体"/>
          <w:color w:val="auto"/>
          <w:highlight w:val="none"/>
        </w:rPr>
        <w:t xml:space="preserve">18.8 </w:t>
      </w:r>
      <w:r>
        <w:rPr>
          <w:rStyle w:val="52"/>
          <w:rFonts w:hint="eastAsia" w:ascii="宋体"/>
          <w:color w:val="auto"/>
          <w:highlight w:val="none"/>
        </w:rPr>
        <w:t>施工队伍的撤离</w:t>
      </w:r>
      <w:r>
        <w:rPr>
          <w:color w:val="auto"/>
          <w:highlight w:val="none"/>
        </w:rPr>
        <w:tab/>
      </w:r>
      <w:r>
        <w:rPr>
          <w:color w:val="auto"/>
          <w:highlight w:val="none"/>
        </w:rPr>
        <w:fldChar w:fldCharType="begin"/>
      </w:r>
      <w:r>
        <w:rPr>
          <w:color w:val="auto"/>
          <w:highlight w:val="none"/>
        </w:rPr>
        <w:instrText xml:space="preserve"> PAGEREF _Toc43475871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6D03AEF8">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"_Toc43475872" </w:instrText>
      </w:r>
      <w:r>
        <w:rPr>
          <w:color w:val="auto"/>
          <w:highlight w:val="none"/>
        </w:rPr>
        <w:fldChar w:fldCharType="separate"/>
      </w:r>
      <w:r>
        <w:rPr>
          <w:rStyle w:val="52"/>
          <w:rFonts w:ascii="宋体" w:hAnsi="宋体"/>
          <w:color w:val="auto"/>
          <w:highlight w:val="none"/>
        </w:rPr>
        <w:t xml:space="preserve">19. </w:t>
      </w:r>
      <w:r>
        <w:rPr>
          <w:rStyle w:val="52"/>
          <w:rFonts w:hint="eastAsia" w:ascii="宋体" w:hAnsi="宋体"/>
          <w:color w:val="auto"/>
          <w:highlight w:val="none"/>
        </w:rPr>
        <w:t>缺陷责任与保修责任</w:t>
      </w:r>
      <w:r>
        <w:rPr>
          <w:color w:val="auto"/>
          <w:highlight w:val="none"/>
        </w:rPr>
        <w:tab/>
      </w:r>
      <w:r>
        <w:rPr>
          <w:color w:val="auto"/>
          <w:highlight w:val="none"/>
        </w:rPr>
        <w:fldChar w:fldCharType="begin"/>
      </w:r>
      <w:r>
        <w:rPr>
          <w:color w:val="auto"/>
          <w:highlight w:val="none"/>
        </w:rPr>
        <w:instrText xml:space="preserve"> PAGEREF _Toc43475872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3DBBD0A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"_Toc43475873" </w:instrText>
      </w:r>
      <w:r>
        <w:rPr>
          <w:color w:val="auto"/>
          <w:highlight w:val="none"/>
        </w:rPr>
        <w:fldChar w:fldCharType="separate"/>
      </w:r>
      <w:r>
        <w:rPr>
          <w:rStyle w:val="52"/>
          <w:rFonts w:ascii="宋体"/>
          <w:color w:val="auto"/>
          <w:highlight w:val="none"/>
        </w:rPr>
        <w:t xml:space="preserve">19.1 </w:t>
      </w:r>
      <w:r>
        <w:rPr>
          <w:rStyle w:val="52"/>
          <w:rFonts w:hint="eastAsia" w:ascii="宋体"/>
          <w:color w:val="auto"/>
          <w:highlight w:val="none"/>
        </w:rPr>
        <w:t>缺陷责任期的起算时间</w:t>
      </w:r>
      <w:r>
        <w:rPr>
          <w:color w:val="auto"/>
          <w:highlight w:val="none"/>
        </w:rPr>
        <w:tab/>
      </w:r>
      <w:r>
        <w:rPr>
          <w:color w:val="auto"/>
          <w:highlight w:val="none"/>
        </w:rPr>
        <w:fldChar w:fldCharType="begin"/>
      </w:r>
      <w:r>
        <w:rPr>
          <w:color w:val="auto"/>
          <w:highlight w:val="none"/>
        </w:rPr>
        <w:instrText xml:space="preserve"> PAGEREF _Toc43475873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12B6C2EF">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"_Toc43475874" </w:instrText>
      </w:r>
      <w:r>
        <w:rPr>
          <w:color w:val="auto"/>
          <w:highlight w:val="none"/>
        </w:rPr>
        <w:fldChar w:fldCharType="separate"/>
      </w:r>
      <w:r>
        <w:rPr>
          <w:rStyle w:val="52"/>
          <w:rFonts w:ascii="宋体"/>
          <w:color w:val="auto"/>
          <w:highlight w:val="none"/>
        </w:rPr>
        <w:t xml:space="preserve">19.2 </w:t>
      </w:r>
      <w:r>
        <w:rPr>
          <w:rStyle w:val="52"/>
          <w:rFonts w:hint="eastAsia" w:ascii="宋体"/>
          <w:color w:val="auto"/>
          <w:highlight w:val="none"/>
        </w:rPr>
        <w:t>缺陷责任</w:t>
      </w:r>
      <w:r>
        <w:rPr>
          <w:color w:val="auto"/>
          <w:highlight w:val="none"/>
        </w:rPr>
        <w:tab/>
      </w:r>
      <w:r>
        <w:rPr>
          <w:color w:val="auto"/>
          <w:highlight w:val="none"/>
        </w:rPr>
        <w:fldChar w:fldCharType="begin"/>
      </w:r>
      <w:r>
        <w:rPr>
          <w:color w:val="auto"/>
          <w:highlight w:val="none"/>
        </w:rPr>
        <w:instrText xml:space="preserve"> PAGEREF _Toc43475874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3B80D6B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"_Toc43475875" </w:instrText>
      </w:r>
      <w:r>
        <w:rPr>
          <w:color w:val="auto"/>
          <w:highlight w:val="none"/>
        </w:rPr>
        <w:fldChar w:fldCharType="separate"/>
      </w:r>
      <w:r>
        <w:rPr>
          <w:rStyle w:val="52"/>
          <w:rFonts w:ascii="宋体"/>
          <w:color w:val="auto"/>
          <w:highlight w:val="none"/>
        </w:rPr>
        <w:t xml:space="preserve">19.3 </w:t>
      </w:r>
      <w:r>
        <w:rPr>
          <w:rStyle w:val="52"/>
          <w:rFonts w:hint="eastAsia" w:ascii="宋体"/>
          <w:color w:val="auto"/>
          <w:highlight w:val="none"/>
        </w:rPr>
        <w:t>缺陷责任期的延长</w:t>
      </w:r>
      <w:r>
        <w:rPr>
          <w:color w:val="auto"/>
          <w:highlight w:val="none"/>
        </w:rPr>
        <w:tab/>
      </w:r>
      <w:r>
        <w:rPr>
          <w:color w:val="auto"/>
          <w:highlight w:val="none"/>
        </w:rPr>
        <w:fldChar w:fldCharType="begin"/>
      </w:r>
      <w:r>
        <w:rPr>
          <w:color w:val="auto"/>
          <w:highlight w:val="none"/>
        </w:rPr>
        <w:instrText xml:space="preserve"> PAGEREF _Toc43475875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65444068">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"_Toc43475876" </w:instrText>
      </w:r>
      <w:r>
        <w:rPr>
          <w:color w:val="auto"/>
          <w:highlight w:val="none"/>
        </w:rPr>
        <w:fldChar w:fldCharType="separate"/>
      </w:r>
      <w:r>
        <w:rPr>
          <w:rStyle w:val="52"/>
          <w:rFonts w:ascii="宋体"/>
          <w:color w:val="auto"/>
          <w:highlight w:val="none"/>
        </w:rPr>
        <w:t xml:space="preserve">19.4 </w:t>
      </w:r>
      <w:r>
        <w:rPr>
          <w:rStyle w:val="52"/>
          <w:rFonts w:hint="eastAsia" w:ascii="宋体"/>
          <w:color w:val="auto"/>
          <w:highlight w:val="none"/>
        </w:rPr>
        <w:t>进一步试验和试运行</w:t>
      </w:r>
      <w:r>
        <w:rPr>
          <w:color w:val="auto"/>
          <w:highlight w:val="none"/>
        </w:rPr>
        <w:tab/>
      </w:r>
      <w:r>
        <w:rPr>
          <w:color w:val="auto"/>
          <w:highlight w:val="none"/>
        </w:rPr>
        <w:fldChar w:fldCharType="begin"/>
      </w:r>
      <w:r>
        <w:rPr>
          <w:color w:val="auto"/>
          <w:highlight w:val="none"/>
        </w:rPr>
        <w:instrText xml:space="preserve"> PAGEREF _Toc43475876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7BA4F0A1">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"_Toc43475877" </w:instrText>
      </w:r>
      <w:r>
        <w:rPr>
          <w:color w:val="auto"/>
          <w:highlight w:val="none"/>
        </w:rPr>
        <w:fldChar w:fldCharType="separate"/>
      </w:r>
      <w:r>
        <w:rPr>
          <w:rStyle w:val="52"/>
          <w:rFonts w:ascii="宋体"/>
          <w:color w:val="auto"/>
          <w:highlight w:val="none"/>
        </w:rPr>
        <w:t xml:space="preserve">19.5 </w:t>
      </w:r>
      <w:r>
        <w:rPr>
          <w:rStyle w:val="52"/>
          <w:rFonts w:hint="eastAsia" w:ascii="宋体"/>
          <w:color w:val="auto"/>
          <w:highlight w:val="none"/>
        </w:rPr>
        <w:t>承包人的进入权</w:t>
      </w:r>
      <w:r>
        <w:rPr>
          <w:color w:val="auto"/>
          <w:highlight w:val="none"/>
        </w:rPr>
        <w:tab/>
      </w:r>
      <w:r>
        <w:rPr>
          <w:color w:val="auto"/>
          <w:highlight w:val="none"/>
        </w:rPr>
        <w:fldChar w:fldCharType="begin"/>
      </w:r>
      <w:r>
        <w:rPr>
          <w:color w:val="auto"/>
          <w:highlight w:val="none"/>
        </w:rPr>
        <w:instrText xml:space="preserve"> PAGEREF _Toc43475877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53C4A03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"_Toc43475878" </w:instrText>
      </w:r>
      <w:r>
        <w:rPr>
          <w:color w:val="auto"/>
          <w:highlight w:val="none"/>
        </w:rPr>
        <w:fldChar w:fldCharType="separate"/>
      </w:r>
      <w:r>
        <w:rPr>
          <w:rStyle w:val="52"/>
          <w:rFonts w:ascii="宋体"/>
          <w:color w:val="auto"/>
          <w:highlight w:val="none"/>
        </w:rPr>
        <w:t xml:space="preserve">19.6 </w:t>
      </w:r>
      <w:r>
        <w:rPr>
          <w:rStyle w:val="52"/>
          <w:rFonts w:hint="eastAsia" w:ascii="宋体"/>
          <w:color w:val="auto"/>
          <w:highlight w:val="none"/>
        </w:rPr>
        <w:t>缺陷责任期终止证书</w:t>
      </w:r>
      <w:r>
        <w:rPr>
          <w:color w:val="auto"/>
          <w:highlight w:val="none"/>
        </w:rPr>
        <w:tab/>
      </w:r>
      <w:r>
        <w:rPr>
          <w:color w:val="auto"/>
          <w:highlight w:val="none"/>
        </w:rPr>
        <w:fldChar w:fldCharType="begin"/>
      </w:r>
      <w:r>
        <w:rPr>
          <w:color w:val="auto"/>
          <w:highlight w:val="none"/>
        </w:rPr>
        <w:instrText xml:space="preserve"> PAGEREF _Toc43475878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1E2D716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"_Toc43475879" </w:instrText>
      </w:r>
      <w:r>
        <w:rPr>
          <w:color w:val="auto"/>
          <w:highlight w:val="none"/>
        </w:rPr>
        <w:fldChar w:fldCharType="separate"/>
      </w:r>
      <w:r>
        <w:rPr>
          <w:rStyle w:val="52"/>
          <w:rFonts w:ascii="宋体"/>
          <w:color w:val="auto"/>
          <w:highlight w:val="none"/>
        </w:rPr>
        <w:t xml:space="preserve">19.7 </w:t>
      </w:r>
      <w:r>
        <w:rPr>
          <w:rStyle w:val="52"/>
          <w:rFonts w:hint="eastAsia" w:ascii="宋体"/>
          <w:color w:val="auto"/>
          <w:highlight w:val="none"/>
        </w:rPr>
        <w:t>保修责任</w:t>
      </w:r>
      <w:r>
        <w:rPr>
          <w:color w:val="auto"/>
          <w:highlight w:val="none"/>
        </w:rPr>
        <w:tab/>
      </w:r>
      <w:r>
        <w:rPr>
          <w:color w:val="auto"/>
          <w:highlight w:val="none"/>
        </w:rPr>
        <w:fldChar w:fldCharType="begin"/>
      </w:r>
      <w:r>
        <w:rPr>
          <w:color w:val="auto"/>
          <w:highlight w:val="none"/>
        </w:rPr>
        <w:instrText xml:space="preserve"> PAGEREF _Toc43475879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48387669">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"_Toc43475880" </w:instrText>
      </w:r>
      <w:r>
        <w:rPr>
          <w:color w:val="auto"/>
          <w:highlight w:val="none"/>
        </w:rPr>
        <w:fldChar w:fldCharType="separate"/>
      </w:r>
      <w:r>
        <w:rPr>
          <w:rStyle w:val="52"/>
          <w:rFonts w:ascii="宋体" w:hAnsi="宋体"/>
          <w:color w:val="auto"/>
          <w:highlight w:val="none"/>
        </w:rPr>
        <w:t xml:space="preserve">20. </w:t>
      </w:r>
      <w:r>
        <w:rPr>
          <w:rStyle w:val="52"/>
          <w:rFonts w:hint="eastAsia" w:ascii="宋体" w:hAnsi="宋体"/>
          <w:color w:val="auto"/>
          <w:highlight w:val="none"/>
        </w:rPr>
        <w:t>保险</w:t>
      </w:r>
      <w:r>
        <w:rPr>
          <w:color w:val="auto"/>
          <w:highlight w:val="none"/>
        </w:rPr>
        <w:tab/>
      </w:r>
      <w:r>
        <w:rPr>
          <w:color w:val="auto"/>
          <w:highlight w:val="none"/>
        </w:rPr>
        <w:fldChar w:fldCharType="begin"/>
      </w:r>
      <w:r>
        <w:rPr>
          <w:color w:val="auto"/>
          <w:highlight w:val="none"/>
        </w:rPr>
        <w:instrText xml:space="preserve"> PAGEREF _Toc43475880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455D1596">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"_Toc43475881" </w:instrText>
      </w:r>
      <w:r>
        <w:rPr>
          <w:color w:val="auto"/>
          <w:highlight w:val="none"/>
        </w:rPr>
        <w:fldChar w:fldCharType="separate"/>
      </w:r>
      <w:r>
        <w:rPr>
          <w:rStyle w:val="52"/>
          <w:rFonts w:ascii="宋体"/>
          <w:color w:val="auto"/>
          <w:highlight w:val="none"/>
        </w:rPr>
        <w:t xml:space="preserve">20.1 </w:t>
      </w:r>
      <w:r>
        <w:rPr>
          <w:rStyle w:val="52"/>
          <w:rFonts w:hint="eastAsia" w:ascii="宋体"/>
          <w:color w:val="auto"/>
          <w:highlight w:val="none"/>
        </w:rPr>
        <w:t>工程保险</w:t>
      </w:r>
      <w:r>
        <w:rPr>
          <w:color w:val="auto"/>
          <w:highlight w:val="none"/>
        </w:rPr>
        <w:tab/>
      </w:r>
      <w:r>
        <w:rPr>
          <w:color w:val="auto"/>
          <w:highlight w:val="none"/>
        </w:rPr>
        <w:fldChar w:fldCharType="begin"/>
      </w:r>
      <w:r>
        <w:rPr>
          <w:color w:val="auto"/>
          <w:highlight w:val="none"/>
        </w:rPr>
        <w:instrText xml:space="preserve"> PAGEREF _Toc43475881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424CB92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"_Toc43475882" </w:instrText>
      </w:r>
      <w:r>
        <w:rPr>
          <w:color w:val="auto"/>
          <w:highlight w:val="none"/>
        </w:rPr>
        <w:fldChar w:fldCharType="separate"/>
      </w:r>
      <w:r>
        <w:rPr>
          <w:rStyle w:val="52"/>
          <w:rFonts w:ascii="宋体"/>
          <w:color w:val="auto"/>
          <w:highlight w:val="none"/>
        </w:rPr>
        <w:t xml:space="preserve">20.2 </w:t>
      </w:r>
      <w:r>
        <w:rPr>
          <w:rStyle w:val="52"/>
          <w:rFonts w:hint="eastAsia" w:ascii="宋体"/>
          <w:color w:val="auto"/>
          <w:highlight w:val="none"/>
        </w:rPr>
        <w:t>人员工伤事故的保险</w:t>
      </w:r>
      <w:r>
        <w:rPr>
          <w:color w:val="auto"/>
          <w:highlight w:val="none"/>
        </w:rPr>
        <w:tab/>
      </w:r>
      <w:r>
        <w:rPr>
          <w:color w:val="auto"/>
          <w:highlight w:val="none"/>
        </w:rPr>
        <w:fldChar w:fldCharType="begin"/>
      </w:r>
      <w:r>
        <w:rPr>
          <w:color w:val="auto"/>
          <w:highlight w:val="none"/>
        </w:rPr>
        <w:instrText xml:space="preserve"> PAGEREF _Toc43475882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664D023F">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"_Toc43475883" </w:instrText>
      </w:r>
      <w:r>
        <w:rPr>
          <w:color w:val="auto"/>
          <w:highlight w:val="none"/>
        </w:rPr>
        <w:fldChar w:fldCharType="separate"/>
      </w:r>
      <w:r>
        <w:rPr>
          <w:rStyle w:val="52"/>
          <w:rFonts w:ascii="宋体"/>
          <w:color w:val="auto"/>
          <w:highlight w:val="none"/>
        </w:rPr>
        <w:t xml:space="preserve">20.3 </w:t>
      </w:r>
      <w:r>
        <w:rPr>
          <w:rStyle w:val="52"/>
          <w:rFonts w:hint="eastAsia" w:ascii="宋体"/>
          <w:color w:val="auto"/>
          <w:highlight w:val="none"/>
        </w:rPr>
        <w:t>人身意外伤害险</w:t>
      </w:r>
      <w:r>
        <w:rPr>
          <w:color w:val="auto"/>
          <w:highlight w:val="none"/>
        </w:rPr>
        <w:tab/>
      </w:r>
      <w:r>
        <w:rPr>
          <w:color w:val="auto"/>
          <w:highlight w:val="none"/>
        </w:rPr>
        <w:fldChar w:fldCharType="begin"/>
      </w:r>
      <w:r>
        <w:rPr>
          <w:color w:val="auto"/>
          <w:highlight w:val="none"/>
        </w:rPr>
        <w:instrText xml:space="preserve"> PAGEREF _Toc43475883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69A5F98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"_Toc43475884" </w:instrText>
      </w:r>
      <w:r>
        <w:rPr>
          <w:color w:val="auto"/>
          <w:highlight w:val="none"/>
        </w:rPr>
        <w:fldChar w:fldCharType="separate"/>
      </w:r>
      <w:r>
        <w:rPr>
          <w:rStyle w:val="52"/>
          <w:rFonts w:ascii="宋体"/>
          <w:color w:val="auto"/>
          <w:highlight w:val="none"/>
        </w:rPr>
        <w:t xml:space="preserve">20.4 </w:t>
      </w:r>
      <w:r>
        <w:rPr>
          <w:rStyle w:val="52"/>
          <w:rFonts w:hint="eastAsia" w:ascii="宋体"/>
          <w:color w:val="auto"/>
          <w:highlight w:val="none"/>
        </w:rPr>
        <w:t>第三者责任险</w:t>
      </w:r>
      <w:r>
        <w:rPr>
          <w:color w:val="auto"/>
          <w:highlight w:val="none"/>
        </w:rPr>
        <w:tab/>
      </w:r>
      <w:r>
        <w:rPr>
          <w:color w:val="auto"/>
          <w:highlight w:val="none"/>
        </w:rPr>
        <w:fldChar w:fldCharType="begin"/>
      </w:r>
      <w:r>
        <w:rPr>
          <w:color w:val="auto"/>
          <w:highlight w:val="none"/>
        </w:rPr>
        <w:instrText xml:space="preserve"> PAGEREF _Toc43475884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37275C2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"_Toc43475885" </w:instrText>
      </w:r>
      <w:r>
        <w:rPr>
          <w:color w:val="auto"/>
          <w:highlight w:val="none"/>
        </w:rPr>
        <w:fldChar w:fldCharType="separate"/>
      </w:r>
      <w:r>
        <w:rPr>
          <w:rStyle w:val="52"/>
          <w:rFonts w:ascii="宋体"/>
          <w:color w:val="auto"/>
          <w:highlight w:val="none"/>
        </w:rPr>
        <w:t xml:space="preserve">20.5 </w:t>
      </w:r>
      <w:r>
        <w:rPr>
          <w:rStyle w:val="52"/>
          <w:rFonts w:hint="eastAsia" w:ascii="宋体"/>
          <w:color w:val="auto"/>
          <w:highlight w:val="none"/>
        </w:rPr>
        <w:t>其他保险</w:t>
      </w:r>
      <w:r>
        <w:rPr>
          <w:color w:val="auto"/>
          <w:highlight w:val="none"/>
        </w:rPr>
        <w:tab/>
      </w:r>
      <w:r>
        <w:rPr>
          <w:color w:val="auto"/>
          <w:highlight w:val="none"/>
        </w:rPr>
        <w:fldChar w:fldCharType="begin"/>
      </w:r>
      <w:r>
        <w:rPr>
          <w:color w:val="auto"/>
          <w:highlight w:val="none"/>
        </w:rPr>
        <w:instrText xml:space="preserve"> PAGEREF _Toc43475885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418D62A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"_Toc43475886" </w:instrText>
      </w:r>
      <w:r>
        <w:rPr>
          <w:color w:val="auto"/>
          <w:highlight w:val="none"/>
        </w:rPr>
        <w:fldChar w:fldCharType="separate"/>
      </w:r>
      <w:r>
        <w:rPr>
          <w:rStyle w:val="52"/>
          <w:rFonts w:ascii="宋体"/>
          <w:color w:val="auto"/>
          <w:highlight w:val="none"/>
        </w:rPr>
        <w:t xml:space="preserve">20.6 </w:t>
      </w:r>
      <w:r>
        <w:rPr>
          <w:rStyle w:val="52"/>
          <w:rFonts w:hint="eastAsia" w:ascii="宋体"/>
          <w:color w:val="auto"/>
          <w:highlight w:val="none"/>
        </w:rPr>
        <w:t>对各项保险的一般要求</w:t>
      </w:r>
      <w:r>
        <w:rPr>
          <w:color w:val="auto"/>
          <w:highlight w:val="none"/>
        </w:rPr>
        <w:tab/>
      </w:r>
      <w:r>
        <w:rPr>
          <w:color w:val="auto"/>
          <w:highlight w:val="none"/>
        </w:rPr>
        <w:fldChar w:fldCharType="begin"/>
      </w:r>
      <w:r>
        <w:rPr>
          <w:color w:val="auto"/>
          <w:highlight w:val="none"/>
        </w:rPr>
        <w:instrText xml:space="preserve"> PAGEREF _Toc43475886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72480FE1">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"_Toc43475887" </w:instrText>
      </w:r>
      <w:r>
        <w:rPr>
          <w:color w:val="auto"/>
          <w:highlight w:val="none"/>
        </w:rPr>
        <w:fldChar w:fldCharType="separate"/>
      </w:r>
      <w:r>
        <w:rPr>
          <w:rStyle w:val="52"/>
          <w:rFonts w:ascii="宋体" w:hAnsi="宋体"/>
          <w:color w:val="auto"/>
          <w:highlight w:val="none"/>
        </w:rPr>
        <w:t xml:space="preserve">21. </w:t>
      </w:r>
      <w:r>
        <w:rPr>
          <w:rStyle w:val="52"/>
          <w:rFonts w:hint="eastAsia" w:ascii="宋体" w:hAnsi="宋体"/>
          <w:color w:val="auto"/>
          <w:highlight w:val="none"/>
        </w:rPr>
        <w:t>不可抗力</w:t>
      </w:r>
      <w:r>
        <w:rPr>
          <w:color w:val="auto"/>
          <w:highlight w:val="none"/>
        </w:rPr>
        <w:tab/>
      </w:r>
      <w:r>
        <w:rPr>
          <w:color w:val="auto"/>
          <w:highlight w:val="none"/>
        </w:rPr>
        <w:fldChar w:fldCharType="begin"/>
      </w:r>
      <w:r>
        <w:rPr>
          <w:color w:val="auto"/>
          <w:highlight w:val="none"/>
        </w:rPr>
        <w:instrText xml:space="preserve"> PAGEREF _Toc43475887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652980C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"_Toc43475888" </w:instrText>
      </w:r>
      <w:r>
        <w:rPr>
          <w:color w:val="auto"/>
          <w:highlight w:val="none"/>
        </w:rPr>
        <w:fldChar w:fldCharType="separate"/>
      </w:r>
      <w:r>
        <w:rPr>
          <w:rStyle w:val="52"/>
          <w:rFonts w:ascii="宋体"/>
          <w:color w:val="auto"/>
          <w:highlight w:val="none"/>
        </w:rPr>
        <w:t xml:space="preserve">21.1 </w:t>
      </w:r>
      <w:r>
        <w:rPr>
          <w:rStyle w:val="52"/>
          <w:rFonts w:hint="eastAsia" w:ascii="宋体"/>
          <w:color w:val="auto"/>
          <w:highlight w:val="none"/>
        </w:rPr>
        <w:t>不可抗力的确认</w:t>
      </w:r>
      <w:r>
        <w:rPr>
          <w:color w:val="auto"/>
          <w:highlight w:val="none"/>
        </w:rPr>
        <w:tab/>
      </w:r>
      <w:r>
        <w:rPr>
          <w:color w:val="auto"/>
          <w:highlight w:val="none"/>
        </w:rPr>
        <w:fldChar w:fldCharType="begin"/>
      </w:r>
      <w:r>
        <w:rPr>
          <w:color w:val="auto"/>
          <w:highlight w:val="none"/>
        </w:rPr>
        <w:instrText xml:space="preserve"> PAGEREF _Toc43475888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17809473">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"_Toc43475889" </w:instrText>
      </w:r>
      <w:r>
        <w:rPr>
          <w:color w:val="auto"/>
          <w:highlight w:val="none"/>
        </w:rPr>
        <w:fldChar w:fldCharType="separate"/>
      </w:r>
      <w:r>
        <w:rPr>
          <w:rStyle w:val="52"/>
          <w:rFonts w:ascii="宋体"/>
          <w:color w:val="auto"/>
          <w:highlight w:val="none"/>
        </w:rPr>
        <w:t xml:space="preserve">21.2 </w:t>
      </w:r>
      <w:r>
        <w:rPr>
          <w:rStyle w:val="52"/>
          <w:rFonts w:hint="eastAsia" w:ascii="宋体"/>
          <w:color w:val="auto"/>
          <w:highlight w:val="none"/>
        </w:rPr>
        <w:t>不可抗力的通知</w:t>
      </w:r>
      <w:r>
        <w:rPr>
          <w:color w:val="auto"/>
          <w:highlight w:val="none"/>
        </w:rPr>
        <w:tab/>
      </w:r>
      <w:r>
        <w:rPr>
          <w:color w:val="auto"/>
          <w:highlight w:val="none"/>
        </w:rPr>
        <w:fldChar w:fldCharType="begin"/>
      </w:r>
      <w:r>
        <w:rPr>
          <w:color w:val="auto"/>
          <w:highlight w:val="none"/>
        </w:rPr>
        <w:instrText xml:space="preserve"> PAGEREF _Toc43475889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1ED94757">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"_Toc43475890" </w:instrText>
      </w:r>
      <w:r>
        <w:rPr>
          <w:color w:val="auto"/>
          <w:highlight w:val="none"/>
        </w:rPr>
        <w:fldChar w:fldCharType="separate"/>
      </w:r>
      <w:r>
        <w:rPr>
          <w:rStyle w:val="52"/>
          <w:rFonts w:ascii="宋体"/>
          <w:color w:val="auto"/>
          <w:highlight w:val="none"/>
        </w:rPr>
        <w:t xml:space="preserve">21.3 </w:t>
      </w:r>
      <w:r>
        <w:rPr>
          <w:rStyle w:val="52"/>
          <w:rFonts w:hint="eastAsia" w:ascii="宋体"/>
          <w:color w:val="auto"/>
          <w:highlight w:val="none"/>
        </w:rPr>
        <w:t>不可抗力后果及其处理</w:t>
      </w:r>
      <w:r>
        <w:rPr>
          <w:color w:val="auto"/>
          <w:highlight w:val="none"/>
        </w:rPr>
        <w:tab/>
      </w:r>
      <w:r>
        <w:rPr>
          <w:color w:val="auto"/>
          <w:highlight w:val="none"/>
        </w:rPr>
        <w:fldChar w:fldCharType="begin"/>
      </w:r>
      <w:r>
        <w:rPr>
          <w:color w:val="auto"/>
          <w:highlight w:val="none"/>
        </w:rPr>
        <w:instrText xml:space="preserve"> PAGEREF _Toc43475890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60E123C4">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"_Toc43475891" </w:instrText>
      </w:r>
      <w:r>
        <w:rPr>
          <w:color w:val="auto"/>
          <w:highlight w:val="none"/>
        </w:rPr>
        <w:fldChar w:fldCharType="separate"/>
      </w:r>
      <w:r>
        <w:rPr>
          <w:rStyle w:val="52"/>
          <w:rFonts w:ascii="宋体" w:hAnsi="宋体"/>
          <w:color w:val="auto"/>
          <w:highlight w:val="none"/>
        </w:rPr>
        <w:t xml:space="preserve">22. </w:t>
      </w:r>
      <w:r>
        <w:rPr>
          <w:rStyle w:val="52"/>
          <w:rFonts w:hint="eastAsia" w:ascii="宋体" w:hAnsi="宋体"/>
          <w:color w:val="auto"/>
          <w:highlight w:val="none"/>
        </w:rPr>
        <w:t>违约</w:t>
      </w:r>
      <w:r>
        <w:rPr>
          <w:color w:val="auto"/>
          <w:highlight w:val="none"/>
        </w:rPr>
        <w:tab/>
      </w:r>
      <w:r>
        <w:rPr>
          <w:color w:val="auto"/>
          <w:highlight w:val="none"/>
        </w:rPr>
        <w:fldChar w:fldCharType="begin"/>
      </w:r>
      <w:r>
        <w:rPr>
          <w:color w:val="auto"/>
          <w:highlight w:val="none"/>
        </w:rPr>
        <w:instrText xml:space="preserve"> PAGEREF _Toc43475891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014F58A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"_Toc43475892" </w:instrText>
      </w:r>
      <w:r>
        <w:rPr>
          <w:color w:val="auto"/>
          <w:highlight w:val="none"/>
        </w:rPr>
        <w:fldChar w:fldCharType="separate"/>
      </w:r>
      <w:r>
        <w:rPr>
          <w:rStyle w:val="52"/>
          <w:rFonts w:ascii="宋体"/>
          <w:color w:val="auto"/>
          <w:highlight w:val="none"/>
        </w:rPr>
        <w:t xml:space="preserve">22.1 </w:t>
      </w:r>
      <w:r>
        <w:rPr>
          <w:rStyle w:val="52"/>
          <w:rFonts w:hint="eastAsia" w:ascii="宋体"/>
          <w:color w:val="auto"/>
          <w:highlight w:val="none"/>
        </w:rPr>
        <w:t>承包人违约</w:t>
      </w:r>
      <w:r>
        <w:rPr>
          <w:color w:val="auto"/>
          <w:highlight w:val="none"/>
        </w:rPr>
        <w:tab/>
      </w:r>
      <w:r>
        <w:rPr>
          <w:color w:val="auto"/>
          <w:highlight w:val="none"/>
        </w:rPr>
        <w:fldChar w:fldCharType="begin"/>
      </w:r>
      <w:r>
        <w:rPr>
          <w:color w:val="auto"/>
          <w:highlight w:val="none"/>
        </w:rPr>
        <w:instrText xml:space="preserve"> PAGEREF _Toc43475892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79E8F84B">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"_Toc43475893" </w:instrText>
      </w:r>
      <w:r>
        <w:rPr>
          <w:color w:val="auto"/>
          <w:highlight w:val="none"/>
        </w:rPr>
        <w:fldChar w:fldCharType="separate"/>
      </w:r>
      <w:r>
        <w:rPr>
          <w:rStyle w:val="52"/>
          <w:rFonts w:ascii="宋体"/>
          <w:color w:val="auto"/>
          <w:highlight w:val="none"/>
        </w:rPr>
        <w:t xml:space="preserve">22.2 </w:t>
      </w:r>
      <w:r>
        <w:rPr>
          <w:rStyle w:val="52"/>
          <w:rFonts w:hint="eastAsia" w:ascii="宋体"/>
          <w:color w:val="auto"/>
          <w:highlight w:val="none"/>
        </w:rPr>
        <w:t>发包人违约</w:t>
      </w:r>
      <w:r>
        <w:rPr>
          <w:color w:val="auto"/>
          <w:highlight w:val="none"/>
        </w:rPr>
        <w:tab/>
      </w:r>
      <w:r>
        <w:rPr>
          <w:color w:val="auto"/>
          <w:highlight w:val="none"/>
        </w:rPr>
        <w:fldChar w:fldCharType="begin"/>
      </w:r>
      <w:r>
        <w:rPr>
          <w:color w:val="auto"/>
          <w:highlight w:val="none"/>
        </w:rPr>
        <w:instrText xml:space="preserve"> PAGEREF _Toc43475893 \h </w:instrText>
      </w:r>
      <w:r>
        <w:rPr>
          <w:color w:val="auto"/>
          <w:highlight w:val="none"/>
        </w:rPr>
        <w:fldChar w:fldCharType="separate"/>
      </w:r>
      <w:r>
        <w:rPr>
          <w:color w:val="auto"/>
          <w:highlight w:val="none"/>
        </w:rPr>
        <w:t>102</w:t>
      </w:r>
      <w:r>
        <w:rPr>
          <w:color w:val="auto"/>
          <w:highlight w:val="none"/>
        </w:rPr>
        <w:fldChar w:fldCharType="end"/>
      </w:r>
      <w:r>
        <w:rPr>
          <w:color w:val="auto"/>
          <w:highlight w:val="none"/>
        </w:rPr>
        <w:fldChar w:fldCharType="end"/>
      </w:r>
    </w:p>
    <w:p w14:paraId="46DE5D6F">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"_Toc43475894" </w:instrText>
      </w:r>
      <w:r>
        <w:rPr>
          <w:color w:val="auto"/>
          <w:highlight w:val="none"/>
        </w:rPr>
        <w:fldChar w:fldCharType="separate"/>
      </w:r>
      <w:r>
        <w:rPr>
          <w:rStyle w:val="52"/>
          <w:rFonts w:ascii="宋体"/>
          <w:color w:val="auto"/>
          <w:highlight w:val="none"/>
        </w:rPr>
        <w:t xml:space="preserve">22.3 </w:t>
      </w:r>
      <w:r>
        <w:rPr>
          <w:rStyle w:val="52"/>
          <w:rFonts w:hint="eastAsia" w:ascii="宋体"/>
          <w:color w:val="auto"/>
          <w:highlight w:val="none"/>
        </w:rPr>
        <w:t>第三人造成的违约</w:t>
      </w:r>
      <w:r>
        <w:rPr>
          <w:color w:val="auto"/>
          <w:highlight w:val="none"/>
        </w:rPr>
        <w:tab/>
      </w:r>
      <w:r>
        <w:rPr>
          <w:color w:val="auto"/>
          <w:highlight w:val="none"/>
        </w:rPr>
        <w:fldChar w:fldCharType="begin"/>
      </w:r>
      <w:r>
        <w:rPr>
          <w:color w:val="auto"/>
          <w:highlight w:val="none"/>
        </w:rPr>
        <w:instrText xml:space="preserve"> PAGEREF _Toc43475894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66D60C83">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"_Toc43475895" </w:instrText>
      </w:r>
      <w:r>
        <w:rPr>
          <w:color w:val="auto"/>
          <w:highlight w:val="none"/>
        </w:rPr>
        <w:fldChar w:fldCharType="separate"/>
      </w:r>
      <w:r>
        <w:rPr>
          <w:rStyle w:val="52"/>
          <w:rFonts w:ascii="宋体" w:hAnsi="宋体"/>
          <w:color w:val="auto"/>
          <w:highlight w:val="none"/>
        </w:rPr>
        <w:t xml:space="preserve">23. </w:t>
      </w:r>
      <w:r>
        <w:rPr>
          <w:rStyle w:val="52"/>
          <w:rFonts w:hint="eastAsia" w:ascii="宋体" w:hAnsi="宋体"/>
          <w:color w:val="auto"/>
          <w:highlight w:val="none"/>
        </w:rPr>
        <w:t>索赔</w:t>
      </w:r>
      <w:r>
        <w:rPr>
          <w:color w:val="auto"/>
          <w:highlight w:val="none"/>
        </w:rPr>
        <w:tab/>
      </w:r>
      <w:r>
        <w:rPr>
          <w:color w:val="auto"/>
          <w:highlight w:val="none"/>
        </w:rPr>
        <w:fldChar w:fldCharType="begin"/>
      </w:r>
      <w:r>
        <w:rPr>
          <w:color w:val="auto"/>
          <w:highlight w:val="none"/>
        </w:rPr>
        <w:instrText xml:space="preserve"> PAGEREF _Toc43475895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6DBA0EED">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"_Toc43475896" </w:instrText>
      </w:r>
      <w:r>
        <w:rPr>
          <w:color w:val="auto"/>
          <w:highlight w:val="none"/>
        </w:rPr>
        <w:fldChar w:fldCharType="separate"/>
      </w:r>
      <w:r>
        <w:rPr>
          <w:rStyle w:val="52"/>
          <w:rFonts w:ascii="宋体"/>
          <w:color w:val="auto"/>
          <w:highlight w:val="none"/>
        </w:rPr>
        <w:t xml:space="preserve">23.1 </w:t>
      </w:r>
      <w:r>
        <w:rPr>
          <w:rStyle w:val="52"/>
          <w:rFonts w:hint="eastAsia" w:ascii="宋体"/>
          <w:color w:val="auto"/>
          <w:highlight w:val="none"/>
        </w:rPr>
        <w:t>承包人索赔的提出</w:t>
      </w:r>
      <w:r>
        <w:rPr>
          <w:color w:val="auto"/>
          <w:highlight w:val="none"/>
        </w:rPr>
        <w:tab/>
      </w:r>
      <w:r>
        <w:rPr>
          <w:color w:val="auto"/>
          <w:highlight w:val="none"/>
        </w:rPr>
        <w:fldChar w:fldCharType="begin"/>
      </w:r>
      <w:r>
        <w:rPr>
          <w:color w:val="auto"/>
          <w:highlight w:val="none"/>
        </w:rPr>
        <w:instrText xml:space="preserve"> PAGEREF _Toc43475896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33FB9E50">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"_Toc43475897" </w:instrText>
      </w:r>
      <w:r>
        <w:rPr>
          <w:color w:val="auto"/>
          <w:highlight w:val="none"/>
        </w:rPr>
        <w:fldChar w:fldCharType="separate"/>
      </w:r>
      <w:r>
        <w:rPr>
          <w:rStyle w:val="52"/>
          <w:rFonts w:ascii="宋体"/>
          <w:color w:val="auto"/>
          <w:highlight w:val="none"/>
        </w:rPr>
        <w:t xml:space="preserve">23.2 </w:t>
      </w:r>
      <w:r>
        <w:rPr>
          <w:rStyle w:val="52"/>
          <w:rFonts w:hint="eastAsia" w:ascii="宋体"/>
          <w:color w:val="auto"/>
          <w:highlight w:val="none"/>
        </w:rPr>
        <w:t>承包人索赔处理程序</w:t>
      </w:r>
      <w:r>
        <w:rPr>
          <w:color w:val="auto"/>
          <w:highlight w:val="none"/>
        </w:rPr>
        <w:tab/>
      </w:r>
      <w:r>
        <w:rPr>
          <w:color w:val="auto"/>
          <w:highlight w:val="none"/>
        </w:rPr>
        <w:fldChar w:fldCharType="begin"/>
      </w:r>
      <w:r>
        <w:rPr>
          <w:color w:val="auto"/>
          <w:highlight w:val="none"/>
        </w:rPr>
        <w:instrText xml:space="preserve"> PAGEREF _Toc43475897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74E59504">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"_Toc43475898" </w:instrText>
      </w:r>
      <w:r>
        <w:rPr>
          <w:color w:val="auto"/>
          <w:highlight w:val="none"/>
        </w:rPr>
        <w:fldChar w:fldCharType="separate"/>
      </w:r>
      <w:r>
        <w:rPr>
          <w:rStyle w:val="52"/>
          <w:rFonts w:ascii="宋体"/>
          <w:color w:val="auto"/>
          <w:highlight w:val="none"/>
        </w:rPr>
        <w:t xml:space="preserve">23.3 </w:t>
      </w:r>
      <w:r>
        <w:rPr>
          <w:rStyle w:val="52"/>
          <w:rFonts w:hint="eastAsia" w:ascii="宋体"/>
          <w:color w:val="auto"/>
          <w:highlight w:val="none"/>
        </w:rPr>
        <w:t>承包人提出索赔的期限</w:t>
      </w:r>
      <w:r>
        <w:rPr>
          <w:color w:val="auto"/>
          <w:highlight w:val="none"/>
        </w:rPr>
        <w:tab/>
      </w:r>
      <w:r>
        <w:rPr>
          <w:color w:val="auto"/>
          <w:highlight w:val="none"/>
        </w:rPr>
        <w:fldChar w:fldCharType="begin"/>
      </w:r>
      <w:r>
        <w:rPr>
          <w:color w:val="auto"/>
          <w:highlight w:val="none"/>
        </w:rPr>
        <w:instrText xml:space="preserve"> PAGEREF _Toc43475898 \h </w:instrText>
      </w:r>
      <w:r>
        <w:rPr>
          <w:color w:val="auto"/>
          <w:highlight w:val="none"/>
        </w:rPr>
        <w:fldChar w:fldCharType="separate"/>
      </w:r>
      <w:r>
        <w:rPr>
          <w:color w:val="auto"/>
          <w:highlight w:val="none"/>
        </w:rPr>
        <w:t>103</w:t>
      </w:r>
      <w:r>
        <w:rPr>
          <w:color w:val="auto"/>
          <w:highlight w:val="none"/>
        </w:rPr>
        <w:fldChar w:fldCharType="end"/>
      </w:r>
      <w:r>
        <w:rPr>
          <w:color w:val="auto"/>
          <w:highlight w:val="none"/>
        </w:rPr>
        <w:fldChar w:fldCharType="end"/>
      </w:r>
    </w:p>
    <w:p w14:paraId="645ED6A2">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"_Toc43475899" </w:instrText>
      </w:r>
      <w:r>
        <w:rPr>
          <w:color w:val="auto"/>
          <w:highlight w:val="none"/>
        </w:rPr>
        <w:fldChar w:fldCharType="separate"/>
      </w:r>
      <w:r>
        <w:rPr>
          <w:rStyle w:val="52"/>
          <w:rFonts w:ascii="宋体"/>
          <w:color w:val="auto"/>
          <w:highlight w:val="none"/>
        </w:rPr>
        <w:t xml:space="preserve">23.4 </w:t>
      </w:r>
      <w:r>
        <w:rPr>
          <w:rStyle w:val="52"/>
          <w:rFonts w:hint="eastAsia" w:ascii="宋体"/>
          <w:color w:val="auto"/>
          <w:highlight w:val="none"/>
        </w:rPr>
        <w:t>发包人的索赔</w:t>
      </w:r>
      <w:r>
        <w:rPr>
          <w:color w:val="auto"/>
          <w:highlight w:val="none"/>
        </w:rPr>
        <w:tab/>
      </w:r>
      <w:r>
        <w:rPr>
          <w:color w:val="auto"/>
          <w:highlight w:val="none"/>
        </w:rPr>
        <w:fldChar w:fldCharType="begin"/>
      </w:r>
      <w:r>
        <w:rPr>
          <w:color w:val="auto"/>
          <w:highlight w:val="none"/>
        </w:rPr>
        <w:instrText xml:space="preserve"> PAGEREF _Toc43475899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5E53E4BE">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"_Toc43475900" </w:instrText>
      </w:r>
      <w:r>
        <w:rPr>
          <w:color w:val="auto"/>
          <w:highlight w:val="none"/>
        </w:rPr>
        <w:fldChar w:fldCharType="separate"/>
      </w:r>
      <w:r>
        <w:rPr>
          <w:rStyle w:val="52"/>
          <w:rFonts w:ascii="宋体" w:hAnsi="宋体"/>
          <w:color w:val="auto"/>
          <w:highlight w:val="none"/>
        </w:rPr>
        <w:t xml:space="preserve">24. </w:t>
      </w:r>
      <w:r>
        <w:rPr>
          <w:rStyle w:val="52"/>
          <w:rFonts w:hint="eastAsia" w:ascii="宋体" w:hAnsi="宋体"/>
          <w:color w:val="auto"/>
          <w:highlight w:val="none"/>
        </w:rPr>
        <w:t>争议的解决</w:t>
      </w:r>
      <w:r>
        <w:rPr>
          <w:color w:val="auto"/>
          <w:highlight w:val="none"/>
        </w:rPr>
        <w:tab/>
      </w:r>
      <w:r>
        <w:rPr>
          <w:color w:val="auto"/>
          <w:highlight w:val="none"/>
        </w:rPr>
        <w:fldChar w:fldCharType="begin"/>
      </w:r>
      <w:r>
        <w:rPr>
          <w:color w:val="auto"/>
          <w:highlight w:val="none"/>
        </w:rPr>
        <w:instrText xml:space="preserve"> PAGEREF _Toc43475900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7700DD4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"_Toc43475901" </w:instrText>
      </w:r>
      <w:r>
        <w:rPr>
          <w:color w:val="auto"/>
          <w:highlight w:val="none"/>
        </w:rPr>
        <w:fldChar w:fldCharType="separate"/>
      </w:r>
      <w:r>
        <w:rPr>
          <w:rStyle w:val="52"/>
          <w:rFonts w:ascii="宋体"/>
          <w:color w:val="auto"/>
          <w:highlight w:val="none"/>
        </w:rPr>
        <w:t xml:space="preserve">24.1 </w:t>
      </w:r>
      <w:r>
        <w:rPr>
          <w:rStyle w:val="52"/>
          <w:rFonts w:hint="eastAsia" w:ascii="宋体"/>
          <w:color w:val="auto"/>
          <w:highlight w:val="none"/>
        </w:rPr>
        <w:t>争议的解决方式</w:t>
      </w:r>
      <w:r>
        <w:rPr>
          <w:color w:val="auto"/>
          <w:highlight w:val="none"/>
        </w:rPr>
        <w:tab/>
      </w:r>
      <w:r>
        <w:rPr>
          <w:color w:val="auto"/>
          <w:highlight w:val="none"/>
        </w:rPr>
        <w:fldChar w:fldCharType="begin"/>
      </w:r>
      <w:r>
        <w:rPr>
          <w:color w:val="auto"/>
          <w:highlight w:val="none"/>
        </w:rPr>
        <w:instrText xml:space="preserve"> PAGEREF _Toc43475901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62FEA8CC">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"_Toc43475902" </w:instrText>
      </w:r>
      <w:r>
        <w:rPr>
          <w:color w:val="auto"/>
          <w:highlight w:val="none"/>
        </w:rPr>
        <w:fldChar w:fldCharType="separate"/>
      </w:r>
      <w:r>
        <w:rPr>
          <w:rStyle w:val="52"/>
          <w:rFonts w:ascii="宋体"/>
          <w:color w:val="auto"/>
          <w:highlight w:val="none"/>
        </w:rPr>
        <w:t xml:space="preserve">24.2 </w:t>
      </w:r>
      <w:r>
        <w:rPr>
          <w:rStyle w:val="52"/>
          <w:rFonts w:hint="eastAsia" w:ascii="宋体"/>
          <w:color w:val="auto"/>
          <w:highlight w:val="none"/>
        </w:rPr>
        <w:t>友好解决</w:t>
      </w:r>
      <w:r>
        <w:rPr>
          <w:color w:val="auto"/>
          <w:highlight w:val="none"/>
        </w:rPr>
        <w:tab/>
      </w:r>
      <w:r>
        <w:rPr>
          <w:color w:val="auto"/>
          <w:highlight w:val="none"/>
        </w:rPr>
        <w:fldChar w:fldCharType="begin"/>
      </w:r>
      <w:r>
        <w:rPr>
          <w:color w:val="auto"/>
          <w:highlight w:val="none"/>
        </w:rPr>
        <w:instrText xml:space="preserve"> PAGEREF _Toc43475902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3D4A3D9A">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"_Toc43475903" </w:instrText>
      </w:r>
      <w:r>
        <w:rPr>
          <w:color w:val="auto"/>
          <w:highlight w:val="none"/>
        </w:rPr>
        <w:fldChar w:fldCharType="separate"/>
      </w:r>
      <w:r>
        <w:rPr>
          <w:rStyle w:val="52"/>
          <w:rFonts w:ascii="宋体"/>
          <w:color w:val="auto"/>
          <w:highlight w:val="none"/>
        </w:rPr>
        <w:t xml:space="preserve">24.3 </w:t>
      </w:r>
      <w:r>
        <w:rPr>
          <w:rStyle w:val="52"/>
          <w:rFonts w:hint="eastAsia" w:ascii="宋体"/>
          <w:color w:val="auto"/>
          <w:highlight w:val="none"/>
        </w:rPr>
        <w:t>争议评审</w:t>
      </w:r>
      <w:r>
        <w:rPr>
          <w:color w:val="auto"/>
          <w:highlight w:val="none"/>
        </w:rPr>
        <w:tab/>
      </w:r>
      <w:r>
        <w:rPr>
          <w:color w:val="auto"/>
          <w:highlight w:val="none"/>
        </w:rPr>
        <w:fldChar w:fldCharType="begin"/>
      </w:r>
      <w:r>
        <w:rPr>
          <w:color w:val="auto"/>
          <w:highlight w:val="none"/>
        </w:rPr>
        <w:instrText xml:space="preserve"> PAGEREF _Toc43475903 \h </w:instrText>
      </w:r>
      <w:r>
        <w:rPr>
          <w:color w:val="auto"/>
          <w:highlight w:val="none"/>
        </w:rPr>
        <w:fldChar w:fldCharType="separate"/>
      </w:r>
      <w:r>
        <w:rPr>
          <w:color w:val="auto"/>
          <w:highlight w:val="none"/>
        </w:rPr>
        <w:t>104</w:t>
      </w:r>
      <w:r>
        <w:rPr>
          <w:color w:val="auto"/>
          <w:highlight w:val="none"/>
        </w:rPr>
        <w:fldChar w:fldCharType="end"/>
      </w:r>
      <w:r>
        <w:rPr>
          <w:color w:val="auto"/>
          <w:highlight w:val="none"/>
        </w:rPr>
        <w:fldChar w:fldCharType="end"/>
      </w:r>
    </w:p>
    <w:p w14:paraId="71B2A329">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"_Toc43475904" </w:instrText>
      </w:r>
      <w:r>
        <w:rPr>
          <w:color w:val="auto"/>
          <w:highlight w:val="none"/>
        </w:rPr>
        <w:fldChar w:fldCharType="separate"/>
      </w:r>
      <w:r>
        <w:rPr>
          <w:rStyle w:val="52"/>
          <w:rFonts w:hint="eastAsia" w:ascii="宋体" w:hAnsi="宋体" w:cs="宋体"/>
          <w:color w:val="auto"/>
          <w:highlight w:val="none"/>
        </w:rPr>
        <w:t>第二节专用合同条款</w:t>
      </w:r>
      <w:r>
        <w:rPr>
          <w:color w:val="auto"/>
          <w:highlight w:val="none"/>
        </w:rPr>
        <w:tab/>
      </w:r>
      <w:r>
        <w:rPr>
          <w:color w:val="auto"/>
          <w:highlight w:val="none"/>
        </w:rPr>
        <w:fldChar w:fldCharType="begin"/>
      </w:r>
      <w:r>
        <w:rPr>
          <w:color w:val="auto"/>
          <w:highlight w:val="none"/>
        </w:rPr>
        <w:instrText xml:space="preserve"> PAGEREF _Toc43475904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41F2D124">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"_Toc43475905" </w:instrText>
      </w:r>
      <w:r>
        <w:rPr>
          <w:color w:val="auto"/>
          <w:highlight w:val="none"/>
        </w:rPr>
        <w:fldChar w:fldCharType="separate"/>
      </w:r>
      <w:r>
        <w:rPr>
          <w:rStyle w:val="52"/>
          <w:rFonts w:ascii="宋体" w:hAnsi="宋体" w:cs="宋体"/>
          <w:color w:val="auto"/>
          <w:highlight w:val="none"/>
        </w:rPr>
        <w:t>1</w:t>
      </w:r>
      <w:r>
        <w:rPr>
          <w:rStyle w:val="52"/>
          <w:rFonts w:hint="eastAsia" w:ascii="宋体" w:hAnsi="宋体" w:cs="宋体"/>
          <w:color w:val="auto"/>
          <w:highlight w:val="none"/>
        </w:rPr>
        <w:t>.一般约定</w:t>
      </w:r>
      <w:r>
        <w:rPr>
          <w:color w:val="auto"/>
          <w:highlight w:val="none"/>
        </w:rPr>
        <w:tab/>
      </w:r>
      <w:r>
        <w:rPr>
          <w:color w:val="auto"/>
          <w:highlight w:val="none"/>
        </w:rPr>
        <w:fldChar w:fldCharType="begin"/>
      </w:r>
      <w:r>
        <w:rPr>
          <w:color w:val="auto"/>
          <w:highlight w:val="none"/>
        </w:rPr>
        <w:instrText xml:space="preserve"> PAGEREF _Toc43475905 \h </w:instrText>
      </w:r>
      <w:r>
        <w:rPr>
          <w:color w:val="auto"/>
          <w:highlight w:val="none"/>
        </w:rPr>
        <w:fldChar w:fldCharType="separate"/>
      </w:r>
      <w:r>
        <w:rPr>
          <w:color w:val="auto"/>
          <w:highlight w:val="none"/>
        </w:rPr>
        <w:t>106</w:t>
      </w:r>
      <w:r>
        <w:rPr>
          <w:color w:val="auto"/>
          <w:highlight w:val="none"/>
        </w:rPr>
        <w:fldChar w:fldCharType="end"/>
      </w:r>
      <w:r>
        <w:rPr>
          <w:color w:val="auto"/>
          <w:highlight w:val="none"/>
        </w:rPr>
        <w:fldChar w:fldCharType="end"/>
      </w:r>
    </w:p>
    <w:p w14:paraId="5CF199A1">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"_Toc43475906" </w:instrText>
      </w:r>
      <w:r>
        <w:rPr>
          <w:color w:val="auto"/>
          <w:highlight w:val="none"/>
        </w:rPr>
        <w:fldChar w:fldCharType="separate"/>
      </w:r>
      <w:r>
        <w:rPr>
          <w:rStyle w:val="52"/>
          <w:rFonts w:ascii="宋体" w:hAnsi="宋体" w:cs="宋体"/>
          <w:color w:val="auto"/>
          <w:highlight w:val="none"/>
        </w:rPr>
        <w:t>1.1</w:t>
      </w:r>
      <w:r>
        <w:rPr>
          <w:rStyle w:val="52"/>
          <w:rFonts w:hint="eastAsia" w:ascii="宋体" w:hAnsi="宋体" w:cs="宋体"/>
          <w:color w:val="auto"/>
          <w:highlight w:val="none"/>
        </w:rPr>
        <w:t>词语定义</w:t>
      </w:r>
      <w:r>
        <w:rPr>
          <w:color w:val="auto"/>
          <w:highlight w:val="none"/>
        </w:rPr>
        <w:tab/>
      </w:r>
      <w:r>
        <w:rPr>
          <w:color w:val="auto"/>
          <w:highlight w:val="none"/>
        </w:rPr>
        <w:fldChar w:fldCharType="begin"/>
      </w:r>
      <w:r>
        <w:rPr>
          <w:color w:val="auto"/>
          <w:highlight w:val="none"/>
        </w:rPr>
        <w:instrText xml:space="preserve"> PAGEREF _Toc43475906 \h </w:instrText>
      </w:r>
      <w:r>
        <w:rPr>
          <w:color w:val="auto"/>
          <w:highlight w:val="none"/>
        </w:rPr>
        <w:fldChar w:fldCharType="separate"/>
      </w:r>
      <w:r>
        <w:rPr>
          <w:color w:val="auto"/>
          <w:highlight w:val="none"/>
        </w:rPr>
        <w:t>106</w:t>
      </w:r>
      <w:r>
        <w:rPr>
          <w:color w:val="auto"/>
          <w:highlight w:val="none"/>
        </w:rPr>
        <w:fldChar w:fldCharType="end"/>
      </w:r>
      <w:r>
        <w:rPr>
          <w:color w:val="auto"/>
          <w:highlight w:val="none"/>
        </w:rPr>
        <w:fldChar w:fldCharType="end"/>
      </w:r>
    </w:p>
    <w:p w14:paraId="61621EC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"_Toc43475907" </w:instrText>
      </w:r>
      <w:r>
        <w:rPr>
          <w:color w:val="auto"/>
          <w:highlight w:val="none"/>
        </w:rPr>
        <w:fldChar w:fldCharType="separate"/>
      </w:r>
      <w:r>
        <w:rPr>
          <w:rStyle w:val="52"/>
          <w:rFonts w:ascii="宋体" w:hAnsi="宋体" w:cs="宋体"/>
          <w:color w:val="auto"/>
          <w:highlight w:val="none"/>
        </w:rPr>
        <w:t>1.4</w:t>
      </w:r>
      <w:r>
        <w:rPr>
          <w:rStyle w:val="52"/>
          <w:rFonts w:hint="eastAsia" w:ascii="宋体" w:hAnsi="宋体" w:cs="宋体"/>
          <w:color w:val="auto"/>
          <w:highlight w:val="none"/>
        </w:rPr>
        <w:t>合同文件的优先顺序</w:t>
      </w:r>
      <w:r>
        <w:rPr>
          <w:color w:val="auto"/>
          <w:highlight w:val="none"/>
        </w:rPr>
        <w:tab/>
      </w:r>
      <w:r>
        <w:rPr>
          <w:color w:val="auto"/>
          <w:highlight w:val="none"/>
        </w:rPr>
        <w:fldChar w:fldCharType="begin"/>
      </w:r>
      <w:r>
        <w:rPr>
          <w:color w:val="auto"/>
          <w:highlight w:val="none"/>
        </w:rPr>
        <w:instrText xml:space="preserve"> PAGEREF _Toc43475907 \h </w:instrText>
      </w:r>
      <w:r>
        <w:rPr>
          <w:color w:val="auto"/>
          <w:highlight w:val="none"/>
        </w:rPr>
        <w:fldChar w:fldCharType="separate"/>
      </w:r>
      <w:r>
        <w:rPr>
          <w:color w:val="auto"/>
          <w:highlight w:val="none"/>
        </w:rPr>
        <w:t>107</w:t>
      </w:r>
      <w:r>
        <w:rPr>
          <w:color w:val="auto"/>
          <w:highlight w:val="none"/>
        </w:rPr>
        <w:fldChar w:fldCharType="end"/>
      </w:r>
      <w:r>
        <w:rPr>
          <w:color w:val="auto"/>
          <w:highlight w:val="none"/>
        </w:rPr>
        <w:fldChar w:fldCharType="end"/>
      </w:r>
    </w:p>
    <w:p w14:paraId="298FEEF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"_Toc43475908" </w:instrText>
      </w:r>
      <w:r>
        <w:rPr>
          <w:color w:val="auto"/>
          <w:highlight w:val="none"/>
        </w:rPr>
        <w:fldChar w:fldCharType="separate"/>
      </w:r>
      <w:r>
        <w:rPr>
          <w:rStyle w:val="52"/>
          <w:rFonts w:ascii="宋体" w:hAnsi="宋体" w:cs="宋体"/>
          <w:color w:val="auto"/>
          <w:highlight w:val="none"/>
        </w:rPr>
        <w:t>1.5</w:t>
      </w:r>
      <w:r>
        <w:rPr>
          <w:rStyle w:val="52"/>
          <w:rFonts w:hint="eastAsia" w:ascii="宋体" w:hAnsi="宋体" w:cs="宋体"/>
          <w:color w:val="auto"/>
          <w:highlight w:val="none"/>
        </w:rPr>
        <w:t>合同协议书</w:t>
      </w:r>
      <w:r>
        <w:rPr>
          <w:color w:val="auto"/>
          <w:highlight w:val="none"/>
        </w:rPr>
        <w:tab/>
      </w:r>
      <w:r>
        <w:rPr>
          <w:color w:val="auto"/>
          <w:highlight w:val="none"/>
        </w:rPr>
        <w:fldChar w:fldCharType="begin"/>
      </w:r>
      <w:r>
        <w:rPr>
          <w:color w:val="auto"/>
          <w:highlight w:val="none"/>
        </w:rPr>
        <w:instrText xml:space="preserve"> PAGEREF _Toc43475908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326CA6C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"_Toc43475909" </w:instrText>
      </w:r>
      <w:r>
        <w:rPr>
          <w:color w:val="auto"/>
          <w:highlight w:val="none"/>
        </w:rPr>
        <w:fldChar w:fldCharType="separate"/>
      </w:r>
      <w:r>
        <w:rPr>
          <w:rStyle w:val="52"/>
          <w:rFonts w:ascii="宋体" w:hAnsi="宋体" w:cs="宋体"/>
          <w:color w:val="auto"/>
          <w:highlight w:val="none"/>
        </w:rPr>
        <w:t>1.6</w:t>
      </w:r>
      <w:r>
        <w:rPr>
          <w:rStyle w:val="52"/>
          <w:rFonts w:hint="eastAsia" w:ascii="宋体" w:hAnsi="宋体" w:cs="宋体"/>
          <w:color w:val="auto"/>
          <w:highlight w:val="none"/>
        </w:rPr>
        <w:t>图纸和承包人文件</w:t>
      </w:r>
      <w:r>
        <w:rPr>
          <w:color w:val="auto"/>
          <w:highlight w:val="none"/>
        </w:rPr>
        <w:tab/>
      </w:r>
      <w:r>
        <w:rPr>
          <w:color w:val="auto"/>
          <w:highlight w:val="none"/>
        </w:rPr>
        <w:fldChar w:fldCharType="begin"/>
      </w:r>
      <w:r>
        <w:rPr>
          <w:color w:val="auto"/>
          <w:highlight w:val="none"/>
        </w:rPr>
        <w:instrText xml:space="preserve"> PAGEREF _Toc43475909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47C0D23B">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"_Toc43475910" </w:instrText>
      </w:r>
      <w:r>
        <w:rPr>
          <w:color w:val="auto"/>
          <w:highlight w:val="none"/>
        </w:rPr>
        <w:fldChar w:fldCharType="separate"/>
      </w:r>
      <w:r>
        <w:rPr>
          <w:rStyle w:val="52"/>
          <w:rFonts w:ascii="宋体" w:hAnsi="宋体" w:cs="宋体"/>
          <w:color w:val="auto"/>
          <w:highlight w:val="none"/>
        </w:rPr>
        <w:t>1.9</w:t>
      </w:r>
      <w:r>
        <w:rPr>
          <w:rStyle w:val="52"/>
          <w:rFonts w:hint="eastAsia" w:ascii="宋体" w:hAnsi="宋体" w:cs="宋体"/>
          <w:color w:val="auto"/>
          <w:highlight w:val="none"/>
        </w:rPr>
        <w:t>严禁贿赂</w:t>
      </w:r>
      <w:r>
        <w:rPr>
          <w:color w:val="auto"/>
          <w:highlight w:val="none"/>
        </w:rPr>
        <w:tab/>
      </w:r>
      <w:r>
        <w:rPr>
          <w:color w:val="auto"/>
          <w:highlight w:val="none"/>
        </w:rPr>
        <w:fldChar w:fldCharType="begin"/>
      </w:r>
      <w:r>
        <w:rPr>
          <w:color w:val="auto"/>
          <w:highlight w:val="none"/>
        </w:rPr>
        <w:instrText xml:space="preserve"> PAGEREF _Toc43475910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744F8C9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"_Toc43475911" </w:instrText>
      </w:r>
      <w:r>
        <w:rPr>
          <w:color w:val="auto"/>
          <w:highlight w:val="none"/>
        </w:rPr>
        <w:fldChar w:fldCharType="separate"/>
      </w:r>
      <w:r>
        <w:rPr>
          <w:rStyle w:val="52"/>
          <w:rFonts w:ascii="宋体" w:hAnsi="宋体" w:cs="宋体"/>
          <w:color w:val="auto"/>
          <w:highlight w:val="none"/>
        </w:rPr>
        <w:t>2</w:t>
      </w:r>
      <w:r>
        <w:rPr>
          <w:rStyle w:val="52"/>
          <w:rFonts w:hint="eastAsia" w:ascii="宋体" w:hAnsi="宋体" w:cs="宋体"/>
          <w:color w:val="auto"/>
          <w:highlight w:val="none"/>
        </w:rPr>
        <w:t>.发包人义务</w:t>
      </w:r>
      <w:r>
        <w:rPr>
          <w:color w:val="auto"/>
          <w:highlight w:val="none"/>
        </w:rPr>
        <w:tab/>
      </w:r>
      <w:r>
        <w:rPr>
          <w:color w:val="auto"/>
          <w:highlight w:val="none"/>
        </w:rPr>
        <w:fldChar w:fldCharType="begin"/>
      </w:r>
      <w:r>
        <w:rPr>
          <w:color w:val="auto"/>
          <w:highlight w:val="none"/>
        </w:rPr>
        <w:instrText xml:space="preserve"> PAGEREF _Toc43475911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5882907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"_Toc43475912" </w:instrText>
      </w:r>
      <w:r>
        <w:rPr>
          <w:color w:val="auto"/>
          <w:highlight w:val="none"/>
        </w:rPr>
        <w:fldChar w:fldCharType="separate"/>
      </w:r>
      <w:r>
        <w:rPr>
          <w:rStyle w:val="52"/>
          <w:rFonts w:ascii="宋体" w:hAnsi="宋体" w:cs="宋体"/>
          <w:color w:val="auto"/>
          <w:highlight w:val="none"/>
        </w:rPr>
        <w:t>2.3</w:t>
      </w:r>
      <w:r>
        <w:rPr>
          <w:rStyle w:val="52"/>
          <w:rFonts w:hint="eastAsia" w:ascii="宋体" w:hAnsi="宋体" w:cs="宋体"/>
          <w:color w:val="auto"/>
          <w:highlight w:val="none"/>
        </w:rPr>
        <w:t>提供施工场地</w:t>
      </w:r>
      <w:r>
        <w:rPr>
          <w:color w:val="auto"/>
          <w:highlight w:val="none"/>
        </w:rPr>
        <w:tab/>
      </w:r>
      <w:r>
        <w:rPr>
          <w:color w:val="auto"/>
          <w:highlight w:val="none"/>
        </w:rPr>
        <w:fldChar w:fldCharType="begin"/>
      </w:r>
      <w:r>
        <w:rPr>
          <w:color w:val="auto"/>
          <w:highlight w:val="none"/>
        </w:rPr>
        <w:instrText xml:space="preserve"> PAGEREF _Toc43475912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36FA320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"_Toc43475913" </w:instrText>
      </w:r>
      <w:r>
        <w:rPr>
          <w:color w:val="auto"/>
          <w:highlight w:val="none"/>
        </w:rPr>
        <w:fldChar w:fldCharType="separate"/>
      </w:r>
      <w:r>
        <w:rPr>
          <w:rStyle w:val="52"/>
          <w:rFonts w:ascii="宋体" w:hAnsi="宋体" w:cs="宋体"/>
          <w:color w:val="auto"/>
          <w:highlight w:val="none"/>
        </w:rPr>
        <w:t>3</w:t>
      </w:r>
      <w:r>
        <w:rPr>
          <w:rStyle w:val="52"/>
          <w:rFonts w:hint="eastAsia" w:ascii="宋体" w:hAnsi="宋体" w:cs="宋体"/>
          <w:color w:val="auto"/>
          <w:highlight w:val="none"/>
        </w:rPr>
        <w:t>.监理人</w:t>
      </w:r>
      <w:r>
        <w:rPr>
          <w:color w:val="auto"/>
          <w:highlight w:val="none"/>
        </w:rPr>
        <w:tab/>
      </w:r>
      <w:r>
        <w:rPr>
          <w:color w:val="auto"/>
          <w:highlight w:val="none"/>
        </w:rPr>
        <w:fldChar w:fldCharType="begin"/>
      </w:r>
      <w:r>
        <w:rPr>
          <w:color w:val="auto"/>
          <w:highlight w:val="none"/>
        </w:rPr>
        <w:instrText xml:space="preserve"> PAGEREF _Toc43475913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3CDC5621">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"_Toc43475914" </w:instrText>
      </w:r>
      <w:r>
        <w:rPr>
          <w:color w:val="auto"/>
          <w:highlight w:val="none"/>
        </w:rPr>
        <w:fldChar w:fldCharType="separate"/>
      </w:r>
      <w:r>
        <w:rPr>
          <w:rStyle w:val="52"/>
          <w:rFonts w:ascii="宋体" w:hAnsi="宋体" w:cs="宋体"/>
          <w:color w:val="auto"/>
          <w:highlight w:val="none"/>
        </w:rPr>
        <w:t>3.1</w:t>
      </w:r>
      <w:r>
        <w:rPr>
          <w:rStyle w:val="52"/>
          <w:rFonts w:hint="eastAsia" w:ascii="宋体" w:hAnsi="宋体" w:cs="宋体"/>
          <w:color w:val="auto"/>
          <w:highlight w:val="none"/>
        </w:rPr>
        <w:t>监理人的职责和权力</w:t>
      </w:r>
      <w:r>
        <w:rPr>
          <w:color w:val="auto"/>
          <w:highlight w:val="none"/>
        </w:rPr>
        <w:tab/>
      </w:r>
      <w:r>
        <w:rPr>
          <w:color w:val="auto"/>
          <w:highlight w:val="none"/>
        </w:rPr>
        <w:fldChar w:fldCharType="begin"/>
      </w:r>
      <w:r>
        <w:rPr>
          <w:color w:val="auto"/>
          <w:highlight w:val="none"/>
        </w:rPr>
        <w:instrText xml:space="preserve"> PAGEREF _Toc43475914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52A2C50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"_Toc43475915" </w:instrText>
      </w:r>
      <w:r>
        <w:rPr>
          <w:color w:val="auto"/>
          <w:highlight w:val="none"/>
        </w:rPr>
        <w:fldChar w:fldCharType="separate"/>
      </w:r>
      <w:r>
        <w:rPr>
          <w:rStyle w:val="52"/>
          <w:rFonts w:ascii="宋体" w:hAnsi="宋体" w:cs="宋体"/>
          <w:color w:val="auto"/>
          <w:highlight w:val="none"/>
        </w:rPr>
        <w:t>3.5</w:t>
      </w:r>
      <w:r>
        <w:rPr>
          <w:rStyle w:val="52"/>
          <w:rFonts w:hint="eastAsia" w:ascii="宋体" w:hAnsi="宋体" w:cs="宋体"/>
          <w:color w:val="auto"/>
          <w:highlight w:val="none"/>
        </w:rPr>
        <w:t>商定或确定</w:t>
      </w:r>
      <w:r>
        <w:rPr>
          <w:color w:val="auto"/>
          <w:highlight w:val="none"/>
        </w:rPr>
        <w:tab/>
      </w:r>
      <w:r>
        <w:rPr>
          <w:color w:val="auto"/>
          <w:highlight w:val="none"/>
        </w:rPr>
        <w:fldChar w:fldCharType="begin"/>
      </w:r>
      <w:r>
        <w:rPr>
          <w:color w:val="auto"/>
          <w:highlight w:val="none"/>
        </w:rPr>
        <w:instrText xml:space="preserve"> PAGEREF _Toc43475915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14308284">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"_Toc43475916" </w:instrText>
      </w:r>
      <w:r>
        <w:rPr>
          <w:color w:val="auto"/>
          <w:highlight w:val="none"/>
        </w:rPr>
        <w:fldChar w:fldCharType="separate"/>
      </w:r>
      <w:r>
        <w:rPr>
          <w:rStyle w:val="52"/>
          <w:rFonts w:ascii="宋体" w:hAnsi="宋体" w:cs="宋体"/>
          <w:color w:val="auto"/>
          <w:highlight w:val="none"/>
        </w:rPr>
        <w:t>4.</w:t>
      </w:r>
      <w:r>
        <w:rPr>
          <w:rStyle w:val="52"/>
          <w:rFonts w:hint="eastAsia" w:ascii="宋体" w:hAnsi="宋体" w:cs="宋体"/>
          <w:color w:val="auto"/>
          <w:highlight w:val="none"/>
        </w:rPr>
        <w:t>承包人</w:t>
      </w:r>
      <w:r>
        <w:rPr>
          <w:color w:val="auto"/>
          <w:highlight w:val="none"/>
        </w:rPr>
        <w:tab/>
      </w:r>
      <w:r>
        <w:rPr>
          <w:color w:val="auto"/>
          <w:highlight w:val="none"/>
        </w:rPr>
        <w:fldChar w:fldCharType="begin"/>
      </w:r>
      <w:r>
        <w:rPr>
          <w:color w:val="auto"/>
          <w:highlight w:val="none"/>
        </w:rPr>
        <w:instrText xml:space="preserve"> PAGEREF _Toc43475916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6D863C1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"_Toc43475917" </w:instrText>
      </w:r>
      <w:r>
        <w:rPr>
          <w:color w:val="auto"/>
          <w:highlight w:val="none"/>
        </w:rPr>
        <w:fldChar w:fldCharType="separate"/>
      </w:r>
      <w:r>
        <w:rPr>
          <w:rStyle w:val="52"/>
          <w:rFonts w:ascii="宋体" w:hAnsi="宋体" w:cs="宋体"/>
          <w:color w:val="auto"/>
          <w:highlight w:val="none"/>
        </w:rPr>
        <w:t>4.1</w:t>
      </w:r>
      <w:r>
        <w:rPr>
          <w:rStyle w:val="52"/>
          <w:rFonts w:hint="eastAsia" w:ascii="宋体" w:hAnsi="宋体" w:cs="宋体"/>
          <w:color w:val="auto"/>
          <w:highlight w:val="none"/>
        </w:rPr>
        <w:t>承包工的一般义务</w:t>
      </w:r>
      <w:r>
        <w:rPr>
          <w:color w:val="auto"/>
          <w:highlight w:val="none"/>
        </w:rPr>
        <w:tab/>
      </w:r>
      <w:r>
        <w:rPr>
          <w:color w:val="auto"/>
          <w:highlight w:val="none"/>
        </w:rPr>
        <w:fldChar w:fldCharType="begin"/>
      </w:r>
      <w:r>
        <w:rPr>
          <w:color w:val="auto"/>
          <w:highlight w:val="none"/>
        </w:rPr>
        <w:instrText xml:space="preserve"> PAGEREF _Toc43475917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7BE7E4BB">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"_Toc43475918" </w:instrText>
      </w:r>
      <w:r>
        <w:rPr>
          <w:color w:val="auto"/>
          <w:highlight w:val="none"/>
        </w:rPr>
        <w:fldChar w:fldCharType="separate"/>
      </w:r>
      <w:r>
        <w:rPr>
          <w:rStyle w:val="52"/>
          <w:rFonts w:ascii="宋体" w:hAnsi="宋体" w:cs="宋体"/>
          <w:color w:val="auto"/>
          <w:highlight w:val="none"/>
        </w:rPr>
        <w:t>4.2</w:t>
      </w:r>
      <w:r>
        <w:rPr>
          <w:rStyle w:val="52"/>
          <w:rFonts w:hint="eastAsia" w:ascii="宋体" w:hAnsi="宋体" w:cs="宋体"/>
          <w:color w:val="auto"/>
          <w:highlight w:val="none"/>
          <w:lang w:val="zh-CN"/>
        </w:rPr>
        <w:t>履约保证金</w:t>
      </w:r>
      <w:r>
        <w:rPr>
          <w:color w:val="auto"/>
          <w:highlight w:val="none"/>
        </w:rPr>
        <w:tab/>
      </w:r>
      <w:r>
        <w:rPr>
          <w:color w:val="auto"/>
          <w:highlight w:val="none"/>
        </w:rPr>
        <w:fldChar w:fldCharType="begin"/>
      </w:r>
      <w:r>
        <w:rPr>
          <w:color w:val="auto"/>
          <w:highlight w:val="none"/>
        </w:rPr>
        <w:instrText xml:space="preserve"> PAGEREF _Toc43475918 \h </w:instrText>
      </w:r>
      <w:r>
        <w:rPr>
          <w:color w:val="auto"/>
          <w:highlight w:val="none"/>
        </w:rPr>
        <w:fldChar w:fldCharType="separate"/>
      </w:r>
      <w:r>
        <w:rPr>
          <w:color w:val="auto"/>
          <w:highlight w:val="none"/>
        </w:rPr>
        <w:t>111</w:t>
      </w:r>
      <w:r>
        <w:rPr>
          <w:color w:val="auto"/>
          <w:highlight w:val="none"/>
        </w:rPr>
        <w:fldChar w:fldCharType="end"/>
      </w:r>
      <w:r>
        <w:rPr>
          <w:color w:val="auto"/>
          <w:highlight w:val="none"/>
        </w:rPr>
        <w:fldChar w:fldCharType="end"/>
      </w:r>
    </w:p>
    <w:p w14:paraId="475F507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"_Toc43475919" </w:instrText>
      </w:r>
      <w:r>
        <w:rPr>
          <w:color w:val="auto"/>
          <w:highlight w:val="none"/>
        </w:rPr>
        <w:fldChar w:fldCharType="separate"/>
      </w:r>
      <w:r>
        <w:rPr>
          <w:rStyle w:val="52"/>
          <w:rFonts w:ascii="宋体" w:hAnsi="宋体" w:cs="宋体"/>
          <w:color w:val="auto"/>
          <w:highlight w:val="none"/>
        </w:rPr>
        <w:t xml:space="preserve">4.3 </w:t>
      </w:r>
      <w:r>
        <w:rPr>
          <w:rStyle w:val="52"/>
          <w:rFonts w:hint="eastAsia" w:ascii="宋体" w:hAnsi="宋体" w:cs="宋体"/>
          <w:color w:val="auto"/>
          <w:highlight w:val="none"/>
        </w:rPr>
        <w:t>分包</w:t>
      </w:r>
      <w:r>
        <w:rPr>
          <w:color w:val="auto"/>
          <w:highlight w:val="none"/>
        </w:rPr>
        <w:tab/>
      </w:r>
      <w:r>
        <w:rPr>
          <w:color w:val="auto"/>
          <w:highlight w:val="none"/>
        </w:rPr>
        <w:fldChar w:fldCharType="begin"/>
      </w:r>
      <w:r>
        <w:rPr>
          <w:color w:val="auto"/>
          <w:highlight w:val="none"/>
        </w:rPr>
        <w:instrText xml:space="preserve"> PAGEREF _Toc43475919 \h </w:instrText>
      </w:r>
      <w:r>
        <w:rPr>
          <w:color w:val="auto"/>
          <w:highlight w:val="none"/>
        </w:rPr>
        <w:fldChar w:fldCharType="separate"/>
      </w:r>
      <w:r>
        <w:rPr>
          <w:color w:val="auto"/>
          <w:highlight w:val="none"/>
        </w:rPr>
        <w:t>111</w:t>
      </w:r>
      <w:r>
        <w:rPr>
          <w:color w:val="auto"/>
          <w:highlight w:val="none"/>
        </w:rPr>
        <w:fldChar w:fldCharType="end"/>
      </w:r>
      <w:r>
        <w:rPr>
          <w:color w:val="auto"/>
          <w:highlight w:val="none"/>
        </w:rPr>
        <w:fldChar w:fldCharType="end"/>
      </w:r>
    </w:p>
    <w:p w14:paraId="48A83AA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"_Toc43475920" </w:instrText>
      </w:r>
      <w:r>
        <w:rPr>
          <w:color w:val="auto"/>
          <w:highlight w:val="none"/>
        </w:rPr>
        <w:fldChar w:fldCharType="separate"/>
      </w:r>
      <w:r>
        <w:rPr>
          <w:rStyle w:val="52"/>
          <w:rFonts w:ascii="宋体" w:hAnsi="宋体" w:cs="宋体"/>
          <w:color w:val="auto"/>
          <w:highlight w:val="none"/>
        </w:rPr>
        <w:t>4.4</w:t>
      </w:r>
      <w:r>
        <w:rPr>
          <w:rStyle w:val="52"/>
          <w:rFonts w:hint="eastAsia" w:ascii="宋体" w:hAnsi="宋体" w:cs="宋体"/>
          <w:color w:val="auto"/>
          <w:highlight w:val="none"/>
        </w:rPr>
        <w:t>联合体</w:t>
      </w:r>
      <w:r>
        <w:rPr>
          <w:color w:val="auto"/>
          <w:highlight w:val="none"/>
        </w:rPr>
        <w:tab/>
      </w:r>
      <w:r>
        <w:rPr>
          <w:color w:val="auto"/>
          <w:highlight w:val="none"/>
        </w:rPr>
        <w:fldChar w:fldCharType="begin"/>
      </w:r>
      <w:r>
        <w:rPr>
          <w:color w:val="auto"/>
          <w:highlight w:val="none"/>
        </w:rPr>
        <w:instrText xml:space="preserve"> PAGEREF _Toc43475920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734C50E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"_Toc43475921" </w:instrText>
      </w:r>
      <w:r>
        <w:rPr>
          <w:color w:val="auto"/>
          <w:highlight w:val="none"/>
        </w:rPr>
        <w:fldChar w:fldCharType="separate"/>
      </w:r>
      <w:r>
        <w:rPr>
          <w:rStyle w:val="52"/>
          <w:rFonts w:ascii="宋体" w:hAnsi="宋体" w:cs="宋体"/>
          <w:color w:val="auto"/>
          <w:highlight w:val="none"/>
        </w:rPr>
        <w:t>4.6</w:t>
      </w:r>
      <w:r>
        <w:rPr>
          <w:rStyle w:val="52"/>
          <w:rFonts w:hint="eastAsia" w:ascii="宋体" w:hAnsi="宋体" w:cs="宋体"/>
          <w:color w:val="auto"/>
          <w:highlight w:val="none"/>
        </w:rPr>
        <w:t>承包人人员的管理</w:t>
      </w:r>
      <w:r>
        <w:rPr>
          <w:color w:val="auto"/>
          <w:highlight w:val="none"/>
        </w:rPr>
        <w:tab/>
      </w:r>
      <w:r>
        <w:rPr>
          <w:color w:val="auto"/>
          <w:highlight w:val="none"/>
        </w:rPr>
        <w:fldChar w:fldCharType="begin"/>
      </w:r>
      <w:r>
        <w:rPr>
          <w:color w:val="auto"/>
          <w:highlight w:val="none"/>
        </w:rPr>
        <w:instrText xml:space="preserve"> PAGEREF _Toc43475921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2E39477C">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"_Toc43475922" </w:instrText>
      </w:r>
      <w:r>
        <w:rPr>
          <w:color w:val="auto"/>
          <w:highlight w:val="none"/>
        </w:rPr>
        <w:fldChar w:fldCharType="separate"/>
      </w:r>
      <w:r>
        <w:rPr>
          <w:rStyle w:val="52"/>
          <w:rFonts w:ascii="宋体" w:hAnsi="宋体" w:cs="宋体"/>
          <w:color w:val="auto"/>
          <w:highlight w:val="none"/>
        </w:rPr>
        <w:t>4.7</w:t>
      </w:r>
      <w:r>
        <w:rPr>
          <w:rStyle w:val="52"/>
          <w:rFonts w:hint="eastAsia" w:ascii="宋体" w:hAnsi="宋体" w:cs="宋体"/>
          <w:color w:val="auto"/>
          <w:highlight w:val="none"/>
        </w:rPr>
        <w:t>撤换承包人项目经理和其他人员</w:t>
      </w:r>
      <w:r>
        <w:rPr>
          <w:color w:val="auto"/>
          <w:highlight w:val="none"/>
        </w:rPr>
        <w:tab/>
      </w:r>
      <w:r>
        <w:rPr>
          <w:color w:val="auto"/>
          <w:highlight w:val="none"/>
        </w:rPr>
        <w:fldChar w:fldCharType="begin"/>
      </w:r>
      <w:r>
        <w:rPr>
          <w:color w:val="auto"/>
          <w:highlight w:val="none"/>
        </w:rPr>
        <w:instrText xml:space="preserve"> PAGEREF _Toc43475922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73D682CD">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"_Toc43475923" </w:instrText>
      </w:r>
      <w:r>
        <w:rPr>
          <w:color w:val="auto"/>
          <w:highlight w:val="none"/>
        </w:rPr>
        <w:fldChar w:fldCharType="separate"/>
      </w:r>
      <w:r>
        <w:rPr>
          <w:rStyle w:val="52"/>
          <w:rFonts w:ascii="宋体" w:hAnsi="宋体" w:cs="宋体"/>
          <w:color w:val="auto"/>
          <w:highlight w:val="none"/>
        </w:rPr>
        <w:t>4.9</w:t>
      </w:r>
      <w:r>
        <w:rPr>
          <w:rStyle w:val="52"/>
          <w:rFonts w:hint="eastAsia" w:ascii="宋体" w:hAnsi="宋体" w:cs="宋体"/>
          <w:color w:val="auto"/>
          <w:highlight w:val="none"/>
        </w:rPr>
        <w:t>工程价款应专款专用</w:t>
      </w:r>
      <w:r>
        <w:rPr>
          <w:color w:val="auto"/>
          <w:highlight w:val="none"/>
        </w:rPr>
        <w:tab/>
      </w:r>
      <w:r>
        <w:rPr>
          <w:color w:val="auto"/>
          <w:highlight w:val="none"/>
        </w:rPr>
        <w:fldChar w:fldCharType="begin"/>
      </w:r>
      <w:r>
        <w:rPr>
          <w:color w:val="auto"/>
          <w:highlight w:val="none"/>
        </w:rPr>
        <w:instrText xml:space="preserve"> PAGEREF _Toc43475923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3B8D8FF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"_Toc43475924" </w:instrText>
      </w:r>
      <w:r>
        <w:rPr>
          <w:color w:val="auto"/>
          <w:highlight w:val="none"/>
        </w:rPr>
        <w:fldChar w:fldCharType="separate"/>
      </w:r>
      <w:r>
        <w:rPr>
          <w:rStyle w:val="52"/>
          <w:rFonts w:ascii="宋体" w:hAnsi="宋体" w:cs="宋体"/>
          <w:color w:val="auto"/>
          <w:highlight w:val="none"/>
        </w:rPr>
        <w:t>4.10</w:t>
      </w:r>
      <w:r>
        <w:rPr>
          <w:rStyle w:val="52"/>
          <w:rFonts w:hint="eastAsia" w:ascii="宋体" w:hAnsi="宋体" w:cs="宋体"/>
          <w:color w:val="auto"/>
          <w:highlight w:val="none"/>
        </w:rPr>
        <w:t>承包人现场查勘</w:t>
      </w:r>
      <w:r>
        <w:rPr>
          <w:color w:val="auto"/>
          <w:highlight w:val="none"/>
        </w:rPr>
        <w:tab/>
      </w:r>
      <w:r>
        <w:rPr>
          <w:color w:val="auto"/>
          <w:highlight w:val="none"/>
        </w:rPr>
        <w:fldChar w:fldCharType="begin"/>
      </w:r>
      <w:r>
        <w:rPr>
          <w:color w:val="auto"/>
          <w:highlight w:val="none"/>
        </w:rPr>
        <w:instrText xml:space="preserve"> PAGEREF _Toc43475924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16F89449">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"_Toc43475925" </w:instrText>
      </w:r>
      <w:r>
        <w:rPr>
          <w:color w:val="auto"/>
          <w:highlight w:val="none"/>
        </w:rPr>
        <w:fldChar w:fldCharType="separate"/>
      </w:r>
      <w:r>
        <w:rPr>
          <w:rStyle w:val="52"/>
          <w:rFonts w:ascii="宋体" w:hAnsi="宋体" w:cs="宋体"/>
          <w:color w:val="auto"/>
          <w:highlight w:val="none"/>
        </w:rPr>
        <w:t>4.11</w:t>
      </w:r>
      <w:r>
        <w:rPr>
          <w:rStyle w:val="52"/>
          <w:rFonts w:hint="eastAsia" w:ascii="宋体" w:hAnsi="宋体" w:cs="宋体"/>
          <w:color w:val="auto"/>
          <w:highlight w:val="none"/>
        </w:rPr>
        <w:t>不利物质条件</w:t>
      </w:r>
      <w:r>
        <w:rPr>
          <w:color w:val="auto"/>
          <w:highlight w:val="none"/>
        </w:rPr>
        <w:tab/>
      </w:r>
      <w:r>
        <w:rPr>
          <w:color w:val="auto"/>
          <w:highlight w:val="none"/>
        </w:rPr>
        <w:fldChar w:fldCharType="begin"/>
      </w:r>
      <w:r>
        <w:rPr>
          <w:color w:val="auto"/>
          <w:highlight w:val="none"/>
        </w:rPr>
        <w:instrText xml:space="preserve"> PAGEREF _Toc43475925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385B921E">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"_Toc43475926" </w:instrText>
      </w:r>
      <w:r>
        <w:rPr>
          <w:color w:val="auto"/>
          <w:highlight w:val="none"/>
        </w:rPr>
        <w:fldChar w:fldCharType="separate"/>
      </w:r>
      <w:r>
        <w:rPr>
          <w:rStyle w:val="52"/>
          <w:rFonts w:ascii="宋体" w:hAnsi="宋体" w:cs="宋体"/>
          <w:color w:val="auto"/>
          <w:highlight w:val="none"/>
        </w:rPr>
        <w:t>4.12</w:t>
      </w:r>
      <w:r>
        <w:rPr>
          <w:rStyle w:val="52"/>
          <w:rFonts w:hint="eastAsia" w:ascii="宋体" w:hAnsi="宋体" w:cs="宋体"/>
          <w:color w:val="auto"/>
          <w:highlight w:val="none"/>
        </w:rPr>
        <w:t>投标文件的完备性</w:t>
      </w:r>
      <w:r>
        <w:rPr>
          <w:color w:val="auto"/>
          <w:highlight w:val="none"/>
        </w:rPr>
        <w:tab/>
      </w:r>
      <w:r>
        <w:rPr>
          <w:color w:val="auto"/>
          <w:highlight w:val="none"/>
        </w:rPr>
        <w:fldChar w:fldCharType="begin"/>
      </w:r>
      <w:r>
        <w:rPr>
          <w:color w:val="auto"/>
          <w:highlight w:val="none"/>
        </w:rPr>
        <w:instrText xml:space="preserve"> PAGEREF _Toc43475926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46689A32">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"_Toc43475927" </w:instrText>
      </w:r>
      <w:r>
        <w:rPr>
          <w:color w:val="auto"/>
          <w:highlight w:val="none"/>
        </w:rPr>
        <w:fldChar w:fldCharType="separate"/>
      </w:r>
      <w:r>
        <w:rPr>
          <w:rStyle w:val="52"/>
          <w:rFonts w:ascii="宋体" w:hAnsi="宋体" w:cs="宋体"/>
          <w:color w:val="auto"/>
          <w:highlight w:val="none"/>
        </w:rPr>
        <w:t>4.13</w:t>
      </w:r>
      <w:r>
        <w:rPr>
          <w:rStyle w:val="52"/>
          <w:rFonts w:hint="eastAsia" w:ascii="宋体" w:hAnsi="宋体" w:cs="宋体"/>
          <w:color w:val="auto"/>
          <w:highlight w:val="none"/>
          <w:lang w:val="zh-CN"/>
        </w:rPr>
        <w:t>开展党建工作要求</w:t>
      </w:r>
      <w:r>
        <w:rPr>
          <w:color w:val="auto"/>
          <w:highlight w:val="none"/>
        </w:rPr>
        <w:tab/>
      </w:r>
      <w:r>
        <w:rPr>
          <w:color w:val="auto"/>
          <w:highlight w:val="none"/>
        </w:rPr>
        <w:fldChar w:fldCharType="begin"/>
      </w:r>
      <w:r>
        <w:rPr>
          <w:color w:val="auto"/>
          <w:highlight w:val="none"/>
        </w:rPr>
        <w:instrText xml:space="preserve"> PAGEREF _Toc43475927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17BB9739">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"_Toc43475928" </w:instrText>
      </w:r>
      <w:r>
        <w:rPr>
          <w:color w:val="auto"/>
          <w:highlight w:val="none"/>
        </w:rPr>
        <w:fldChar w:fldCharType="separate"/>
      </w:r>
      <w:r>
        <w:rPr>
          <w:rStyle w:val="52"/>
          <w:rFonts w:ascii="宋体" w:hAnsi="宋体" w:cs="宋体"/>
          <w:color w:val="auto"/>
          <w:highlight w:val="none"/>
        </w:rPr>
        <w:t>5</w:t>
      </w:r>
      <w:r>
        <w:rPr>
          <w:rStyle w:val="52"/>
          <w:rFonts w:hint="eastAsia" w:ascii="宋体" w:hAnsi="宋体" w:cs="宋体"/>
          <w:color w:val="auto"/>
          <w:highlight w:val="none"/>
        </w:rPr>
        <w:t>.材料和工程设备</w:t>
      </w:r>
      <w:r>
        <w:rPr>
          <w:color w:val="auto"/>
          <w:highlight w:val="none"/>
        </w:rPr>
        <w:tab/>
      </w:r>
      <w:r>
        <w:rPr>
          <w:color w:val="auto"/>
          <w:highlight w:val="none"/>
        </w:rPr>
        <w:fldChar w:fldCharType="begin"/>
      </w:r>
      <w:r>
        <w:rPr>
          <w:color w:val="auto"/>
          <w:highlight w:val="none"/>
        </w:rPr>
        <w:instrText xml:space="preserve"> PAGEREF _Toc43475928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4B0B6613">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"_Toc43475929" </w:instrText>
      </w:r>
      <w:r>
        <w:rPr>
          <w:color w:val="auto"/>
          <w:highlight w:val="none"/>
        </w:rPr>
        <w:fldChar w:fldCharType="separate"/>
      </w:r>
      <w:r>
        <w:rPr>
          <w:rStyle w:val="52"/>
          <w:rFonts w:ascii="宋体" w:hAnsi="宋体" w:cs="宋体"/>
          <w:color w:val="auto"/>
          <w:highlight w:val="none"/>
        </w:rPr>
        <w:t>5.2</w:t>
      </w:r>
      <w:r>
        <w:rPr>
          <w:rStyle w:val="52"/>
          <w:rFonts w:hint="eastAsia" w:ascii="宋体" w:hAnsi="宋体" w:cs="宋体"/>
          <w:color w:val="auto"/>
          <w:highlight w:val="none"/>
        </w:rPr>
        <w:t>发包人提供的材料和工程设备</w:t>
      </w:r>
      <w:r>
        <w:rPr>
          <w:color w:val="auto"/>
          <w:highlight w:val="none"/>
        </w:rPr>
        <w:tab/>
      </w:r>
      <w:r>
        <w:rPr>
          <w:color w:val="auto"/>
          <w:highlight w:val="none"/>
        </w:rPr>
        <w:fldChar w:fldCharType="begin"/>
      </w:r>
      <w:r>
        <w:rPr>
          <w:color w:val="auto"/>
          <w:highlight w:val="none"/>
        </w:rPr>
        <w:instrText xml:space="preserve"> PAGEREF _Toc43475929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6AE86A71">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"_Toc43475930" </w:instrText>
      </w:r>
      <w:r>
        <w:rPr>
          <w:color w:val="auto"/>
          <w:highlight w:val="none"/>
        </w:rPr>
        <w:fldChar w:fldCharType="separate"/>
      </w:r>
      <w:r>
        <w:rPr>
          <w:rStyle w:val="52"/>
          <w:rFonts w:ascii="宋体" w:hAnsi="宋体" w:cs="宋体"/>
          <w:color w:val="auto"/>
          <w:highlight w:val="none"/>
        </w:rPr>
        <w:t>6</w:t>
      </w:r>
      <w:r>
        <w:rPr>
          <w:rStyle w:val="52"/>
          <w:rFonts w:hint="eastAsia" w:ascii="宋体" w:hAnsi="宋体" w:cs="宋体"/>
          <w:color w:val="auto"/>
          <w:highlight w:val="none"/>
        </w:rPr>
        <w:t>.施工设备和临时设施</w:t>
      </w:r>
      <w:r>
        <w:rPr>
          <w:color w:val="auto"/>
          <w:highlight w:val="none"/>
        </w:rPr>
        <w:tab/>
      </w:r>
      <w:r>
        <w:rPr>
          <w:color w:val="auto"/>
          <w:highlight w:val="none"/>
        </w:rPr>
        <w:fldChar w:fldCharType="begin"/>
      </w:r>
      <w:r>
        <w:rPr>
          <w:color w:val="auto"/>
          <w:highlight w:val="none"/>
        </w:rPr>
        <w:instrText xml:space="preserve"> PAGEREF _Toc43475930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3B806012">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"_Toc43475931" </w:instrText>
      </w:r>
      <w:r>
        <w:rPr>
          <w:color w:val="auto"/>
          <w:highlight w:val="none"/>
        </w:rPr>
        <w:fldChar w:fldCharType="separate"/>
      </w:r>
      <w:r>
        <w:rPr>
          <w:rStyle w:val="52"/>
          <w:rFonts w:ascii="宋体" w:hAnsi="宋体" w:cs="宋体"/>
          <w:color w:val="auto"/>
          <w:highlight w:val="none"/>
        </w:rPr>
        <w:t>6.2</w:t>
      </w:r>
      <w:r>
        <w:rPr>
          <w:rStyle w:val="52"/>
          <w:rFonts w:hint="eastAsia" w:ascii="宋体" w:hAnsi="宋体" w:cs="宋体"/>
          <w:color w:val="auto"/>
          <w:highlight w:val="none"/>
        </w:rPr>
        <w:t>承包人提供的施工设备和临时设施</w:t>
      </w:r>
      <w:r>
        <w:rPr>
          <w:color w:val="auto"/>
          <w:highlight w:val="none"/>
        </w:rPr>
        <w:tab/>
      </w:r>
      <w:r>
        <w:rPr>
          <w:color w:val="auto"/>
          <w:highlight w:val="none"/>
        </w:rPr>
        <w:fldChar w:fldCharType="begin"/>
      </w:r>
      <w:r>
        <w:rPr>
          <w:color w:val="auto"/>
          <w:highlight w:val="none"/>
        </w:rPr>
        <w:instrText xml:space="preserve"> PAGEREF _Toc43475931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72FA6053">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"_Toc43475932" </w:instrText>
      </w:r>
      <w:r>
        <w:rPr>
          <w:color w:val="auto"/>
          <w:highlight w:val="none"/>
        </w:rPr>
        <w:fldChar w:fldCharType="separate"/>
      </w:r>
      <w:r>
        <w:rPr>
          <w:rStyle w:val="52"/>
          <w:rFonts w:ascii="宋体" w:hAnsi="宋体" w:cs="宋体"/>
          <w:color w:val="auto"/>
          <w:highlight w:val="none"/>
        </w:rPr>
        <w:t>6.3</w:t>
      </w:r>
      <w:r>
        <w:rPr>
          <w:rStyle w:val="52"/>
          <w:rFonts w:hint="eastAsia" w:ascii="宋体" w:hAnsi="宋体" w:cs="宋体"/>
          <w:color w:val="auto"/>
          <w:highlight w:val="none"/>
        </w:rPr>
        <w:t>要求承包人增加或更换施工设备</w:t>
      </w:r>
      <w:r>
        <w:rPr>
          <w:color w:val="auto"/>
          <w:highlight w:val="none"/>
        </w:rPr>
        <w:tab/>
      </w:r>
      <w:r>
        <w:rPr>
          <w:color w:val="auto"/>
          <w:highlight w:val="none"/>
        </w:rPr>
        <w:fldChar w:fldCharType="begin"/>
      </w:r>
      <w:r>
        <w:rPr>
          <w:color w:val="auto"/>
          <w:highlight w:val="none"/>
        </w:rPr>
        <w:instrText xml:space="preserve"> PAGEREF _Toc43475932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0FE5924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"_Toc43475933" </w:instrText>
      </w:r>
      <w:r>
        <w:rPr>
          <w:color w:val="auto"/>
          <w:highlight w:val="none"/>
        </w:rPr>
        <w:fldChar w:fldCharType="separate"/>
      </w:r>
      <w:r>
        <w:rPr>
          <w:rStyle w:val="52"/>
          <w:rFonts w:ascii="宋体" w:hAnsi="宋体" w:cs="宋体"/>
          <w:color w:val="auto"/>
          <w:highlight w:val="none"/>
        </w:rPr>
        <w:t>7</w:t>
      </w:r>
      <w:r>
        <w:rPr>
          <w:rStyle w:val="52"/>
          <w:rFonts w:hint="eastAsia" w:ascii="宋体" w:hAnsi="宋体" w:cs="宋体"/>
          <w:color w:val="auto"/>
          <w:highlight w:val="none"/>
        </w:rPr>
        <w:t>.交通运输</w:t>
      </w:r>
      <w:r>
        <w:rPr>
          <w:color w:val="auto"/>
          <w:highlight w:val="none"/>
        </w:rPr>
        <w:tab/>
      </w:r>
      <w:r>
        <w:rPr>
          <w:color w:val="auto"/>
          <w:highlight w:val="none"/>
        </w:rPr>
        <w:fldChar w:fldCharType="begin"/>
      </w:r>
      <w:r>
        <w:rPr>
          <w:color w:val="auto"/>
          <w:highlight w:val="none"/>
        </w:rPr>
        <w:instrText xml:space="preserve"> PAGEREF _Toc43475933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490853A3">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"_Toc43475934" </w:instrText>
      </w:r>
      <w:r>
        <w:rPr>
          <w:color w:val="auto"/>
          <w:highlight w:val="none"/>
        </w:rPr>
        <w:fldChar w:fldCharType="separate"/>
      </w:r>
      <w:r>
        <w:rPr>
          <w:rStyle w:val="52"/>
          <w:rFonts w:ascii="宋体" w:hAnsi="宋体" w:cs="宋体"/>
          <w:color w:val="auto"/>
          <w:highlight w:val="none"/>
        </w:rPr>
        <w:t>7.1</w:t>
      </w:r>
      <w:r>
        <w:rPr>
          <w:rStyle w:val="52"/>
          <w:rFonts w:hint="eastAsia" w:ascii="宋体" w:hAnsi="宋体" w:cs="宋体"/>
          <w:color w:val="auto"/>
          <w:highlight w:val="none"/>
        </w:rPr>
        <w:t>道路通行权和场外设施</w:t>
      </w:r>
      <w:r>
        <w:rPr>
          <w:color w:val="auto"/>
          <w:highlight w:val="none"/>
        </w:rPr>
        <w:tab/>
      </w:r>
      <w:r>
        <w:rPr>
          <w:color w:val="auto"/>
          <w:highlight w:val="none"/>
        </w:rPr>
        <w:fldChar w:fldCharType="begin"/>
      </w:r>
      <w:r>
        <w:rPr>
          <w:color w:val="auto"/>
          <w:highlight w:val="none"/>
        </w:rPr>
        <w:instrText xml:space="preserve"> PAGEREF _Toc43475934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5DF51BE9">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"_Toc43475935" </w:instrText>
      </w:r>
      <w:r>
        <w:rPr>
          <w:color w:val="auto"/>
          <w:highlight w:val="none"/>
        </w:rPr>
        <w:fldChar w:fldCharType="separate"/>
      </w:r>
      <w:r>
        <w:rPr>
          <w:rStyle w:val="52"/>
          <w:rFonts w:ascii="宋体" w:hAnsi="宋体" w:cs="宋体"/>
          <w:color w:val="auto"/>
          <w:highlight w:val="none"/>
        </w:rPr>
        <w:t>8</w:t>
      </w:r>
      <w:r>
        <w:rPr>
          <w:rStyle w:val="52"/>
          <w:rFonts w:hint="eastAsia" w:ascii="宋体" w:hAnsi="宋体" w:cs="宋体"/>
          <w:color w:val="auto"/>
          <w:highlight w:val="none"/>
        </w:rPr>
        <w:t>.测量放线</w:t>
      </w:r>
      <w:r>
        <w:rPr>
          <w:color w:val="auto"/>
          <w:highlight w:val="none"/>
        </w:rPr>
        <w:tab/>
      </w:r>
      <w:r>
        <w:rPr>
          <w:color w:val="auto"/>
          <w:highlight w:val="none"/>
        </w:rPr>
        <w:fldChar w:fldCharType="begin"/>
      </w:r>
      <w:r>
        <w:rPr>
          <w:color w:val="auto"/>
          <w:highlight w:val="none"/>
        </w:rPr>
        <w:instrText xml:space="preserve"> PAGEREF _Toc43475935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48A682A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"_Toc43475936" </w:instrText>
      </w:r>
      <w:r>
        <w:rPr>
          <w:color w:val="auto"/>
          <w:highlight w:val="none"/>
        </w:rPr>
        <w:fldChar w:fldCharType="separate"/>
      </w:r>
      <w:r>
        <w:rPr>
          <w:rStyle w:val="52"/>
          <w:rFonts w:ascii="宋体" w:hAnsi="宋体" w:cs="宋体"/>
          <w:color w:val="auto"/>
          <w:highlight w:val="none"/>
        </w:rPr>
        <w:t>8.4</w:t>
      </w:r>
      <w:r>
        <w:rPr>
          <w:rStyle w:val="52"/>
          <w:rFonts w:hint="eastAsia" w:ascii="宋体" w:hAnsi="宋体" w:cs="宋体"/>
          <w:color w:val="auto"/>
          <w:highlight w:val="none"/>
        </w:rPr>
        <w:t>监理人使用施工控制网</w:t>
      </w:r>
      <w:r>
        <w:rPr>
          <w:color w:val="auto"/>
          <w:highlight w:val="none"/>
        </w:rPr>
        <w:tab/>
      </w:r>
      <w:r>
        <w:rPr>
          <w:color w:val="auto"/>
          <w:highlight w:val="none"/>
        </w:rPr>
        <w:fldChar w:fldCharType="begin"/>
      </w:r>
      <w:r>
        <w:rPr>
          <w:color w:val="auto"/>
          <w:highlight w:val="none"/>
        </w:rPr>
        <w:instrText xml:space="preserve"> PAGEREF _Toc43475936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633B1E0B">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"_Toc43475937" </w:instrText>
      </w:r>
      <w:r>
        <w:rPr>
          <w:color w:val="auto"/>
          <w:highlight w:val="none"/>
        </w:rPr>
        <w:fldChar w:fldCharType="separate"/>
      </w:r>
      <w:r>
        <w:rPr>
          <w:rStyle w:val="52"/>
          <w:rFonts w:ascii="宋体" w:hAnsi="宋体" w:cs="宋体"/>
          <w:color w:val="auto"/>
          <w:highlight w:val="none"/>
        </w:rPr>
        <w:t>9</w:t>
      </w:r>
      <w:r>
        <w:rPr>
          <w:rStyle w:val="52"/>
          <w:rFonts w:hint="eastAsia" w:ascii="宋体" w:hAnsi="宋体" w:cs="宋体"/>
          <w:color w:val="auto"/>
          <w:highlight w:val="none"/>
        </w:rPr>
        <w:t>.施工安全、治安保卫和环境保护</w:t>
      </w:r>
      <w:r>
        <w:rPr>
          <w:color w:val="auto"/>
          <w:highlight w:val="none"/>
        </w:rPr>
        <w:tab/>
      </w:r>
      <w:r>
        <w:rPr>
          <w:color w:val="auto"/>
          <w:highlight w:val="none"/>
        </w:rPr>
        <w:fldChar w:fldCharType="begin"/>
      </w:r>
      <w:r>
        <w:rPr>
          <w:color w:val="auto"/>
          <w:highlight w:val="none"/>
        </w:rPr>
        <w:instrText xml:space="preserve"> PAGEREF _Toc43475937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7D0860D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"_Toc43475938" </w:instrText>
      </w:r>
      <w:r>
        <w:rPr>
          <w:color w:val="auto"/>
          <w:highlight w:val="none"/>
        </w:rPr>
        <w:fldChar w:fldCharType="separate"/>
      </w:r>
      <w:r>
        <w:rPr>
          <w:rStyle w:val="52"/>
          <w:rFonts w:ascii="宋体" w:hAnsi="宋体" w:cs="宋体"/>
          <w:color w:val="auto"/>
          <w:highlight w:val="none"/>
        </w:rPr>
        <w:t>9</w:t>
      </w:r>
      <w:r>
        <w:rPr>
          <w:rStyle w:val="52"/>
          <w:rFonts w:hint="eastAsia" w:ascii="宋体" w:hAnsi="宋体" w:cs="宋体"/>
          <w:color w:val="auto"/>
          <w:highlight w:val="none"/>
        </w:rPr>
        <w:t>.</w:t>
      </w:r>
      <w:r>
        <w:rPr>
          <w:rStyle w:val="52"/>
          <w:rFonts w:ascii="宋体" w:hAnsi="宋体" w:cs="宋体"/>
          <w:color w:val="auto"/>
          <w:highlight w:val="none"/>
        </w:rPr>
        <w:t>2</w:t>
      </w:r>
      <w:r>
        <w:rPr>
          <w:rStyle w:val="52"/>
          <w:rFonts w:hint="eastAsia" w:ascii="宋体" w:hAnsi="宋体" w:cs="宋体"/>
          <w:color w:val="auto"/>
          <w:highlight w:val="none"/>
        </w:rPr>
        <w:t>承包人的施工安全责任</w:t>
      </w:r>
      <w:r>
        <w:rPr>
          <w:color w:val="auto"/>
          <w:highlight w:val="none"/>
        </w:rPr>
        <w:tab/>
      </w:r>
      <w:r>
        <w:rPr>
          <w:color w:val="auto"/>
          <w:highlight w:val="none"/>
        </w:rPr>
        <w:fldChar w:fldCharType="begin"/>
      </w:r>
      <w:r>
        <w:rPr>
          <w:color w:val="auto"/>
          <w:highlight w:val="none"/>
        </w:rPr>
        <w:instrText xml:space="preserve"> PAGEREF _Toc43475938 \h </w:instrText>
      </w:r>
      <w:r>
        <w:rPr>
          <w:color w:val="auto"/>
          <w:highlight w:val="none"/>
        </w:rPr>
        <w:fldChar w:fldCharType="separate"/>
      </w:r>
      <w:r>
        <w:rPr>
          <w:color w:val="auto"/>
          <w:highlight w:val="none"/>
        </w:rPr>
        <w:t>115</w:t>
      </w:r>
      <w:r>
        <w:rPr>
          <w:color w:val="auto"/>
          <w:highlight w:val="none"/>
        </w:rPr>
        <w:fldChar w:fldCharType="end"/>
      </w:r>
      <w:r>
        <w:rPr>
          <w:color w:val="auto"/>
          <w:highlight w:val="none"/>
        </w:rPr>
        <w:fldChar w:fldCharType="end"/>
      </w:r>
    </w:p>
    <w:p w14:paraId="7700201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"_Toc43475939" </w:instrText>
      </w:r>
      <w:r>
        <w:rPr>
          <w:color w:val="auto"/>
          <w:highlight w:val="none"/>
        </w:rPr>
        <w:fldChar w:fldCharType="separate"/>
      </w:r>
      <w:r>
        <w:rPr>
          <w:rStyle w:val="52"/>
          <w:rFonts w:ascii="宋体" w:hAnsi="宋体" w:cs="宋体"/>
          <w:color w:val="auto"/>
          <w:highlight w:val="none"/>
        </w:rPr>
        <w:t>9</w:t>
      </w:r>
      <w:r>
        <w:rPr>
          <w:rStyle w:val="52"/>
          <w:rFonts w:hint="eastAsia" w:ascii="宋体" w:hAnsi="宋体" w:cs="宋体"/>
          <w:color w:val="auto"/>
          <w:highlight w:val="none"/>
        </w:rPr>
        <w:t>.</w:t>
      </w:r>
      <w:r>
        <w:rPr>
          <w:rStyle w:val="52"/>
          <w:rFonts w:ascii="宋体" w:hAnsi="宋体" w:cs="宋体"/>
          <w:color w:val="auto"/>
          <w:highlight w:val="none"/>
        </w:rPr>
        <w:t>4</w:t>
      </w:r>
      <w:r>
        <w:rPr>
          <w:rStyle w:val="52"/>
          <w:rFonts w:hint="eastAsia" w:ascii="宋体" w:hAnsi="宋体" w:cs="宋体"/>
          <w:color w:val="auto"/>
          <w:highlight w:val="none"/>
        </w:rPr>
        <w:t>环境保护</w:t>
      </w:r>
      <w:r>
        <w:rPr>
          <w:color w:val="auto"/>
          <w:highlight w:val="none"/>
        </w:rPr>
        <w:tab/>
      </w:r>
      <w:r>
        <w:rPr>
          <w:color w:val="auto"/>
          <w:highlight w:val="none"/>
        </w:rPr>
        <w:fldChar w:fldCharType="begin"/>
      </w:r>
      <w:r>
        <w:rPr>
          <w:color w:val="auto"/>
          <w:highlight w:val="none"/>
        </w:rPr>
        <w:instrText xml:space="preserve"> PAGEREF _Toc43475939 \h </w:instrText>
      </w:r>
      <w:r>
        <w:rPr>
          <w:color w:val="auto"/>
          <w:highlight w:val="none"/>
        </w:rPr>
        <w:fldChar w:fldCharType="separate"/>
      </w:r>
      <w:r>
        <w:rPr>
          <w:color w:val="auto"/>
          <w:highlight w:val="none"/>
        </w:rPr>
        <w:t>117</w:t>
      </w:r>
      <w:r>
        <w:rPr>
          <w:color w:val="auto"/>
          <w:highlight w:val="none"/>
        </w:rPr>
        <w:fldChar w:fldCharType="end"/>
      </w:r>
      <w:r>
        <w:rPr>
          <w:color w:val="auto"/>
          <w:highlight w:val="none"/>
        </w:rPr>
        <w:fldChar w:fldCharType="end"/>
      </w:r>
    </w:p>
    <w:p w14:paraId="4CC4CEA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"_Toc43475940" </w:instrText>
      </w:r>
      <w:r>
        <w:rPr>
          <w:color w:val="auto"/>
          <w:highlight w:val="none"/>
        </w:rPr>
        <w:fldChar w:fldCharType="separate"/>
      </w:r>
      <w:r>
        <w:rPr>
          <w:rStyle w:val="52"/>
          <w:rFonts w:ascii="宋体" w:hAnsi="宋体" w:cs="宋体"/>
          <w:color w:val="auto"/>
          <w:highlight w:val="none"/>
        </w:rPr>
        <w:t>10</w:t>
      </w:r>
      <w:r>
        <w:rPr>
          <w:rStyle w:val="52"/>
          <w:rFonts w:hint="eastAsia" w:ascii="宋体" w:hAnsi="宋体" w:cs="宋体"/>
          <w:color w:val="auto"/>
          <w:highlight w:val="none"/>
        </w:rPr>
        <w:t>.进度计划</w:t>
      </w:r>
      <w:r>
        <w:rPr>
          <w:color w:val="auto"/>
          <w:highlight w:val="none"/>
        </w:rPr>
        <w:tab/>
      </w:r>
      <w:r>
        <w:rPr>
          <w:color w:val="auto"/>
          <w:highlight w:val="none"/>
        </w:rPr>
        <w:fldChar w:fldCharType="begin"/>
      </w:r>
      <w:r>
        <w:rPr>
          <w:color w:val="auto"/>
          <w:highlight w:val="none"/>
        </w:rPr>
        <w:instrText xml:space="preserve"> PAGEREF _Toc43475940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680F2C63">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"_Toc43475941" </w:instrText>
      </w:r>
      <w:r>
        <w:rPr>
          <w:color w:val="auto"/>
          <w:highlight w:val="none"/>
        </w:rPr>
        <w:fldChar w:fldCharType="separate"/>
      </w:r>
      <w:r>
        <w:rPr>
          <w:rStyle w:val="52"/>
          <w:rFonts w:ascii="宋体" w:hAnsi="宋体" w:cs="宋体"/>
          <w:color w:val="auto"/>
          <w:highlight w:val="none"/>
        </w:rPr>
        <w:t>10.1</w:t>
      </w:r>
      <w:r>
        <w:rPr>
          <w:rStyle w:val="52"/>
          <w:rFonts w:hint="eastAsia" w:ascii="宋体" w:hAnsi="宋体" w:cs="宋体"/>
          <w:color w:val="auto"/>
          <w:highlight w:val="none"/>
        </w:rPr>
        <w:t>合同进度计划</w:t>
      </w:r>
      <w:r>
        <w:rPr>
          <w:color w:val="auto"/>
          <w:highlight w:val="none"/>
        </w:rPr>
        <w:tab/>
      </w:r>
      <w:r>
        <w:rPr>
          <w:color w:val="auto"/>
          <w:highlight w:val="none"/>
        </w:rPr>
        <w:fldChar w:fldCharType="begin"/>
      </w:r>
      <w:r>
        <w:rPr>
          <w:color w:val="auto"/>
          <w:highlight w:val="none"/>
        </w:rPr>
        <w:instrText xml:space="preserve"> PAGEREF _Toc43475941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706B4EAE">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"_Toc43475942" </w:instrText>
      </w:r>
      <w:r>
        <w:rPr>
          <w:color w:val="auto"/>
          <w:highlight w:val="none"/>
        </w:rPr>
        <w:fldChar w:fldCharType="separate"/>
      </w:r>
      <w:r>
        <w:rPr>
          <w:rStyle w:val="52"/>
          <w:rFonts w:ascii="宋体" w:hAnsi="宋体" w:cs="宋体"/>
          <w:color w:val="auto"/>
          <w:highlight w:val="none"/>
        </w:rPr>
        <w:t>10.2</w:t>
      </w:r>
      <w:r>
        <w:rPr>
          <w:rStyle w:val="52"/>
          <w:rFonts w:hint="eastAsia" w:ascii="宋体" w:hAnsi="宋体" w:cs="宋体"/>
          <w:color w:val="auto"/>
          <w:highlight w:val="none"/>
        </w:rPr>
        <w:t>合同进度计划的修订</w:t>
      </w:r>
      <w:r>
        <w:rPr>
          <w:color w:val="auto"/>
          <w:highlight w:val="none"/>
        </w:rPr>
        <w:tab/>
      </w:r>
      <w:r>
        <w:rPr>
          <w:color w:val="auto"/>
          <w:highlight w:val="none"/>
        </w:rPr>
        <w:fldChar w:fldCharType="begin"/>
      </w:r>
      <w:r>
        <w:rPr>
          <w:color w:val="auto"/>
          <w:highlight w:val="none"/>
        </w:rPr>
        <w:instrText xml:space="preserve"> PAGEREF _Toc43475942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182671FC">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"_Toc43475943" </w:instrText>
      </w:r>
      <w:r>
        <w:rPr>
          <w:color w:val="auto"/>
          <w:highlight w:val="none"/>
        </w:rPr>
        <w:fldChar w:fldCharType="separate"/>
      </w:r>
      <w:r>
        <w:rPr>
          <w:rStyle w:val="52"/>
          <w:rFonts w:ascii="宋体" w:hAnsi="宋体" w:cs="宋体"/>
          <w:color w:val="auto"/>
          <w:highlight w:val="none"/>
        </w:rPr>
        <w:t>10.3</w:t>
      </w:r>
      <w:r>
        <w:rPr>
          <w:rStyle w:val="52"/>
          <w:rFonts w:hint="eastAsia" w:ascii="宋体" w:hAnsi="宋体" w:cs="宋体"/>
          <w:color w:val="auto"/>
          <w:highlight w:val="none"/>
        </w:rPr>
        <w:t>年度施工计划</w:t>
      </w:r>
      <w:r>
        <w:rPr>
          <w:color w:val="auto"/>
          <w:highlight w:val="none"/>
        </w:rPr>
        <w:tab/>
      </w:r>
      <w:r>
        <w:rPr>
          <w:color w:val="auto"/>
          <w:highlight w:val="none"/>
        </w:rPr>
        <w:fldChar w:fldCharType="begin"/>
      </w:r>
      <w:r>
        <w:rPr>
          <w:color w:val="auto"/>
          <w:highlight w:val="none"/>
        </w:rPr>
        <w:instrText xml:space="preserve"> PAGEREF _Toc43475943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4AA9509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"_Toc43475944" </w:instrText>
      </w:r>
      <w:r>
        <w:rPr>
          <w:color w:val="auto"/>
          <w:highlight w:val="none"/>
        </w:rPr>
        <w:fldChar w:fldCharType="separate"/>
      </w:r>
      <w:r>
        <w:rPr>
          <w:rStyle w:val="52"/>
          <w:rFonts w:ascii="宋体" w:hAnsi="宋体" w:cs="宋体"/>
          <w:color w:val="auto"/>
          <w:highlight w:val="none"/>
        </w:rPr>
        <w:t>10.4</w:t>
      </w:r>
      <w:r>
        <w:rPr>
          <w:rStyle w:val="52"/>
          <w:rFonts w:hint="eastAsia" w:ascii="宋体" w:hAnsi="宋体" w:cs="宋体"/>
          <w:color w:val="auto"/>
          <w:highlight w:val="none"/>
        </w:rPr>
        <w:t>合同用款计划</w:t>
      </w:r>
      <w:r>
        <w:rPr>
          <w:color w:val="auto"/>
          <w:highlight w:val="none"/>
        </w:rPr>
        <w:tab/>
      </w:r>
      <w:r>
        <w:rPr>
          <w:color w:val="auto"/>
          <w:highlight w:val="none"/>
        </w:rPr>
        <w:fldChar w:fldCharType="begin"/>
      </w:r>
      <w:r>
        <w:rPr>
          <w:color w:val="auto"/>
          <w:highlight w:val="none"/>
        </w:rPr>
        <w:instrText xml:space="preserve"> PAGEREF _Toc43475944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3DDC013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"_Toc43475945" </w:instrText>
      </w:r>
      <w:r>
        <w:rPr>
          <w:color w:val="auto"/>
          <w:highlight w:val="none"/>
        </w:rPr>
        <w:fldChar w:fldCharType="separate"/>
      </w:r>
      <w:r>
        <w:rPr>
          <w:rStyle w:val="52"/>
          <w:rFonts w:ascii="宋体" w:hAnsi="宋体" w:cs="宋体"/>
          <w:color w:val="auto"/>
          <w:highlight w:val="none"/>
        </w:rPr>
        <w:t>11</w:t>
      </w:r>
      <w:r>
        <w:rPr>
          <w:rStyle w:val="52"/>
          <w:rFonts w:hint="eastAsia" w:ascii="宋体" w:hAnsi="宋体" w:cs="宋体"/>
          <w:color w:val="auto"/>
          <w:highlight w:val="none"/>
        </w:rPr>
        <w:t>.开工和交工</w:t>
      </w:r>
      <w:r>
        <w:rPr>
          <w:color w:val="auto"/>
          <w:highlight w:val="none"/>
        </w:rPr>
        <w:tab/>
      </w:r>
      <w:r>
        <w:rPr>
          <w:color w:val="auto"/>
          <w:highlight w:val="none"/>
        </w:rPr>
        <w:fldChar w:fldCharType="begin"/>
      </w:r>
      <w:r>
        <w:rPr>
          <w:color w:val="auto"/>
          <w:highlight w:val="none"/>
        </w:rPr>
        <w:instrText xml:space="preserve"> PAGEREF _Toc43475945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6E108E0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"_Toc43475946" </w:instrText>
      </w:r>
      <w:r>
        <w:rPr>
          <w:color w:val="auto"/>
          <w:highlight w:val="none"/>
        </w:rPr>
        <w:fldChar w:fldCharType="separate"/>
      </w:r>
      <w:r>
        <w:rPr>
          <w:rStyle w:val="52"/>
          <w:rFonts w:ascii="宋体" w:hAnsi="宋体" w:cs="宋体"/>
          <w:color w:val="auto"/>
          <w:highlight w:val="none"/>
        </w:rPr>
        <w:t>11.1</w:t>
      </w:r>
      <w:r>
        <w:rPr>
          <w:rStyle w:val="52"/>
          <w:rFonts w:hint="eastAsia" w:ascii="宋体" w:hAnsi="宋体" w:cs="宋体"/>
          <w:color w:val="auto"/>
          <w:highlight w:val="none"/>
        </w:rPr>
        <w:t>开工</w:t>
      </w:r>
      <w:r>
        <w:rPr>
          <w:color w:val="auto"/>
          <w:highlight w:val="none"/>
        </w:rPr>
        <w:tab/>
      </w:r>
      <w:r>
        <w:rPr>
          <w:color w:val="auto"/>
          <w:highlight w:val="none"/>
        </w:rPr>
        <w:fldChar w:fldCharType="begin"/>
      </w:r>
      <w:r>
        <w:rPr>
          <w:color w:val="auto"/>
          <w:highlight w:val="none"/>
        </w:rPr>
        <w:instrText xml:space="preserve"> PAGEREF _Toc43475946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52720C0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"_Toc43475947" </w:instrText>
      </w:r>
      <w:r>
        <w:rPr>
          <w:color w:val="auto"/>
          <w:highlight w:val="none"/>
        </w:rPr>
        <w:fldChar w:fldCharType="separate"/>
      </w:r>
      <w:r>
        <w:rPr>
          <w:rStyle w:val="52"/>
          <w:rFonts w:ascii="宋体" w:hAnsi="宋体" w:cs="宋体"/>
          <w:color w:val="auto"/>
          <w:highlight w:val="none"/>
        </w:rPr>
        <w:t>11.3</w:t>
      </w:r>
      <w:r>
        <w:rPr>
          <w:rStyle w:val="52"/>
          <w:rFonts w:hint="eastAsia" w:ascii="宋体" w:hAnsi="宋体" w:cs="宋体"/>
          <w:color w:val="auto"/>
          <w:highlight w:val="none"/>
        </w:rPr>
        <w:t>发包人的工期延误</w:t>
      </w:r>
      <w:r>
        <w:rPr>
          <w:color w:val="auto"/>
          <w:highlight w:val="none"/>
        </w:rPr>
        <w:tab/>
      </w:r>
      <w:r>
        <w:rPr>
          <w:color w:val="auto"/>
          <w:highlight w:val="none"/>
        </w:rPr>
        <w:fldChar w:fldCharType="begin"/>
      </w:r>
      <w:r>
        <w:rPr>
          <w:color w:val="auto"/>
          <w:highlight w:val="none"/>
        </w:rPr>
        <w:instrText xml:space="preserve"> PAGEREF _Toc43475947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6C47599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"_Toc43475948" </w:instrText>
      </w:r>
      <w:r>
        <w:rPr>
          <w:color w:val="auto"/>
          <w:highlight w:val="none"/>
        </w:rPr>
        <w:fldChar w:fldCharType="separate"/>
      </w:r>
      <w:r>
        <w:rPr>
          <w:rStyle w:val="52"/>
          <w:rFonts w:ascii="宋体" w:hAnsi="宋体" w:cs="宋体"/>
          <w:color w:val="auto"/>
          <w:highlight w:val="none"/>
        </w:rPr>
        <w:t>11.4</w:t>
      </w:r>
      <w:r>
        <w:rPr>
          <w:rStyle w:val="52"/>
          <w:rFonts w:hint="eastAsia" w:ascii="宋体" w:hAnsi="宋体" w:cs="宋体"/>
          <w:color w:val="auto"/>
          <w:highlight w:val="none"/>
        </w:rPr>
        <w:t>异常恶劣的气候条件</w:t>
      </w:r>
      <w:r>
        <w:rPr>
          <w:color w:val="auto"/>
          <w:highlight w:val="none"/>
        </w:rPr>
        <w:tab/>
      </w:r>
      <w:r>
        <w:rPr>
          <w:color w:val="auto"/>
          <w:highlight w:val="none"/>
        </w:rPr>
        <w:fldChar w:fldCharType="begin"/>
      </w:r>
      <w:r>
        <w:rPr>
          <w:color w:val="auto"/>
          <w:highlight w:val="none"/>
        </w:rPr>
        <w:instrText xml:space="preserve"> PAGEREF _Toc43475948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1F5540BB">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"_Toc43475949" </w:instrText>
      </w:r>
      <w:r>
        <w:rPr>
          <w:color w:val="auto"/>
          <w:highlight w:val="none"/>
        </w:rPr>
        <w:fldChar w:fldCharType="separate"/>
      </w:r>
      <w:r>
        <w:rPr>
          <w:rStyle w:val="52"/>
          <w:rFonts w:ascii="宋体" w:hAnsi="宋体" w:cs="宋体"/>
          <w:color w:val="auto"/>
          <w:highlight w:val="none"/>
        </w:rPr>
        <w:t>11.5</w:t>
      </w:r>
      <w:r>
        <w:rPr>
          <w:rStyle w:val="52"/>
          <w:rFonts w:hint="eastAsia" w:ascii="宋体" w:hAnsi="宋体" w:cs="宋体"/>
          <w:color w:val="auto"/>
          <w:highlight w:val="none"/>
        </w:rPr>
        <w:t>承包人的工期延误</w:t>
      </w:r>
      <w:r>
        <w:rPr>
          <w:color w:val="auto"/>
          <w:highlight w:val="none"/>
        </w:rPr>
        <w:tab/>
      </w:r>
      <w:r>
        <w:rPr>
          <w:color w:val="auto"/>
          <w:highlight w:val="none"/>
        </w:rPr>
        <w:fldChar w:fldCharType="begin"/>
      </w:r>
      <w:r>
        <w:rPr>
          <w:color w:val="auto"/>
          <w:highlight w:val="none"/>
        </w:rPr>
        <w:instrText xml:space="preserve"> PAGEREF _Toc43475949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5043614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"_Toc43475950" </w:instrText>
      </w:r>
      <w:r>
        <w:rPr>
          <w:color w:val="auto"/>
          <w:highlight w:val="none"/>
        </w:rPr>
        <w:fldChar w:fldCharType="separate"/>
      </w:r>
      <w:r>
        <w:rPr>
          <w:rStyle w:val="52"/>
          <w:rFonts w:ascii="宋体" w:hAnsi="宋体" w:cs="宋体"/>
          <w:color w:val="auto"/>
          <w:highlight w:val="none"/>
        </w:rPr>
        <w:t>11</w:t>
      </w:r>
      <w:r>
        <w:rPr>
          <w:rStyle w:val="52"/>
          <w:rFonts w:hint="eastAsia" w:ascii="宋体" w:hAnsi="宋体" w:cs="宋体"/>
          <w:color w:val="auto"/>
          <w:highlight w:val="none"/>
        </w:rPr>
        <w:t>.</w:t>
      </w:r>
      <w:r>
        <w:rPr>
          <w:rStyle w:val="52"/>
          <w:rFonts w:ascii="宋体" w:hAnsi="宋体" w:cs="宋体"/>
          <w:color w:val="auto"/>
          <w:highlight w:val="none"/>
        </w:rPr>
        <w:t>6</w:t>
      </w:r>
      <w:r>
        <w:rPr>
          <w:rStyle w:val="52"/>
          <w:rFonts w:hint="eastAsia" w:ascii="宋体" w:hAnsi="宋体" w:cs="宋体"/>
          <w:color w:val="auto"/>
          <w:highlight w:val="none"/>
        </w:rPr>
        <w:t>工期提前</w:t>
      </w:r>
      <w:r>
        <w:rPr>
          <w:color w:val="auto"/>
          <w:highlight w:val="none"/>
        </w:rPr>
        <w:tab/>
      </w:r>
      <w:r>
        <w:rPr>
          <w:color w:val="auto"/>
          <w:highlight w:val="none"/>
        </w:rPr>
        <w:fldChar w:fldCharType="begin"/>
      </w:r>
      <w:r>
        <w:rPr>
          <w:color w:val="auto"/>
          <w:highlight w:val="none"/>
        </w:rPr>
        <w:instrText xml:space="preserve"> PAGEREF _Toc43475950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106FF314">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"_Toc43475951" </w:instrText>
      </w:r>
      <w:r>
        <w:rPr>
          <w:color w:val="auto"/>
          <w:highlight w:val="none"/>
        </w:rPr>
        <w:fldChar w:fldCharType="separate"/>
      </w:r>
      <w:r>
        <w:rPr>
          <w:rStyle w:val="52"/>
          <w:rFonts w:ascii="宋体" w:hAnsi="宋体" w:cs="宋体"/>
          <w:color w:val="auto"/>
          <w:highlight w:val="none"/>
        </w:rPr>
        <w:t>11</w:t>
      </w:r>
      <w:r>
        <w:rPr>
          <w:rStyle w:val="52"/>
          <w:rFonts w:hint="eastAsia" w:ascii="宋体" w:hAnsi="宋体" w:cs="宋体"/>
          <w:color w:val="auto"/>
          <w:highlight w:val="none"/>
        </w:rPr>
        <w:t>.</w:t>
      </w:r>
      <w:r>
        <w:rPr>
          <w:rStyle w:val="52"/>
          <w:rFonts w:ascii="宋体" w:hAnsi="宋体" w:cs="宋体"/>
          <w:color w:val="auto"/>
          <w:highlight w:val="none"/>
        </w:rPr>
        <w:t>7</w:t>
      </w:r>
      <w:r>
        <w:rPr>
          <w:rStyle w:val="52"/>
          <w:rFonts w:hint="eastAsia" w:ascii="宋体" w:hAnsi="宋体" w:cs="宋体"/>
          <w:color w:val="auto"/>
          <w:highlight w:val="none"/>
        </w:rPr>
        <w:t>工作时间的限制</w:t>
      </w:r>
      <w:r>
        <w:rPr>
          <w:color w:val="auto"/>
          <w:highlight w:val="none"/>
        </w:rPr>
        <w:tab/>
      </w:r>
      <w:r>
        <w:rPr>
          <w:color w:val="auto"/>
          <w:highlight w:val="none"/>
        </w:rPr>
        <w:fldChar w:fldCharType="begin"/>
      </w:r>
      <w:r>
        <w:rPr>
          <w:color w:val="auto"/>
          <w:highlight w:val="none"/>
        </w:rPr>
        <w:instrText xml:space="preserve"> PAGEREF _Toc43475951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425B5C9D">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"_Toc43475952" </w:instrText>
      </w:r>
      <w:r>
        <w:rPr>
          <w:color w:val="auto"/>
          <w:highlight w:val="none"/>
        </w:rPr>
        <w:fldChar w:fldCharType="separate"/>
      </w:r>
      <w:r>
        <w:rPr>
          <w:rStyle w:val="52"/>
          <w:rFonts w:ascii="宋体" w:hAnsi="宋体" w:cs="宋体"/>
          <w:color w:val="auto"/>
          <w:highlight w:val="none"/>
        </w:rPr>
        <w:t>12</w:t>
      </w:r>
      <w:r>
        <w:rPr>
          <w:rStyle w:val="52"/>
          <w:rFonts w:hint="eastAsia" w:ascii="宋体" w:hAnsi="宋体" w:cs="宋体"/>
          <w:color w:val="auto"/>
          <w:highlight w:val="none"/>
        </w:rPr>
        <w:t>.暂停施工</w:t>
      </w:r>
      <w:r>
        <w:rPr>
          <w:color w:val="auto"/>
          <w:highlight w:val="none"/>
        </w:rPr>
        <w:tab/>
      </w:r>
      <w:r>
        <w:rPr>
          <w:color w:val="auto"/>
          <w:highlight w:val="none"/>
        </w:rPr>
        <w:fldChar w:fldCharType="begin"/>
      </w:r>
      <w:r>
        <w:rPr>
          <w:color w:val="auto"/>
          <w:highlight w:val="none"/>
        </w:rPr>
        <w:instrText xml:space="preserve"> PAGEREF _Toc43475952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0305B8EE">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"_Toc43475953" </w:instrText>
      </w:r>
      <w:r>
        <w:rPr>
          <w:color w:val="auto"/>
          <w:highlight w:val="none"/>
        </w:rPr>
        <w:fldChar w:fldCharType="separate"/>
      </w:r>
      <w:r>
        <w:rPr>
          <w:rStyle w:val="52"/>
          <w:rFonts w:ascii="宋体" w:hAnsi="宋体" w:cs="宋体"/>
          <w:color w:val="auto"/>
          <w:highlight w:val="none"/>
        </w:rPr>
        <w:t>12</w:t>
      </w:r>
      <w:r>
        <w:rPr>
          <w:rStyle w:val="52"/>
          <w:rFonts w:hint="eastAsia" w:ascii="宋体" w:hAnsi="宋体" w:cs="宋体"/>
          <w:color w:val="auto"/>
          <w:highlight w:val="none"/>
        </w:rPr>
        <w:t>.</w:t>
      </w:r>
      <w:r>
        <w:rPr>
          <w:rStyle w:val="52"/>
          <w:rFonts w:ascii="宋体" w:hAnsi="宋体" w:cs="宋体"/>
          <w:color w:val="auto"/>
          <w:highlight w:val="none"/>
        </w:rPr>
        <w:t>1</w:t>
      </w:r>
      <w:r>
        <w:rPr>
          <w:rStyle w:val="52"/>
          <w:rFonts w:hint="eastAsia" w:ascii="宋体" w:hAnsi="宋体" w:cs="宋体"/>
          <w:color w:val="auto"/>
          <w:highlight w:val="none"/>
        </w:rPr>
        <w:t>承包人暂停施工的责任</w:t>
      </w:r>
      <w:r>
        <w:rPr>
          <w:color w:val="auto"/>
          <w:highlight w:val="none"/>
        </w:rPr>
        <w:tab/>
      </w:r>
      <w:r>
        <w:rPr>
          <w:color w:val="auto"/>
          <w:highlight w:val="none"/>
        </w:rPr>
        <w:fldChar w:fldCharType="begin"/>
      </w:r>
      <w:r>
        <w:rPr>
          <w:color w:val="auto"/>
          <w:highlight w:val="none"/>
        </w:rPr>
        <w:instrText xml:space="preserve"> PAGEREF _Toc43475953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0EEADA65">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"_Toc43475954" </w:instrText>
      </w:r>
      <w:r>
        <w:rPr>
          <w:color w:val="auto"/>
          <w:highlight w:val="none"/>
        </w:rPr>
        <w:fldChar w:fldCharType="separate"/>
      </w:r>
      <w:r>
        <w:rPr>
          <w:rStyle w:val="52"/>
          <w:rFonts w:ascii="宋体" w:hAnsi="宋体" w:cs="宋体"/>
          <w:color w:val="auto"/>
          <w:highlight w:val="none"/>
        </w:rPr>
        <w:t>13</w:t>
      </w:r>
      <w:r>
        <w:rPr>
          <w:rStyle w:val="52"/>
          <w:rFonts w:hint="eastAsia" w:ascii="宋体" w:hAnsi="宋体" w:cs="宋体"/>
          <w:color w:val="auto"/>
          <w:highlight w:val="none"/>
        </w:rPr>
        <w:t>.工程质量</w:t>
      </w:r>
      <w:r>
        <w:rPr>
          <w:color w:val="auto"/>
          <w:highlight w:val="none"/>
        </w:rPr>
        <w:tab/>
      </w:r>
      <w:r>
        <w:rPr>
          <w:color w:val="auto"/>
          <w:highlight w:val="none"/>
        </w:rPr>
        <w:fldChar w:fldCharType="begin"/>
      </w:r>
      <w:r>
        <w:rPr>
          <w:color w:val="auto"/>
          <w:highlight w:val="none"/>
        </w:rPr>
        <w:instrText xml:space="preserve"> PAGEREF _Toc43475954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4D51A56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"_Toc43475955" </w:instrText>
      </w:r>
      <w:r>
        <w:rPr>
          <w:color w:val="auto"/>
          <w:highlight w:val="none"/>
        </w:rPr>
        <w:fldChar w:fldCharType="separate"/>
      </w:r>
      <w:r>
        <w:rPr>
          <w:rStyle w:val="52"/>
          <w:rFonts w:ascii="宋体" w:hAnsi="宋体" w:cs="宋体"/>
          <w:color w:val="auto"/>
          <w:highlight w:val="none"/>
        </w:rPr>
        <w:t>13</w:t>
      </w:r>
      <w:r>
        <w:rPr>
          <w:rStyle w:val="52"/>
          <w:rFonts w:hint="eastAsia" w:ascii="宋体" w:hAnsi="宋体" w:cs="宋体"/>
          <w:color w:val="auto"/>
          <w:highlight w:val="none"/>
        </w:rPr>
        <w:t>.</w:t>
      </w:r>
      <w:r>
        <w:rPr>
          <w:rStyle w:val="52"/>
          <w:rFonts w:ascii="宋体" w:hAnsi="宋体" w:cs="宋体"/>
          <w:color w:val="auto"/>
          <w:highlight w:val="none"/>
        </w:rPr>
        <w:t>1</w:t>
      </w:r>
      <w:r>
        <w:rPr>
          <w:rStyle w:val="52"/>
          <w:rFonts w:hint="eastAsia" w:ascii="宋体" w:hAnsi="宋体" w:cs="宋体"/>
          <w:color w:val="auto"/>
          <w:highlight w:val="none"/>
        </w:rPr>
        <w:t>工程质量要求</w:t>
      </w:r>
      <w:r>
        <w:rPr>
          <w:color w:val="auto"/>
          <w:highlight w:val="none"/>
        </w:rPr>
        <w:tab/>
      </w:r>
      <w:r>
        <w:rPr>
          <w:color w:val="auto"/>
          <w:highlight w:val="none"/>
        </w:rPr>
        <w:fldChar w:fldCharType="begin"/>
      </w:r>
      <w:r>
        <w:rPr>
          <w:color w:val="auto"/>
          <w:highlight w:val="none"/>
        </w:rPr>
        <w:instrText xml:space="preserve"> PAGEREF _Toc43475955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251953E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"_Toc43475956" </w:instrText>
      </w:r>
      <w:r>
        <w:rPr>
          <w:color w:val="auto"/>
          <w:highlight w:val="none"/>
        </w:rPr>
        <w:fldChar w:fldCharType="separate"/>
      </w:r>
      <w:r>
        <w:rPr>
          <w:rStyle w:val="52"/>
          <w:rFonts w:ascii="宋体" w:hAnsi="宋体" w:cs="宋体"/>
          <w:color w:val="auto"/>
          <w:highlight w:val="none"/>
        </w:rPr>
        <w:t>13</w:t>
      </w:r>
      <w:r>
        <w:rPr>
          <w:rStyle w:val="52"/>
          <w:rFonts w:hint="eastAsia" w:ascii="宋体" w:hAnsi="宋体" w:cs="宋体"/>
          <w:color w:val="auto"/>
          <w:highlight w:val="none"/>
        </w:rPr>
        <w:t>.</w:t>
      </w:r>
      <w:r>
        <w:rPr>
          <w:rStyle w:val="52"/>
          <w:rFonts w:ascii="宋体" w:hAnsi="宋体" w:cs="宋体"/>
          <w:color w:val="auto"/>
          <w:highlight w:val="none"/>
        </w:rPr>
        <w:t>2</w:t>
      </w:r>
      <w:r>
        <w:rPr>
          <w:rStyle w:val="52"/>
          <w:rFonts w:hint="eastAsia" w:ascii="宋体" w:hAnsi="宋体" w:cs="宋体"/>
          <w:color w:val="auto"/>
          <w:highlight w:val="none"/>
        </w:rPr>
        <w:t>承包人的质量管理</w:t>
      </w:r>
      <w:r>
        <w:rPr>
          <w:color w:val="auto"/>
          <w:highlight w:val="none"/>
        </w:rPr>
        <w:tab/>
      </w:r>
      <w:r>
        <w:rPr>
          <w:color w:val="auto"/>
          <w:highlight w:val="none"/>
        </w:rPr>
        <w:fldChar w:fldCharType="begin"/>
      </w:r>
      <w:r>
        <w:rPr>
          <w:color w:val="auto"/>
          <w:highlight w:val="none"/>
        </w:rPr>
        <w:instrText xml:space="preserve"> PAGEREF _Toc43475956 \h </w:instrText>
      </w:r>
      <w:r>
        <w:rPr>
          <w:color w:val="auto"/>
          <w:highlight w:val="none"/>
        </w:rPr>
        <w:fldChar w:fldCharType="separate"/>
      </w:r>
      <w:r>
        <w:rPr>
          <w:color w:val="auto"/>
          <w:highlight w:val="none"/>
        </w:rPr>
        <w:t>121</w:t>
      </w:r>
      <w:r>
        <w:rPr>
          <w:color w:val="auto"/>
          <w:highlight w:val="none"/>
        </w:rPr>
        <w:fldChar w:fldCharType="end"/>
      </w:r>
      <w:r>
        <w:rPr>
          <w:color w:val="auto"/>
          <w:highlight w:val="none"/>
        </w:rPr>
        <w:fldChar w:fldCharType="end"/>
      </w:r>
    </w:p>
    <w:p w14:paraId="5C77B473">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"_Toc43475957" </w:instrText>
      </w:r>
      <w:r>
        <w:rPr>
          <w:color w:val="auto"/>
          <w:highlight w:val="none"/>
        </w:rPr>
        <w:fldChar w:fldCharType="separate"/>
      </w:r>
      <w:r>
        <w:rPr>
          <w:rStyle w:val="52"/>
          <w:rFonts w:ascii="宋体" w:hAnsi="宋体" w:cs="宋体"/>
          <w:color w:val="auto"/>
          <w:highlight w:val="none"/>
        </w:rPr>
        <w:t>13</w:t>
      </w:r>
      <w:r>
        <w:rPr>
          <w:rStyle w:val="52"/>
          <w:rFonts w:hint="eastAsia" w:ascii="宋体" w:hAnsi="宋体" w:cs="宋体"/>
          <w:color w:val="auto"/>
          <w:highlight w:val="none"/>
        </w:rPr>
        <w:t>.</w:t>
      </w:r>
      <w:r>
        <w:rPr>
          <w:rStyle w:val="52"/>
          <w:rFonts w:ascii="宋体" w:hAnsi="宋体" w:cs="宋体"/>
          <w:color w:val="auto"/>
          <w:highlight w:val="none"/>
        </w:rPr>
        <w:t>4</w:t>
      </w:r>
      <w:r>
        <w:rPr>
          <w:rStyle w:val="52"/>
          <w:rFonts w:hint="eastAsia" w:ascii="宋体" w:hAnsi="宋体" w:cs="宋体"/>
          <w:color w:val="auto"/>
          <w:highlight w:val="none"/>
        </w:rPr>
        <w:t>监理人的质量检查</w:t>
      </w:r>
      <w:r>
        <w:rPr>
          <w:color w:val="auto"/>
          <w:highlight w:val="none"/>
        </w:rPr>
        <w:tab/>
      </w:r>
      <w:r>
        <w:rPr>
          <w:color w:val="auto"/>
          <w:highlight w:val="none"/>
        </w:rPr>
        <w:fldChar w:fldCharType="begin"/>
      </w:r>
      <w:r>
        <w:rPr>
          <w:color w:val="auto"/>
          <w:highlight w:val="none"/>
        </w:rPr>
        <w:instrText xml:space="preserve"> PAGEREF _Toc43475957 \h </w:instrText>
      </w:r>
      <w:r>
        <w:rPr>
          <w:color w:val="auto"/>
          <w:highlight w:val="none"/>
        </w:rPr>
        <w:fldChar w:fldCharType="separate"/>
      </w:r>
      <w:r>
        <w:rPr>
          <w:color w:val="auto"/>
          <w:highlight w:val="none"/>
        </w:rPr>
        <w:t>121</w:t>
      </w:r>
      <w:r>
        <w:rPr>
          <w:color w:val="auto"/>
          <w:highlight w:val="none"/>
        </w:rPr>
        <w:fldChar w:fldCharType="end"/>
      </w:r>
      <w:r>
        <w:rPr>
          <w:color w:val="auto"/>
          <w:highlight w:val="none"/>
        </w:rPr>
        <w:fldChar w:fldCharType="end"/>
      </w:r>
    </w:p>
    <w:p w14:paraId="4F077C3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"_Toc43475958" </w:instrText>
      </w:r>
      <w:r>
        <w:rPr>
          <w:color w:val="auto"/>
          <w:highlight w:val="none"/>
        </w:rPr>
        <w:fldChar w:fldCharType="separate"/>
      </w:r>
      <w:r>
        <w:rPr>
          <w:rStyle w:val="52"/>
          <w:rFonts w:ascii="宋体" w:hAnsi="宋体" w:cs="宋体"/>
          <w:color w:val="auto"/>
          <w:highlight w:val="none"/>
        </w:rPr>
        <w:t>13</w:t>
      </w:r>
      <w:r>
        <w:rPr>
          <w:rStyle w:val="52"/>
          <w:rFonts w:hint="eastAsia" w:ascii="宋体" w:hAnsi="宋体" w:cs="宋体"/>
          <w:color w:val="auto"/>
          <w:highlight w:val="none"/>
        </w:rPr>
        <w:t>.</w:t>
      </w:r>
      <w:r>
        <w:rPr>
          <w:rStyle w:val="52"/>
          <w:rFonts w:ascii="宋体" w:hAnsi="宋体" w:cs="宋体"/>
          <w:color w:val="auto"/>
          <w:highlight w:val="none"/>
        </w:rPr>
        <w:t>5</w:t>
      </w:r>
      <w:r>
        <w:rPr>
          <w:rStyle w:val="52"/>
          <w:rFonts w:hint="eastAsia" w:ascii="宋体" w:hAnsi="宋体" w:cs="宋体"/>
          <w:color w:val="auto"/>
          <w:highlight w:val="none"/>
        </w:rPr>
        <w:t>工程隐蔽部位覆盖前的检查</w:t>
      </w:r>
      <w:r>
        <w:rPr>
          <w:color w:val="auto"/>
          <w:highlight w:val="none"/>
        </w:rPr>
        <w:tab/>
      </w:r>
      <w:r>
        <w:rPr>
          <w:color w:val="auto"/>
          <w:highlight w:val="none"/>
        </w:rPr>
        <w:fldChar w:fldCharType="begin"/>
      </w:r>
      <w:r>
        <w:rPr>
          <w:color w:val="auto"/>
          <w:highlight w:val="none"/>
        </w:rPr>
        <w:instrText xml:space="preserve"> PAGEREF _Toc43475958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4C8AAB34">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"_Toc43475959" </w:instrText>
      </w:r>
      <w:r>
        <w:rPr>
          <w:color w:val="auto"/>
          <w:highlight w:val="none"/>
        </w:rPr>
        <w:fldChar w:fldCharType="separate"/>
      </w:r>
      <w:r>
        <w:rPr>
          <w:rStyle w:val="52"/>
          <w:rFonts w:ascii="宋体" w:hAnsi="宋体" w:cs="宋体"/>
          <w:color w:val="auto"/>
          <w:highlight w:val="none"/>
        </w:rPr>
        <w:t>13</w:t>
      </w:r>
      <w:r>
        <w:rPr>
          <w:rStyle w:val="52"/>
          <w:rFonts w:hint="eastAsia" w:ascii="宋体" w:hAnsi="宋体" w:cs="宋体"/>
          <w:color w:val="auto"/>
          <w:highlight w:val="none"/>
        </w:rPr>
        <w:t>.</w:t>
      </w:r>
      <w:r>
        <w:rPr>
          <w:rStyle w:val="52"/>
          <w:rFonts w:ascii="宋体" w:hAnsi="宋体" w:cs="宋体"/>
          <w:color w:val="auto"/>
          <w:highlight w:val="none"/>
        </w:rPr>
        <w:t>6</w:t>
      </w:r>
      <w:r>
        <w:rPr>
          <w:rStyle w:val="52"/>
          <w:rFonts w:hint="eastAsia" w:ascii="宋体" w:hAnsi="宋体" w:cs="宋体"/>
          <w:color w:val="auto"/>
          <w:highlight w:val="none"/>
        </w:rPr>
        <w:t>清除不合格工程</w:t>
      </w:r>
      <w:r>
        <w:rPr>
          <w:color w:val="auto"/>
          <w:highlight w:val="none"/>
        </w:rPr>
        <w:tab/>
      </w:r>
      <w:r>
        <w:rPr>
          <w:color w:val="auto"/>
          <w:highlight w:val="none"/>
        </w:rPr>
        <w:fldChar w:fldCharType="begin"/>
      </w:r>
      <w:r>
        <w:rPr>
          <w:color w:val="auto"/>
          <w:highlight w:val="none"/>
        </w:rPr>
        <w:instrText xml:space="preserve"> PAGEREF _Toc43475959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02B6343E">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"_Toc43475960" </w:instrText>
      </w:r>
      <w:r>
        <w:rPr>
          <w:color w:val="auto"/>
          <w:highlight w:val="none"/>
        </w:rPr>
        <w:fldChar w:fldCharType="separate"/>
      </w:r>
      <w:r>
        <w:rPr>
          <w:rStyle w:val="52"/>
          <w:rFonts w:ascii="宋体" w:hAnsi="宋体" w:cs="宋体"/>
          <w:color w:val="auto"/>
          <w:highlight w:val="none"/>
        </w:rPr>
        <w:t>14</w:t>
      </w:r>
      <w:r>
        <w:rPr>
          <w:rStyle w:val="52"/>
          <w:rFonts w:hint="eastAsia" w:ascii="宋体" w:hAnsi="宋体" w:cs="宋体"/>
          <w:color w:val="auto"/>
          <w:highlight w:val="none"/>
        </w:rPr>
        <w:t>.试验和检验</w:t>
      </w:r>
      <w:r>
        <w:rPr>
          <w:color w:val="auto"/>
          <w:highlight w:val="none"/>
        </w:rPr>
        <w:tab/>
      </w:r>
      <w:r>
        <w:rPr>
          <w:color w:val="auto"/>
          <w:highlight w:val="none"/>
        </w:rPr>
        <w:fldChar w:fldCharType="begin"/>
      </w:r>
      <w:r>
        <w:rPr>
          <w:color w:val="auto"/>
          <w:highlight w:val="none"/>
        </w:rPr>
        <w:instrText xml:space="preserve"> PAGEREF _Toc43475960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0A01916E">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"_Toc43475961" </w:instrText>
      </w:r>
      <w:r>
        <w:rPr>
          <w:color w:val="auto"/>
          <w:highlight w:val="none"/>
        </w:rPr>
        <w:fldChar w:fldCharType="separate"/>
      </w:r>
      <w:r>
        <w:rPr>
          <w:rStyle w:val="52"/>
          <w:rFonts w:ascii="宋体" w:hAnsi="宋体" w:cs="宋体"/>
          <w:color w:val="auto"/>
          <w:highlight w:val="none"/>
        </w:rPr>
        <w:t>14</w:t>
      </w:r>
      <w:r>
        <w:rPr>
          <w:rStyle w:val="52"/>
          <w:rFonts w:hint="eastAsia" w:ascii="宋体" w:hAnsi="宋体" w:cs="宋体"/>
          <w:color w:val="auto"/>
          <w:highlight w:val="none"/>
        </w:rPr>
        <w:t>.</w:t>
      </w:r>
      <w:r>
        <w:rPr>
          <w:rStyle w:val="52"/>
          <w:rFonts w:ascii="宋体" w:hAnsi="宋体" w:cs="宋体"/>
          <w:color w:val="auto"/>
          <w:highlight w:val="none"/>
        </w:rPr>
        <w:t>4</w:t>
      </w:r>
      <w:r>
        <w:rPr>
          <w:rStyle w:val="52"/>
          <w:rFonts w:hint="eastAsia" w:ascii="宋体" w:hAnsi="宋体" w:cs="宋体"/>
          <w:color w:val="auto"/>
          <w:highlight w:val="none"/>
        </w:rPr>
        <w:t>试验和检验费用</w:t>
      </w:r>
      <w:r>
        <w:rPr>
          <w:color w:val="auto"/>
          <w:highlight w:val="none"/>
        </w:rPr>
        <w:tab/>
      </w:r>
      <w:r>
        <w:rPr>
          <w:color w:val="auto"/>
          <w:highlight w:val="none"/>
        </w:rPr>
        <w:fldChar w:fldCharType="begin"/>
      </w:r>
      <w:r>
        <w:rPr>
          <w:color w:val="auto"/>
          <w:highlight w:val="none"/>
        </w:rPr>
        <w:instrText xml:space="preserve"> PAGEREF _Toc43475961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5473BD0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"_Toc43475962" </w:instrText>
      </w:r>
      <w:r>
        <w:rPr>
          <w:color w:val="auto"/>
          <w:highlight w:val="none"/>
        </w:rPr>
        <w:fldChar w:fldCharType="separate"/>
      </w:r>
      <w:r>
        <w:rPr>
          <w:rStyle w:val="52"/>
          <w:rFonts w:ascii="宋体" w:hAnsi="宋体" w:cs="宋体"/>
          <w:color w:val="auto"/>
          <w:highlight w:val="none"/>
        </w:rPr>
        <w:t>15</w:t>
      </w:r>
      <w:r>
        <w:rPr>
          <w:rStyle w:val="52"/>
          <w:rFonts w:hint="eastAsia" w:ascii="宋体" w:hAnsi="宋体" w:cs="宋体"/>
          <w:color w:val="auto"/>
          <w:highlight w:val="none"/>
        </w:rPr>
        <w:t>.变更</w:t>
      </w:r>
      <w:r>
        <w:rPr>
          <w:color w:val="auto"/>
          <w:highlight w:val="none"/>
        </w:rPr>
        <w:tab/>
      </w:r>
      <w:r>
        <w:rPr>
          <w:color w:val="auto"/>
          <w:highlight w:val="none"/>
        </w:rPr>
        <w:fldChar w:fldCharType="begin"/>
      </w:r>
      <w:r>
        <w:rPr>
          <w:color w:val="auto"/>
          <w:highlight w:val="none"/>
        </w:rPr>
        <w:instrText xml:space="preserve"> PAGEREF _Toc43475962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1A8E5A04">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"_Toc43475963" </w:instrText>
      </w:r>
      <w:r>
        <w:rPr>
          <w:color w:val="auto"/>
          <w:highlight w:val="none"/>
        </w:rPr>
        <w:fldChar w:fldCharType="separate"/>
      </w:r>
      <w:r>
        <w:rPr>
          <w:rStyle w:val="52"/>
          <w:rFonts w:ascii="宋体" w:hAnsi="宋体" w:cs="宋体"/>
          <w:color w:val="auto"/>
          <w:highlight w:val="none"/>
        </w:rPr>
        <w:t>15</w:t>
      </w:r>
      <w:r>
        <w:rPr>
          <w:rStyle w:val="52"/>
          <w:rFonts w:hint="eastAsia" w:ascii="宋体" w:hAnsi="宋体" w:cs="宋体"/>
          <w:color w:val="auto"/>
          <w:highlight w:val="none"/>
        </w:rPr>
        <w:t>.</w:t>
      </w:r>
      <w:r>
        <w:rPr>
          <w:rStyle w:val="52"/>
          <w:rFonts w:ascii="宋体" w:hAnsi="宋体" w:cs="宋体"/>
          <w:color w:val="auto"/>
          <w:highlight w:val="none"/>
        </w:rPr>
        <w:t>1</w:t>
      </w:r>
      <w:r>
        <w:rPr>
          <w:rStyle w:val="52"/>
          <w:rFonts w:hint="eastAsia" w:ascii="宋体" w:hAnsi="宋体" w:cs="宋体"/>
          <w:color w:val="auto"/>
          <w:highlight w:val="none"/>
        </w:rPr>
        <w:t>变更的范围和内容</w:t>
      </w:r>
      <w:r>
        <w:rPr>
          <w:color w:val="auto"/>
          <w:highlight w:val="none"/>
        </w:rPr>
        <w:tab/>
      </w:r>
      <w:r>
        <w:rPr>
          <w:color w:val="auto"/>
          <w:highlight w:val="none"/>
        </w:rPr>
        <w:fldChar w:fldCharType="begin"/>
      </w:r>
      <w:r>
        <w:rPr>
          <w:color w:val="auto"/>
          <w:highlight w:val="none"/>
        </w:rPr>
        <w:instrText xml:space="preserve"> PAGEREF _Toc43475963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0D44E81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"_Toc43475964" </w:instrText>
      </w:r>
      <w:r>
        <w:rPr>
          <w:color w:val="auto"/>
          <w:highlight w:val="none"/>
        </w:rPr>
        <w:fldChar w:fldCharType="separate"/>
      </w:r>
      <w:r>
        <w:rPr>
          <w:rStyle w:val="52"/>
          <w:rFonts w:ascii="宋体" w:hAnsi="宋体" w:cs="宋体"/>
          <w:color w:val="auto"/>
          <w:highlight w:val="none"/>
        </w:rPr>
        <w:t>15</w:t>
      </w:r>
      <w:r>
        <w:rPr>
          <w:rStyle w:val="52"/>
          <w:rFonts w:hint="eastAsia" w:ascii="宋体" w:hAnsi="宋体" w:cs="宋体"/>
          <w:color w:val="auto"/>
          <w:highlight w:val="none"/>
        </w:rPr>
        <w:t>.</w:t>
      </w:r>
      <w:r>
        <w:rPr>
          <w:rStyle w:val="52"/>
          <w:rFonts w:ascii="宋体" w:hAnsi="宋体" w:cs="宋体"/>
          <w:color w:val="auto"/>
          <w:highlight w:val="none"/>
        </w:rPr>
        <w:t>3</w:t>
      </w:r>
      <w:r>
        <w:rPr>
          <w:rStyle w:val="52"/>
          <w:rFonts w:hint="eastAsia" w:ascii="宋体" w:hAnsi="宋体" w:cs="宋体"/>
          <w:color w:val="auto"/>
          <w:highlight w:val="none"/>
        </w:rPr>
        <w:t>变更程序</w:t>
      </w:r>
      <w:r>
        <w:rPr>
          <w:color w:val="auto"/>
          <w:highlight w:val="none"/>
        </w:rPr>
        <w:tab/>
      </w:r>
      <w:r>
        <w:rPr>
          <w:color w:val="auto"/>
          <w:highlight w:val="none"/>
        </w:rPr>
        <w:fldChar w:fldCharType="begin"/>
      </w:r>
      <w:r>
        <w:rPr>
          <w:color w:val="auto"/>
          <w:highlight w:val="none"/>
        </w:rPr>
        <w:instrText xml:space="preserve"> PAGEREF _Toc43475964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77793F5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"_Toc43475965" </w:instrText>
      </w:r>
      <w:r>
        <w:rPr>
          <w:color w:val="auto"/>
          <w:highlight w:val="none"/>
        </w:rPr>
        <w:fldChar w:fldCharType="separate"/>
      </w:r>
      <w:r>
        <w:rPr>
          <w:rStyle w:val="52"/>
          <w:rFonts w:ascii="宋体" w:hAnsi="宋体" w:cs="宋体"/>
          <w:color w:val="auto"/>
          <w:highlight w:val="none"/>
        </w:rPr>
        <w:t>15</w:t>
      </w:r>
      <w:r>
        <w:rPr>
          <w:rStyle w:val="52"/>
          <w:rFonts w:hint="eastAsia" w:ascii="宋体" w:hAnsi="宋体" w:cs="宋体"/>
          <w:color w:val="auto"/>
          <w:highlight w:val="none"/>
        </w:rPr>
        <w:t>.</w:t>
      </w:r>
      <w:r>
        <w:rPr>
          <w:rStyle w:val="52"/>
          <w:rFonts w:ascii="宋体" w:hAnsi="宋体" w:cs="宋体"/>
          <w:color w:val="auto"/>
          <w:highlight w:val="none"/>
        </w:rPr>
        <w:t>4</w:t>
      </w:r>
      <w:r>
        <w:rPr>
          <w:rStyle w:val="52"/>
          <w:rFonts w:hint="eastAsia" w:ascii="宋体" w:hAnsi="宋体" w:cs="宋体"/>
          <w:color w:val="auto"/>
          <w:highlight w:val="none"/>
        </w:rPr>
        <w:t>变更的估价原则</w:t>
      </w:r>
      <w:r>
        <w:rPr>
          <w:color w:val="auto"/>
          <w:highlight w:val="none"/>
        </w:rPr>
        <w:tab/>
      </w:r>
      <w:r>
        <w:rPr>
          <w:color w:val="auto"/>
          <w:highlight w:val="none"/>
        </w:rPr>
        <w:fldChar w:fldCharType="begin"/>
      </w:r>
      <w:r>
        <w:rPr>
          <w:color w:val="auto"/>
          <w:highlight w:val="none"/>
        </w:rPr>
        <w:instrText xml:space="preserve"> PAGEREF _Toc43475965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7C91E69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"_Toc43475966" </w:instrText>
      </w:r>
      <w:r>
        <w:rPr>
          <w:color w:val="auto"/>
          <w:highlight w:val="none"/>
        </w:rPr>
        <w:fldChar w:fldCharType="separate"/>
      </w:r>
      <w:r>
        <w:rPr>
          <w:rStyle w:val="52"/>
          <w:rFonts w:ascii="宋体" w:hAnsi="宋体" w:cs="宋体"/>
          <w:color w:val="auto"/>
          <w:highlight w:val="none"/>
        </w:rPr>
        <w:t>15.5</w:t>
      </w:r>
      <w:r>
        <w:rPr>
          <w:rStyle w:val="52"/>
          <w:rFonts w:hint="eastAsia" w:ascii="宋体" w:hAnsi="宋体" w:cs="宋体"/>
          <w:color w:val="auto"/>
          <w:highlight w:val="none"/>
        </w:rPr>
        <w:t>承包人的合理化建议</w:t>
      </w:r>
      <w:r>
        <w:rPr>
          <w:color w:val="auto"/>
          <w:highlight w:val="none"/>
        </w:rPr>
        <w:tab/>
      </w:r>
      <w:r>
        <w:rPr>
          <w:color w:val="auto"/>
          <w:highlight w:val="none"/>
        </w:rPr>
        <w:fldChar w:fldCharType="begin"/>
      </w:r>
      <w:r>
        <w:rPr>
          <w:color w:val="auto"/>
          <w:highlight w:val="none"/>
        </w:rPr>
        <w:instrText xml:space="preserve"> PAGEREF _Toc43475966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481654F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"_Toc43475967" </w:instrText>
      </w:r>
      <w:r>
        <w:rPr>
          <w:color w:val="auto"/>
          <w:highlight w:val="none"/>
        </w:rPr>
        <w:fldChar w:fldCharType="separate"/>
      </w:r>
      <w:r>
        <w:rPr>
          <w:rStyle w:val="52"/>
          <w:rFonts w:ascii="宋体" w:hAnsi="宋体" w:cs="宋体"/>
          <w:color w:val="auto"/>
          <w:highlight w:val="none"/>
        </w:rPr>
        <w:t>15.6</w:t>
      </w:r>
      <w:r>
        <w:rPr>
          <w:rStyle w:val="52"/>
          <w:rFonts w:hint="eastAsia" w:ascii="宋体" w:hAnsi="宋体" w:cs="宋体"/>
          <w:color w:val="auto"/>
          <w:highlight w:val="none"/>
        </w:rPr>
        <w:t>暂列金额</w:t>
      </w:r>
      <w:r>
        <w:rPr>
          <w:color w:val="auto"/>
          <w:highlight w:val="none"/>
        </w:rPr>
        <w:tab/>
      </w:r>
      <w:r>
        <w:rPr>
          <w:color w:val="auto"/>
          <w:highlight w:val="none"/>
        </w:rPr>
        <w:fldChar w:fldCharType="begin"/>
      </w:r>
      <w:r>
        <w:rPr>
          <w:color w:val="auto"/>
          <w:highlight w:val="none"/>
        </w:rPr>
        <w:instrText xml:space="preserve"> PAGEREF _Toc43475967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35A5F4F5">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"_Toc43475968" </w:instrText>
      </w:r>
      <w:r>
        <w:rPr>
          <w:color w:val="auto"/>
          <w:highlight w:val="none"/>
        </w:rPr>
        <w:fldChar w:fldCharType="separate"/>
      </w:r>
      <w:r>
        <w:rPr>
          <w:rStyle w:val="52"/>
          <w:rFonts w:ascii="宋体" w:hAnsi="宋体" w:cs="宋体"/>
          <w:color w:val="auto"/>
          <w:highlight w:val="none"/>
        </w:rPr>
        <w:t>16.</w:t>
      </w:r>
      <w:r>
        <w:rPr>
          <w:rStyle w:val="52"/>
          <w:rFonts w:hint="eastAsia" w:ascii="宋体" w:hAnsi="宋体" w:cs="宋体"/>
          <w:color w:val="auto"/>
          <w:highlight w:val="none"/>
        </w:rPr>
        <w:t>价格调整</w:t>
      </w:r>
      <w:r>
        <w:rPr>
          <w:color w:val="auto"/>
          <w:highlight w:val="none"/>
        </w:rPr>
        <w:tab/>
      </w:r>
      <w:r>
        <w:rPr>
          <w:color w:val="auto"/>
          <w:highlight w:val="none"/>
        </w:rPr>
        <w:fldChar w:fldCharType="begin"/>
      </w:r>
      <w:r>
        <w:rPr>
          <w:color w:val="auto"/>
          <w:highlight w:val="none"/>
        </w:rPr>
        <w:instrText xml:space="preserve"> PAGEREF _Toc43475968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44247113">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"_Toc43475969" </w:instrText>
      </w:r>
      <w:r>
        <w:rPr>
          <w:color w:val="auto"/>
          <w:highlight w:val="none"/>
        </w:rPr>
        <w:fldChar w:fldCharType="separate"/>
      </w:r>
      <w:r>
        <w:rPr>
          <w:rStyle w:val="52"/>
          <w:rFonts w:ascii="宋体" w:hAnsi="宋体" w:cs="宋体"/>
          <w:color w:val="auto"/>
          <w:highlight w:val="none"/>
        </w:rPr>
        <w:t>16.1</w:t>
      </w:r>
      <w:r>
        <w:rPr>
          <w:rStyle w:val="52"/>
          <w:rFonts w:hint="eastAsia" w:ascii="宋体" w:hAnsi="宋体" w:cs="宋体"/>
          <w:color w:val="auto"/>
          <w:highlight w:val="none"/>
        </w:rPr>
        <w:t>物价波动引起的价格调整</w:t>
      </w:r>
      <w:r>
        <w:rPr>
          <w:color w:val="auto"/>
          <w:highlight w:val="none"/>
        </w:rPr>
        <w:tab/>
      </w:r>
      <w:r>
        <w:rPr>
          <w:color w:val="auto"/>
          <w:highlight w:val="none"/>
        </w:rPr>
        <w:fldChar w:fldCharType="begin"/>
      </w:r>
      <w:r>
        <w:rPr>
          <w:color w:val="auto"/>
          <w:highlight w:val="none"/>
        </w:rPr>
        <w:instrText xml:space="preserve"> PAGEREF _Toc43475969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69A3B9BC">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"_Toc43475970" </w:instrText>
      </w:r>
      <w:r>
        <w:rPr>
          <w:color w:val="auto"/>
          <w:highlight w:val="none"/>
        </w:rPr>
        <w:fldChar w:fldCharType="separate"/>
      </w:r>
      <w:r>
        <w:rPr>
          <w:rStyle w:val="52"/>
          <w:rFonts w:ascii="宋体" w:hAnsi="宋体" w:cs="宋体"/>
          <w:color w:val="auto"/>
          <w:highlight w:val="none"/>
        </w:rPr>
        <w:t>17.</w:t>
      </w:r>
      <w:r>
        <w:rPr>
          <w:rStyle w:val="52"/>
          <w:rFonts w:hint="eastAsia" w:ascii="宋体" w:hAnsi="宋体" w:cs="宋体"/>
          <w:color w:val="auto"/>
          <w:highlight w:val="none"/>
        </w:rPr>
        <w:t>计量与支付</w:t>
      </w:r>
      <w:r>
        <w:rPr>
          <w:color w:val="auto"/>
          <w:highlight w:val="none"/>
        </w:rPr>
        <w:tab/>
      </w:r>
      <w:r>
        <w:rPr>
          <w:color w:val="auto"/>
          <w:highlight w:val="none"/>
        </w:rPr>
        <w:fldChar w:fldCharType="begin"/>
      </w:r>
      <w:r>
        <w:rPr>
          <w:color w:val="auto"/>
          <w:highlight w:val="none"/>
        </w:rPr>
        <w:instrText xml:space="preserve"> PAGEREF _Toc43475970 \h </w:instrText>
      </w:r>
      <w:r>
        <w:rPr>
          <w:color w:val="auto"/>
          <w:highlight w:val="none"/>
        </w:rPr>
        <w:fldChar w:fldCharType="separate"/>
      </w:r>
      <w:r>
        <w:rPr>
          <w:color w:val="auto"/>
          <w:highlight w:val="none"/>
        </w:rPr>
        <w:t>124</w:t>
      </w:r>
      <w:r>
        <w:rPr>
          <w:color w:val="auto"/>
          <w:highlight w:val="none"/>
        </w:rPr>
        <w:fldChar w:fldCharType="end"/>
      </w:r>
      <w:r>
        <w:rPr>
          <w:color w:val="auto"/>
          <w:highlight w:val="none"/>
        </w:rPr>
        <w:fldChar w:fldCharType="end"/>
      </w:r>
    </w:p>
    <w:p w14:paraId="697F3544">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"_Toc43475971" </w:instrText>
      </w:r>
      <w:r>
        <w:rPr>
          <w:color w:val="auto"/>
          <w:highlight w:val="none"/>
        </w:rPr>
        <w:fldChar w:fldCharType="separate"/>
      </w:r>
      <w:r>
        <w:rPr>
          <w:rStyle w:val="52"/>
          <w:rFonts w:ascii="宋体" w:hAnsi="宋体" w:cs="宋体"/>
          <w:color w:val="auto"/>
          <w:highlight w:val="none"/>
        </w:rPr>
        <w:t>17.1</w:t>
      </w:r>
      <w:r>
        <w:rPr>
          <w:rStyle w:val="52"/>
          <w:rFonts w:hint="eastAsia" w:ascii="宋体" w:hAnsi="宋体" w:cs="宋体"/>
          <w:color w:val="auto"/>
          <w:highlight w:val="none"/>
        </w:rPr>
        <w:t>计量</w:t>
      </w:r>
      <w:r>
        <w:rPr>
          <w:color w:val="auto"/>
          <w:highlight w:val="none"/>
        </w:rPr>
        <w:tab/>
      </w:r>
      <w:r>
        <w:rPr>
          <w:color w:val="auto"/>
          <w:highlight w:val="none"/>
        </w:rPr>
        <w:fldChar w:fldCharType="begin"/>
      </w:r>
      <w:r>
        <w:rPr>
          <w:color w:val="auto"/>
          <w:highlight w:val="none"/>
        </w:rPr>
        <w:instrText xml:space="preserve"> PAGEREF _Toc43475971 \h </w:instrText>
      </w:r>
      <w:r>
        <w:rPr>
          <w:color w:val="auto"/>
          <w:highlight w:val="none"/>
        </w:rPr>
        <w:fldChar w:fldCharType="separate"/>
      </w:r>
      <w:r>
        <w:rPr>
          <w:color w:val="auto"/>
          <w:highlight w:val="none"/>
        </w:rPr>
        <w:t>124</w:t>
      </w:r>
      <w:r>
        <w:rPr>
          <w:color w:val="auto"/>
          <w:highlight w:val="none"/>
        </w:rPr>
        <w:fldChar w:fldCharType="end"/>
      </w:r>
      <w:r>
        <w:rPr>
          <w:color w:val="auto"/>
          <w:highlight w:val="none"/>
        </w:rPr>
        <w:fldChar w:fldCharType="end"/>
      </w:r>
    </w:p>
    <w:p w14:paraId="2656FA6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"_Toc43475972" </w:instrText>
      </w:r>
      <w:r>
        <w:rPr>
          <w:color w:val="auto"/>
          <w:highlight w:val="none"/>
        </w:rPr>
        <w:fldChar w:fldCharType="separate"/>
      </w:r>
      <w:r>
        <w:rPr>
          <w:rStyle w:val="52"/>
          <w:rFonts w:ascii="宋体" w:hAnsi="宋体" w:cs="宋体"/>
          <w:color w:val="auto"/>
          <w:highlight w:val="none"/>
        </w:rPr>
        <w:t>17.2</w:t>
      </w:r>
      <w:r>
        <w:rPr>
          <w:rStyle w:val="52"/>
          <w:rFonts w:hint="eastAsia" w:ascii="宋体" w:hAnsi="宋体" w:cs="宋体"/>
          <w:color w:val="auto"/>
          <w:highlight w:val="none"/>
        </w:rPr>
        <w:t>预付款</w:t>
      </w:r>
      <w:r>
        <w:rPr>
          <w:color w:val="auto"/>
          <w:highlight w:val="none"/>
        </w:rPr>
        <w:tab/>
      </w:r>
      <w:r>
        <w:rPr>
          <w:color w:val="auto"/>
          <w:highlight w:val="none"/>
        </w:rPr>
        <w:fldChar w:fldCharType="begin"/>
      </w:r>
      <w:r>
        <w:rPr>
          <w:color w:val="auto"/>
          <w:highlight w:val="none"/>
        </w:rPr>
        <w:instrText xml:space="preserve"> PAGEREF _Toc43475972 \h </w:instrText>
      </w:r>
      <w:r>
        <w:rPr>
          <w:color w:val="auto"/>
          <w:highlight w:val="none"/>
        </w:rPr>
        <w:fldChar w:fldCharType="separate"/>
      </w:r>
      <w:r>
        <w:rPr>
          <w:color w:val="auto"/>
          <w:highlight w:val="none"/>
        </w:rPr>
        <w:t>124</w:t>
      </w:r>
      <w:r>
        <w:rPr>
          <w:color w:val="auto"/>
          <w:highlight w:val="none"/>
        </w:rPr>
        <w:fldChar w:fldCharType="end"/>
      </w:r>
      <w:r>
        <w:rPr>
          <w:color w:val="auto"/>
          <w:highlight w:val="none"/>
        </w:rPr>
        <w:fldChar w:fldCharType="end"/>
      </w:r>
    </w:p>
    <w:p w14:paraId="2FA78C9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"_Toc43475973" </w:instrText>
      </w:r>
      <w:r>
        <w:rPr>
          <w:color w:val="auto"/>
          <w:highlight w:val="none"/>
        </w:rPr>
        <w:fldChar w:fldCharType="separate"/>
      </w:r>
      <w:r>
        <w:rPr>
          <w:rStyle w:val="52"/>
          <w:rFonts w:ascii="宋体" w:hAnsi="宋体" w:cs="宋体"/>
          <w:color w:val="auto"/>
          <w:highlight w:val="none"/>
        </w:rPr>
        <w:t>17.3</w:t>
      </w:r>
      <w:r>
        <w:rPr>
          <w:rStyle w:val="52"/>
          <w:rFonts w:hint="eastAsia" w:ascii="宋体" w:hAnsi="宋体" w:cs="宋体"/>
          <w:color w:val="auto"/>
          <w:highlight w:val="none"/>
        </w:rPr>
        <w:t>工程进度付款</w:t>
      </w:r>
      <w:r>
        <w:rPr>
          <w:color w:val="auto"/>
          <w:highlight w:val="none"/>
        </w:rPr>
        <w:tab/>
      </w:r>
      <w:r>
        <w:rPr>
          <w:color w:val="auto"/>
          <w:highlight w:val="none"/>
        </w:rPr>
        <w:fldChar w:fldCharType="begin"/>
      </w:r>
      <w:r>
        <w:rPr>
          <w:color w:val="auto"/>
          <w:highlight w:val="none"/>
        </w:rPr>
        <w:instrText xml:space="preserve"> PAGEREF _Toc43475973 \h </w:instrText>
      </w:r>
      <w:r>
        <w:rPr>
          <w:color w:val="auto"/>
          <w:highlight w:val="none"/>
        </w:rPr>
        <w:fldChar w:fldCharType="separate"/>
      </w:r>
      <w:r>
        <w:rPr>
          <w:color w:val="auto"/>
          <w:highlight w:val="none"/>
        </w:rPr>
        <w:t>125</w:t>
      </w:r>
      <w:r>
        <w:rPr>
          <w:color w:val="auto"/>
          <w:highlight w:val="none"/>
        </w:rPr>
        <w:fldChar w:fldCharType="end"/>
      </w:r>
      <w:r>
        <w:rPr>
          <w:color w:val="auto"/>
          <w:highlight w:val="none"/>
        </w:rPr>
        <w:fldChar w:fldCharType="end"/>
      </w:r>
    </w:p>
    <w:p w14:paraId="2A4815A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"_Toc43475974" </w:instrText>
      </w:r>
      <w:r>
        <w:rPr>
          <w:color w:val="auto"/>
          <w:highlight w:val="none"/>
        </w:rPr>
        <w:fldChar w:fldCharType="separate"/>
      </w:r>
      <w:r>
        <w:rPr>
          <w:rStyle w:val="52"/>
          <w:rFonts w:ascii="宋体" w:hAnsi="宋体" w:cs="宋体"/>
          <w:color w:val="auto"/>
          <w:highlight w:val="none"/>
        </w:rPr>
        <w:t>17.4</w:t>
      </w:r>
      <w:r>
        <w:rPr>
          <w:rStyle w:val="52"/>
          <w:rFonts w:hint="eastAsia" w:ascii="宋体" w:hAnsi="宋体" w:cs="宋体"/>
          <w:color w:val="auto"/>
          <w:highlight w:val="none"/>
        </w:rPr>
        <w:t>质量保证金</w:t>
      </w:r>
      <w:r>
        <w:rPr>
          <w:color w:val="auto"/>
          <w:highlight w:val="none"/>
        </w:rPr>
        <w:tab/>
      </w:r>
      <w:r>
        <w:rPr>
          <w:color w:val="auto"/>
          <w:highlight w:val="none"/>
        </w:rPr>
        <w:fldChar w:fldCharType="begin"/>
      </w:r>
      <w:r>
        <w:rPr>
          <w:color w:val="auto"/>
          <w:highlight w:val="none"/>
        </w:rPr>
        <w:instrText xml:space="preserve"> PAGEREF _Toc43475974 \h </w:instrText>
      </w:r>
      <w:r>
        <w:rPr>
          <w:color w:val="auto"/>
          <w:highlight w:val="none"/>
        </w:rPr>
        <w:fldChar w:fldCharType="separate"/>
      </w:r>
      <w:r>
        <w:rPr>
          <w:color w:val="auto"/>
          <w:highlight w:val="none"/>
        </w:rPr>
        <w:t>126</w:t>
      </w:r>
      <w:r>
        <w:rPr>
          <w:color w:val="auto"/>
          <w:highlight w:val="none"/>
        </w:rPr>
        <w:fldChar w:fldCharType="end"/>
      </w:r>
      <w:r>
        <w:rPr>
          <w:color w:val="auto"/>
          <w:highlight w:val="none"/>
        </w:rPr>
        <w:fldChar w:fldCharType="end"/>
      </w:r>
    </w:p>
    <w:p w14:paraId="10DFECC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"_Toc43475975" </w:instrText>
      </w:r>
      <w:r>
        <w:rPr>
          <w:color w:val="auto"/>
          <w:highlight w:val="none"/>
        </w:rPr>
        <w:fldChar w:fldCharType="separate"/>
      </w:r>
      <w:r>
        <w:rPr>
          <w:rStyle w:val="52"/>
          <w:rFonts w:ascii="宋体" w:hAnsi="宋体" w:cs="宋体"/>
          <w:color w:val="auto"/>
          <w:highlight w:val="none"/>
        </w:rPr>
        <w:t>17.5</w:t>
      </w:r>
      <w:r>
        <w:rPr>
          <w:rStyle w:val="52"/>
          <w:rFonts w:hint="eastAsia" w:ascii="宋体" w:hAnsi="宋体" w:cs="宋体"/>
          <w:color w:val="auto"/>
          <w:highlight w:val="none"/>
        </w:rPr>
        <w:t>交工结算</w:t>
      </w:r>
      <w:r>
        <w:rPr>
          <w:color w:val="auto"/>
          <w:highlight w:val="none"/>
        </w:rPr>
        <w:tab/>
      </w:r>
      <w:r>
        <w:rPr>
          <w:color w:val="auto"/>
          <w:highlight w:val="none"/>
        </w:rPr>
        <w:fldChar w:fldCharType="begin"/>
      </w:r>
      <w:r>
        <w:rPr>
          <w:color w:val="auto"/>
          <w:highlight w:val="none"/>
        </w:rPr>
        <w:instrText xml:space="preserve"> PAGEREF _Toc43475975 \h </w:instrText>
      </w:r>
      <w:r>
        <w:rPr>
          <w:color w:val="auto"/>
          <w:highlight w:val="none"/>
        </w:rPr>
        <w:fldChar w:fldCharType="separate"/>
      </w:r>
      <w:r>
        <w:rPr>
          <w:color w:val="auto"/>
          <w:highlight w:val="none"/>
        </w:rPr>
        <w:t>126</w:t>
      </w:r>
      <w:r>
        <w:rPr>
          <w:color w:val="auto"/>
          <w:highlight w:val="none"/>
        </w:rPr>
        <w:fldChar w:fldCharType="end"/>
      </w:r>
      <w:r>
        <w:rPr>
          <w:color w:val="auto"/>
          <w:highlight w:val="none"/>
        </w:rPr>
        <w:fldChar w:fldCharType="end"/>
      </w:r>
    </w:p>
    <w:p w14:paraId="790E10E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"_Toc43475976" </w:instrText>
      </w:r>
      <w:r>
        <w:rPr>
          <w:color w:val="auto"/>
          <w:highlight w:val="none"/>
        </w:rPr>
        <w:fldChar w:fldCharType="separate"/>
      </w:r>
      <w:r>
        <w:rPr>
          <w:rStyle w:val="52"/>
          <w:rFonts w:ascii="宋体" w:hAnsi="宋体" w:cs="宋体"/>
          <w:color w:val="auto"/>
          <w:highlight w:val="none"/>
        </w:rPr>
        <w:t>17.6</w:t>
      </w:r>
      <w:r>
        <w:rPr>
          <w:rStyle w:val="52"/>
          <w:rFonts w:hint="eastAsia" w:ascii="宋体" w:hAnsi="宋体" w:cs="宋体"/>
          <w:color w:val="auto"/>
          <w:highlight w:val="none"/>
        </w:rPr>
        <w:t>最终结清</w:t>
      </w:r>
      <w:r>
        <w:rPr>
          <w:color w:val="auto"/>
          <w:highlight w:val="none"/>
        </w:rPr>
        <w:tab/>
      </w:r>
      <w:r>
        <w:rPr>
          <w:color w:val="auto"/>
          <w:highlight w:val="none"/>
        </w:rPr>
        <w:fldChar w:fldCharType="begin"/>
      </w:r>
      <w:r>
        <w:rPr>
          <w:color w:val="auto"/>
          <w:highlight w:val="none"/>
        </w:rPr>
        <w:instrText xml:space="preserve"> PAGEREF _Toc43475976 \h </w:instrText>
      </w:r>
      <w:r>
        <w:rPr>
          <w:color w:val="auto"/>
          <w:highlight w:val="none"/>
        </w:rPr>
        <w:fldChar w:fldCharType="separate"/>
      </w:r>
      <w:r>
        <w:rPr>
          <w:color w:val="auto"/>
          <w:highlight w:val="none"/>
        </w:rPr>
        <w:t>126</w:t>
      </w:r>
      <w:r>
        <w:rPr>
          <w:color w:val="auto"/>
          <w:highlight w:val="none"/>
        </w:rPr>
        <w:fldChar w:fldCharType="end"/>
      </w:r>
      <w:r>
        <w:rPr>
          <w:color w:val="auto"/>
          <w:highlight w:val="none"/>
        </w:rPr>
        <w:fldChar w:fldCharType="end"/>
      </w:r>
    </w:p>
    <w:p w14:paraId="4AD5F532">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"_Toc43475977" </w:instrText>
      </w:r>
      <w:r>
        <w:rPr>
          <w:color w:val="auto"/>
          <w:highlight w:val="none"/>
        </w:rPr>
        <w:fldChar w:fldCharType="separate"/>
      </w:r>
      <w:r>
        <w:rPr>
          <w:rStyle w:val="52"/>
          <w:rFonts w:ascii="宋体" w:hAnsi="宋体" w:cs="宋体"/>
          <w:color w:val="auto"/>
          <w:highlight w:val="none"/>
        </w:rPr>
        <w:t>18</w:t>
      </w:r>
      <w:r>
        <w:rPr>
          <w:rStyle w:val="52"/>
          <w:rFonts w:hint="eastAsia" w:ascii="宋体" w:hAnsi="宋体" w:cs="宋体"/>
          <w:color w:val="auto"/>
          <w:highlight w:val="none"/>
        </w:rPr>
        <w:t>.交工验收</w:t>
      </w:r>
      <w:r>
        <w:rPr>
          <w:color w:val="auto"/>
          <w:highlight w:val="none"/>
        </w:rPr>
        <w:tab/>
      </w:r>
      <w:r>
        <w:rPr>
          <w:color w:val="auto"/>
          <w:highlight w:val="none"/>
        </w:rPr>
        <w:fldChar w:fldCharType="begin"/>
      </w:r>
      <w:r>
        <w:rPr>
          <w:color w:val="auto"/>
          <w:highlight w:val="none"/>
        </w:rPr>
        <w:instrText xml:space="preserve"> PAGEREF _Toc43475977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79216E3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"_Toc43475978" </w:instrText>
      </w:r>
      <w:r>
        <w:rPr>
          <w:color w:val="auto"/>
          <w:highlight w:val="none"/>
        </w:rPr>
        <w:fldChar w:fldCharType="separate"/>
      </w:r>
      <w:r>
        <w:rPr>
          <w:rStyle w:val="52"/>
          <w:rFonts w:ascii="宋体" w:hAnsi="宋体" w:cs="宋体"/>
          <w:color w:val="auto"/>
          <w:highlight w:val="none"/>
        </w:rPr>
        <w:t>18.2</w:t>
      </w:r>
      <w:r>
        <w:rPr>
          <w:rStyle w:val="52"/>
          <w:rFonts w:hint="eastAsia" w:ascii="宋体" w:hAnsi="宋体" w:cs="宋体"/>
          <w:color w:val="auto"/>
          <w:highlight w:val="none"/>
        </w:rPr>
        <w:t>交工验收申请报告</w:t>
      </w:r>
      <w:r>
        <w:rPr>
          <w:color w:val="auto"/>
          <w:highlight w:val="none"/>
        </w:rPr>
        <w:tab/>
      </w:r>
      <w:r>
        <w:rPr>
          <w:color w:val="auto"/>
          <w:highlight w:val="none"/>
        </w:rPr>
        <w:fldChar w:fldCharType="begin"/>
      </w:r>
      <w:r>
        <w:rPr>
          <w:color w:val="auto"/>
          <w:highlight w:val="none"/>
        </w:rPr>
        <w:instrText xml:space="preserve"> PAGEREF _Toc43475978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49FEDD0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"_Toc43475979" </w:instrText>
      </w:r>
      <w:r>
        <w:rPr>
          <w:color w:val="auto"/>
          <w:highlight w:val="none"/>
        </w:rPr>
        <w:fldChar w:fldCharType="separate"/>
      </w:r>
      <w:r>
        <w:rPr>
          <w:rStyle w:val="52"/>
          <w:rFonts w:ascii="宋体" w:hAnsi="宋体" w:cs="宋体"/>
          <w:color w:val="auto"/>
          <w:highlight w:val="none"/>
        </w:rPr>
        <w:t xml:space="preserve">18.3 </w:t>
      </w:r>
      <w:r>
        <w:rPr>
          <w:rStyle w:val="52"/>
          <w:rFonts w:hint="eastAsia" w:ascii="宋体" w:hAnsi="宋体" w:cs="宋体"/>
          <w:color w:val="auto"/>
          <w:highlight w:val="none"/>
        </w:rPr>
        <w:t>验收</w:t>
      </w:r>
      <w:r>
        <w:rPr>
          <w:color w:val="auto"/>
          <w:highlight w:val="none"/>
        </w:rPr>
        <w:tab/>
      </w:r>
      <w:r>
        <w:rPr>
          <w:color w:val="auto"/>
          <w:highlight w:val="none"/>
        </w:rPr>
        <w:fldChar w:fldCharType="begin"/>
      </w:r>
      <w:r>
        <w:rPr>
          <w:color w:val="auto"/>
          <w:highlight w:val="none"/>
        </w:rPr>
        <w:instrText xml:space="preserve"> PAGEREF _Toc43475979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1154CAC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"_Toc43475980" </w:instrText>
      </w:r>
      <w:r>
        <w:rPr>
          <w:color w:val="auto"/>
          <w:highlight w:val="none"/>
        </w:rPr>
        <w:fldChar w:fldCharType="separate"/>
      </w:r>
      <w:r>
        <w:rPr>
          <w:rStyle w:val="52"/>
          <w:rFonts w:ascii="宋体" w:hAnsi="宋体" w:cs="宋体"/>
          <w:color w:val="auto"/>
          <w:highlight w:val="none"/>
        </w:rPr>
        <w:t>18.9</w:t>
      </w:r>
      <w:r>
        <w:rPr>
          <w:rStyle w:val="52"/>
          <w:rFonts w:hint="eastAsia" w:ascii="宋体" w:hAnsi="宋体" w:cs="宋体"/>
          <w:color w:val="auto"/>
          <w:highlight w:val="none"/>
        </w:rPr>
        <w:t>竣工文件</w:t>
      </w:r>
      <w:r>
        <w:rPr>
          <w:color w:val="auto"/>
          <w:highlight w:val="none"/>
        </w:rPr>
        <w:tab/>
      </w:r>
      <w:r>
        <w:rPr>
          <w:color w:val="auto"/>
          <w:highlight w:val="none"/>
        </w:rPr>
        <w:fldChar w:fldCharType="begin"/>
      </w:r>
      <w:r>
        <w:rPr>
          <w:color w:val="auto"/>
          <w:highlight w:val="none"/>
        </w:rPr>
        <w:instrText xml:space="preserve"> PAGEREF _Toc43475980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49FC1574">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"_Toc43475981" </w:instrText>
      </w:r>
      <w:r>
        <w:rPr>
          <w:color w:val="auto"/>
          <w:highlight w:val="none"/>
        </w:rPr>
        <w:fldChar w:fldCharType="separate"/>
      </w:r>
      <w:r>
        <w:rPr>
          <w:rStyle w:val="52"/>
          <w:rFonts w:ascii="宋体" w:hAnsi="宋体" w:cs="宋体"/>
          <w:color w:val="auto"/>
          <w:highlight w:val="none"/>
        </w:rPr>
        <w:t>19</w:t>
      </w:r>
      <w:r>
        <w:rPr>
          <w:rStyle w:val="52"/>
          <w:rFonts w:hint="eastAsia" w:ascii="宋体" w:hAnsi="宋体" w:cs="宋体"/>
          <w:color w:val="auto"/>
          <w:highlight w:val="none"/>
        </w:rPr>
        <w:t>.缺陷责任与保修责任</w:t>
      </w:r>
      <w:r>
        <w:rPr>
          <w:color w:val="auto"/>
          <w:highlight w:val="none"/>
        </w:rPr>
        <w:tab/>
      </w:r>
      <w:r>
        <w:rPr>
          <w:color w:val="auto"/>
          <w:highlight w:val="none"/>
        </w:rPr>
        <w:fldChar w:fldCharType="begin"/>
      </w:r>
      <w:r>
        <w:rPr>
          <w:color w:val="auto"/>
          <w:highlight w:val="none"/>
        </w:rPr>
        <w:instrText xml:space="preserve"> PAGEREF _Toc43475981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266C7EA3">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"_Toc43475982" </w:instrText>
      </w:r>
      <w:r>
        <w:rPr>
          <w:color w:val="auto"/>
          <w:highlight w:val="none"/>
        </w:rPr>
        <w:fldChar w:fldCharType="separate"/>
      </w:r>
      <w:r>
        <w:rPr>
          <w:rStyle w:val="52"/>
          <w:rFonts w:ascii="宋体" w:hAnsi="宋体" w:cs="宋体"/>
          <w:color w:val="auto"/>
          <w:highlight w:val="none"/>
        </w:rPr>
        <w:t>19.2</w:t>
      </w:r>
      <w:r>
        <w:rPr>
          <w:rStyle w:val="52"/>
          <w:rFonts w:hint="eastAsia" w:ascii="宋体" w:hAnsi="宋体" w:cs="宋体"/>
          <w:color w:val="auto"/>
          <w:highlight w:val="none"/>
        </w:rPr>
        <w:t>缺陷责任</w:t>
      </w:r>
      <w:r>
        <w:rPr>
          <w:color w:val="auto"/>
          <w:highlight w:val="none"/>
        </w:rPr>
        <w:tab/>
      </w:r>
      <w:r>
        <w:rPr>
          <w:color w:val="auto"/>
          <w:highlight w:val="none"/>
        </w:rPr>
        <w:fldChar w:fldCharType="begin"/>
      </w:r>
      <w:r>
        <w:rPr>
          <w:color w:val="auto"/>
          <w:highlight w:val="none"/>
        </w:rPr>
        <w:instrText xml:space="preserve"> PAGEREF _Toc43475982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341E0E2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"_Toc43475983" </w:instrText>
      </w:r>
      <w:r>
        <w:rPr>
          <w:color w:val="auto"/>
          <w:highlight w:val="none"/>
        </w:rPr>
        <w:fldChar w:fldCharType="separate"/>
      </w:r>
      <w:r>
        <w:rPr>
          <w:rStyle w:val="52"/>
          <w:rFonts w:ascii="宋体" w:hAnsi="宋体" w:cs="宋体"/>
          <w:color w:val="auto"/>
          <w:highlight w:val="none"/>
        </w:rPr>
        <w:t>19.5</w:t>
      </w:r>
      <w:r>
        <w:rPr>
          <w:rStyle w:val="52"/>
          <w:rFonts w:hint="eastAsia" w:ascii="宋体" w:hAnsi="宋体" w:cs="宋体"/>
          <w:color w:val="auto"/>
          <w:highlight w:val="none"/>
        </w:rPr>
        <w:t>承包人的进入权</w:t>
      </w:r>
      <w:r>
        <w:rPr>
          <w:color w:val="auto"/>
          <w:highlight w:val="none"/>
        </w:rPr>
        <w:tab/>
      </w:r>
      <w:r>
        <w:rPr>
          <w:color w:val="auto"/>
          <w:highlight w:val="none"/>
        </w:rPr>
        <w:fldChar w:fldCharType="begin"/>
      </w:r>
      <w:r>
        <w:rPr>
          <w:color w:val="auto"/>
          <w:highlight w:val="none"/>
        </w:rPr>
        <w:instrText xml:space="preserve"> PAGEREF _Toc43475983 \h </w:instrText>
      </w:r>
      <w:r>
        <w:rPr>
          <w:color w:val="auto"/>
          <w:highlight w:val="none"/>
        </w:rPr>
        <w:fldChar w:fldCharType="separate"/>
      </w:r>
      <w:r>
        <w:rPr>
          <w:color w:val="auto"/>
          <w:highlight w:val="none"/>
        </w:rPr>
        <w:t>128</w:t>
      </w:r>
      <w:r>
        <w:rPr>
          <w:color w:val="auto"/>
          <w:highlight w:val="none"/>
        </w:rPr>
        <w:fldChar w:fldCharType="end"/>
      </w:r>
      <w:r>
        <w:rPr>
          <w:color w:val="auto"/>
          <w:highlight w:val="none"/>
        </w:rPr>
        <w:fldChar w:fldCharType="end"/>
      </w:r>
    </w:p>
    <w:p w14:paraId="63E9181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"_Toc43475984" </w:instrText>
      </w:r>
      <w:r>
        <w:rPr>
          <w:color w:val="auto"/>
          <w:highlight w:val="none"/>
        </w:rPr>
        <w:fldChar w:fldCharType="separate"/>
      </w:r>
      <w:r>
        <w:rPr>
          <w:rStyle w:val="52"/>
          <w:rFonts w:ascii="宋体" w:hAnsi="宋体" w:cs="宋体"/>
          <w:color w:val="auto"/>
          <w:highlight w:val="none"/>
        </w:rPr>
        <w:t>19.7</w:t>
      </w:r>
      <w:r>
        <w:rPr>
          <w:rStyle w:val="52"/>
          <w:rFonts w:hint="eastAsia" w:ascii="宋体" w:hAnsi="宋体" w:cs="宋体"/>
          <w:color w:val="auto"/>
          <w:highlight w:val="none"/>
        </w:rPr>
        <w:t>保修责任</w:t>
      </w:r>
      <w:r>
        <w:rPr>
          <w:color w:val="auto"/>
          <w:highlight w:val="none"/>
        </w:rPr>
        <w:tab/>
      </w:r>
      <w:r>
        <w:rPr>
          <w:color w:val="auto"/>
          <w:highlight w:val="none"/>
        </w:rPr>
        <w:fldChar w:fldCharType="begin"/>
      </w:r>
      <w:r>
        <w:rPr>
          <w:color w:val="auto"/>
          <w:highlight w:val="none"/>
        </w:rPr>
        <w:instrText xml:space="preserve"> PAGEREF _Toc43475984 \h </w:instrText>
      </w:r>
      <w:r>
        <w:rPr>
          <w:color w:val="auto"/>
          <w:highlight w:val="none"/>
        </w:rPr>
        <w:fldChar w:fldCharType="separate"/>
      </w:r>
      <w:r>
        <w:rPr>
          <w:color w:val="auto"/>
          <w:highlight w:val="none"/>
        </w:rPr>
        <w:t>128</w:t>
      </w:r>
      <w:r>
        <w:rPr>
          <w:color w:val="auto"/>
          <w:highlight w:val="none"/>
        </w:rPr>
        <w:fldChar w:fldCharType="end"/>
      </w:r>
      <w:r>
        <w:rPr>
          <w:color w:val="auto"/>
          <w:highlight w:val="none"/>
        </w:rPr>
        <w:fldChar w:fldCharType="end"/>
      </w:r>
    </w:p>
    <w:p w14:paraId="78346355">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"_Toc43475985" </w:instrText>
      </w:r>
      <w:r>
        <w:rPr>
          <w:color w:val="auto"/>
          <w:highlight w:val="none"/>
        </w:rPr>
        <w:fldChar w:fldCharType="separate"/>
      </w:r>
      <w:r>
        <w:rPr>
          <w:rStyle w:val="52"/>
          <w:rFonts w:ascii="宋体" w:hAnsi="宋体" w:cs="宋体"/>
          <w:color w:val="auto"/>
          <w:highlight w:val="none"/>
        </w:rPr>
        <w:t>20.</w:t>
      </w:r>
      <w:r>
        <w:rPr>
          <w:rStyle w:val="52"/>
          <w:rFonts w:hint="eastAsia" w:ascii="宋体" w:hAnsi="宋体" w:cs="宋体"/>
          <w:color w:val="auto"/>
          <w:highlight w:val="none"/>
        </w:rPr>
        <w:t>保险</w:t>
      </w:r>
      <w:r>
        <w:rPr>
          <w:color w:val="auto"/>
          <w:highlight w:val="none"/>
        </w:rPr>
        <w:tab/>
      </w:r>
      <w:r>
        <w:rPr>
          <w:color w:val="auto"/>
          <w:highlight w:val="none"/>
        </w:rPr>
        <w:fldChar w:fldCharType="begin"/>
      </w:r>
      <w:r>
        <w:rPr>
          <w:color w:val="auto"/>
          <w:highlight w:val="none"/>
        </w:rPr>
        <w:instrText xml:space="preserve"> PAGEREF _Toc43475985 \h </w:instrText>
      </w:r>
      <w:r>
        <w:rPr>
          <w:color w:val="auto"/>
          <w:highlight w:val="none"/>
        </w:rPr>
        <w:fldChar w:fldCharType="separate"/>
      </w:r>
      <w:r>
        <w:rPr>
          <w:color w:val="auto"/>
          <w:highlight w:val="none"/>
        </w:rPr>
        <w:t>128</w:t>
      </w:r>
      <w:r>
        <w:rPr>
          <w:color w:val="auto"/>
          <w:highlight w:val="none"/>
        </w:rPr>
        <w:fldChar w:fldCharType="end"/>
      </w:r>
      <w:r>
        <w:rPr>
          <w:color w:val="auto"/>
          <w:highlight w:val="none"/>
        </w:rPr>
        <w:fldChar w:fldCharType="end"/>
      </w:r>
    </w:p>
    <w:p w14:paraId="1478219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"_Toc43475986" </w:instrText>
      </w:r>
      <w:r>
        <w:rPr>
          <w:color w:val="auto"/>
          <w:highlight w:val="none"/>
        </w:rPr>
        <w:fldChar w:fldCharType="separate"/>
      </w:r>
      <w:r>
        <w:rPr>
          <w:rStyle w:val="52"/>
          <w:rFonts w:ascii="宋体" w:hAnsi="宋体" w:cs="宋体"/>
          <w:color w:val="auto"/>
          <w:highlight w:val="none"/>
        </w:rPr>
        <w:t>20.1</w:t>
      </w:r>
      <w:r>
        <w:rPr>
          <w:rStyle w:val="52"/>
          <w:rFonts w:hint="eastAsia" w:ascii="宋体" w:hAnsi="宋体" w:cs="宋体"/>
          <w:color w:val="auto"/>
          <w:highlight w:val="none"/>
        </w:rPr>
        <w:t>工程保险</w:t>
      </w:r>
      <w:r>
        <w:rPr>
          <w:color w:val="auto"/>
          <w:highlight w:val="none"/>
        </w:rPr>
        <w:tab/>
      </w:r>
      <w:r>
        <w:rPr>
          <w:color w:val="auto"/>
          <w:highlight w:val="none"/>
        </w:rPr>
        <w:fldChar w:fldCharType="begin"/>
      </w:r>
      <w:r>
        <w:rPr>
          <w:color w:val="auto"/>
          <w:highlight w:val="none"/>
        </w:rPr>
        <w:instrText xml:space="preserve"> PAGEREF _Toc43475986 \h </w:instrText>
      </w:r>
      <w:r>
        <w:rPr>
          <w:color w:val="auto"/>
          <w:highlight w:val="none"/>
        </w:rPr>
        <w:fldChar w:fldCharType="separate"/>
      </w:r>
      <w:r>
        <w:rPr>
          <w:color w:val="auto"/>
          <w:highlight w:val="none"/>
        </w:rPr>
        <w:t>128</w:t>
      </w:r>
      <w:r>
        <w:rPr>
          <w:color w:val="auto"/>
          <w:highlight w:val="none"/>
        </w:rPr>
        <w:fldChar w:fldCharType="end"/>
      </w:r>
      <w:r>
        <w:rPr>
          <w:color w:val="auto"/>
          <w:highlight w:val="none"/>
        </w:rPr>
        <w:fldChar w:fldCharType="end"/>
      </w:r>
    </w:p>
    <w:p w14:paraId="2359B1E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"_Toc43475987" </w:instrText>
      </w:r>
      <w:r>
        <w:rPr>
          <w:color w:val="auto"/>
          <w:highlight w:val="none"/>
        </w:rPr>
        <w:fldChar w:fldCharType="separate"/>
      </w:r>
      <w:r>
        <w:rPr>
          <w:rStyle w:val="52"/>
          <w:rFonts w:ascii="宋体" w:hAnsi="宋体" w:cs="宋体"/>
          <w:color w:val="auto"/>
          <w:highlight w:val="none"/>
        </w:rPr>
        <w:t>20.4</w:t>
      </w:r>
      <w:r>
        <w:rPr>
          <w:rStyle w:val="52"/>
          <w:rFonts w:hint="eastAsia" w:ascii="宋体" w:hAnsi="宋体" w:cs="宋体"/>
          <w:color w:val="auto"/>
          <w:highlight w:val="none"/>
        </w:rPr>
        <w:t>第三者责任险</w:t>
      </w:r>
      <w:r>
        <w:rPr>
          <w:color w:val="auto"/>
          <w:highlight w:val="none"/>
        </w:rPr>
        <w:tab/>
      </w:r>
      <w:r>
        <w:rPr>
          <w:color w:val="auto"/>
          <w:highlight w:val="none"/>
        </w:rPr>
        <w:fldChar w:fldCharType="begin"/>
      </w:r>
      <w:r>
        <w:rPr>
          <w:color w:val="auto"/>
          <w:highlight w:val="none"/>
        </w:rPr>
        <w:instrText xml:space="preserve"> PAGEREF _Toc43475987 \h </w:instrText>
      </w:r>
      <w:r>
        <w:rPr>
          <w:color w:val="auto"/>
          <w:highlight w:val="none"/>
        </w:rPr>
        <w:fldChar w:fldCharType="separate"/>
      </w:r>
      <w:r>
        <w:rPr>
          <w:color w:val="auto"/>
          <w:highlight w:val="none"/>
        </w:rPr>
        <w:t>128</w:t>
      </w:r>
      <w:r>
        <w:rPr>
          <w:color w:val="auto"/>
          <w:highlight w:val="none"/>
        </w:rPr>
        <w:fldChar w:fldCharType="end"/>
      </w:r>
      <w:r>
        <w:rPr>
          <w:color w:val="auto"/>
          <w:highlight w:val="none"/>
        </w:rPr>
        <w:fldChar w:fldCharType="end"/>
      </w:r>
    </w:p>
    <w:p w14:paraId="0B59280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"_Toc43475988" </w:instrText>
      </w:r>
      <w:r>
        <w:rPr>
          <w:color w:val="auto"/>
          <w:highlight w:val="none"/>
        </w:rPr>
        <w:fldChar w:fldCharType="separate"/>
      </w:r>
      <w:r>
        <w:rPr>
          <w:rStyle w:val="52"/>
          <w:rFonts w:ascii="宋体" w:hAnsi="宋体" w:cs="宋体"/>
          <w:color w:val="auto"/>
          <w:highlight w:val="none"/>
        </w:rPr>
        <w:t>20.5</w:t>
      </w:r>
      <w:r>
        <w:rPr>
          <w:rStyle w:val="52"/>
          <w:rFonts w:hint="eastAsia" w:ascii="宋体" w:hAnsi="宋体" w:cs="宋体"/>
          <w:color w:val="auto"/>
          <w:highlight w:val="none"/>
        </w:rPr>
        <w:t>其他保险</w:t>
      </w:r>
      <w:r>
        <w:rPr>
          <w:color w:val="auto"/>
          <w:highlight w:val="none"/>
        </w:rPr>
        <w:tab/>
      </w:r>
      <w:r>
        <w:rPr>
          <w:color w:val="auto"/>
          <w:highlight w:val="none"/>
        </w:rPr>
        <w:fldChar w:fldCharType="begin"/>
      </w:r>
      <w:r>
        <w:rPr>
          <w:color w:val="auto"/>
          <w:highlight w:val="none"/>
        </w:rPr>
        <w:instrText xml:space="preserve"> PAGEREF _Toc43475988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14026D4B">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"_Toc43475989" </w:instrText>
      </w:r>
      <w:r>
        <w:rPr>
          <w:color w:val="auto"/>
          <w:highlight w:val="none"/>
        </w:rPr>
        <w:fldChar w:fldCharType="separate"/>
      </w:r>
      <w:r>
        <w:rPr>
          <w:rStyle w:val="52"/>
          <w:rFonts w:ascii="宋体" w:hAnsi="宋体" w:cs="宋体"/>
          <w:color w:val="auto"/>
          <w:highlight w:val="none"/>
        </w:rPr>
        <w:t>20.6</w:t>
      </w:r>
      <w:r>
        <w:rPr>
          <w:rStyle w:val="52"/>
          <w:rFonts w:hint="eastAsia" w:ascii="宋体" w:hAnsi="宋体" w:cs="宋体"/>
          <w:color w:val="auto"/>
          <w:highlight w:val="none"/>
        </w:rPr>
        <w:t>对各项保险的一般要求</w:t>
      </w:r>
      <w:r>
        <w:rPr>
          <w:color w:val="auto"/>
          <w:highlight w:val="none"/>
        </w:rPr>
        <w:tab/>
      </w:r>
      <w:r>
        <w:rPr>
          <w:color w:val="auto"/>
          <w:highlight w:val="none"/>
        </w:rPr>
        <w:fldChar w:fldCharType="begin"/>
      </w:r>
      <w:r>
        <w:rPr>
          <w:color w:val="auto"/>
          <w:highlight w:val="none"/>
        </w:rPr>
        <w:instrText xml:space="preserve"> PAGEREF _Toc43475989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19EE238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"_Toc43475990" </w:instrText>
      </w:r>
      <w:r>
        <w:rPr>
          <w:color w:val="auto"/>
          <w:highlight w:val="none"/>
        </w:rPr>
        <w:fldChar w:fldCharType="separate"/>
      </w:r>
      <w:r>
        <w:rPr>
          <w:rStyle w:val="52"/>
          <w:rFonts w:ascii="宋体" w:hAnsi="宋体" w:cs="宋体"/>
          <w:color w:val="auto"/>
          <w:highlight w:val="none"/>
        </w:rPr>
        <w:t>21</w:t>
      </w:r>
      <w:r>
        <w:rPr>
          <w:rStyle w:val="52"/>
          <w:rFonts w:hint="eastAsia" w:ascii="宋体" w:hAnsi="宋体" w:cs="宋体"/>
          <w:color w:val="auto"/>
          <w:highlight w:val="none"/>
        </w:rPr>
        <w:t>.不可抗力</w:t>
      </w:r>
      <w:r>
        <w:rPr>
          <w:color w:val="auto"/>
          <w:highlight w:val="none"/>
        </w:rPr>
        <w:tab/>
      </w:r>
      <w:r>
        <w:rPr>
          <w:color w:val="auto"/>
          <w:highlight w:val="none"/>
        </w:rPr>
        <w:fldChar w:fldCharType="begin"/>
      </w:r>
      <w:r>
        <w:rPr>
          <w:color w:val="auto"/>
          <w:highlight w:val="none"/>
        </w:rPr>
        <w:instrText xml:space="preserve"> PAGEREF _Toc43475990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573FA16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"_Toc43475991" </w:instrText>
      </w:r>
      <w:r>
        <w:rPr>
          <w:color w:val="auto"/>
          <w:highlight w:val="none"/>
        </w:rPr>
        <w:fldChar w:fldCharType="separate"/>
      </w:r>
      <w:r>
        <w:rPr>
          <w:rStyle w:val="52"/>
          <w:rFonts w:ascii="宋体" w:hAnsi="宋体" w:cs="宋体"/>
          <w:color w:val="auto"/>
          <w:highlight w:val="none"/>
        </w:rPr>
        <w:t>21.1</w:t>
      </w:r>
      <w:r>
        <w:rPr>
          <w:rStyle w:val="52"/>
          <w:rFonts w:hint="eastAsia" w:ascii="宋体" w:hAnsi="宋体" w:cs="宋体"/>
          <w:color w:val="auto"/>
          <w:highlight w:val="none"/>
        </w:rPr>
        <w:t>不可抗力的确认</w:t>
      </w:r>
      <w:r>
        <w:rPr>
          <w:color w:val="auto"/>
          <w:highlight w:val="none"/>
        </w:rPr>
        <w:tab/>
      </w:r>
      <w:r>
        <w:rPr>
          <w:color w:val="auto"/>
          <w:highlight w:val="none"/>
        </w:rPr>
        <w:fldChar w:fldCharType="begin"/>
      </w:r>
      <w:r>
        <w:rPr>
          <w:color w:val="auto"/>
          <w:highlight w:val="none"/>
        </w:rPr>
        <w:instrText xml:space="preserve"> PAGEREF _Toc43475991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777D4DC5">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"_Toc43475992" </w:instrText>
      </w:r>
      <w:r>
        <w:rPr>
          <w:color w:val="auto"/>
          <w:highlight w:val="none"/>
        </w:rPr>
        <w:fldChar w:fldCharType="separate"/>
      </w:r>
      <w:r>
        <w:rPr>
          <w:rStyle w:val="52"/>
          <w:rFonts w:ascii="宋体" w:hAnsi="宋体" w:cs="宋体"/>
          <w:color w:val="auto"/>
          <w:highlight w:val="none"/>
        </w:rPr>
        <w:t>21.3</w:t>
      </w:r>
      <w:r>
        <w:rPr>
          <w:rStyle w:val="52"/>
          <w:rFonts w:hint="eastAsia" w:ascii="宋体" w:hAnsi="宋体" w:cs="宋体"/>
          <w:color w:val="auto"/>
          <w:highlight w:val="none"/>
        </w:rPr>
        <w:t>不可抗力后果及其处理</w:t>
      </w:r>
      <w:r>
        <w:rPr>
          <w:color w:val="auto"/>
          <w:highlight w:val="none"/>
        </w:rPr>
        <w:tab/>
      </w:r>
      <w:r>
        <w:rPr>
          <w:color w:val="auto"/>
          <w:highlight w:val="none"/>
        </w:rPr>
        <w:fldChar w:fldCharType="begin"/>
      </w:r>
      <w:r>
        <w:rPr>
          <w:color w:val="auto"/>
          <w:highlight w:val="none"/>
        </w:rPr>
        <w:instrText xml:space="preserve"> PAGEREF _Toc43475992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4EE1665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"_Toc43475993" </w:instrText>
      </w:r>
      <w:r>
        <w:rPr>
          <w:color w:val="auto"/>
          <w:highlight w:val="none"/>
        </w:rPr>
        <w:fldChar w:fldCharType="separate"/>
      </w:r>
      <w:r>
        <w:rPr>
          <w:rStyle w:val="52"/>
          <w:rFonts w:ascii="宋体" w:hAnsi="宋体" w:cs="宋体"/>
          <w:color w:val="auto"/>
          <w:highlight w:val="none"/>
        </w:rPr>
        <w:t>22</w:t>
      </w:r>
      <w:r>
        <w:rPr>
          <w:rStyle w:val="52"/>
          <w:rFonts w:hint="eastAsia" w:ascii="宋体" w:hAnsi="宋体" w:cs="宋体"/>
          <w:color w:val="auto"/>
          <w:highlight w:val="none"/>
        </w:rPr>
        <w:t>.违约</w:t>
      </w:r>
      <w:r>
        <w:rPr>
          <w:color w:val="auto"/>
          <w:highlight w:val="none"/>
        </w:rPr>
        <w:tab/>
      </w:r>
      <w:r>
        <w:rPr>
          <w:color w:val="auto"/>
          <w:highlight w:val="none"/>
        </w:rPr>
        <w:fldChar w:fldCharType="begin"/>
      </w:r>
      <w:r>
        <w:rPr>
          <w:color w:val="auto"/>
          <w:highlight w:val="none"/>
        </w:rPr>
        <w:instrText xml:space="preserve"> PAGEREF _Toc43475993 \h </w:instrText>
      </w:r>
      <w:r>
        <w:rPr>
          <w:color w:val="auto"/>
          <w:highlight w:val="none"/>
        </w:rPr>
        <w:fldChar w:fldCharType="separate"/>
      </w:r>
      <w:r>
        <w:rPr>
          <w:color w:val="auto"/>
          <w:highlight w:val="none"/>
        </w:rPr>
        <w:t>130</w:t>
      </w:r>
      <w:r>
        <w:rPr>
          <w:color w:val="auto"/>
          <w:highlight w:val="none"/>
        </w:rPr>
        <w:fldChar w:fldCharType="end"/>
      </w:r>
      <w:r>
        <w:rPr>
          <w:color w:val="auto"/>
          <w:highlight w:val="none"/>
        </w:rPr>
        <w:fldChar w:fldCharType="end"/>
      </w:r>
    </w:p>
    <w:p w14:paraId="747BB1D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"_Toc43475994" </w:instrText>
      </w:r>
      <w:r>
        <w:rPr>
          <w:color w:val="auto"/>
          <w:highlight w:val="none"/>
        </w:rPr>
        <w:fldChar w:fldCharType="separate"/>
      </w:r>
      <w:r>
        <w:rPr>
          <w:rStyle w:val="52"/>
          <w:rFonts w:ascii="宋体" w:hAnsi="宋体" w:cs="宋体"/>
          <w:color w:val="auto"/>
          <w:highlight w:val="none"/>
        </w:rPr>
        <w:t>22.1</w:t>
      </w:r>
      <w:r>
        <w:rPr>
          <w:rStyle w:val="52"/>
          <w:rFonts w:hint="eastAsia" w:ascii="宋体" w:hAnsi="宋体" w:cs="宋体"/>
          <w:color w:val="auto"/>
          <w:highlight w:val="none"/>
        </w:rPr>
        <w:t>承包人违约</w:t>
      </w:r>
      <w:r>
        <w:rPr>
          <w:color w:val="auto"/>
          <w:highlight w:val="none"/>
        </w:rPr>
        <w:tab/>
      </w:r>
      <w:r>
        <w:rPr>
          <w:color w:val="auto"/>
          <w:highlight w:val="none"/>
        </w:rPr>
        <w:fldChar w:fldCharType="begin"/>
      </w:r>
      <w:r>
        <w:rPr>
          <w:color w:val="auto"/>
          <w:highlight w:val="none"/>
        </w:rPr>
        <w:instrText xml:space="preserve"> PAGEREF _Toc43475994 \h </w:instrText>
      </w:r>
      <w:r>
        <w:rPr>
          <w:color w:val="auto"/>
          <w:highlight w:val="none"/>
        </w:rPr>
        <w:fldChar w:fldCharType="separate"/>
      </w:r>
      <w:r>
        <w:rPr>
          <w:color w:val="auto"/>
          <w:highlight w:val="none"/>
        </w:rPr>
        <w:t>130</w:t>
      </w:r>
      <w:r>
        <w:rPr>
          <w:color w:val="auto"/>
          <w:highlight w:val="none"/>
        </w:rPr>
        <w:fldChar w:fldCharType="end"/>
      </w:r>
      <w:r>
        <w:rPr>
          <w:color w:val="auto"/>
          <w:highlight w:val="none"/>
        </w:rPr>
        <w:fldChar w:fldCharType="end"/>
      </w:r>
    </w:p>
    <w:p w14:paraId="07F2B9B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"_Toc43475995" </w:instrText>
      </w:r>
      <w:r>
        <w:rPr>
          <w:color w:val="auto"/>
          <w:highlight w:val="none"/>
        </w:rPr>
        <w:fldChar w:fldCharType="separate"/>
      </w:r>
      <w:r>
        <w:rPr>
          <w:rStyle w:val="52"/>
          <w:rFonts w:ascii="宋体" w:hAnsi="宋体" w:cs="宋体"/>
          <w:color w:val="auto"/>
          <w:highlight w:val="none"/>
        </w:rPr>
        <w:t>22.2</w:t>
      </w:r>
      <w:r>
        <w:rPr>
          <w:rStyle w:val="52"/>
          <w:rFonts w:hint="eastAsia" w:ascii="宋体" w:hAnsi="宋体" w:cs="宋体"/>
          <w:color w:val="auto"/>
          <w:highlight w:val="none"/>
        </w:rPr>
        <w:t>发包人违约</w:t>
      </w:r>
      <w:r>
        <w:rPr>
          <w:color w:val="auto"/>
          <w:highlight w:val="none"/>
        </w:rPr>
        <w:tab/>
      </w:r>
      <w:r>
        <w:rPr>
          <w:color w:val="auto"/>
          <w:highlight w:val="none"/>
        </w:rPr>
        <w:fldChar w:fldCharType="begin"/>
      </w:r>
      <w:r>
        <w:rPr>
          <w:color w:val="auto"/>
          <w:highlight w:val="none"/>
        </w:rPr>
        <w:instrText xml:space="preserve"> PAGEREF _Toc43475995 \h </w:instrText>
      </w:r>
      <w:r>
        <w:rPr>
          <w:color w:val="auto"/>
          <w:highlight w:val="none"/>
        </w:rPr>
        <w:fldChar w:fldCharType="separate"/>
      </w:r>
      <w:r>
        <w:rPr>
          <w:color w:val="auto"/>
          <w:highlight w:val="none"/>
        </w:rPr>
        <w:t>130</w:t>
      </w:r>
      <w:r>
        <w:rPr>
          <w:color w:val="auto"/>
          <w:highlight w:val="none"/>
        </w:rPr>
        <w:fldChar w:fldCharType="end"/>
      </w:r>
      <w:r>
        <w:rPr>
          <w:color w:val="auto"/>
          <w:highlight w:val="none"/>
        </w:rPr>
        <w:fldChar w:fldCharType="end"/>
      </w:r>
    </w:p>
    <w:p w14:paraId="78E8AA80">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"_Toc43475996" </w:instrText>
      </w:r>
      <w:r>
        <w:rPr>
          <w:color w:val="auto"/>
          <w:highlight w:val="none"/>
        </w:rPr>
        <w:fldChar w:fldCharType="separate"/>
      </w:r>
      <w:r>
        <w:rPr>
          <w:rStyle w:val="52"/>
          <w:rFonts w:ascii="宋体" w:hAnsi="宋体" w:cs="宋体"/>
          <w:color w:val="auto"/>
          <w:highlight w:val="none"/>
        </w:rPr>
        <w:t>23.</w:t>
      </w:r>
      <w:r>
        <w:rPr>
          <w:rStyle w:val="52"/>
          <w:rFonts w:hint="eastAsia" w:ascii="宋体" w:hAnsi="宋体" w:cs="宋体"/>
          <w:color w:val="auto"/>
          <w:highlight w:val="none"/>
        </w:rPr>
        <w:t>索赔</w:t>
      </w:r>
      <w:r>
        <w:rPr>
          <w:color w:val="auto"/>
          <w:highlight w:val="none"/>
        </w:rPr>
        <w:tab/>
      </w:r>
      <w:r>
        <w:rPr>
          <w:color w:val="auto"/>
          <w:highlight w:val="none"/>
        </w:rPr>
        <w:fldChar w:fldCharType="begin"/>
      </w:r>
      <w:r>
        <w:rPr>
          <w:color w:val="auto"/>
          <w:highlight w:val="none"/>
        </w:rPr>
        <w:instrText xml:space="preserve"> PAGEREF _Toc43475996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44A55665">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"_Toc43475997" </w:instrText>
      </w:r>
      <w:r>
        <w:rPr>
          <w:color w:val="auto"/>
          <w:highlight w:val="none"/>
        </w:rPr>
        <w:fldChar w:fldCharType="separate"/>
      </w:r>
      <w:r>
        <w:rPr>
          <w:rStyle w:val="52"/>
          <w:rFonts w:ascii="宋体" w:hAnsi="宋体" w:cs="宋体"/>
          <w:color w:val="auto"/>
          <w:highlight w:val="none"/>
        </w:rPr>
        <w:t>23.1</w:t>
      </w:r>
      <w:r>
        <w:rPr>
          <w:rStyle w:val="52"/>
          <w:rFonts w:hint="eastAsia" w:ascii="宋体" w:hAnsi="宋体" w:cs="宋体"/>
          <w:color w:val="auto"/>
          <w:highlight w:val="none"/>
        </w:rPr>
        <w:t>承包人索赔的提出</w:t>
      </w:r>
      <w:r>
        <w:rPr>
          <w:color w:val="auto"/>
          <w:highlight w:val="none"/>
        </w:rPr>
        <w:tab/>
      </w:r>
      <w:r>
        <w:rPr>
          <w:color w:val="auto"/>
          <w:highlight w:val="none"/>
        </w:rPr>
        <w:fldChar w:fldCharType="begin"/>
      </w:r>
      <w:r>
        <w:rPr>
          <w:color w:val="auto"/>
          <w:highlight w:val="none"/>
        </w:rPr>
        <w:instrText xml:space="preserve"> PAGEREF _Toc43475997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78CC32D9">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"_Toc43475998" </w:instrText>
      </w:r>
      <w:r>
        <w:rPr>
          <w:color w:val="auto"/>
          <w:highlight w:val="none"/>
        </w:rPr>
        <w:fldChar w:fldCharType="separate"/>
      </w:r>
      <w:r>
        <w:rPr>
          <w:rStyle w:val="52"/>
          <w:rFonts w:ascii="宋体" w:hAnsi="宋体" w:cs="宋体"/>
          <w:color w:val="auto"/>
          <w:highlight w:val="none"/>
        </w:rPr>
        <w:t>23.2</w:t>
      </w:r>
      <w:r>
        <w:rPr>
          <w:rStyle w:val="52"/>
          <w:rFonts w:hint="eastAsia" w:ascii="宋体" w:hAnsi="宋体" w:cs="宋体"/>
          <w:color w:val="auto"/>
          <w:highlight w:val="none"/>
        </w:rPr>
        <w:t>承包人索赔处理程序</w:t>
      </w:r>
      <w:r>
        <w:rPr>
          <w:color w:val="auto"/>
          <w:highlight w:val="none"/>
        </w:rPr>
        <w:tab/>
      </w:r>
      <w:r>
        <w:rPr>
          <w:color w:val="auto"/>
          <w:highlight w:val="none"/>
        </w:rPr>
        <w:fldChar w:fldCharType="begin"/>
      </w:r>
      <w:r>
        <w:rPr>
          <w:color w:val="auto"/>
          <w:highlight w:val="none"/>
        </w:rPr>
        <w:instrText xml:space="preserve"> PAGEREF _Toc43475998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3335AD2C">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"_Toc43475999" </w:instrText>
      </w:r>
      <w:r>
        <w:rPr>
          <w:color w:val="auto"/>
          <w:highlight w:val="none"/>
        </w:rPr>
        <w:fldChar w:fldCharType="separate"/>
      </w:r>
      <w:r>
        <w:rPr>
          <w:rStyle w:val="52"/>
          <w:rFonts w:ascii="宋体" w:hAnsi="宋体" w:cs="宋体"/>
          <w:color w:val="auto"/>
          <w:highlight w:val="none"/>
        </w:rPr>
        <w:t>24</w:t>
      </w:r>
      <w:r>
        <w:rPr>
          <w:rStyle w:val="52"/>
          <w:rFonts w:hint="eastAsia" w:ascii="宋体" w:hAnsi="宋体" w:cs="宋体"/>
          <w:color w:val="auto"/>
          <w:highlight w:val="none"/>
        </w:rPr>
        <w:t>.争议的解决</w:t>
      </w:r>
      <w:r>
        <w:rPr>
          <w:color w:val="auto"/>
          <w:highlight w:val="none"/>
        </w:rPr>
        <w:tab/>
      </w:r>
      <w:r>
        <w:rPr>
          <w:color w:val="auto"/>
          <w:highlight w:val="none"/>
        </w:rPr>
        <w:fldChar w:fldCharType="begin"/>
      </w:r>
      <w:r>
        <w:rPr>
          <w:color w:val="auto"/>
          <w:highlight w:val="none"/>
        </w:rPr>
        <w:instrText xml:space="preserve"> PAGEREF _Toc43475999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427A3337">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"_Toc43476000" </w:instrText>
      </w:r>
      <w:r>
        <w:rPr>
          <w:color w:val="auto"/>
          <w:highlight w:val="none"/>
        </w:rPr>
        <w:fldChar w:fldCharType="separate"/>
      </w:r>
      <w:r>
        <w:rPr>
          <w:rStyle w:val="52"/>
          <w:rFonts w:ascii="宋体" w:hAnsi="宋体" w:cs="宋体"/>
          <w:color w:val="auto"/>
          <w:highlight w:val="none"/>
        </w:rPr>
        <w:t>24.3</w:t>
      </w:r>
      <w:r>
        <w:rPr>
          <w:rStyle w:val="52"/>
          <w:rFonts w:hint="eastAsia" w:ascii="宋体" w:hAnsi="宋体" w:cs="宋体"/>
          <w:color w:val="auto"/>
          <w:highlight w:val="none"/>
        </w:rPr>
        <w:t>争议评审</w:t>
      </w:r>
      <w:r>
        <w:rPr>
          <w:color w:val="auto"/>
          <w:highlight w:val="none"/>
        </w:rPr>
        <w:tab/>
      </w:r>
      <w:r>
        <w:rPr>
          <w:color w:val="auto"/>
          <w:highlight w:val="none"/>
        </w:rPr>
        <w:fldChar w:fldCharType="begin"/>
      </w:r>
      <w:r>
        <w:rPr>
          <w:color w:val="auto"/>
          <w:highlight w:val="none"/>
        </w:rPr>
        <w:instrText xml:space="preserve"> PAGEREF _Toc43476000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1882091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"_Toc43476001" </w:instrText>
      </w:r>
      <w:r>
        <w:rPr>
          <w:color w:val="auto"/>
          <w:highlight w:val="none"/>
        </w:rPr>
        <w:fldChar w:fldCharType="separate"/>
      </w:r>
      <w:r>
        <w:rPr>
          <w:rStyle w:val="52"/>
          <w:rFonts w:ascii="宋体" w:hAnsi="宋体" w:cs="宋体"/>
          <w:color w:val="auto"/>
          <w:highlight w:val="none"/>
        </w:rPr>
        <w:t>24.4</w:t>
      </w:r>
      <w:r>
        <w:rPr>
          <w:rStyle w:val="52"/>
          <w:rFonts w:hint="eastAsia" w:ascii="宋体" w:hAnsi="宋体" w:cs="宋体"/>
          <w:color w:val="auto"/>
          <w:highlight w:val="none"/>
        </w:rPr>
        <w:t>仲裁</w:t>
      </w:r>
      <w:r>
        <w:rPr>
          <w:color w:val="auto"/>
          <w:highlight w:val="none"/>
        </w:rPr>
        <w:tab/>
      </w:r>
      <w:r>
        <w:rPr>
          <w:color w:val="auto"/>
          <w:highlight w:val="none"/>
        </w:rPr>
        <w:fldChar w:fldCharType="begin"/>
      </w:r>
      <w:r>
        <w:rPr>
          <w:color w:val="auto"/>
          <w:highlight w:val="none"/>
        </w:rPr>
        <w:instrText xml:space="preserve"> PAGEREF _Toc43476001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704F4A9C">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"_Toc43476002" </w:instrText>
      </w:r>
      <w:r>
        <w:rPr>
          <w:color w:val="auto"/>
          <w:highlight w:val="none"/>
        </w:rPr>
        <w:fldChar w:fldCharType="separate"/>
      </w:r>
      <w:r>
        <w:rPr>
          <w:rStyle w:val="52"/>
          <w:rFonts w:ascii="宋体" w:hAnsi="宋体" w:cs="宋体"/>
          <w:color w:val="auto"/>
          <w:highlight w:val="none"/>
        </w:rPr>
        <w:t>24.5</w:t>
      </w:r>
      <w:r>
        <w:rPr>
          <w:rStyle w:val="52"/>
          <w:rFonts w:hint="eastAsia" w:ascii="宋体" w:hAnsi="宋体" w:cs="宋体"/>
          <w:color w:val="auto"/>
          <w:highlight w:val="none"/>
        </w:rPr>
        <w:t>仲裁的执行</w:t>
      </w:r>
      <w:r>
        <w:rPr>
          <w:color w:val="auto"/>
          <w:highlight w:val="none"/>
        </w:rPr>
        <w:tab/>
      </w:r>
      <w:r>
        <w:rPr>
          <w:color w:val="auto"/>
          <w:highlight w:val="none"/>
        </w:rPr>
        <w:fldChar w:fldCharType="begin"/>
      </w:r>
      <w:r>
        <w:rPr>
          <w:color w:val="auto"/>
          <w:highlight w:val="none"/>
        </w:rPr>
        <w:instrText xml:space="preserve"> PAGEREF _Toc43476002 \h </w:instrText>
      </w:r>
      <w:r>
        <w:rPr>
          <w:color w:val="auto"/>
          <w:highlight w:val="none"/>
        </w:rPr>
        <w:fldChar w:fldCharType="separate"/>
      </w:r>
      <w:r>
        <w:rPr>
          <w:color w:val="auto"/>
          <w:highlight w:val="none"/>
        </w:rPr>
        <w:t>132</w:t>
      </w:r>
      <w:r>
        <w:rPr>
          <w:color w:val="auto"/>
          <w:highlight w:val="none"/>
        </w:rPr>
        <w:fldChar w:fldCharType="end"/>
      </w:r>
      <w:r>
        <w:rPr>
          <w:color w:val="auto"/>
          <w:highlight w:val="none"/>
        </w:rPr>
        <w:fldChar w:fldCharType="end"/>
      </w:r>
    </w:p>
    <w:p w14:paraId="31C549B6">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"_Toc43476003" </w:instrText>
      </w:r>
      <w:r>
        <w:rPr>
          <w:color w:val="auto"/>
          <w:highlight w:val="none"/>
        </w:rPr>
        <w:fldChar w:fldCharType="separate"/>
      </w:r>
      <w:r>
        <w:rPr>
          <w:rStyle w:val="52"/>
          <w:color w:val="auto"/>
          <w:highlight w:val="none"/>
        </w:rPr>
        <w:t>B.</w:t>
      </w:r>
      <w:r>
        <w:rPr>
          <w:rStyle w:val="52"/>
          <w:rFonts w:hint="eastAsia"/>
          <w:color w:val="auto"/>
          <w:highlight w:val="none"/>
        </w:rPr>
        <w:t>项目专用合同条款</w:t>
      </w:r>
      <w:r>
        <w:rPr>
          <w:color w:val="auto"/>
          <w:highlight w:val="none"/>
        </w:rPr>
        <w:tab/>
      </w:r>
      <w:r>
        <w:rPr>
          <w:color w:val="auto"/>
          <w:highlight w:val="none"/>
        </w:rPr>
        <w:fldChar w:fldCharType="begin"/>
      </w:r>
      <w:r>
        <w:rPr>
          <w:color w:val="auto"/>
          <w:highlight w:val="none"/>
        </w:rPr>
        <w:instrText xml:space="preserve"> PAGEREF _Toc43476003 \h </w:instrText>
      </w:r>
      <w:r>
        <w:rPr>
          <w:color w:val="auto"/>
          <w:highlight w:val="none"/>
        </w:rPr>
        <w:fldChar w:fldCharType="separate"/>
      </w:r>
      <w:r>
        <w:rPr>
          <w:color w:val="auto"/>
          <w:highlight w:val="none"/>
        </w:rPr>
        <w:t>133</w:t>
      </w:r>
      <w:r>
        <w:rPr>
          <w:color w:val="auto"/>
          <w:highlight w:val="none"/>
        </w:rPr>
        <w:fldChar w:fldCharType="end"/>
      </w:r>
      <w:r>
        <w:rPr>
          <w:color w:val="auto"/>
          <w:highlight w:val="none"/>
        </w:rPr>
        <w:fldChar w:fldCharType="end"/>
      </w:r>
    </w:p>
    <w:p w14:paraId="76A78909">
      <w:pPr>
        <w:pStyle w:val="22"/>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"_Toc43476004" </w:instrText>
      </w:r>
      <w:r>
        <w:rPr>
          <w:color w:val="auto"/>
          <w:highlight w:val="none"/>
        </w:rPr>
        <w:fldChar w:fldCharType="separate"/>
      </w:r>
      <w:r>
        <w:rPr>
          <w:rStyle w:val="52"/>
          <w:rFonts w:hint="eastAsia"/>
          <w:color w:val="auto"/>
          <w:highlight w:val="none"/>
        </w:rPr>
        <w:t>项目专用条款数据表</w:t>
      </w:r>
      <w:r>
        <w:rPr>
          <w:color w:val="auto"/>
          <w:highlight w:val="none"/>
        </w:rPr>
        <w:tab/>
      </w:r>
      <w:r>
        <w:rPr>
          <w:color w:val="auto"/>
          <w:highlight w:val="none"/>
        </w:rPr>
        <w:fldChar w:fldCharType="begin"/>
      </w:r>
      <w:r>
        <w:rPr>
          <w:color w:val="auto"/>
          <w:highlight w:val="none"/>
        </w:rPr>
        <w:instrText xml:space="preserve"> PAGEREF _Toc43476004 \h </w:instrText>
      </w:r>
      <w:r>
        <w:rPr>
          <w:color w:val="auto"/>
          <w:highlight w:val="none"/>
        </w:rPr>
        <w:fldChar w:fldCharType="separate"/>
      </w:r>
      <w:r>
        <w:rPr>
          <w:color w:val="auto"/>
          <w:highlight w:val="none"/>
        </w:rPr>
        <w:t>133</w:t>
      </w:r>
      <w:r>
        <w:rPr>
          <w:color w:val="auto"/>
          <w:highlight w:val="none"/>
        </w:rPr>
        <w:fldChar w:fldCharType="end"/>
      </w:r>
      <w:r>
        <w:rPr>
          <w:color w:val="auto"/>
          <w:highlight w:val="none"/>
        </w:rPr>
        <w:fldChar w:fldCharType="end"/>
      </w:r>
    </w:p>
    <w:p w14:paraId="12CCD12F">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"_Toc43476005" </w:instrText>
      </w:r>
      <w:r>
        <w:rPr>
          <w:color w:val="auto"/>
          <w:highlight w:val="none"/>
        </w:rPr>
        <w:fldChar w:fldCharType="separate"/>
      </w:r>
      <w:r>
        <w:rPr>
          <w:rStyle w:val="52"/>
          <w:rFonts w:hint="eastAsia" w:ascii="宋体" w:hAnsi="宋体"/>
          <w:color w:val="auto"/>
          <w:highlight w:val="none"/>
        </w:rPr>
        <w:t>第三节合同附件格式</w:t>
      </w:r>
      <w:r>
        <w:rPr>
          <w:color w:val="auto"/>
          <w:highlight w:val="none"/>
        </w:rPr>
        <w:tab/>
      </w:r>
      <w:r>
        <w:rPr>
          <w:color w:val="auto"/>
          <w:highlight w:val="none"/>
        </w:rPr>
        <w:fldChar w:fldCharType="begin"/>
      </w:r>
      <w:r>
        <w:rPr>
          <w:color w:val="auto"/>
          <w:highlight w:val="none"/>
        </w:rPr>
        <w:instrText xml:space="preserve"> PAGEREF _Toc43476005 \h </w:instrText>
      </w:r>
      <w:r>
        <w:rPr>
          <w:color w:val="auto"/>
          <w:highlight w:val="none"/>
        </w:rPr>
        <w:fldChar w:fldCharType="separate"/>
      </w:r>
      <w:r>
        <w:rPr>
          <w:color w:val="auto"/>
          <w:highlight w:val="none"/>
        </w:rPr>
        <w:t>185</w:t>
      </w:r>
      <w:r>
        <w:rPr>
          <w:color w:val="auto"/>
          <w:highlight w:val="none"/>
        </w:rPr>
        <w:fldChar w:fldCharType="end"/>
      </w:r>
      <w:r>
        <w:rPr>
          <w:color w:val="auto"/>
          <w:highlight w:val="none"/>
        </w:rPr>
        <w:fldChar w:fldCharType="end"/>
      </w:r>
    </w:p>
    <w:p w14:paraId="6801408B">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"_Toc43476006" </w:instrText>
      </w:r>
      <w:r>
        <w:rPr>
          <w:color w:val="auto"/>
          <w:highlight w:val="none"/>
        </w:rPr>
        <w:fldChar w:fldCharType="separate"/>
      </w:r>
      <w:r>
        <w:rPr>
          <w:rStyle w:val="52"/>
          <w:rFonts w:hint="eastAsia" w:ascii="宋体" w:hAnsi="宋体"/>
          <w:color w:val="auto"/>
          <w:highlight w:val="none"/>
        </w:rPr>
        <w:t>附件一合同协议书</w:t>
      </w:r>
      <w:r>
        <w:rPr>
          <w:color w:val="auto"/>
          <w:highlight w:val="none"/>
        </w:rPr>
        <w:tab/>
      </w:r>
      <w:r>
        <w:rPr>
          <w:color w:val="auto"/>
          <w:highlight w:val="none"/>
        </w:rPr>
        <w:fldChar w:fldCharType="begin"/>
      </w:r>
      <w:r>
        <w:rPr>
          <w:color w:val="auto"/>
          <w:highlight w:val="none"/>
        </w:rPr>
        <w:instrText xml:space="preserve"> PAGEREF _Toc43476006 \h </w:instrText>
      </w:r>
      <w:r>
        <w:rPr>
          <w:color w:val="auto"/>
          <w:highlight w:val="none"/>
        </w:rPr>
        <w:fldChar w:fldCharType="separate"/>
      </w:r>
      <w:r>
        <w:rPr>
          <w:color w:val="auto"/>
          <w:highlight w:val="none"/>
        </w:rPr>
        <w:t>185</w:t>
      </w:r>
      <w:r>
        <w:rPr>
          <w:color w:val="auto"/>
          <w:highlight w:val="none"/>
        </w:rPr>
        <w:fldChar w:fldCharType="end"/>
      </w:r>
      <w:r>
        <w:rPr>
          <w:color w:val="auto"/>
          <w:highlight w:val="none"/>
        </w:rPr>
        <w:fldChar w:fldCharType="end"/>
      </w:r>
    </w:p>
    <w:p w14:paraId="6E07AEF5">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"_Toc43476007" </w:instrText>
      </w:r>
      <w:r>
        <w:rPr>
          <w:color w:val="auto"/>
          <w:highlight w:val="none"/>
        </w:rPr>
        <w:fldChar w:fldCharType="separate"/>
      </w:r>
      <w:r>
        <w:rPr>
          <w:rStyle w:val="52"/>
          <w:rFonts w:hint="eastAsia" w:ascii="宋体" w:hAnsi="宋体"/>
          <w:color w:val="auto"/>
          <w:highlight w:val="none"/>
        </w:rPr>
        <w:t>附件二廉政合同</w:t>
      </w:r>
      <w:r>
        <w:rPr>
          <w:color w:val="auto"/>
          <w:highlight w:val="none"/>
        </w:rPr>
        <w:tab/>
      </w:r>
      <w:r>
        <w:rPr>
          <w:color w:val="auto"/>
          <w:highlight w:val="none"/>
        </w:rPr>
        <w:fldChar w:fldCharType="begin"/>
      </w:r>
      <w:r>
        <w:rPr>
          <w:color w:val="auto"/>
          <w:highlight w:val="none"/>
        </w:rPr>
        <w:instrText xml:space="preserve"> PAGEREF _Toc43476007 \h </w:instrText>
      </w:r>
      <w:r>
        <w:rPr>
          <w:color w:val="auto"/>
          <w:highlight w:val="none"/>
        </w:rPr>
        <w:fldChar w:fldCharType="separate"/>
      </w:r>
      <w:r>
        <w:rPr>
          <w:color w:val="auto"/>
          <w:highlight w:val="none"/>
        </w:rPr>
        <w:t>186</w:t>
      </w:r>
      <w:r>
        <w:rPr>
          <w:color w:val="auto"/>
          <w:highlight w:val="none"/>
        </w:rPr>
        <w:fldChar w:fldCharType="end"/>
      </w:r>
      <w:r>
        <w:rPr>
          <w:color w:val="auto"/>
          <w:highlight w:val="none"/>
        </w:rPr>
        <w:fldChar w:fldCharType="end"/>
      </w:r>
    </w:p>
    <w:p w14:paraId="1CA1DF04">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"_Toc43476008" </w:instrText>
      </w:r>
      <w:r>
        <w:rPr>
          <w:color w:val="auto"/>
          <w:highlight w:val="none"/>
        </w:rPr>
        <w:fldChar w:fldCharType="separate"/>
      </w:r>
      <w:r>
        <w:rPr>
          <w:rStyle w:val="52"/>
          <w:rFonts w:hint="eastAsia" w:ascii="宋体" w:hAnsi="宋体"/>
          <w:color w:val="auto"/>
          <w:highlight w:val="none"/>
        </w:rPr>
        <w:t>附件三安全生产合同</w:t>
      </w:r>
      <w:r>
        <w:rPr>
          <w:color w:val="auto"/>
          <w:highlight w:val="none"/>
        </w:rPr>
        <w:tab/>
      </w:r>
      <w:r>
        <w:rPr>
          <w:color w:val="auto"/>
          <w:highlight w:val="none"/>
        </w:rPr>
        <w:fldChar w:fldCharType="begin"/>
      </w:r>
      <w:r>
        <w:rPr>
          <w:color w:val="auto"/>
          <w:highlight w:val="none"/>
        </w:rPr>
        <w:instrText xml:space="preserve"> PAGEREF _Toc43476008 \h </w:instrText>
      </w:r>
      <w:r>
        <w:rPr>
          <w:color w:val="auto"/>
          <w:highlight w:val="none"/>
        </w:rPr>
        <w:fldChar w:fldCharType="separate"/>
      </w:r>
      <w:r>
        <w:rPr>
          <w:color w:val="auto"/>
          <w:highlight w:val="none"/>
        </w:rPr>
        <w:t>188</w:t>
      </w:r>
      <w:r>
        <w:rPr>
          <w:color w:val="auto"/>
          <w:highlight w:val="none"/>
        </w:rPr>
        <w:fldChar w:fldCharType="end"/>
      </w:r>
      <w:r>
        <w:rPr>
          <w:color w:val="auto"/>
          <w:highlight w:val="none"/>
        </w:rPr>
        <w:fldChar w:fldCharType="end"/>
      </w:r>
    </w:p>
    <w:p w14:paraId="29879189">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"_Toc43476009" </w:instrText>
      </w:r>
      <w:r>
        <w:rPr>
          <w:color w:val="auto"/>
          <w:highlight w:val="none"/>
        </w:rPr>
        <w:fldChar w:fldCharType="separate"/>
      </w:r>
      <w:r>
        <w:rPr>
          <w:rStyle w:val="52"/>
          <w:rFonts w:hint="eastAsia" w:ascii="宋体" w:hAnsi="宋体"/>
          <w:color w:val="auto"/>
          <w:highlight w:val="none"/>
        </w:rPr>
        <w:t>附件四其他管理人员和技术人员最低要求</w:t>
      </w:r>
      <w:r>
        <w:rPr>
          <w:color w:val="auto"/>
          <w:highlight w:val="none"/>
        </w:rPr>
        <w:tab/>
      </w:r>
      <w:r>
        <w:rPr>
          <w:color w:val="auto"/>
          <w:highlight w:val="none"/>
        </w:rPr>
        <w:fldChar w:fldCharType="begin"/>
      </w:r>
      <w:r>
        <w:rPr>
          <w:color w:val="auto"/>
          <w:highlight w:val="none"/>
        </w:rPr>
        <w:instrText xml:space="preserve"> PAGEREF _Toc43476009 \h </w:instrText>
      </w:r>
      <w:r>
        <w:rPr>
          <w:color w:val="auto"/>
          <w:highlight w:val="none"/>
        </w:rPr>
        <w:fldChar w:fldCharType="separate"/>
      </w:r>
      <w:r>
        <w:rPr>
          <w:color w:val="auto"/>
          <w:highlight w:val="none"/>
        </w:rPr>
        <w:t>190</w:t>
      </w:r>
      <w:r>
        <w:rPr>
          <w:color w:val="auto"/>
          <w:highlight w:val="none"/>
        </w:rPr>
        <w:fldChar w:fldCharType="end"/>
      </w:r>
      <w:r>
        <w:rPr>
          <w:color w:val="auto"/>
          <w:highlight w:val="none"/>
        </w:rPr>
        <w:fldChar w:fldCharType="end"/>
      </w:r>
    </w:p>
    <w:p w14:paraId="585C9D23">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"_Toc43476010" </w:instrText>
      </w:r>
      <w:r>
        <w:rPr>
          <w:color w:val="auto"/>
          <w:highlight w:val="none"/>
        </w:rPr>
        <w:fldChar w:fldCharType="separate"/>
      </w:r>
      <w:r>
        <w:rPr>
          <w:rStyle w:val="52"/>
          <w:rFonts w:hint="eastAsia" w:ascii="宋体" w:hAnsi="宋体"/>
          <w:color w:val="auto"/>
          <w:highlight w:val="none"/>
        </w:rPr>
        <w:t>附件五主要设备最低要求</w:t>
      </w:r>
      <w:r>
        <w:rPr>
          <w:color w:val="auto"/>
          <w:highlight w:val="none"/>
        </w:rPr>
        <w:tab/>
      </w:r>
      <w:r>
        <w:rPr>
          <w:color w:val="auto"/>
          <w:highlight w:val="none"/>
        </w:rPr>
        <w:fldChar w:fldCharType="begin"/>
      </w:r>
      <w:r>
        <w:rPr>
          <w:color w:val="auto"/>
          <w:highlight w:val="none"/>
        </w:rPr>
        <w:instrText xml:space="preserve"> PAGEREF _Toc43476010 \h </w:instrText>
      </w:r>
      <w:r>
        <w:rPr>
          <w:color w:val="auto"/>
          <w:highlight w:val="none"/>
        </w:rPr>
        <w:fldChar w:fldCharType="separate"/>
      </w:r>
      <w:r>
        <w:rPr>
          <w:color w:val="auto"/>
          <w:highlight w:val="none"/>
        </w:rPr>
        <w:t>191</w:t>
      </w:r>
      <w:r>
        <w:rPr>
          <w:color w:val="auto"/>
          <w:highlight w:val="none"/>
        </w:rPr>
        <w:fldChar w:fldCharType="end"/>
      </w:r>
      <w:r>
        <w:rPr>
          <w:color w:val="auto"/>
          <w:highlight w:val="none"/>
        </w:rPr>
        <w:fldChar w:fldCharType="end"/>
      </w:r>
    </w:p>
    <w:p w14:paraId="6467A113">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"_Toc43476012" </w:instrText>
      </w:r>
      <w:r>
        <w:rPr>
          <w:color w:val="auto"/>
          <w:highlight w:val="none"/>
        </w:rPr>
        <w:fldChar w:fldCharType="separate"/>
      </w:r>
      <w:r>
        <w:rPr>
          <w:rStyle w:val="52"/>
          <w:rFonts w:hint="eastAsia"/>
          <w:color w:val="auto"/>
          <w:highlight w:val="none"/>
        </w:rPr>
        <w:t>附件六项目经理委托书</w:t>
      </w:r>
      <w:r>
        <w:rPr>
          <w:color w:val="auto"/>
          <w:highlight w:val="none"/>
        </w:rPr>
        <w:tab/>
      </w:r>
      <w:r>
        <w:rPr>
          <w:color w:val="auto"/>
          <w:highlight w:val="none"/>
        </w:rPr>
        <w:fldChar w:fldCharType="begin"/>
      </w:r>
      <w:r>
        <w:rPr>
          <w:color w:val="auto"/>
          <w:highlight w:val="none"/>
        </w:rPr>
        <w:instrText xml:space="preserve"> PAGEREF _Toc43476012 \h </w:instrText>
      </w:r>
      <w:r>
        <w:rPr>
          <w:color w:val="auto"/>
          <w:highlight w:val="none"/>
        </w:rPr>
        <w:fldChar w:fldCharType="separate"/>
      </w:r>
      <w:r>
        <w:rPr>
          <w:color w:val="auto"/>
          <w:highlight w:val="none"/>
        </w:rPr>
        <w:t>192</w:t>
      </w:r>
      <w:r>
        <w:rPr>
          <w:color w:val="auto"/>
          <w:highlight w:val="none"/>
        </w:rPr>
        <w:fldChar w:fldCharType="end"/>
      </w:r>
      <w:r>
        <w:rPr>
          <w:color w:val="auto"/>
          <w:highlight w:val="none"/>
        </w:rPr>
        <w:fldChar w:fldCharType="end"/>
      </w:r>
    </w:p>
    <w:p w14:paraId="13CD1999">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"_Toc43476013" </w:instrText>
      </w:r>
      <w:r>
        <w:rPr>
          <w:color w:val="auto"/>
          <w:highlight w:val="none"/>
        </w:rPr>
        <w:fldChar w:fldCharType="separate"/>
      </w:r>
      <w:r>
        <w:rPr>
          <w:rStyle w:val="52"/>
          <w:rFonts w:hint="eastAsia" w:ascii="宋体" w:hAnsi="宋体"/>
          <w:color w:val="auto"/>
          <w:highlight w:val="none"/>
        </w:rPr>
        <w:t>附件七履约担保格式</w:t>
      </w:r>
      <w:r>
        <w:rPr>
          <w:color w:val="auto"/>
          <w:highlight w:val="none"/>
        </w:rPr>
        <w:tab/>
      </w:r>
      <w:r>
        <w:rPr>
          <w:color w:val="auto"/>
          <w:highlight w:val="none"/>
        </w:rPr>
        <w:fldChar w:fldCharType="begin"/>
      </w:r>
      <w:r>
        <w:rPr>
          <w:color w:val="auto"/>
          <w:highlight w:val="none"/>
        </w:rPr>
        <w:instrText xml:space="preserve"> PAGEREF _Toc43476013 \h </w:instrText>
      </w:r>
      <w:r>
        <w:rPr>
          <w:color w:val="auto"/>
          <w:highlight w:val="none"/>
        </w:rPr>
        <w:fldChar w:fldCharType="separate"/>
      </w:r>
      <w:r>
        <w:rPr>
          <w:color w:val="auto"/>
          <w:highlight w:val="none"/>
        </w:rPr>
        <w:t>193</w:t>
      </w:r>
      <w:r>
        <w:rPr>
          <w:color w:val="auto"/>
          <w:highlight w:val="none"/>
        </w:rPr>
        <w:fldChar w:fldCharType="end"/>
      </w:r>
      <w:r>
        <w:rPr>
          <w:color w:val="auto"/>
          <w:highlight w:val="none"/>
        </w:rPr>
        <w:fldChar w:fldCharType="end"/>
      </w:r>
    </w:p>
    <w:p w14:paraId="323FA639">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"_Toc43476014" </w:instrText>
      </w:r>
      <w:r>
        <w:rPr>
          <w:color w:val="auto"/>
          <w:highlight w:val="none"/>
        </w:rPr>
        <w:fldChar w:fldCharType="separate"/>
      </w:r>
      <w:r>
        <w:rPr>
          <w:rStyle w:val="52"/>
          <w:rFonts w:hint="eastAsia" w:ascii="宋体" w:hAnsi="宋体"/>
          <w:color w:val="auto"/>
          <w:highlight w:val="none"/>
        </w:rPr>
        <w:t>附件八工程资金监管协议格式</w:t>
      </w:r>
      <w:r>
        <w:rPr>
          <w:color w:val="auto"/>
          <w:highlight w:val="none"/>
        </w:rPr>
        <w:tab/>
      </w:r>
      <w:r>
        <w:rPr>
          <w:color w:val="auto"/>
          <w:highlight w:val="none"/>
        </w:rPr>
        <w:fldChar w:fldCharType="begin"/>
      </w:r>
      <w:r>
        <w:rPr>
          <w:color w:val="auto"/>
          <w:highlight w:val="none"/>
        </w:rPr>
        <w:instrText xml:space="preserve"> PAGEREF _Toc43476014 \h </w:instrText>
      </w:r>
      <w:r>
        <w:rPr>
          <w:color w:val="auto"/>
          <w:highlight w:val="none"/>
        </w:rPr>
        <w:fldChar w:fldCharType="separate"/>
      </w:r>
      <w:r>
        <w:rPr>
          <w:color w:val="auto"/>
          <w:highlight w:val="none"/>
        </w:rPr>
        <w:t>194</w:t>
      </w:r>
      <w:r>
        <w:rPr>
          <w:color w:val="auto"/>
          <w:highlight w:val="none"/>
        </w:rPr>
        <w:fldChar w:fldCharType="end"/>
      </w:r>
      <w:r>
        <w:rPr>
          <w:color w:val="auto"/>
          <w:highlight w:val="none"/>
        </w:rPr>
        <w:fldChar w:fldCharType="end"/>
      </w:r>
    </w:p>
    <w:p w14:paraId="27E379F2">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"_Toc43476015" </w:instrText>
      </w:r>
      <w:r>
        <w:rPr>
          <w:color w:val="auto"/>
          <w:highlight w:val="none"/>
        </w:rPr>
        <w:fldChar w:fldCharType="separate"/>
      </w:r>
      <w:r>
        <w:rPr>
          <w:rStyle w:val="52"/>
          <w:rFonts w:hint="eastAsia" w:ascii="宋体" w:hAnsi="宋体"/>
          <w:color w:val="auto"/>
          <w:highlight w:val="none"/>
        </w:rPr>
        <w:t>附件九 特殊材料设备供应一览表</w:t>
      </w:r>
      <w:r>
        <w:rPr>
          <w:color w:val="auto"/>
          <w:highlight w:val="none"/>
        </w:rPr>
        <w:tab/>
      </w:r>
      <w:r>
        <w:rPr>
          <w:color w:val="auto"/>
          <w:highlight w:val="none"/>
        </w:rPr>
        <w:fldChar w:fldCharType="begin"/>
      </w:r>
      <w:r>
        <w:rPr>
          <w:color w:val="auto"/>
          <w:highlight w:val="none"/>
        </w:rPr>
        <w:instrText xml:space="preserve"> PAGEREF _Toc43476015 \h </w:instrText>
      </w:r>
      <w:r>
        <w:rPr>
          <w:color w:val="auto"/>
          <w:highlight w:val="none"/>
        </w:rPr>
        <w:fldChar w:fldCharType="separate"/>
      </w:r>
      <w:r>
        <w:rPr>
          <w:color w:val="auto"/>
          <w:highlight w:val="none"/>
        </w:rPr>
        <w:t>197</w:t>
      </w:r>
      <w:r>
        <w:rPr>
          <w:color w:val="auto"/>
          <w:highlight w:val="none"/>
        </w:rPr>
        <w:fldChar w:fldCharType="end"/>
      </w:r>
      <w:r>
        <w:rPr>
          <w:color w:val="auto"/>
          <w:highlight w:val="none"/>
        </w:rPr>
        <w:fldChar w:fldCharType="end"/>
      </w:r>
    </w:p>
    <w:p w14:paraId="33224E81">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"_Toc43476016" </w:instrText>
      </w:r>
      <w:r>
        <w:rPr>
          <w:color w:val="auto"/>
          <w:highlight w:val="none"/>
        </w:rPr>
        <w:fldChar w:fldCharType="separate"/>
      </w:r>
      <w:r>
        <w:rPr>
          <w:rStyle w:val="52"/>
          <w:rFonts w:hint="eastAsia" w:ascii="宋体" w:hAnsi="宋体"/>
          <w:color w:val="auto"/>
          <w:highlight w:val="none"/>
        </w:rPr>
        <w:t>附件十 统一采购供应材料一览表</w:t>
      </w:r>
      <w:r>
        <w:rPr>
          <w:color w:val="auto"/>
          <w:highlight w:val="none"/>
        </w:rPr>
        <w:tab/>
      </w:r>
      <w:r>
        <w:rPr>
          <w:color w:val="auto"/>
          <w:highlight w:val="none"/>
        </w:rPr>
        <w:fldChar w:fldCharType="begin"/>
      </w:r>
      <w:r>
        <w:rPr>
          <w:color w:val="auto"/>
          <w:highlight w:val="none"/>
        </w:rPr>
        <w:instrText xml:space="preserve"> PAGEREF _Toc43476016 \h </w:instrText>
      </w:r>
      <w:r>
        <w:rPr>
          <w:color w:val="auto"/>
          <w:highlight w:val="none"/>
        </w:rPr>
        <w:fldChar w:fldCharType="separate"/>
      </w:r>
      <w:r>
        <w:rPr>
          <w:color w:val="auto"/>
          <w:highlight w:val="none"/>
        </w:rPr>
        <w:t>198</w:t>
      </w:r>
      <w:r>
        <w:rPr>
          <w:color w:val="auto"/>
          <w:highlight w:val="none"/>
        </w:rPr>
        <w:fldChar w:fldCharType="end"/>
      </w:r>
      <w:r>
        <w:rPr>
          <w:color w:val="auto"/>
          <w:highlight w:val="none"/>
        </w:rPr>
        <w:fldChar w:fldCharType="end"/>
      </w:r>
    </w:p>
    <w:p w14:paraId="205E39FB">
      <w:pPr>
        <w:pStyle w:val="36"/>
        <w:shd w:val="clear" w:fill="FFFFFF" w:themeFill="background1"/>
        <w:tabs>
          <w:tab w:val="right" w:leader="dot" w:pos="10200"/>
        </w:tabs>
        <w:spacing w:line="250" w:lineRule="exact"/>
        <w:rPr>
          <w:rFonts w:asciiTheme="minorHAnsi" w:hAnsiTheme="minorHAnsi" w:cstheme="minorBidi"/>
          <w:color w:val="auto"/>
          <w:szCs w:val="22"/>
          <w:highlight w:val="none"/>
        </w:rPr>
      </w:pPr>
      <w:r>
        <w:rPr>
          <w:color w:val="auto"/>
          <w:highlight w:val="none"/>
        </w:rPr>
        <w:fldChar w:fldCharType="begin"/>
      </w:r>
      <w:r>
        <w:rPr>
          <w:color w:val="auto"/>
          <w:highlight w:val="none"/>
        </w:rPr>
        <w:instrText xml:space="preserve"> HYPERLINK \l "_Toc43476017" </w:instrText>
      </w:r>
      <w:r>
        <w:rPr>
          <w:color w:val="auto"/>
          <w:highlight w:val="none"/>
        </w:rPr>
        <w:fldChar w:fldCharType="separate"/>
      </w:r>
      <w:r>
        <w:rPr>
          <w:rStyle w:val="52"/>
          <w:rFonts w:hint="eastAsia" w:ascii="宋体" w:hAnsi="宋体"/>
          <w:color w:val="auto"/>
          <w:highlight w:val="none"/>
        </w:rPr>
        <w:t>附件十一承包人违约金一览表</w:t>
      </w:r>
      <w:r>
        <w:rPr>
          <w:color w:val="auto"/>
          <w:highlight w:val="none"/>
        </w:rPr>
        <w:tab/>
      </w:r>
      <w:r>
        <w:rPr>
          <w:rFonts w:hint="eastAsia"/>
          <w:color w:val="auto"/>
          <w:highlight w:val="none"/>
        </w:rPr>
        <w:t>2</w:t>
      </w:r>
      <w:r>
        <w:rPr>
          <w:rFonts w:hint="eastAsia"/>
          <w:color w:val="auto"/>
          <w:highlight w:val="none"/>
        </w:rPr>
        <w:fldChar w:fldCharType="end"/>
      </w:r>
      <w:r>
        <w:rPr>
          <w:rFonts w:hint="eastAsia"/>
          <w:color w:val="auto"/>
          <w:highlight w:val="none"/>
        </w:rPr>
        <w:t>00</w:t>
      </w:r>
    </w:p>
    <w:p w14:paraId="4C5884C0">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"_Toc43476018" </w:instrText>
      </w:r>
      <w:r>
        <w:rPr>
          <w:color w:val="auto"/>
          <w:highlight w:val="none"/>
        </w:rPr>
        <w:fldChar w:fldCharType="separate"/>
      </w:r>
      <w:r>
        <w:rPr>
          <w:rStyle w:val="52"/>
          <w:rFonts w:hint="eastAsia"/>
          <w:color w:val="auto"/>
          <w:highlight w:val="none"/>
        </w:rPr>
        <w:t>附件十二工程质量、安全及文明施工处罚项目一览表</w:t>
      </w:r>
      <w:r>
        <w:rPr>
          <w:color w:val="auto"/>
          <w:highlight w:val="none"/>
        </w:rPr>
        <w:tab/>
      </w:r>
      <w:r>
        <w:rPr>
          <w:color w:val="auto"/>
          <w:highlight w:val="none"/>
        </w:rPr>
        <w:fldChar w:fldCharType="begin"/>
      </w:r>
      <w:r>
        <w:rPr>
          <w:color w:val="auto"/>
          <w:highlight w:val="none"/>
        </w:rPr>
        <w:instrText xml:space="preserve"> PAGEREF _Toc43476018 \h </w:instrText>
      </w:r>
      <w:r>
        <w:rPr>
          <w:color w:val="auto"/>
          <w:highlight w:val="none"/>
        </w:rPr>
        <w:fldChar w:fldCharType="separate"/>
      </w:r>
      <w:r>
        <w:rPr>
          <w:color w:val="auto"/>
          <w:highlight w:val="none"/>
        </w:rPr>
        <w:t>201</w:t>
      </w:r>
      <w:r>
        <w:rPr>
          <w:color w:val="auto"/>
          <w:highlight w:val="none"/>
        </w:rPr>
        <w:fldChar w:fldCharType="end"/>
      </w:r>
      <w:r>
        <w:rPr>
          <w:color w:val="auto"/>
          <w:highlight w:val="none"/>
        </w:rPr>
        <w:fldChar w:fldCharType="end"/>
      </w:r>
    </w:p>
    <w:p w14:paraId="7FC66ADF">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"_Toc43476019" </w:instrText>
      </w:r>
      <w:r>
        <w:rPr>
          <w:color w:val="auto"/>
          <w:highlight w:val="none"/>
        </w:rPr>
        <w:fldChar w:fldCharType="separate"/>
      </w:r>
      <w:r>
        <w:rPr>
          <w:rStyle w:val="52"/>
          <w:rFonts w:hint="eastAsia"/>
          <w:color w:val="auto"/>
          <w:highlight w:val="none"/>
        </w:rPr>
        <w:t>附件十三建设工程农民工工资支付保证书</w:t>
      </w:r>
      <w:r>
        <w:rPr>
          <w:color w:val="auto"/>
          <w:highlight w:val="none"/>
        </w:rPr>
        <w:tab/>
      </w:r>
      <w:r>
        <w:rPr>
          <w:color w:val="auto"/>
          <w:highlight w:val="none"/>
        </w:rPr>
        <w:fldChar w:fldCharType="begin"/>
      </w:r>
      <w:r>
        <w:rPr>
          <w:color w:val="auto"/>
          <w:highlight w:val="none"/>
        </w:rPr>
        <w:instrText xml:space="preserve"> PAGEREF _Toc43476019 \h </w:instrText>
      </w:r>
      <w:r>
        <w:rPr>
          <w:color w:val="auto"/>
          <w:highlight w:val="none"/>
        </w:rPr>
        <w:fldChar w:fldCharType="separate"/>
      </w:r>
      <w:r>
        <w:rPr>
          <w:color w:val="auto"/>
          <w:highlight w:val="none"/>
        </w:rPr>
        <w:t>209</w:t>
      </w:r>
      <w:r>
        <w:rPr>
          <w:color w:val="auto"/>
          <w:highlight w:val="none"/>
        </w:rPr>
        <w:fldChar w:fldCharType="end"/>
      </w:r>
      <w:r>
        <w:rPr>
          <w:color w:val="auto"/>
          <w:highlight w:val="none"/>
        </w:rPr>
        <w:fldChar w:fldCharType="end"/>
      </w:r>
    </w:p>
    <w:p w14:paraId="104E1BE6">
      <w:pPr>
        <w:pStyle w:val="31"/>
        <w:shd w:val="clear" w:fill="FFFFFF" w:themeFill="background1"/>
        <w:tabs>
          <w:tab w:val="right" w:leader="dot" w:pos="10200"/>
        </w:tabs>
        <w:spacing w:line="250" w:lineRule="exact"/>
        <w:ind w:firstLine="360" w:firstLineChars="200"/>
        <w:rPr>
          <w:rStyle w:val="52"/>
          <w:color w:val="auto"/>
          <w:highlight w:val="none"/>
        </w:rPr>
      </w:pPr>
      <w:r>
        <w:rPr>
          <w:rStyle w:val="52"/>
          <w:rFonts w:hint="eastAsia"/>
          <w:color w:val="auto"/>
          <w:highlight w:val="none"/>
        </w:rPr>
        <w:t>附件十四工程结算协议</w:t>
      </w:r>
      <w:r>
        <w:rPr>
          <w:color w:val="auto"/>
          <w:highlight w:val="none"/>
        </w:rPr>
        <w:tab/>
      </w:r>
      <w:r>
        <w:rPr>
          <w:rFonts w:hint="eastAsia"/>
          <w:color w:val="auto"/>
          <w:highlight w:val="none"/>
        </w:rPr>
        <w:t>212</w:t>
      </w:r>
    </w:p>
    <w:p w14:paraId="1B52A78A">
      <w:pPr>
        <w:pStyle w:val="31"/>
        <w:shd w:val="clear" w:fill="FFFFFF" w:themeFill="background1"/>
        <w:tabs>
          <w:tab w:val="right" w:leader="dot" w:pos="10200"/>
        </w:tabs>
        <w:spacing w:line="250" w:lineRule="exact"/>
        <w:ind w:firstLine="360" w:firstLineChars="200"/>
        <w:rPr>
          <w:rStyle w:val="52"/>
          <w:color w:val="auto"/>
          <w:highlight w:val="none"/>
        </w:rPr>
      </w:pPr>
      <w:r>
        <w:rPr>
          <w:rStyle w:val="52"/>
          <w:rFonts w:hint="eastAsia"/>
          <w:color w:val="auto"/>
          <w:highlight w:val="none"/>
        </w:rPr>
        <w:t>附件十五分包合同</w:t>
      </w:r>
      <w:r>
        <w:rPr>
          <w:color w:val="auto"/>
          <w:highlight w:val="none"/>
        </w:rPr>
        <w:tab/>
      </w:r>
      <w:r>
        <w:rPr>
          <w:rFonts w:hint="eastAsia"/>
          <w:color w:val="auto"/>
          <w:highlight w:val="none"/>
        </w:rPr>
        <w:t>214</w:t>
      </w:r>
    </w:p>
    <w:p w14:paraId="2C759E30">
      <w:pPr>
        <w:pStyle w:val="31"/>
        <w:shd w:val="clear" w:fill="FFFFFF" w:themeFill="background1"/>
        <w:tabs>
          <w:tab w:val="right" w:leader="dot" w:pos="10200"/>
        </w:tabs>
        <w:spacing w:line="250" w:lineRule="exact"/>
        <w:ind w:firstLine="360" w:firstLineChars="200"/>
        <w:rPr>
          <w:rStyle w:val="52"/>
          <w:color w:val="auto"/>
          <w:highlight w:val="none"/>
        </w:rPr>
      </w:pPr>
      <w:r>
        <w:rPr>
          <w:rStyle w:val="52"/>
          <w:rFonts w:hint="eastAsia"/>
          <w:color w:val="auto"/>
          <w:highlight w:val="none"/>
        </w:rPr>
        <w:t>附件十六施工劳务合作协议</w:t>
      </w:r>
      <w:r>
        <w:rPr>
          <w:color w:val="auto"/>
          <w:highlight w:val="none"/>
        </w:rPr>
        <w:tab/>
      </w:r>
      <w:r>
        <w:rPr>
          <w:rFonts w:hint="eastAsia"/>
          <w:color w:val="auto"/>
          <w:highlight w:val="none"/>
        </w:rPr>
        <w:t>228</w:t>
      </w:r>
    </w:p>
    <w:p w14:paraId="47F1521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"_Toc43476023" </w:instrText>
      </w:r>
      <w:r>
        <w:rPr>
          <w:color w:val="auto"/>
          <w:highlight w:val="none"/>
        </w:rPr>
        <w:fldChar w:fldCharType="separate"/>
      </w:r>
      <w:r>
        <w:rPr>
          <w:rStyle w:val="52"/>
          <w:rFonts w:hint="eastAsia" w:ascii="宋体" w:hAnsi="宋体"/>
          <w:color w:val="auto"/>
          <w:highlight w:val="none"/>
        </w:rPr>
        <w:t>第五章工程量清单</w:t>
      </w:r>
      <w:r>
        <w:rPr>
          <w:color w:val="auto"/>
          <w:highlight w:val="none"/>
        </w:rPr>
        <w:tab/>
      </w:r>
      <w:r>
        <w:rPr>
          <w:color w:val="auto"/>
          <w:highlight w:val="none"/>
        </w:rPr>
        <w:fldChar w:fldCharType="begin"/>
      </w:r>
      <w:r>
        <w:rPr>
          <w:color w:val="auto"/>
          <w:highlight w:val="none"/>
        </w:rPr>
        <w:instrText xml:space="preserve"> PAGEREF _Toc43476023 \h </w:instrText>
      </w:r>
      <w:r>
        <w:rPr>
          <w:color w:val="auto"/>
          <w:highlight w:val="none"/>
        </w:rPr>
        <w:fldChar w:fldCharType="separate"/>
      </w:r>
      <w:r>
        <w:rPr>
          <w:color w:val="auto"/>
          <w:highlight w:val="none"/>
        </w:rPr>
        <w:t>235</w:t>
      </w:r>
      <w:r>
        <w:rPr>
          <w:color w:val="auto"/>
          <w:highlight w:val="none"/>
        </w:rPr>
        <w:fldChar w:fldCharType="end"/>
      </w:r>
      <w:r>
        <w:rPr>
          <w:color w:val="auto"/>
          <w:highlight w:val="none"/>
        </w:rPr>
        <w:fldChar w:fldCharType="end"/>
      </w:r>
    </w:p>
    <w:p w14:paraId="757A0C04">
      <w:pPr>
        <w:pStyle w:val="36"/>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"_Toc43476024" </w:instrText>
      </w:r>
      <w:r>
        <w:rPr>
          <w:color w:val="auto"/>
          <w:highlight w:val="none"/>
        </w:rPr>
        <w:fldChar w:fldCharType="separate"/>
      </w:r>
      <w:r>
        <w:rPr>
          <w:rStyle w:val="52"/>
          <w:rFonts w:hint="eastAsia"/>
          <w:color w:val="auto"/>
          <w:highlight w:val="none"/>
        </w:rPr>
        <w:t>工程量清单（另册）</w:t>
      </w:r>
      <w:r>
        <w:rPr>
          <w:color w:val="auto"/>
          <w:highlight w:val="none"/>
        </w:rPr>
        <w:tab/>
      </w:r>
      <w:r>
        <w:rPr>
          <w:color w:val="auto"/>
          <w:highlight w:val="none"/>
        </w:rPr>
        <w:fldChar w:fldCharType="begin"/>
      </w:r>
      <w:r>
        <w:rPr>
          <w:color w:val="auto"/>
          <w:highlight w:val="none"/>
        </w:rPr>
        <w:instrText xml:space="preserve"> PAGEREF _Toc43476024 \h </w:instrText>
      </w:r>
      <w:r>
        <w:rPr>
          <w:color w:val="auto"/>
          <w:highlight w:val="none"/>
        </w:rPr>
        <w:fldChar w:fldCharType="separate"/>
      </w:r>
      <w:r>
        <w:rPr>
          <w:color w:val="auto"/>
          <w:highlight w:val="none"/>
        </w:rPr>
        <w:t>236</w:t>
      </w:r>
      <w:r>
        <w:rPr>
          <w:color w:val="auto"/>
          <w:highlight w:val="none"/>
        </w:rPr>
        <w:fldChar w:fldCharType="end"/>
      </w:r>
      <w:r>
        <w:rPr>
          <w:color w:val="auto"/>
          <w:highlight w:val="none"/>
        </w:rPr>
        <w:fldChar w:fldCharType="end"/>
      </w:r>
    </w:p>
    <w:p w14:paraId="453C4679">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"_Toc43476025" </w:instrText>
      </w:r>
      <w:r>
        <w:rPr>
          <w:color w:val="auto"/>
          <w:highlight w:val="none"/>
        </w:rPr>
        <w:fldChar w:fldCharType="separate"/>
      </w:r>
      <w:r>
        <w:rPr>
          <w:rStyle w:val="52"/>
          <w:rFonts w:hint="eastAsia"/>
          <w:color w:val="auto"/>
          <w:highlight w:val="none"/>
        </w:rPr>
        <w:t>第二卷</w:t>
      </w:r>
      <w:r>
        <w:rPr>
          <w:color w:val="auto"/>
          <w:highlight w:val="none"/>
        </w:rPr>
        <w:tab/>
      </w:r>
      <w:r>
        <w:rPr>
          <w:color w:val="auto"/>
          <w:highlight w:val="none"/>
        </w:rPr>
        <w:fldChar w:fldCharType="begin"/>
      </w:r>
      <w:r>
        <w:rPr>
          <w:color w:val="auto"/>
          <w:highlight w:val="none"/>
        </w:rPr>
        <w:instrText xml:space="preserve"> PAGEREF _Toc43476025 \h </w:instrText>
      </w:r>
      <w:r>
        <w:rPr>
          <w:color w:val="auto"/>
          <w:highlight w:val="none"/>
        </w:rPr>
        <w:fldChar w:fldCharType="separate"/>
      </w:r>
      <w:r>
        <w:rPr>
          <w:color w:val="auto"/>
          <w:highlight w:val="none"/>
        </w:rPr>
        <w:t>237</w:t>
      </w:r>
      <w:r>
        <w:rPr>
          <w:color w:val="auto"/>
          <w:highlight w:val="none"/>
        </w:rPr>
        <w:fldChar w:fldCharType="end"/>
      </w:r>
      <w:r>
        <w:rPr>
          <w:color w:val="auto"/>
          <w:highlight w:val="none"/>
        </w:rPr>
        <w:fldChar w:fldCharType="end"/>
      </w:r>
    </w:p>
    <w:p w14:paraId="4451E3A6">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"_Toc43476026" </w:instrText>
      </w:r>
      <w:r>
        <w:rPr>
          <w:color w:val="auto"/>
          <w:highlight w:val="none"/>
        </w:rPr>
        <w:fldChar w:fldCharType="separate"/>
      </w:r>
      <w:r>
        <w:rPr>
          <w:rStyle w:val="52"/>
          <w:rFonts w:hint="eastAsia"/>
          <w:color w:val="auto"/>
          <w:highlight w:val="none"/>
        </w:rPr>
        <w:t>第六章图纸（另册）</w:t>
      </w:r>
      <w:r>
        <w:rPr>
          <w:color w:val="auto"/>
          <w:highlight w:val="none"/>
        </w:rPr>
        <w:tab/>
      </w:r>
      <w:r>
        <w:rPr>
          <w:color w:val="auto"/>
          <w:highlight w:val="none"/>
        </w:rPr>
        <w:fldChar w:fldCharType="begin"/>
      </w:r>
      <w:r>
        <w:rPr>
          <w:color w:val="auto"/>
          <w:highlight w:val="none"/>
        </w:rPr>
        <w:instrText xml:space="preserve"> PAGEREF _Toc43476026 \h </w:instrText>
      </w:r>
      <w:r>
        <w:rPr>
          <w:color w:val="auto"/>
          <w:highlight w:val="none"/>
        </w:rPr>
        <w:fldChar w:fldCharType="separate"/>
      </w:r>
      <w:r>
        <w:rPr>
          <w:color w:val="auto"/>
          <w:highlight w:val="none"/>
        </w:rPr>
        <w:t>238</w:t>
      </w:r>
      <w:r>
        <w:rPr>
          <w:color w:val="auto"/>
          <w:highlight w:val="none"/>
        </w:rPr>
        <w:fldChar w:fldCharType="end"/>
      </w:r>
      <w:r>
        <w:rPr>
          <w:color w:val="auto"/>
          <w:highlight w:val="none"/>
        </w:rPr>
        <w:fldChar w:fldCharType="end"/>
      </w:r>
    </w:p>
    <w:p w14:paraId="5B45251E">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"_Toc43476027" </w:instrText>
      </w:r>
      <w:r>
        <w:rPr>
          <w:color w:val="auto"/>
          <w:highlight w:val="none"/>
        </w:rPr>
        <w:fldChar w:fldCharType="separate"/>
      </w:r>
      <w:r>
        <w:rPr>
          <w:rStyle w:val="52"/>
          <w:rFonts w:hint="eastAsia"/>
          <w:color w:val="auto"/>
          <w:highlight w:val="none"/>
        </w:rPr>
        <w:t>第三卷</w:t>
      </w:r>
      <w:r>
        <w:rPr>
          <w:color w:val="auto"/>
          <w:highlight w:val="none"/>
        </w:rPr>
        <w:tab/>
      </w:r>
      <w:r>
        <w:rPr>
          <w:color w:val="auto"/>
          <w:highlight w:val="none"/>
        </w:rPr>
        <w:fldChar w:fldCharType="begin"/>
      </w:r>
      <w:r>
        <w:rPr>
          <w:color w:val="auto"/>
          <w:highlight w:val="none"/>
        </w:rPr>
        <w:instrText xml:space="preserve"> PAGEREF _Toc43476027 \h </w:instrText>
      </w:r>
      <w:r>
        <w:rPr>
          <w:color w:val="auto"/>
          <w:highlight w:val="none"/>
        </w:rPr>
        <w:fldChar w:fldCharType="separate"/>
      </w:r>
      <w:r>
        <w:rPr>
          <w:color w:val="auto"/>
          <w:highlight w:val="none"/>
        </w:rPr>
        <w:t>239</w:t>
      </w:r>
      <w:r>
        <w:rPr>
          <w:color w:val="auto"/>
          <w:highlight w:val="none"/>
        </w:rPr>
        <w:fldChar w:fldCharType="end"/>
      </w:r>
      <w:r>
        <w:rPr>
          <w:color w:val="auto"/>
          <w:highlight w:val="none"/>
        </w:rPr>
        <w:fldChar w:fldCharType="end"/>
      </w:r>
    </w:p>
    <w:p w14:paraId="5AFC6759">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"_Toc43476028" </w:instrText>
      </w:r>
      <w:r>
        <w:rPr>
          <w:color w:val="auto"/>
          <w:highlight w:val="none"/>
        </w:rPr>
        <w:fldChar w:fldCharType="separate"/>
      </w:r>
      <w:r>
        <w:rPr>
          <w:rStyle w:val="52"/>
          <w:rFonts w:hint="eastAsia"/>
          <w:color w:val="auto"/>
          <w:highlight w:val="none"/>
        </w:rPr>
        <w:t>第七章技术规范（自行收集）</w:t>
      </w:r>
      <w:r>
        <w:rPr>
          <w:color w:val="auto"/>
          <w:highlight w:val="none"/>
        </w:rPr>
        <w:tab/>
      </w:r>
      <w:r>
        <w:rPr>
          <w:color w:val="auto"/>
          <w:highlight w:val="none"/>
        </w:rPr>
        <w:fldChar w:fldCharType="begin"/>
      </w:r>
      <w:r>
        <w:rPr>
          <w:color w:val="auto"/>
          <w:highlight w:val="none"/>
        </w:rPr>
        <w:instrText xml:space="preserve"> PAGEREF _Toc43476028 \h </w:instrText>
      </w:r>
      <w:r>
        <w:rPr>
          <w:color w:val="auto"/>
          <w:highlight w:val="none"/>
        </w:rPr>
        <w:fldChar w:fldCharType="separate"/>
      </w:r>
      <w:r>
        <w:rPr>
          <w:color w:val="auto"/>
          <w:highlight w:val="none"/>
        </w:rPr>
        <w:t>240</w:t>
      </w:r>
      <w:r>
        <w:rPr>
          <w:color w:val="auto"/>
          <w:highlight w:val="none"/>
        </w:rPr>
        <w:fldChar w:fldCharType="end"/>
      </w:r>
      <w:r>
        <w:rPr>
          <w:color w:val="auto"/>
          <w:highlight w:val="none"/>
        </w:rPr>
        <w:fldChar w:fldCharType="end"/>
      </w:r>
    </w:p>
    <w:p w14:paraId="0B330659">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"_Toc43476029" </w:instrText>
      </w:r>
      <w:r>
        <w:rPr>
          <w:color w:val="auto"/>
          <w:highlight w:val="none"/>
        </w:rPr>
        <w:fldChar w:fldCharType="separate"/>
      </w:r>
      <w:r>
        <w:rPr>
          <w:rStyle w:val="52"/>
          <w:rFonts w:hint="eastAsia"/>
          <w:color w:val="auto"/>
          <w:highlight w:val="none"/>
        </w:rPr>
        <w:t>第八章工程量清单计量规则</w:t>
      </w:r>
      <w:r>
        <w:rPr>
          <w:color w:val="auto"/>
          <w:highlight w:val="none"/>
        </w:rPr>
        <w:tab/>
      </w:r>
      <w:r>
        <w:rPr>
          <w:color w:val="auto"/>
          <w:highlight w:val="none"/>
        </w:rPr>
        <w:fldChar w:fldCharType="begin"/>
      </w:r>
      <w:r>
        <w:rPr>
          <w:color w:val="auto"/>
          <w:highlight w:val="none"/>
        </w:rPr>
        <w:instrText xml:space="preserve"> PAGEREF _Toc43476029 \h </w:instrText>
      </w:r>
      <w:r>
        <w:rPr>
          <w:color w:val="auto"/>
          <w:highlight w:val="none"/>
        </w:rPr>
        <w:fldChar w:fldCharType="separate"/>
      </w:r>
      <w:r>
        <w:rPr>
          <w:color w:val="auto"/>
          <w:highlight w:val="none"/>
        </w:rPr>
        <w:t>241</w:t>
      </w:r>
      <w:r>
        <w:rPr>
          <w:color w:val="auto"/>
          <w:highlight w:val="none"/>
        </w:rPr>
        <w:fldChar w:fldCharType="end"/>
      </w:r>
      <w:r>
        <w:rPr>
          <w:color w:val="auto"/>
          <w:highlight w:val="none"/>
        </w:rPr>
        <w:fldChar w:fldCharType="end"/>
      </w:r>
    </w:p>
    <w:p w14:paraId="09E01EF8">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"_Toc43476030" </w:instrText>
      </w:r>
      <w:r>
        <w:rPr>
          <w:color w:val="auto"/>
          <w:highlight w:val="none"/>
        </w:rPr>
        <w:fldChar w:fldCharType="separate"/>
      </w:r>
      <w:r>
        <w:rPr>
          <w:rStyle w:val="52"/>
          <w:rFonts w:hint="eastAsia"/>
          <w:color w:val="auto"/>
          <w:highlight w:val="none"/>
        </w:rPr>
        <w:t>第四卷</w:t>
      </w:r>
      <w:r>
        <w:rPr>
          <w:color w:val="auto"/>
          <w:highlight w:val="none"/>
        </w:rPr>
        <w:tab/>
      </w:r>
      <w:r>
        <w:rPr>
          <w:color w:val="auto"/>
          <w:highlight w:val="none"/>
        </w:rPr>
        <w:fldChar w:fldCharType="begin"/>
      </w:r>
      <w:r>
        <w:rPr>
          <w:color w:val="auto"/>
          <w:highlight w:val="none"/>
        </w:rPr>
        <w:instrText xml:space="preserve"> PAGEREF _Toc43476030 \h </w:instrText>
      </w:r>
      <w:r>
        <w:rPr>
          <w:color w:val="auto"/>
          <w:highlight w:val="none"/>
        </w:rPr>
        <w:fldChar w:fldCharType="separate"/>
      </w:r>
      <w:r>
        <w:rPr>
          <w:color w:val="auto"/>
          <w:highlight w:val="none"/>
        </w:rPr>
        <w:t>242</w:t>
      </w:r>
      <w:r>
        <w:rPr>
          <w:color w:val="auto"/>
          <w:highlight w:val="none"/>
        </w:rPr>
        <w:fldChar w:fldCharType="end"/>
      </w:r>
      <w:r>
        <w:rPr>
          <w:color w:val="auto"/>
          <w:highlight w:val="none"/>
        </w:rPr>
        <w:fldChar w:fldCharType="end"/>
      </w:r>
    </w:p>
    <w:p w14:paraId="00452DFA">
      <w:pPr>
        <w:pStyle w:val="31"/>
        <w:shd w:val="clear" w:fill="FFFFFF" w:themeFill="background1"/>
        <w:tabs>
          <w:tab w:val="right" w:leader="dot" w:pos="10200"/>
        </w:tabs>
        <w:spacing w:line="250" w:lineRule="exact"/>
        <w:rPr>
          <w:rFonts w:asciiTheme="minorHAnsi" w:hAnsiTheme="minorHAnsi" w:eastAsiaTheme="minorEastAsia" w:cstheme="minorBidi"/>
          <w:color w:val="auto"/>
          <w:szCs w:val="22"/>
          <w:highlight w:val="none"/>
        </w:rPr>
      </w:pPr>
      <w:r>
        <w:rPr>
          <w:color w:val="auto"/>
          <w:highlight w:val="none"/>
        </w:rPr>
        <w:fldChar w:fldCharType="begin"/>
      </w:r>
      <w:r>
        <w:rPr>
          <w:color w:val="auto"/>
          <w:highlight w:val="none"/>
        </w:rPr>
        <w:instrText xml:space="preserve"> HYPERLINK \l "_Toc43476031" </w:instrText>
      </w:r>
      <w:r>
        <w:rPr>
          <w:color w:val="auto"/>
          <w:highlight w:val="none"/>
        </w:rPr>
        <w:fldChar w:fldCharType="separate"/>
      </w:r>
      <w:r>
        <w:rPr>
          <w:rStyle w:val="52"/>
          <w:rFonts w:hint="eastAsia"/>
          <w:color w:val="auto"/>
          <w:highlight w:val="none"/>
        </w:rPr>
        <w:t>第九章投标文件格式</w:t>
      </w:r>
      <w:r>
        <w:rPr>
          <w:color w:val="auto"/>
          <w:highlight w:val="none"/>
        </w:rPr>
        <w:tab/>
      </w:r>
      <w:r>
        <w:rPr>
          <w:color w:val="auto"/>
          <w:highlight w:val="none"/>
        </w:rPr>
        <w:fldChar w:fldCharType="begin"/>
      </w:r>
      <w:r>
        <w:rPr>
          <w:color w:val="auto"/>
          <w:highlight w:val="none"/>
        </w:rPr>
        <w:instrText xml:space="preserve"> PAGEREF _Toc43476031 \h </w:instrText>
      </w:r>
      <w:r>
        <w:rPr>
          <w:color w:val="auto"/>
          <w:highlight w:val="none"/>
        </w:rPr>
        <w:fldChar w:fldCharType="separate"/>
      </w:r>
      <w:r>
        <w:rPr>
          <w:color w:val="auto"/>
          <w:highlight w:val="none"/>
        </w:rPr>
        <w:t>243</w:t>
      </w:r>
      <w:r>
        <w:rPr>
          <w:color w:val="auto"/>
          <w:highlight w:val="none"/>
        </w:rPr>
        <w:fldChar w:fldCharType="end"/>
      </w:r>
      <w:r>
        <w:rPr>
          <w:color w:val="auto"/>
          <w:highlight w:val="none"/>
        </w:rPr>
        <w:fldChar w:fldCharType="end"/>
      </w:r>
    </w:p>
    <w:p w14:paraId="48A975E1">
      <w:pPr>
        <w:shd w:val="clear" w:fill="FFFFFF" w:themeFill="background1"/>
        <w:spacing w:line="250" w:lineRule="exact"/>
        <w:ind w:firstLine="1058" w:firstLineChars="504"/>
        <w:rPr>
          <w:rFonts w:ascii="宋体" w:hAnsi="宋体"/>
          <w:color w:val="auto"/>
          <w:sz w:val="32"/>
          <w:szCs w:val="32"/>
          <w:highlight w:val="none"/>
          <w:u w:val="single"/>
        </w:rPr>
      </w:pPr>
      <w:r>
        <w:rPr>
          <w:rFonts w:hint="eastAsia" w:ascii="宋体" w:hAnsi="宋体" w:cs="宋体"/>
          <w:color w:val="auto"/>
          <w:highlight w:val="none"/>
          <w:u w:val="single"/>
        </w:rPr>
        <w:fldChar w:fldCharType="end"/>
      </w:r>
    </w:p>
    <w:p w14:paraId="691C5C56">
      <w:pPr>
        <w:shd w:val="clear" w:fill="FFFFFF" w:themeFill="background1"/>
        <w:jc w:val="center"/>
        <w:rPr>
          <w:rFonts w:ascii="宋体" w:hAnsi="宋体"/>
          <w:color w:val="auto"/>
          <w:sz w:val="72"/>
          <w:szCs w:val="72"/>
          <w:highlight w:val="none"/>
          <w:u w:val="single"/>
        </w:rPr>
      </w:pPr>
      <w:r>
        <w:rPr>
          <w:rFonts w:hint="eastAsia" w:ascii="宋体" w:hAnsi="宋体"/>
          <w:color w:val="auto"/>
          <w:sz w:val="32"/>
          <w:szCs w:val="32"/>
          <w:highlight w:val="none"/>
          <w:u w:val="single"/>
        </w:rPr>
        <w:br w:type="page"/>
      </w:r>
    </w:p>
    <w:p w14:paraId="6289C52D">
      <w:pPr>
        <w:shd w:val="clear" w:fill="FFFFFF" w:themeFill="background1"/>
        <w:jc w:val="center"/>
        <w:rPr>
          <w:rFonts w:ascii="宋体" w:hAnsi="宋体"/>
          <w:color w:val="auto"/>
          <w:sz w:val="72"/>
          <w:szCs w:val="72"/>
          <w:highlight w:val="none"/>
          <w:u w:val="single"/>
        </w:rPr>
      </w:pPr>
    </w:p>
    <w:p w14:paraId="393D9ED4">
      <w:pPr>
        <w:shd w:val="clear" w:fill="FFFFFF" w:themeFill="background1"/>
        <w:jc w:val="center"/>
        <w:rPr>
          <w:rFonts w:ascii="宋体" w:hAnsi="宋体"/>
          <w:color w:val="auto"/>
          <w:sz w:val="72"/>
          <w:szCs w:val="72"/>
          <w:highlight w:val="none"/>
          <w:u w:val="single"/>
        </w:rPr>
      </w:pPr>
    </w:p>
    <w:p w14:paraId="70BDB9AC">
      <w:pPr>
        <w:shd w:val="clear" w:fill="FFFFFF" w:themeFill="background1"/>
        <w:jc w:val="center"/>
        <w:rPr>
          <w:rFonts w:ascii="宋体" w:hAnsi="宋体"/>
          <w:color w:val="auto"/>
          <w:sz w:val="72"/>
          <w:szCs w:val="72"/>
          <w:highlight w:val="none"/>
          <w:u w:val="single"/>
        </w:rPr>
      </w:pPr>
    </w:p>
    <w:p w14:paraId="58844D91">
      <w:pPr>
        <w:shd w:val="clear" w:fill="FFFFFF" w:themeFill="background1"/>
        <w:jc w:val="center"/>
        <w:rPr>
          <w:rFonts w:ascii="宋体" w:hAnsi="宋体"/>
          <w:color w:val="auto"/>
          <w:sz w:val="72"/>
          <w:szCs w:val="72"/>
          <w:highlight w:val="none"/>
          <w:u w:val="single"/>
        </w:rPr>
      </w:pPr>
    </w:p>
    <w:p w14:paraId="568A919C">
      <w:pPr>
        <w:shd w:val="clear" w:fill="FFFFFF" w:themeFill="background1"/>
        <w:jc w:val="center"/>
        <w:rPr>
          <w:rFonts w:ascii="宋体" w:hAnsi="宋体"/>
          <w:color w:val="auto"/>
          <w:sz w:val="72"/>
          <w:szCs w:val="72"/>
          <w:highlight w:val="none"/>
          <w:u w:val="single"/>
        </w:rPr>
      </w:pPr>
    </w:p>
    <w:p w14:paraId="13432282">
      <w:pPr>
        <w:shd w:val="clear" w:fill="FFFFFF" w:themeFill="background1"/>
        <w:jc w:val="center"/>
        <w:rPr>
          <w:rFonts w:ascii="宋体" w:hAnsi="宋体"/>
          <w:color w:val="auto"/>
          <w:sz w:val="72"/>
          <w:szCs w:val="72"/>
          <w:highlight w:val="none"/>
          <w:u w:val="single"/>
        </w:rPr>
      </w:pPr>
    </w:p>
    <w:p w14:paraId="091E9D41">
      <w:pPr>
        <w:shd w:val="clear" w:fill="FFFFFF" w:themeFill="background1"/>
        <w:jc w:val="center"/>
        <w:rPr>
          <w:rFonts w:ascii="宋体" w:hAnsi="宋体"/>
          <w:color w:val="auto"/>
          <w:sz w:val="72"/>
          <w:szCs w:val="72"/>
          <w:highlight w:val="none"/>
        </w:rPr>
      </w:pPr>
      <w:r>
        <w:rPr>
          <w:rFonts w:hint="eastAsia" w:ascii="宋体" w:hAnsi="宋体"/>
          <w:color w:val="auto"/>
          <w:sz w:val="72"/>
          <w:szCs w:val="72"/>
          <w:highlight w:val="none"/>
        </w:rPr>
        <w:t>第  一  卷</w:t>
      </w:r>
    </w:p>
    <w:p w14:paraId="22228658">
      <w:pPr>
        <w:shd w:val="clear" w:fill="FFFFFF" w:themeFill="background1"/>
        <w:jc w:val="center"/>
        <w:rPr>
          <w:rFonts w:ascii="宋体" w:hAnsi="宋体"/>
          <w:color w:val="auto"/>
          <w:sz w:val="72"/>
          <w:szCs w:val="72"/>
          <w:highlight w:val="none"/>
        </w:rPr>
      </w:pPr>
    </w:p>
    <w:p w14:paraId="588C92DF">
      <w:pPr>
        <w:shd w:val="clear" w:fill="FFFFFF" w:themeFill="background1"/>
        <w:jc w:val="center"/>
        <w:rPr>
          <w:rFonts w:ascii="宋体" w:hAnsi="宋体"/>
          <w:color w:val="auto"/>
          <w:sz w:val="72"/>
          <w:szCs w:val="72"/>
          <w:highlight w:val="none"/>
        </w:rPr>
      </w:pPr>
    </w:p>
    <w:p w14:paraId="3BA56814">
      <w:pPr>
        <w:shd w:val="clear" w:fill="FFFFFF" w:themeFill="background1"/>
        <w:jc w:val="center"/>
        <w:rPr>
          <w:rFonts w:ascii="宋体" w:hAnsi="宋体"/>
          <w:color w:val="auto"/>
          <w:sz w:val="72"/>
          <w:szCs w:val="72"/>
          <w:highlight w:val="none"/>
        </w:rPr>
      </w:pPr>
    </w:p>
    <w:p w14:paraId="23F0C1FF">
      <w:pPr>
        <w:shd w:val="clear" w:fill="FFFFFF" w:themeFill="background1"/>
        <w:jc w:val="center"/>
        <w:rPr>
          <w:rFonts w:ascii="宋体" w:hAnsi="宋体"/>
          <w:color w:val="auto"/>
          <w:sz w:val="72"/>
          <w:szCs w:val="72"/>
          <w:highlight w:val="none"/>
        </w:rPr>
      </w:pPr>
    </w:p>
    <w:p w14:paraId="78062125">
      <w:pPr>
        <w:shd w:val="clear" w:fill="FFFFFF" w:themeFill="background1"/>
        <w:jc w:val="center"/>
        <w:rPr>
          <w:rFonts w:ascii="宋体" w:hAnsi="宋体"/>
          <w:color w:val="auto"/>
          <w:sz w:val="72"/>
          <w:szCs w:val="72"/>
          <w:highlight w:val="none"/>
        </w:rPr>
      </w:pPr>
    </w:p>
    <w:p w14:paraId="39C67DFA">
      <w:pPr>
        <w:shd w:val="clear" w:fill="FFFFFF" w:themeFill="background1"/>
        <w:jc w:val="center"/>
        <w:rPr>
          <w:rFonts w:ascii="宋体" w:hAnsi="宋体"/>
          <w:color w:val="auto"/>
          <w:sz w:val="72"/>
          <w:szCs w:val="72"/>
          <w:highlight w:val="none"/>
        </w:rPr>
      </w:pPr>
    </w:p>
    <w:p w14:paraId="546982C7">
      <w:pPr>
        <w:shd w:val="clear" w:fill="FFFFFF" w:themeFill="background1"/>
        <w:jc w:val="center"/>
        <w:rPr>
          <w:rFonts w:ascii="宋体" w:hAnsi="宋体"/>
          <w:color w:val="auto"/>
          <w:sz w:val="72"/>
          <w:szCs w:val="72"/>
          <w:highlight w:val="none"/>
        </w:rPr>
      </w:pPr>
    </w:p>
    <w:p w14:paraId="42A3DE7D">
      <w:pPr>
        <w:shd w:val="clear" w:fill="FFFFFF" w:themeFill="background1"/>
        <w:jc w:val="center"/>
        <w:rPr>
          <w:rFonts w:ascii="宋体" w:hAnsi="宋体"/>
          <w:color w:val="auto"/>
          <w:sz w:val="72"/>
          <w:szCs w:val="72"/>
          <w:highlight w:val="none"/>
          <w:u w:val="single"/>
        </w:rPr>
      </w:pPr>
    </w:p>
    <w:p w14:paraId="132D89DF">
      <w:pPr>
        <w:shd w:val="clear" w:fill="FFFFFF" w:themeFill="background1"/>
        <w:jc w:val="center"/>
        <w:rPr>
          <w:rFonts w:ascii="宋体" w:hAnsi="宋体"/>
          <w:color w:val="auto"/>
          <w:sz w:val="72"/>
          <w:szCs w:val="72"/>
          <w:highlight w:val="none"/>
          <w:u w:val="single"/>
        </w:rPr>
      </w:pPr>
    </w:p>
    <w:p w14:paraId="5460366B">
      <w:pPr>
        <w:shd w:val="clear" w:fill="FFFFFF" w:themeFill="background1"/>
        <w:jc w:val="center"/>
        <w:rPr>
          <w:rFonts w:ascii="宋体" w:hAnsi="宋体"/>
          <w:color w:val="auto"/>
          <w:sz w:val="72"/>
          <w:szCs w:val="72"/>
          <w:highlight w:val="none"/>
          <w:u w:val="single"/>
        </w:rPr>
      </w:pPr>
    </w:p>
    <w:p w14:paraId="1AB8485B">
      <w:pPr>
        <w:shd w:val="clear" w:fill="FFFFFF" w:themeFill="background1"/>
        <w:jc w:val="center"/>
        <w:rPr>
          <w:rFonts w:ascii="宋体" w:hAnsi="宋体"/>
          <w:color w:val="auto"/>
          <w:sz w:val="72"/>
          <w:szCs w:val="72"/>
          <w:highlight w:val="none"/>
          <w:u w:val="single"/>
        </w:rPr>
      </w:pPr>
    </w:p>
    <w:p w14:paraId="1BC54668">
      <w:pPr>
        <w:shd w:val="clear" w:fill="FFFFFF" w:themeFill="background1"/>
        <w:jc w:val="center"/>
        <w:rPr>
          <w:rFonts w:ascii="宋体" w:hAnsi="宋体"/>
          <w:color w:val="auto"/>
          <w:sz w:val="72"/>
          <w:szCs w:val="72"/>
          <w:highlight w:val="none"/>
          <w:u w:val="single"/>
        </w:rPr>
      </w:pPr>
    </w:p>
    <w:p w14:paraId="509286DE">
      <w:pPr>
        <w:shd w:val="clear" w:fill="FFFFFF" w:themeFill="background1"/>
        <w:jc w:val="center"/>
        <w:rPr>
          <w:rFonts w:ascii="宋体" w:hAnsi="宋体"/>
          <w:color w:val="auto"/>
          <w:sz w:val="72"/>
          <w:szCs w:val="72"/>
          <w:highlight w:val="none"/>
          <w:u w:val="single"/>
        </w:rPr>
      </w:pPr>
    </w:p>
    <w:p w14:paraId="0C691F02">
      <w:pPr>
        <w:shd w:val="clear" w:fill="FFFFFF" w:themeFill="background1"/>
        <w:jc w:val="center"/>
        <w:rPr>
          <w:rFonts w:ascii="宋体" w:hAnsi="宋体"/>
          <w:color w:val="auto"/>
          <w:sz w:val="72"/>
          <w:szCs w:val="72"/>
          <w:highlight w:val="none"/>
          <w:u w:val="single"/>
        </w:rPr>
      </w:pPr>
    </w:p>
    <w:p w14:paraId="7EA86A1F">
      <w:pPr>
        <w:shd w:val="clear" w:fill="FFFFFF" w:themeFill="background1"/>
        <w:jc w:val="center"/>
        <w:rPr>
          <w:rFonts w:ascii="宋体" w:hAnsi="宋体"/>
          <w:color w:val="auto"/>
          <w:sz w:val="52"/>
          <w:szCs w:val="52"/>
          <w:highlight w:val="none"/>
        </w:rPr>
      </w:pPr>
      <w:r>
        <w:rPr>
          <w:rFonts w:hint="eastAsia" w:ascii="宋体" w:hAnsi="宋体"/>
          <w:color w:val="auto"/>
          <w:sz w:val="52"/>
          <w:szCs w:val="52"/>
          <w:highlight w:val="none"/>
        </w:rPr>
        <w:t>第一章  招标公告</w:t>
      </w:r>
    </w:p>
    <w:p w14:paraId="32BB5853">
      <w:pPr>
        <w:shd w:val="clear" w:fill="FFFFFF" w:themeFill="background1"/>
        <w:jc w:val="center"/>
        <w:rPr>
          <w:rFonts w:ascii="宋体" w:hAnsi="宋体"/>
          <w:color w:val="auto"/>
          <w:sz w:val="72"/>
          <w:szCs w:val="72"/>
          <w:highlight w:val="none"/>
        </w:rPr>
      </w:pPr>
    </w:p>
    <w:p w14:paraId="14716B74">
      <w:pPr>
        <w:shd w:val="clear" w:fill="FFFFFF" w:themeFill="background1"/>
        <w:jc w:val="center"/>
        <w:rPr>
          <w:rFonts w:ascii="宋体" w:hAnsi="宋体"/>
          <w:color w:val="auto"/>
          <w:sz w:val="72"/>
          <w:szCs w:val="72"/>
          <w:highlight w:val="none"/>
        </w:rPr>
      </w:pPr>
    </w:p>
    <w:p w14:paraId="51864731">
      <w:pPr>
        <w:shd w:val="clear" w:fill="FFFFFF" w:themeFill="background1"/>
        <w:jc w:val="center"/>
        <w:rPr>
          <w:rFonts w:ascii="宋体" w:hAnsi="宋体"/>
          <w:color w:val="auto"/>
          <w:sz w:val="72"/>
          <w:szCs w:val="72"/>
          <w:highlight w:val="none"/>
        </w:rPr>
      </w:pPr>
    </w:p>
    <w:p w14:paraId="0AD0FE78">
      <w:pPr>
        <w:shd w:val="clear" w:fill="FFFFFF" w:themeFill="background1"/>
        <w:jc w:val="center"/>
        <w:rPr>
          <w:rFonts w:ascii="宋体" w:hAnsi="宋体"/>
          <w:color w:val="auto"/>
          <w:sz w:val="72"/>
          <w:szCs w:val="72"/>
          <w:highlight w:val="none"/>
        </w:rPr>
      </w:pPr>
    </w:p>
    <w:p w14:paraId="1A5AF0B0">
      <w:pPr>
        <w:shd w:val="clear" w:fill="FFFFFF" w:themeFill="background1"/>
        <w:jc w:val="center"/>
        <w:rPr>
          <w:rFonts w:ascii="宋体" w:hAnsi="宋体"/>
          <w:color w:val="auto"/>
          <w:sz w:val="72"/>
          <w:szCs w:val="72"/>
          <w:highlight w:val="none"/>
        </w:rPr>
      </w:pPr>
    </w:p>
    <w:p w14:paraId="24CBBD37">
      <w:pPr>
        <w:shd w:val="clear" w:fill="FFFFFF" w:themeFill="background1"/>
        <w:jc w:val="center"/>
        <w:rPr>
          <w:rFonts w:ascii="宋体" w:hAnsi="宋体"/>
          <w:color w:val="auto"/>
          <w:sz w:val="72"/>
          <w:szCs w:val="72"/>
          <w:highlight w:val="none"/>
        </w:rPr>
      </w:pPr>
    </w:p>
    <w:p w14:paraId="6A29C483">
      <w:pPr>
        <w:shd w:val="clear" w:fill="FFFFFF" w:themeFill="background1"/>
        <w:jc w:val="center"/>
        <w:rPr>
          <w:rFonts w:ascii="宋体" w:hAnsi="宋体"/>
          <w:color w:val="auto"/>
          <w:sz w:val="72"/>
          <w:szCs w:val="72"/>
          <w:highlight w:val="none"/>
        </w:rPr>
      </w:pPr>
    </w:p>
    <w:p w14:paraId="61340884">
      <w:pPr>
        <w:pStyle w:val="4"/>
        <w:numPr>
          <w:ilvl w:val="0"/>
          <w:numId w:val="2"/>
        </w:numPr>
        <w:shd w:val="clear" w:fill="FFFFFF" w:themeFill="background1"/>
        <w:adjustRightInd w:val="0"/>
        <w:snapToGrid w:val="0"/>
        <w:spacing w:before="120" w:line="240" w:lineRule="auto"/>
        <w:jc w:val="center"/>
        <w:rPr>
          <w:rFonts w:ascii="宋体" w:hAnsi="宋体"/>
          <w:color w:val="auto"/>
          <w:sz w:val="36"/>
          <w:highlight w:val="none"/>
        </w:rPr>
        <w:sectPr>
          <w:footerReference r:id="rId7" w:type="first"/>
          <w:footerReference r:id="rId6" w:type="default"/>
          <w:pgSz w:w="11910" w:h="16840"/>
          <w:pgMar w:top="941" w:right="720" w:bottom="1179" w:left="980" w:header="707" w:footer="998" w:gutter="0"/>
          <w:pgNumType w:start="1"/>
          <w:cols w:space="720" w:num="1"/>
        </w:sectPr>
      </w:pPr>
    </w:p>
    <w:p w14:paraId="60293A35">
      <w:pPr>
        <w:pStyle w:val="4"/>
        <w:numPr>
          <w:ilvl w:val="0"/>
          <w:numId w:val="2"/>
        </w:numPr>
        <w:shd w:val="clear" w:fill="FFFFFF" w:themeFill="background1"/>
        <w:adjustRightInd w:val="0"/>
        <w:snapToGrid w:val="0"/>
        <w:spacing w:before="120" w:after="100" w:line="240" w:lineRule="auto"/>
        <w:jc w:val="center"/>
        <w:rPr>
          <w:rFonts w:ascii="宋体" w:hAnsi="宋体"/>
          <w:color w:val="auto"/>
          <w:sz w:val="36"/>
          <w:highlight w:val="none"/>
        </w:rPr>
      </w:pPr>
      <w:bookmarkStart w:id="0" w:name="_Toc11768"/>
      <w:bookmarkEnd w:id="0"/>
      <w:bookmarkStart w:id="1" w:name="_Toc43475653"/>
      <w:bookmarkEnd w:id="1"/>
      <w:bookmarkStart w:id="2" w:name="_Toc10454"/>
      <w:bookmarkStart w:id="3" w:name="_Toc9236"/>
      <w:bookmarkStart w:id="4" w:name="_Toc234382586"/>
      <w:r>
        <w:rPr>
          <w:rFonts w:ascii="宋体" w:hAnsi="宋体"/>
          <w:color w:val="auto"/>
          <w:sz w:val="36"/>
          <w:highlight w:val="none"/>
        </w:rPr>
        <w:t>招标公告</w:t>
      </w:r>
      <w:bookmarkEnd w:id="2"/>
    </w:p>
    <w:p w14:paraId="3132E99A">
      <w:pPr>
        <w:pStyle w:val="75"/>
        <w:shd w:val="clear" w:fill="FFFFFF" w:themeFill="background1"/>
        <w:rPr>
          <w:rFonts w:cs="宋体"/>
          <w:color w:val="auto"/>
          <w:szCs w:val="28"/>
          <w:highlight w:val="none"/>
        </w:rPr>
      </w:pPr>
      <w:bookmarkStart w:id="5" w:name="_Toc424739344"/>
      <w:r>
        <w:rPr>
          <w:rFonts w:hint="eastAsia" w:cs="宋体"/>
          <w:color w:val="auto"/>
          <w:szCs w:val="28"/>
          <w:highlight w:val="none"/>
          <w:lang w:eastAsia="zh-CN"/>
        </w:rPr>
        <w:t>Y765线大竹山至下矮山改建工程（单改双）施工</w:t>
      </w:r>
      <w:r>
        <w:rPr>
          <w:rFonts w:hint="eastAsia" w:cs="宋体"/>
          <w:color w:val="auto"/>
          <w:szCs w:val="28"/>
          <w:highlight w:val="none"/>
        </w:rPr>
        <w:t>招标公告</w:t>
      </w:r>
    </w:p>
    <w:p w14:paraId="79102BAD">
      <w:pPr>
        <w:pStyle w:val="5"/>
        <w:shd w:val="clear" w:fill="FFFFFF" w:themeFill="background1"/>
        <w:spacing w:line="400" w:lineRule="atLeast"/>
        <w:rPr>
          <w:rFonts w:ascii="宋体" w:hAnsi="宋体" w:eastAsia="宋体" w:cs="黑体"/>
          <w:bCs w:val="0"/>
          <w:color w:val="auto"/>
          <w:sz w:val="28"/>
          <w:szCs w:val="28"/>
          <w:highlight w:val="none"/>
        </w:rPr>
      </w:pPr>
      <w:bookmarkStart w:id="6" w:name="_Toc18249"/>
      <w:bookmarkStart w:id="7" w:name="_Toc30127"/>
      <w:r>
        <w:rPr>
          <w:rFonts w:hint="eastAsia" w:ascii="宋体" w:hAnsi="宋体" w:eastAsia="宋体" w:cs="黑体"/>
          <w:bCs w:val="0"/>
          <w:color w:val="auto"/>
          <w:sz w:val="28"/>
          <w:szCs w:val="28"/>
          <w:highlight w:val="none"/>
        </w:rPr>
        <w:t>1.招标条件</w:t>
      </w:r>
      <w:bookmarkEnd w:id="5"/>
      <w:bookmarkEnd w:id="6"/>
      <w:bookmarkEnd w:id="7"/>
    </w:p>
    <w:p w14:paraId="4273A43A">
      <w:pPr>
        <w:shd w:val="clear" w:fill="FFFFFF" w:themeFill="background1"/>
        <w:spacing w:line="360" w:lineRule="auto"/>
        <w:ind w:firstLine="480" w:firstLineChars="200"/>
        <w:rPr>
          <w:rFonts w:hAnsi="宋体"/>
          <w:color w:val="auto"/>
          <w:sz w:val="24"/>
          <w:highlight w:val="none"/>
        </w:rPr>
      </w:pPr>
      <w:bookmarkStart w:id="8" w:name="_Toc424739345"/>
      <w:bookmarkStart w:id="9" w:name="_Toc544"/>
      <w:r>
        <w:rPr>
          <w:rFonts w:hint="eastAsia" w:hAnsi="宋体"/>
          <w:color w:val="auto"/>
          <w:sz w:val="24"/>
          <w:highlight w:val="none"/>
        </w:rPr>
        <w:t>本招标项目</w:t>
      </w:r>
      <w:r>
        <w:rPr>
          <w:rFonts w:hint="eastAsia" w:hAnsi="宋体"/>
          <w:color w:val="auto"/>
          <w:sz w:val="24"/>
          <w:highlight w:val="none"/>
          <w:u w:val="single"/>
          <w:lang w:eastAsia="zh-CN"/>
        </w:rPr>
        <w:t>Y765线大竹山至下矮山改建工程（单改双）</w:t>
      </w:r>
      <w:r>
        <w:rPr>
          <w:rFonts w:hint="eastAsia" w:hAnsi="宋体"/>
          <w:color w:val="auto"/>
          <w:sz w:val="24"/>
          <w:highlight w:val="none"/>
        </w:rPr>
        <w:t>已由</w:t>
      </w:r>
      <w:r>
        <w:rPr>
          <w:rFonts w:hint="eastAsia" w:hAnsi="宋体"/>
          <w:color w:val="auto"/>
          <w:sz w:val="24"/>
          <w:highlight w:val="none"/>
          <w:u w:val="single"/>
          <w:lang w:eastAsia="zh-CN"/>
        </w:rPr>
        <w:t>乐昌市人民政府</w:t>
      </w:r>
      <w:r>
        <w:rPr>
          <w:rFonts w:hint="eastAsia"/>
          <w:color w:val="auto"/>
          <w:spacing w:val="9"/>
          <w:sz w:val="24"/>
          <w:highlight w:val="none"/>
        </w:rPr>
        <w:t>以</w:t>
      </w:r>
      <w:r>
        <w:rPr>
          <w:rFonts w:hint="eastAsia"/>
          <w:color w:val="auto"/>
          <w:sz w:val="24"/>
          <w:highlight w:val="none"/>
          <w:u w:val="single"/>
        </w:rPr>
        <w:t>《</w:t>
      </w:r>
      <w:r>
        <w:rPr>
          <w:rFonts w:hint="eastAsia" w:hAnsi="宋体"/>
          <w:color w:val="auto"/>
          <w:sz w:val="24"/>
          <w:highlight w:val="none"/>
          <w:u w:val="single"/>
          <w:lang w:eastAsia="zh-CN"/>
        </w:rPr>
        <w:t>乐昌市人民政府关于批准乐昌市 2022-2023 年交通攻坚建设项目的批复</w:t>
      </w:r>
      <w:r>
        <w:rPr>
          <w:rFonts w:hint="eastAsia"/>
          <w:color w:val="auto"/>
          <w:sz w:val="24"/>
          <w:highlight w:val="none"/>
          <w:u w:val="single"/>
        </w:rPr>
        <w:t>》</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乐府复【2022】49号</w:t>
      </w:r>
      <w:r>
        <w:rPr>
          <w:rFonts w:hint="eastAsia" w:ascii="宋体" w:hAnsi="宋体" w:cs="宋体"/>
          <w:color w:val="auto"/>
          <w:sz w:val="24"/>
          <w:highlight w:val="none"/>
          <w:u w:val="single"/>
        </w:rPr>
        <w:t>)</w:t>
      </w:r>
      <w:r>
        <w:rPr>
          <w:rFonts w:hint="eastAsia" w:ascii="宋体" w:hAnsi="宋体" w:cs="宋体"/>
          <w:color w:val="auto"/>
          <w:sz w:val="24"/>
          <w:highlight w:val="none"/>
          <w:u w:val="none"/>
          <w:lang w:eastAsia="zh-CN"/>
        </w:rPr>
        <w:t>，</w:t>
      </w:r>
      <w:r>
        <w:rPr>
          <w:rFonts w:hint="eastAsia" w:ascii="宋体" w:hAnsi="宋体" w:cs="宋体"/>
          <w:color w:val="auto"/>
          <w:sz w:val="24"/>
          <w:highlight w:val="none"/>
        </w:rPr>
        <w:t>由</w:t>
      </w:r>
      <w:r>
        <w:rPr>
          <w:rFonts w:hint="eastAsia" w:ascii="宋体" w:hAnsi="宋体" w:cs="宋体"/>
          <w:color w:val="auto"/>
          <w:sz w:val="24"/>
          <w:highlight w:val="none"/>
          <w:u w:val="single"/>
        </w:rPr>
        <w:t>乐昌市交通运输局</w:t>
      </w:r>
      <w:r>
        <w:rPr>
          <w:rFonts w:hint="eastAsia" w:ascii="宋体" w:hAnsi="宋体" w:cs="宋体"/>
          <w:color w:val="auto"/>
          <w:sz w:val="24"/>
          <w:highlight w:val="none"/>
        </w:rPr>
        <w:t>以</w:t>
      </w:r>
      <w:r>
        <w:rPr>
          <w:rFonts w:hint="eastAsia"/>
          <w:color w:val="auto"/>
          <w:sz w:val="24"/>
          <w:highlight w:val="none"/>
          <w:u w:val="single"/>
        </w:rPr>
        <w:t>《</w:t>
      </w:r>
      <w:r>
        <w:rPr>
          <w:rFonts w:hint="eastAsia"/>
          <w:color w:val="auto"/>
          <w:sz w:val="24"/>
          <w:highlight w:val="none"/>
          <w:u w:val="single"/>
          <w:lang w:eastAsia="zh-CN"/>
        </w:rPr>
        <w:t>关于 Y611 线西坑口至上西坑改建工程等8 个项目施工图设计的批复</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lang w:eastAsia="zh-CN"/>
        </w:rPr>
        <w:t>乐交字【2023】</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41号</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lang w:val="en-US" w:eastAsia="zh-CN"/>
        </w:rPr>
        <w:t>批准建设</w:t>
      </w:r>
      <w:r>
        <w:rPr>
          <w:rFonts w:hint="eastAsia" w:ascii="宋体" w:hAnsi="宋体" w:cs="宋体"/>
          <w:color w:val="auto"/>
          <w:sz w:val="24"/>
          <w:highlight w:val="none"/>
        </w:rPr>
        <w:t>，</w:t>
      </w:r>
      <w:r>
        <w:rPr>
          <w:rFonts w:hint="eastAsia" w:hAnsi="宋体"/>
          <w:color w:val="auto"/>
          <w:sz w:val="24"/>
          <w:highlight w:val="none"/>
        </w:rPr>
        <w:t>投资项目统一代码为</w:t>
      </w:r>
      <w:r>
        <w:rPr>
          <w:rFonts w:hint="eastAsia" w:hAnsi="宋体"/>
          <w:color w:val="auto"/>
          <w:sz w:val="24"/>
          <w:highlight w:val="none"/>
          <w:u w:val="single"/>
          <w:lang w:eastAsia="zh-CN"/>
        </w:rPr>
        <w:t>2507-440281-04-01-430875</w:t>
      </w:r>
      <w:r>
        <w:rPr>
          <w:rFonts w:hint="eastAsia" w:hAnsi="宋体"/>
          <w:color w:val="auto"/>
          <w:sz w:val="24"/>
          <w:highlight w:val="none"/>
        </w:rPr>
        <w:t>；项目业主为</w:t>
      </w:r>
      <w:r>
        <w:rPr>
          <w:rFonts w:hint="eastAsia" w:hAnsi="宋体"/>
          <w:color w:val="auto"/>
          <w:sz w:val="24"/>
          <w:highlight w:val="none"/>
          <w:u w:val="single"/>
        </w:rPr>
        <w:t>乐昌市秀水镇人民政府</w:t>
      </w:r>
      <w:r>
        <w:rPr>
          <w:rFonts w:hint="eastAsia" w:hAnsi="宋体"/>
          <w:color w:val="auto"/>
          <w:sz w:val="24"/>
          <w:highlight w:val="none"/>
        </w:rPr>
        <w:t>，建设资金来源为</w:t>
      </w:r>
      <w:r>
        <w:rPr>
          <w:rFonts w:hint="eastAsia" w:hAnsi="宋体"/>
          <w:color w:val="auto"/>
          <w:sz w:val="24"/>
          <w:highlight w:val="none"/>
          <w:u w:val="single"/>
          <w:lang w:eastAsia="zh-CN"/>
        </w:rPr>
        <w:t>上级财政补助资金</w:t>
      </w:r>
      <w:r>
        <w:rPr>
          <w:rFonts w:hint="eastAsia" w:hAnsi="宋体"/>
          <w:color w:val="auto"/>
          <w:sz w:val="24"/>
          <w:highlight w:val="none"/>
        </w:rPr>
        <w:t>，项目出资比例为</w:t>
      </w:r>
      <w:r>
        <w:rPr>
          <w:rFonts w:hint="eastAsia" w:hAnsi="宋体"/>
          <w:color w:val="auto"/>
          <w:sz w:val="24"/>
          <w:highlight w:val="none"/>
          <w:u w:val="single"/>
        </w:rPr>
        <w:t>100%</w:t>
      </w:r>
      <w:r>
        <w:rPr>
          <w:rFonts w:hint="eastAsia" w:hAnsi="宋体"/>
          <w:color w:val="auto"/>
          <w:sz w:val="24"/>
          <w:highlight w:val="none"/>
        </w:rPr>
        <w:t>。招标人为</w:t>
      </w:r>
      <w:r>
        <w:rPr>
          <w:rFonts w:hint="eastAsia" w:hAnsi="宋体"/>
          <w:color w:val="auto"/>
          <w:sz w:val="24"/>
          <w:highlight w:val="none"/>
          <w:u w:val="single"/>
        </w:rPr>
        <w:t>乐昌市秀水镇人民政府</w:t>
      </w:r>
      <w:r>
        <w:rPr>
          <w:rFonts w:ascii="宋体" w:hAnsi="宋体" w:cs="宋体"/>
          <w:color w:val="auto"/>
          <w:spacing w:val="-11"/>
          <w:sz w:val="23"/>
          <w:szCs w:val="23"/>
          <w:highlight w:val="none"/>
        </w:rPr>
        <w:t>。</w:t>
      </w:r>
      <w:r>
        <w:rPr>
          <w:rFonts w:ascii="宋体" w:hAnsi="宋体" w:cs="宋体"/>
          <w:color w:val="auto"/>
          <w:spacing w:val="-11"/>
          <w:sz w:val="24"/>
          <w:highlight w:val="none"/>
        </w:rPr>
        <w:t>项目已具备招标条件，</w:t>
      </w:r>
      <w:r>
        <w:rPr>
          <w:rFonts w:hint="eastAsia" w:hAnsi="宋体"/>
          <w:color w:val="auto"/>
          <w:sz w:val="24"/>
          <w:highlight w:val="none"/>
        </w:rPr>
        <w:t>现对</w:t>
      </w:r>
      <w:r>
        <w:rPr>
          <w:rFonts w:hint="eastAsia" w:hAnsi="宋体"/>
          <w:color w:val="auto"/>
          <w:sz w:val="24"/>
          <w:highlight w:val="none"/>
          <w:u w:val="single"/>
          <w:lang w:eastAsia="zh-CN"/>
        </w:rPr>
        <w:t>Y765线大竹山至下矮山改建工程（单改双）</w:t>
      </w:r>
      <w:r>
        <w:rPr>
          <w:rFonts w:hint="eastAsia" w:hAnsi="宋体"/>
          <w:color w:val="auto"/>
          <w:sz w:val="24"/>
          <w:highlight w:val="none"/>
          <w:u w:val="single"/>
          <w:lang w:val="en-US" w:eastAsia="zh-CN"/>
        </w:rPr>
        <w:t>施工</w:t>
      </w:r>
      <w:r>
        <w:rPr>
          <w:rFonts w:hint="eastAsia" w:hAnsi="宋体"/>
          <w:color w:val="auto"/>
          <w:sz w:val="24"/>
          <w:highlight w:val="none"/>
        </w:rPr>
        <w:t>采用资格后审方式进行公开招标。</w:t>
      </w:r>
    </w:p>
    <w:p w14:paraId="40CC564E">
      <w:pPr>
        <w:pStyle w:val="5"/>
        <w:shd w:val="clear" w:fill="FFFFFF" w:themeFill="background1"/>
        <w:spacing w:line="240" w:lineRule="exact"/>
        <w:rPr>
          <w:rFonts w:ascii="宋体" w:hAnsi="宋体" w:eastAsia="宋体" w:cs="黑体"/>
          <w:bCs w:val="0"/>
          <w:color w:val="auto"/>
          <w:sz w:val="28"/>
          <w:szCs w:val="28"/>
          <w:highlight w:val="none"/>
        </w:rPr>
      </w:pPr>
      <w:bookmarkStart w:id="10" w:name="_Toc27864"/>
    </w:p>
    <w:p w14:paraId="20C084B6">
      <w:pPr>
        <w:pStyle w:val="5"/>
        <w:shd w:val="clear" w:fill="FFFFFF" w:themeFill="background1"/>
        <w:spacing w:line="400" w:lineRule="atLeast"/>
        <w:rPr>
          <w:rFonts w:ascii="宋体" w:hAnsi="宋体" w:eastAsia="宋体" w:cs="黑体"/>
          <w:bCs w:val="0"/>
          <w:color w:val="auto"/>
          <w:sz w:val="28"/>
          <w:szCs w:val="28"/>
          <w:highlight w:val="none"/>
        </w:rPr>
      </w:pPr>
      <w:r>
        <w:rPr>
          <w:rFonts w:hint="eastAsia" w:ascii="宋体" w:hAnsi="宋体" w:eastAsia="宋体" w:cs="黑体"/>
          <w:bCs w:val="0"/>
          <w:color w:val="auto"/>
          <w:sz w:val="28"/>
          <w:szCs w:val="28"/>
          <w:highlight w:val="none"/>
        </w:rPr>
        <w:t>2.项目概况与招标范围</w:t>
      </w:r>
      <w:bookmarkEnd w:id="8"/>
      <w:bookmarkEnd w:id="9"/>
      <w:bookmarkEnd w:id="10"/>
    </w:p>
    <w:p w14:paraId="75D1CC8E">
      <w:pPr>
        <w:shd w:val="clear" w:fill="FFFFFF" w:themeFill="background1"/>
        <w:spacing w:line="360" w:lineRule="auto"/>
        <w:ind w:firstLine="480" w:firstLineChars="200"/>
        <w:rPr>
          <w:rFonts w:ascii="宋体" w:hAnsi="宋体"/>
          <w:color w:val="auto"/>
          <w:sz w:val="24"/>
          <w:highlight w:val="none"/>
        </w:rPr>
      </w:pPr>
      <w:r>
        <w:rPr>
          <w:rFonts w:hint="eastAsia" w:ascii="宋体" w:hAnsi="宋体"/>
          <w:color w:val="auto"/>
          <w:sz w:val="24"/>
          <w:highlight w:val="none"/>
        </w:rPr>
        <w:t xml:space="preserve">2.1 </w:t>
      </w:r>
      <w:r>
        <w:rPr>
          <w:rFonts w:ascii="宋体" w:hAnsi="宋体"/>
          <w:color w:val="auto"/>
          <w:sz w:val="24"/>
          <w:highlight w:val="none"/>
        </w:rPr>
        <w:t>项目概况与招标</w:t>
      </w:r>
      <w:r>
        <w:rPr>
          <w:rFonts w:hint="eastAsia" w:ascii="宋体" w:hAnsi="宋体"/>
          <w:color w:val="auto"/>
          <w:sz w:val="24"/>
          <w:highlight w:val="none"/>
        </w:rPr>
        <w:t>范围</w:t>
      </w:r>
    </w:p>
    <w:p w14:paraId="0435C636">
      <w:pPr>
        <w:shd w:val="clear" w:fill="FFFFFF" w:themeFill="background1"/>
        <w:spacing w:line="360" w:lineRule="auto"/>
        <w:ind w:firstLine="480" w:firstLineChars="200"/>
        <w:rPr>
          <w:rFonts w:ascii="宋体" w:hAnsi="宋体"/>
          <w:color w:val="auto"/>
          <w:sz w:val="24"/>
          <w:highlight w:val="none"/>
        </w:rPr>
      </w:pPr>
      <w:r>
        <w:rPr>
          <w:rFonts w:hint="eastAsia" w:ascii="宋体" w:hAnsi="宋体"/>
          <w:color w:val="auto"/>
          <w:sz w:val="24"/>
          <w:highlight w:val="none"/>
        </w:rPr>
        <w:t>2.1.1 建设地点：</w:t>
      </w:r>
      <w:r>
        <w:rPr>
          <w:rFonts w:hint="eastAsia" w:ascii="宋体" w:hAnsi="宋体" w:cs="宋体"/>
          <w:color w:val="auto"/>
          <w:sz w:val="24"/>
          <w:highlight w:val="none"/>
          <w:u w:val="single"/>
        </w:rPr>
        <w:t>乐昌市秀水镇</w:t>
      </w:r>
      <w:r>
        <w:rPr>
          <w:rFonts w:hint="eastAsia" w:ascii="宋体" w:hAnsi="宋体"/>
          <w:color w:val="auto"/>
          <w:sz w:val="24"/>
          <w:highlight w:val="none"/>
        </w:rPr>
        <w:t>。</w:t>
      </w:r>
    </w:p>
    <w:p w14:paraId="72F30777">
      <w:pPr>
        <w:widowControl/>
        <w:shd w:val="clear" w:fill="FFFFFF" w:themeFill="background1"/>
        <w:spacing w:line="360" w:lineRule="auto"/>
        <w:ind w:firstLine="480"/>
        <w:jc w:val="left"/>
        <w:rPr>
          <w:rFonts w:ascii="宋体" w:hAnsi="宋体" w:cs="宋体"/>
          <w:color w:val="auto"/>
          <w:sz w:val="24"/>
          <w:highlight w:val="none"/>
          <w:u w:val="single"/>
        </w:rPr>
      </w:pPr>
      <w:r>
        <w:rPr>
          <w:rFonts w:hint="eastAsia" w:ascii="宋体" w:hAnsi="宋体"/>
          <w:color w:val="auto"/>
          <w:sz w:val="24"/>
          <w:highlight w:val="none"/>
        </w:rPr>
        <w:t>2.1.2 建设内容及规</w:t>
      </w:r>
      <w:r>
        <w:rPr>
          <w:rFonts w:hint="eastAsia" w:ascii="宋体" w:hAnsi="宋体" w:cs="宋体"/>
          <w:color w:val="auto"/>
          <w:sz w:val="24"/>
          <w:highlight w:val="none"/>
        </w:rPr>
        <w:t>模：</w:t>
      </w:r>
      <w:r>
        <w:rPr>
          <w:rFonts w:hint="eastAsia" w:ascii="宋体" w:hAnsi="宋体" w:cs="宋体"/>
          <w:color w:val="auto"/>
          <w:sz w:val="24"/>
          <w:highlight w:val="none"/>
          <w:u w:val="single"/>
          <w:lang w:val="en-US" w:eastAsia="zh-CN"/>
        </w:rPr>
        <w:t>本项目位于乐昌市秀水镇，路线总长3.340km，起点位于大竹山村，与S249线平面交叉，起点桩号K0+000，经下冲新村、大竹山村，终点位于下矮山村，终点桩号K3+340,总体走向由西向东。全线为水泥混凝土路面，现状四级公路标准，设计速度20km/h，主要建设内容为对有条件加宽路段进行拓宽改造，改造完成后路基宽7.0米，路面宽6.0米，对旧路面病害进行处理，并完善交通安全设施</w:t>
      </w:r>
      <w:r>
        <w:rPr>
          <w:rFonts w:hint="eastAsia" w:ascii="宋体" w:hAnsi="宋体" w:cs="宋体"/>
          <w:bCs/>
          <w:color w:val="auto"/>
          <w:sz w:val="24"/>
          <w:highlight w:val="none"/>
          <w:u w:val="single"/>
        </w:rPr>
        <w:t>。</w:t>
      </w:r>
    </w:p>
    <w:p w14:paraId="59D1095F">
      <w:pPr>
        <w:shd w:val="clear" w:fill="FFFFFF" w:themeFill="background1"/>
        <w:spacing w:line="400" w:lineRule="atLeast"/>
        <w:ind w:firstLine="480" w:firstLineChars="200"/>
        <w:rPr>
          <w:rFonts w:ascii="宋体" w:hAnsi="宋体" w:cs="Arial"/>
          <w:color w:val="auto"/>
          <w:sz w:val="24"/>
          <w:highlight w:val="none"/>
        </w:rPr>
      </w:pPr>
      <w:r>
        <w:rPr>
          <w:rFonts w:hint="eastAsia" w:ascii="宋体" w:hAnsi="宋体"/>
          <w:color w:val="auto"/>
          <w:sz w:val="24"/>
          <w:highlight w:val="none"/>
        </w:rPr>
        <w:t>2.1.3 招标范</w:t>
      </w:r>
      <w:r>
        <w:rPr>
          <w:rFonts w:hint="eastAsia" w:ascii="宋体" w:hAnsi="宋体" w:cs="Arial"/>
          <w:color w:val="auto"/>
          <w:sz w:val="24"/>
          <w:highlight w:val="none"/>
        </w:rPr>
        <w:t>围</w:t>
      </w:r>
      <w:r>
        <w:rPr>
          <w:rFonts w:hint="eastAsia" w:ascii="宋体" w:hAnsi="宋体"/>
          <w:color w:val="auto"/>
          <w:sz w:val="24"/>
          <w:highlight w:val="none"/>
        </w:rPr>
        <w:t>：</w:t>
      </w:r>
      <w:r>
        <w:rPr>
          <w:rFonts w:hint="eastAsia" w:ascii="宋体" w:hAnsi="宋体"/>
          <w:color w:val="auto"/>
          <w:sz w:val="24"/>
          <w:highlight w:val="none"/>
          <w:u w:val="single"/>
        </w:rPr>
        <w:t>本项目施工图设计和工程量清单范围内的工程施工</w:t>
      </w:r>
      <w:r>
        <w:rPr>
          <w:rFonts w:hint="eastAsia" w:ascii="宋体" w:hAnsi="宋体"/>
          <w:color w:val="auto"/>
          <w:sz w:val="24"/>
          <w:highlight w:val="none"/>
        </w:rPr>
        <w:t>。</w:t>
      </w:r>
    </w:p>
    <w:p w14:paraId="7563E3EB">
      <w:pPr>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 xml:space="preserve">2.1.4 </w:t>
      </w:r>
      <w:r>
        <w:rPr>
          <w:rFonts w:hint="eastAsia" w:ascii="宋体" w:hAnsi="宋体" w:cs="Arial"/>
          <w:color w:val="auto"/>
          <w:sz w:val="24"/>
          <w:highlight w:val="none"/>
        </w:rPr>
        <w:t>计划工期：</w:t>
      </w:r>
      <w:r>
        <w:rPr>
          <w:rFonts w:hint="eastAsia" w:ascii="宋体" w:hAnsi="宋体"/>
          <w:color w:val="auto"/>
          <w:kern w:val="0"/>
          <w:sz w:val="24"/>
          <w:highlight w:val="none"/>
          <w:u w:val="single"/>
          <w:lang w:eastAsia="zh-CN"/>
        </w:rPr>
        <w:t>90</w:t>
      </w:r>
      <w:r>
        <w:rPr>
          <w:rFonts w:hint="eastAsia" w:ascii="宋体" w:hAnsi="宋体"/>
          <w:color w:val="auto"/>
          <w:kern w:val="0"/>
          <w:sz w:val="24"/>
          <w:highlight w:val="none"/>
          <w:u w:val="single"/>
        </w:rPr>
        <w:t>日历天</w:t>
      </w:r>
      <w:r>
        <w:rPr>
          <w:rFonts w:hint="eastAsia" w:ascii="宋体" w:hAnsi="宋体"/>
          <w:color w:val="auto"/>
          <w:sz w:val="24"/>
          <w:highlight w:val="none"/>
        </w:rPr>
        <w:t>；实际开工时间以监理签发开工令为准。</w:t>
      </w:r>
    </w:p>
    <w:p w14:paraId="0DEF8BB5">
      <w:pPr>
        <w:shd w:val="clear" w:fill="FFFFFF" w:themeFill="background1"/>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2.1.5 工程投资：本项目预算总金额为</w:t>
      </w:r>
      <w:r>
        <w:rPr>
          <w:rFonts w:hint="eastAsia" w:ascii="宋体" w:hAnsi="宋体" w:cs="宋体"/>
          <w:color w:val="auto"/>
          <w:sz w:val="24"/>
          <w:highlight w:val="none"/>
          <w:lang w:eastAsia="zh-CN"/>
        </w:rPr>
        <w:t>295.29</w:t>
      </w:r>
      <w:r>
        <w:rPr>
          <w:rFonts w:hint="eastAsia" w:ascii="宋体" w:hAnsi="宋体" w:cs="宋体"/>
          <w:color w:val="auto"/>
          <w:sz w:val="24"/>
          <w:highlight w:val="none"/>
        </w:rPr>
        <w:t>万元，其中建安费</w:t>
      </w:r>
      <w:r>
        <w:rPr>
          <w:rFonts w:hint="eastAsia" w:ascii="宋体" w:hAnsi="宋体" w:cs="宋体"/>
          <w:color w:val="auto"/>
          <w:sz w:val="24"/>
          <w:highlight w:val="none"/>
          <w:lang w:eastAsia="zh-CN"/>
        </w:rPr>
        <w:t>228.1106</w:t>
      </w:r>
      <w:r>
        <w:rPr>
          <w:rFonts w:hint="eastAsia" w:ascii="宋体" w:hAnsi="宋体" w:cs="宋体"/>
          <w:color w:val="auto"/>
          <w:sz w:val="24"/>
          <w:highlight w:val="none"/>
        </w:rPr>
        <w:t>万元。</w:t>
      </w:r>
    </w:p>
    <w:p w14:paraId="6B401750">
      <w:pPr>
        <w:shd w:val="clear" w:fill="FFFFFF" w:themeFill="background1"/>
        <w:spacing w:line="400" w:lineRule="atLeast"/>
        <w:ind w:firstLine="480" w:firstLineChars="200"/>
        <w:rPr>
          <w:color w:val="auto"/>
          <w:highlight w:val="none"/>
        </w:rPr>
      </w:pPr>
      <w:r>
        <w:rPr>
          <w:rFonts w:hint="eastAsia" w:ascii="宋体" w:hAnsi="宋体"/>
          <w:color w:val="auto"/>
          <w:sz w:val="24"/>
          <w:highlight w:val="none"/>
        </w:rPr>
        <w:t>2.2 标段划分：本次施工招标只设一个标段。</w:t>
      </w:r>
    </w:p>
    <w:tbl>
      <w:tblPr>
        <w:tblStyle w:val="45"/>
        <w:tblW w:w="9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859"/>
        <w:gridCol w:w="1136"/>
        <w:gridCol w:w="985"/>
        <w:gridCol w:w="928"/>
        <w:gridCol w:w="3046"/>
        <w:gridCol w:w="1445"/>
      </w:tblGrid>
      <w:tr w14:paraId="5EF9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437" w:type="dxa"/>
            <w:vAlign w:val="center"/>
          </w:tcPr>
          <w:p w14:paraId="627301FC">
            <w:pPr>
              <w:shd w:val="clear" w:fill="FFFFFF" w:themeFill="background1"/>
              <w:adjustRightInd w:val="0"/>
              <w:snapToGrid w:val="0"/>
              <w:spacing w:line="400" w:lineRule="atLeast"/>
              <w:jc w:val="center"/>
              <w:rPr>
                <w:rFonts w:ascii="宋体" w:hAnsi="宋体" w:cs="宋体"/>
                <w:color w:val="auto"/>
                <w:sz w:val="24"/>
                <w:highlight w:val="none"/>
              </w:rPr>
            </w:pPr>
            <w:bookmarkStart w:id="11" w:name="_Toc424739346"/>
            <w:bookmarkStart w:id="12" w:name="_Toc20608"/>
            <w:r>
              <w:rPr>
                <w:rFonts w:hint="eastAsia" w:ascii="宋体" w:hAnsi="宋体" w:cs="宋体"/>
                <w:color w:val="auto"/>
                <w:sz w:val="24"/>
                <w:highlight w:val="none"/>
              </w:rPr>
              <w:t>标段类别</w:t>
            </w:r>
          </w:p>
        </w:tc>
        <w:tc>
          <w:tcPr>
            <w:tcW w:w="859" w:type="dxa"/>
            <w:vAlign w:val="center"/>
          </w:tcPr>
          <w:p w14:paraId="51FF91D1">
            <w:pPr>
              <w:shd w:val="clear" w:fill="FFFFFF" w:themeFill="background1"/>
              <w:adjustRightInd w:val="0"/>
              <w:snapToGrid w:val="0"/>
              <w:spacing w:line="400" w:lineRule="atLeast"/>
              <w:jc w:val="center"/>
              <w:rPr>
                <w:rFonts w:ascii="宋体" w:hAnsi="宋体" w:cs="宋体"/>
                <w:color w:val="auto"/>
                <w:sz w:val="24"/>
                <w:highlight w:val="none"/>
              </w:rPr>
            </w:pPr>
            <w:r>
              <w:rPr>
                <w:rFonts w:hint="eastAsia" w:ascii="宋体" w:hAnsi="宋体" w:cs="宋体"/>
                <w:color w:val="auto"/>
                <w:sz w:val="24"/>
                <w:highlight w:val="none"/>
              </w:rPr>
              <w:t>标段</w:t>
            </w:r>
          </w:p>
        </w:tc>
        <w:tc>
          <w:tcPr>
            <w:tcW w:w="1136" w:type="dxa"/>
            <w:vAlign w:val="center"/>
          </w:tcPr>
          <w:p w14:paraId="2F4082D5">
            <w:pPr>
              <w:shd w:val="clear" w:fill="FFFFFF" w:themeFill="background1"/>
              <w:adjustRightInd w:val="0"/>
              <w:snapToGrid w:val="0"/>
              <w:spacing w:line="400" w:lineRule="atLeast"/>
              <w:jc w:val="center"/>
              <w:rPr>
                <w:rFonts w:ascii="宋体" w:hAnsi="宋体" w:cs="宋体"/>
                <w:color w:val="auto"/>
                <w:sz w:val="24"/>
                <w:highlight w:val="none"/>
              </w:rPr>
            </w:pPr>
            <w:r>
              <w:rPr>
                <w:rFonts w:hint="eastAsia" w:ascii="宋体" w:hAnsi="宋体" w:cs="宋体"/>
                <w:color w:val="auto"/>
                <w:sz w:val="24"/>
                <w:highlight w:val="none"/>
              </w:rPr>
              <w:t>起讫桩号</w:t>
            </w:r>
          </w:p>
        </w:tc>
        <w:tc>
          <w:tcPr>
            <w:tcW w:w="985" w:type="dxa"/>
            <w:vAlign w:val="center"/>
          </w:tcPr>
          <w:p w14:paraId="44F07DA8">
            <w:pPr>
              <w:shd w:val="clear" w:fill="FFFFFF" w:themeFill="background1"/>
              <w:adjustRightInd w:val="0"/>
              <w:snapToGrid w:val="0"/>
              <w:spacing w:line="400" w:lineRule="atLeast"/>
              <w:jc w:val="center"/>
              <w:rPr>
                <w:rFonts w:ascii="宋体" w:hAnsi="宋体" w:cs="宋体"/>
                <w:color w:val="auto"/>
                <w:sz w:val="24"/>
                <w:highlight w:val="none"/>
              </w:rPr>
            </w:pPr>
            <w:r>
              <w:rPr>
                <w:rFonts w:hint="eastAsia" w:ascii="宋体" w:hAnsi="宋体" w:cs="宋体"/>
                <w:color w:val="auto"/>
                <w:sz w:val="24"/>
                <w:highlight w:val="none"/>
              </w:rPr>
              <w:t>长度（km）</w:t>
            </w:r>
          </w:p>
        </w:tc>
        <w:tc>
          <w:tcPr>
            <w:tcW w:w="928" w:type="dxa"/>
            <w:vAlign w:val="center"/>
          </w:tcPr>
          <w:p w14:paraId="57968638">
            <w:pPr>
              <w:shd w:val="clear" w:fill="FFFFFF" w:themeFill="background1"/>
              <w:adjustRightInd w:val="0"/>
              <w:snapToGrid w:val="0"/>
              <w:spacing w:line="400" w:lineRule="atLeast"/>
              <w:jc w:val="center"/>
              <w:rPr>
                <w:rFonts w:ascii="宋体" w:hAnsi="宋体" w:cs="宋体"/>
                <w:color w:val="auto"/>
                <w:sz w:val="24"/>
                <w:highlight w:val="none"/>
              </w:rPr>
            </w:pPr>
            <w:r>
              <w:rPr>
                <w:rFonts w:hint="eastAsia" w:ascii="宋体" w:hAnsi="宋体" w:cs="宋体"/>
                <w:color w:val="auto"/>
                <w:sz w:val="24"/>
                <w:highlight w:val="none"/>
              </w:rPr>
              <w:t>主要工程项目</w:t>
            </w:r>
          </w:p>
        </w:tc>
        <w:tc>
          <w:tcPr>
            <w:tcW w:w="3046" w:type="dxa"/>
            <w:vAlign w:val="center"/>
          </w:tcPr>
          <w:p w14:paraId="19C1A7ED">
            <w:pPr>
              <w:shd w:val="clear" w:fill="FFFFFF" w:themeFill="background1"/>
              <w:adjustRightInd w:val="0"/>
              <w:snapToGrid w:val="0"/>
              <w:spacing w:line="400" w:lineRule="atLeast"/>
              <w:jc w:val="center"/>
              <w:rPr>
                <w:rFonts w:ascii="宋体" w:hAnsi="宋体" w:cs="宋体"/>
                <w:color w:val="auto"/>
                <w:sz w:val="24"/>
                <w:highlight w:val="none"/>
              </w:rPr>
            </w:pPr>
            <w:r>
              <w:rPr>
                <w:rFonts w:hint="eastAsia" w:ascii="宋体" w:hAnsi="宋体" w:cs="宋体"/>
                <w:color w:val="auto"/>
                <w:sz w:val="24"/>
                <w:highlight w:val="none"/>
              </w:rPr>
              <w:t>对投标人资质要求</w:t>
            </w:r>
          </w:p>
        </w:tc>
        <w:tc>
          <w:tcPr>
            <w:tcW w:w="1445" w:type="dxa"/>
            <w:vAlign w:val="center"/>
          </w:tcPr>
          <w:p w14:paraId="4D061317">
            <w:pPr>
              <w:shd w:val="clear" w:fill="FFFFFF" w:themeFill="background1"/>
              <w:adjustRightInd w:val="0"/>
              <w:snapToGrid w:val="0"/>
              <w:spacing w:line="400" w:lineRule="atLeast"/>
              <w:jc w:val="center"/>
              <w:rPr>
                <w:rFonts w:ascii="宋体" w:hAnsi="宋体" w:cs="宋体"/>
                <w:color w:val="auto"/>
                <w:sz w:val="24"/>
                <w:highlight w:val="none"/>
              </w:rPr>
            </w:pPr>
            <w:r>
              <w:rPr>
                <w:rFonts w:hint="eastAsia" w:ascii="宋体" w:hAnsi="宋体" w:cs="宋体"/>
                <w:color w:val="auto"/>
                <w:sz w:val="24"/>
                <w:highlight w:val="none"/>
              </w:rPr>
              <w:t>备注</w:t>
            </w:r>
          </w:p>
        </w:tc>
      </w:tr>
      <w:tr w14:paraId="02F3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5345" w:type="dxa"/>
            <w:gridSpan w:val="5"/>
            <w:shd w:val="clear" w:color="auto" w:fill="FFFFFF" w:themeFill="background1"/>
            <w:vAlign w:val="center"/>
          </w:tcPr>
          <w:p w14:paraId="1CFED0E9">
            <w:pPr>
              <w:shd w:val="clear" w:fill="FFFFFF" w:themeFill="background1"/>
              <w:adjustRightInd w:val="0"/>
              <w:snapToGrid w:val="0"/>
              <w:spacing w:line="400" w:lineRule="atLeast"/>
              <w:rPr>
                <w:rFonts w:ascii="宋体" w:hAnsi="宋体" w:cs="宋体"/>
                <w:color w:val="auto"/>
                <w:sz w:val="24"/>
                <w:highlight w:val="none"/>
              </w:rPr>
            </w:pPr>
            <w:r>
              <w:rPr>
                <w:rFonts w:hint="eastAsia" w:ascii="宋体" w:hAnsi="宋体" w:cs="宋体"/>
                <w:color w:val="auto"/>
                <w:sz w:val="24"/>
                <w:highlight w:val="none"/>
              </w:rPr>
              <w:t>标段的划分及主要工程项目情况详见本招标公告2.1及2.2条</w:t>
            </w:r>
          </w:p>
        </w:tc>
        <w:tc>
          <w:tcPr>
            <w:tcW w:w="3046" w:type="dxa"/>
            <w:vAlign w:val="center"/>
          </w:tcPr>
          <w:p w14:paraId="6970A7DF">
            <w:pPr>
              <w:shd w:val="clear" w:fill="FFFFFF" w:themeFill="background1"/>
              <w:adjustRightInd w:val="0"/>
              <w:snapToGrid w:val="0"/>
              <w:spacing w:line="400" w:lineRule="atLeast"/>
              <w:rPr>
                <w:rFonts w:ascii="宋体" w:hAnsi="宋体" w:cs="宋体"/>
                <w:color w:val="auto"/>
                <w:sz w:val="24"/>
                <w:highlight w:val="none"/>
              </w:rPr>
            </w:pPr>
            <w:r>
              <w:rPr>
                <w:rFonts w:hint="eastAsia" w:ascii="宋体" w:hAnsi="宋体" w:cs="宋体"/>
                <w:color w:val="auto"/>
                <w:sz w:val="24"/>
                <w:highlight w:val="none"/>
              </w:rPr>
              <w:t>具备《建筑业企业资质标准》（建市[2014]159号）规定的公路工程施工总承包三级以上（含三级）资质。</w:t>
            </w:r>
          </w:p>
        </w:tc>
        <w:tc>
          <w:tcPr>
            <w:tcW w:w="1445" w:type="dxa"/>
            <w:vAlign w:val="center"/>
          </w:tcPr>
          <w:p w14:paraId="70DB05BC">
            <w:pPr>
              <w:shd w:val="clear" w:fill="FFFFFF" w:themeFill="background1"/>
              <w:adjustRightInd w:val="0"/>
              <w:snapToGrid w:val="0"/>
              <w:spacing w:line="400" w:lineRule="atLeast"/>
              <w:rPr>
                <w:rFonts w:ascii="宋体" w:hAnsi="宋体" w:cs="宋体"/>
                <w:color w:val="auto"/>
                <w:sz w:val="24"/>
                <w:highlight w:val="none"/>
              </w:rPr>
            </w:pPr>
            <w:r>
              <w:rPr>
                <w:rFonts w:hint="eastAsia" w:ascii="宋体" w:hAnsi="宋体" w:cs="宋体"/>
                <w:color w:val="auto"/>
                <w:sz w:val="24"/>
                <w:highlight w:val="none"/>
              </w:rPr>
              <w:t>资格审查条件见招标文件附录1至附录7</w:t>
            </w:r>
          </w:p>
        </w:tc>
      </w:tr>
    </w:tbl>
    <w:p w14:paraId="1F667556">
      <w:pPr>
        <w:pStyle w:val="5"/>
        <w:shd w:val="clear" w:fill="FFFFFF" w:themeFill="background1"/>
        <w:spacing w:line="240" w:lineRule="exact"/>
        <w:rPr>
          <w:rFonts w:ascii="宋体" w:hAnsi="宋体" w:eastAsia="宋体" w:cs="黑体"/>
          <w:bCs w:val="0"/>
          <w:color w:val="auto"/>
          <w:sz w:val="28"/>
          <w:szCs w:val="28"/>
          <w:highlight w:val="none"/>
        </w:rPr>
      </w:pPr>
      <w:bookmarkStart w:id="13" w:name="_Toc32609"/>
    </w:p>
    <w:p w14:paraId="477338D0">
      <w:pPr>
        <w:pStyle w:val="5"/>
        <w:shd w:val="clear" w:fill="FFFFFF" w:themeFill="background1"/>
        <w:spacing w:line="400" w:lineRule="atLeast"/>
        <w:rPr>
          <w:rFonts w:ascii="宋体" w:hAnsi="宋体" w:eastAsia="宋体" w:cs="黑体"/>
          <w:bCs w:val="0"/>
          <w:color w:val="auto"/>
          <w:sz w:val="28"/>
          <w:szCs w:val="28"/>
          <w:highlight w:val="none"/>
        </w:rPr>
      </w:pPr>
      <w:r>
        <w:rPr>
          <w:rFonts w:hint="eastAsia" w:ascii="宋体" w:hAnsi="宋体" w:eastAsia="宋体" w:cs="黑体"/>
          <w:bCs w:val="0"/>
          <w:color w:val="auto"/>
          <w:sz w:val="28"/>
          <w:szCs w:val="28"/>
          <w:highlight w:val="none"/>
        </w:rPr>
        <w:t>3.投标人资格要求</w:t>
      </w:r>
      <w:bookmarkEnd w:id="11"/>
      <w:bookmarkEnd w:id="12"/>
      <w:bookmarkEnd w:id="13"/>
    </w:p>
    <w:p w14:paraId="4826E717">
      <w:pPr>
        <w:pStyle w:val="18"/>
        <w:shd w:val="clear" w:fill="FFFFFF" w:themeFill="background1"/>
        <w:spacing w:line="400" w:lineRule="atLeast"/>
        <w:ind w:firstLine="480" w:firstLineChars="200"/>
        <w:rPr>
          <w:rFonts w:ascii="宋体" w:hAnsi="宋体"/>
          <w:color w:val="auto"/>
          <w:sz w:val="24"/>
          <w:highlight w:val="none"/>
          <w:u w:val="single"/>
        </w:rPr>
      </w:pPr>
      <w:r>
        <w:rPr>
          <w:rFonts w:hint="eastAsia" w:ascii="宋体" w:hAnsi="宋体"/>
          <w:color w:val="auto"/>
          <w:sz w:val="24"/>
          <w:highlight w:val="none"/>
        </w:rPr>
        <w:t xml:space="preserve">3.1 </w:t>
      </w:r>
      <w:r>
        <w:rPr>
          <w:rFonts w:hint="eastAsia" w:ascii="宋体" w:hAnsi="宋体" w:cs="宋体"/>
          <w:color w:val="auto"/>
          <w:sz w:val="24"/>
          <w:highlight w:val="none"/>
        </w:rPr>
        <w:t>本次招标要求投标人须具备</w:t>
      </w:r>
      <w:r>
        <w:rPr>
          <w:rFonts w:hint="eastAsia" w:ascii="宋体" w:hAnsi="宋体" w:cs="宋体"/>
          <w:color w:val="auto"/>
          <w:sz w:val="24"/>
          <w:highlight w:val="none"/>
          <w:u w:val="single"/>
        </w:rPr>
        <w:t>上述第2.2款表中所列相应</w:t>
      </w:r>
      <w:r>
        <w:rPr>
          <w:rFonts w:hint="eastAsia" w:ascii="宋体" w:hAnsi="宋体" w:cs="宋体"/>
          <w:color w:val="auto"/>
          <w:kern w:val="0"/>
          <w:sz w:val="24"/>
          <w:highlight w:val="none"/>
        </w:rPr>
        <w:t>资质、</w:t>
      </w:r>
      <w:r>
        <w:rPr>
          <w:rFonts w:hint="eastAsia" w:ascii="宋体" w:hAnsi="宋体" w:cs="宋体"/>
          <w:color w:val="auto"/>
          <w:sz w:val="24"/>
          <w:highlight w:val="none"/>
          <w:u w:val="single"/>
        </w:rPr>
        <w:t>类似工程</w:t>
      </w:r>
      <w:r>
        <w:rPr>
          <w:rFonts w:hint="eastAsia" w:ascii="宋体" w:hAnsi="宋体" w:cs="宋体"/>
          <w:color w:val="auto"/>
          <w:sz w:val="24"/>
          <w:highlight w:val="none"/>
        </w:rPr>
        <w:t>业绩，并在人员、设备、资金等方面具有相应的施工能力。</w:t>
      </w:r>
    </w:p>
    <w:p w14:paraId="1A2F0B37">
      <w:pPr>
        <w:shd w:val="clear" w:fill="FFFFFF" w:themeFill="background1"/>
        <w:wordWrap w:val="0"/>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投标人应进入交通运输部“全国公路建设市场监督管理系统（https://hwdms.mot.gov.cn/BMWebSite/）”中的公路工程施工资质企业名录，且投标人名称和资质与该名录中的相应企业名称和资质完全一致。</w:t>
      </w:r>
    </w:p>
    <w:p w14:paraId="67BD6347">
      <w:pPr>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3.2 本次招标</w:t>
      </w:r>
      <w:r>
        <w:rPr>
          <w:rFonts w:hint="eastAsia" w:ascii="宋体" w:hAnsi="宋体"/>
          <w:color w:val="auto"/>
          <w:sz w:val="24"/>
          <w:highlight w:val="none"/>
          <w:u w:val="single"/>
        </w:rPr>
        <w:t>不接受</w:t>
      </w:r>
      <w:r>
        <w:rPr>
          <w:rFonts w:hint="eastAsia" w:ascii="宋体" w:hAnsi="宋体"/>
          <w:color w:val="auto"/>
          <w:sz w:val="24"/>
          <w:highlight w:val="none"/>
        </w:rPr>
        <w:t>联合体投标。</w:t>
      </w:r>
    </w:p>
    <w:p w14:paraId="2D93A1A4">
      <w:pPr>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3.3 在本次招标中，每个投标人可对</w:t>
      </w:r>
      <w:r>
        <w:rPr>
          <w:rFonts w:hint="eastAsia" w:ascii="宋体" w:hAnsi="宋体"/>
          <w:color w:val="auto"/>
          <w:sz w:val="24"/>
          <w:highlight w:val="none"/>
          <w:u w:val="single"/>
        </w:rPr>
        <w:t xml:space="preserve"> 1 </w:t>
      </w:r>
      <w:r>
        <w:rPr>
          <w:rFonts w:hint="eastAsia" w:ascii="宋体" w:hAnsi="宋体"/>
          <w:color w:val="auto"/>
          <w:sz w:val="24"/>
          <w:highlight w:val="none"/>
        </w:rPr>
        <w:t>个标段投标，且只允许中</w:t>
      </w:r>
      <w:r>
        <w:rPr>
          <w:rFonts w:hint="eastAsia" w:ascii="宋体" w:hAnsi="宋体"/>
          <w:color w:val="auto"/>
          <w:sz w:val="24"/>
          <w:highlight w:val="none"/>
          <w:u w:val="single"/>
        </w:rPr>
        <w:t xml:space="preserve"> 1</w:t>
      </w:r>
      <w:r>
        <w:rPr>
          <w:rFonts w:hint="eastAsia" w:ascii="宋体" w:hAnsi="宋体"/>
          <w:color w:val="auto"/>
          <w:sz w:val="24"/>
          <w:highlight w:val="none"/>
        </w:rPr>
        <w:t>个标。</w:t>
      </w:r>
    </w:p>
    <w:p w14:paraId="02443DF0">
      <w:pPr>
        <w:pStyle w:val="18"/>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3.4 与招标人存在利害关系可能影响招标公正性的法人，不得参加投标；若单位负责人为同一人、或者存在控股、管理关系的不同单位，不得参加同一标段投标或者未划分标段的同一招标项目投标，否则按否决其投标处理。</w:t>
      </w:r>
    </w:p>
    <w:p w14:paraId="4AAE51A5">
      <w:pPr>
        <w:pStyle w:val="18"/>
        <w:shd w:val="clear" w:fill="FFFFFF" w:themeFill="background1"/>
        <w:spacing w:line="400" w:lineRule="atLeast"/>
        <w:rPr>
          <w:rFonts w:ascii="宋体" w:hAnsi="宋体"/>
          <w:color w:val="auto"/>
          <w:sz w:val="24"/>
          <w:highlight w:val="none"/>
        </w:rPr>
      </w:pPr>
      <w:r>
        <w:rPr>
          <w:rFonts w:hint="eastAsia" w:ascii="宋体" w:hAnsi="宋体"/>
          <w:color w:val="auto"/>
          <w:sz w:val="24"/>
          <w:highlight w:val="none"/>
        </w:rPr>
        <w:t xml:space="preserve">    注：①单位负责人是指：单位的法定代表人或者法律、行政法规规定代表单位行使职权的主要负责人；</w:t>
      </w:r>
    </w:p>
    <w:p w14:paraId="0AC86A2D">
      <w:pPr>
        <w:pStyle w:val="18"/>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 xml:space="preserve">    ②控股是指：控股是指：出资额占有限责任公司资本总额 50%以上或者其持有的股份占股份有限公司股本总额 50%以上的，以及出资额或者持有股份的比例虽然不足 50%，但依其出资额或者持有的股份所享有的表决权已足以对股东会、股东大会的决议产生重大影响的；</w:t>
      </w:r>
    </w:p>
    <w:p w14:paraId="1490FB04">
      <w:pPr>
        <w:pStyle w:val="18"/>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 xml:space="preserve">    ③管理关系是指：不具有出资持股关系的其它单位之间存在的管理与被管理关系。</w:t>
      </w:r>
    </w:p>
    <w:p w14:paraId="1694F065">
      <w:pPr>
        <w:pStyle w:val="18"/>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3.5 在“信用中国”网站（https://www.creditchina.gov.cn/）中被列入失信被执行人名单的投标人、在“国家企业信用信息公示系统” (https://www.gsxt.gov.cn) 中被列入严重违法失信企业名单的投标人，均按否决投标处理。</w:t>
      </w:r>
    </w:p>
    <w:p w14:paraId="07E49893">
      <w:pPr>
        <w:pStyle w:val="18"/>
        <w:shd w:val="clear" w:fill="FFFFFF" w:themeFill="background1"/>
        <w:spacing w:line="400" w:lineRule="atLeast"/>
        <w:ind w:firstLine="480" w:firstLineChars="200"/>
        <w:rPr>
          <w:rFonts w:ascii="宋体" w:hAnsi="宋体"/>
          <w:color w:val="auto"/>
          <w:sz w:val="24"/>
          <w:highlight w:val="none"/>
        </w:rPr>
      </w:pPr>
      <w:r>
        <w:rPr>
          <w:rFonts w:hint="eastAsia" w:ascii="宋体" w:hAnsi="宋体"/>
          <w:color w:val="auto"/>
          <w:sz w:val="24"/>
          <w:highlight w:val="none"/>
        </w:rPr>
        <w:t>3.6 根据有关文件精神，投标人的企业相关证书到期的，均按该证书的发证机构相关行业主管部门最新文件执行（如自动顺延或推迟办理延期业务的通知），投标人必须将相关文件附在该证书后面中，证明在开标日继续有效</w:t>
      </w:r>
      <w:r>
        <w:rPr>
          <w:rFonts w:ascii="宋体" w:hAnsi="宋体"/>
          <w:color w:val="auto"/>
          <w:sz w:val="24"/>
          <w:highlight w:val="none"/>
        </w:rPr>
        <w:t>。</w:t>
      </w:r>
    </w:p>
    <w:p w14:paraId="21B2E910">
      <w:pPr>
        <w:pStyle w:val="5"/>
        <w:shd w:val="clear" w:fill="FFFFFF" w:themeFill="background1"/>
        <w:spacing w:line="240" w:lineRule="exact"/>
        <w:rPr>
          <w:rFonts w:ascii="宋体" w:hAnsi="宋体" w:eastAsia="宋体" w:cs="黑体"/>
          <w:bCs w:val="0"/>
          <w:color w:val="auto"/>
          <w:sz w:val="28"/>
          <w:szCs w:val="28"/>
          <w:highlight w:val="none"/>
        </w:rPr>
      </w:pPr>
      <w:bookmarkStart w:id="14" w:name="_Toc424739347"/>
      <w:bookmarkStart w:id="15" w:name="_Toc27732"/>
      <w:bookmarkStart w:id="16" w:name="_Toc28412"/>
    </w:p>
    <w:p w14:paraId="47BA1895">
      <w:pPr>
        <w:pStyle w:val="5"/>
        <w:shd w:val="clear" w:fill="FFFFFF" w:themeFill="background1"/>
        <w:spacing w:line="400" w:lineRule="atLeast"/>
        <w:rPr>
          <w:rFonts w:ascii="宋体" w:hAnsi="宋体" w:eastAsia="宋体" w:cs="黑体"/>
          <w:bCs w:val="0"/>
          <w:color w:val="auto"/>
          <w:sz w:val="28"/>
          <w:szCs w:val="28"/>
          <w:highlight w:val="none"/>
        </w:rPr>
      </w:pPr>
      <w:r>
        <w:rPr>
          <w:rFonts w:hint="eastAsia" w:ascii="宋体" w:hAnsi="宋体" w:eastAsia="宋体" w:cs="黑体"/>
          <w:bCs w:val="0"/>
          <w:color w:val="auto"/>
          <w:sz w:val="28"/>
          <w:szCs w:val="28"/>
          <w:highlight w:val="none"/>
        </w:rPr>
        <w:t>4.</w:t>
      </w:r>
      <w:bookmarkEnd w:id="14"/>
      <w:r>
        <w:rPr>
          <w:rFonts w:hint="eastAsia" w:ascii="宋体" w:hAnsi="宋体" w:eastAsia="宋体" w:cs="黑体"/>
          <w:bCs w:val="0"/>
          <w:color w:val="auto"/>
          <w:sz w:val="28"/>
          <w:szCs w:val="28"/>
          <w:highlight w:val="none"/>
        </w:rPr>
        <w:t>招标文件的获取</w:t>
      </w:r>
      <w:bookmarkEnd w:id="15"/>
      <w:bookmarkEnd w:id="16"/>
    </w:p>
    <w:p w14:paraId="2DDF38E9">
      <w:pPr>
        <w:pStyle w:val="73"/>
        <w:widowControl/>
        <w:shd w:val="clear" w:fill="FFFFFF" w:themeFill="background1"/>
        <w:snapToGrid w:val="0"/>
        <w:spacing w:line="400" w:lineRule="atLeast"/>
        <w:ind w:firstLine="480"/>
        <w:rPr>
          <w:rFonts w:hAnsi="宋体" w:cs="Tahoma"/>
          <w:color w:val="auto"/>
          <w:kern w:val="0"/>
          <w:highlight w:val="none"/>
        </w:rPr>
      </w:pPr>
      <w:r>
        <w:rPr>
          <w:rFonts w:hint="eastAsia" w:hAnsi="宋体" w:cs="Tahoma"/>
          <w:color w:val="auto"/>
          <w:kern w:val="0"/>
          <w:highlight w:val="none"/>
        </w:rPr>
        <w:t>4.1 本次招标实行电子投标。本项目招标文件随招标公告一并在全国公共资源交易平台（广东省·韶关市）（https://ygp.gdzwfw.gov.cn/ggzy-portal/#/440200/index）网站发布。招标文件一经在交易平台发布，视为发送投标人，招标文件及相关附件由投标人自行在交易平台网站下载。招标文件获取期间（见本章第二节“重要事项时间地点一览表”，招标文件获取期间与招标公告发布时间一致），投标人须登录全国公共资源交易平台（广东省·韶关市）（https://ygp.gdzwfw.gov.cn/ggzy-portal/#/440200/index）下载招标文件及相关附件，并于电子投标截止时间（见本章第二节“重要事项时间地点一览表”）前完成电子投标。投标人可登录全国公共资源交易平台（广东省·韶关市）（https://ygp.gdzwfw.gov.cn/ggzy-portal/#/440200/index），在【服务指南】栏目中下载《韶关市公共资源交易平台-投标人操作指南（电子评标）》，了解网上获取招标文件操作流程。技术咨询电话：18819797080/0751-8379671 伍先生，业务咨询电话：0751-8633211、8379023。</w:t>
      </w:r>
    </w:p>
    <w:p w14:paraId="4F06E677">
      <w:pPr>
        <w:pStyle w:val="73"/>
        <w:widowControl/>
        <w:shd w:val="clear" w:fill="FFFFFF" w:themeFill="background1"/>
        <w:snapToGrid w:val="0"/>
        <w:spacing w:line="400" w:lineRule="atLeast"/>
        <w:ind w:firstLine="480"/>
        <w:jc w:val="left"/>
        <w:rPr>
          <w:rFonts w:hAnsi="宋体" w:cs="Tahoma"/>
          <w:color w:val="auto"/>
          <w:kern w:val="0"/>
          <w:highlight w:val="none"/>
        </w:rPr>
      </w:pPr>
      <w:r>
        <w:rPr>
          <w:rFonts w:hint="eastAsia" w:hAnsi="宋体" w:cs="Tahoma"/>
          <w:color w:val="auto"/>
          <w:kern w:val="0"/>
          <w:highlight w:val="none"/>
        </w:rPr>
        <w:t>4.2 只有申领了数字证书（CA）、“粤企签”或GDCA/SZCA/NETCA等符合法律法规规定的电子印章，并在交易平台中完成企业信息数据入库的投标人，方可在交易平台获取招标文件和电子投标。</w:t>
      </w:r>
    </w:p>
    <w:p w14:paraId="7A02D2E8">
      <w:pPr>
        <w:pStyle w:val="73"/>
        <w:widowControl/>
        <w:shd w:val="clear" w:fill="FFFFFF" w:themeFill="background1"/>
        <w:snapToGrid w:val="0"/>
        <w:spacing w:line="400" w:lineRule="atLeast"/>
        <w:ind w:firstLine="480"/>
        <w:jc w:val="left"/>
        <w:rPr>
          <w:rFonts w:hAnsi="宋体" w:cs="Tahoma"/>
          <w:color w:val="auto"/>
          <w:kern w:val="0"/>
          <w:highlight w:val="none"/>
        </w:rPr>
      </w:pPr>
      <w:r>
        <w:rPr>
          <w:rFonts w:hint="eastAsia" w:hAnsi="宋体" w:cs="Tahoma"/>
          <w:color w:val="auto"/>
          <w:kern w:val="0"/>
          <w:highlight w:val="none"/>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1141A2F0">
      <w:pPr>
        <w:pStyle w:val="73"/>
        <w:widowControl/>
        <w:shd w:val="clear" w:fill="FFFFFF" w:themeFill="background1"/>
        <w:snapToGrid w:val="0"/>
        <w:spacing w:line="400" w:lineRule="atLeast"/>
        <w:ind w:firstLine="480"/>
        <w:jc w:val="left"/>
        <w:rPr>
          <w:rFonts w:hAnsi="宋体" w:cs="Tahoma"/>
          <w:color w:val="auto"/>
          <w:kern w:val="0"/>
          <w:highlight w:val="none"/>
        </w:rPr>
      </w:pPr>
      <w:r>
        <w:rPr>
          <w:rFonts w:hint="eastAsia" w:hAnsi="宋体" w:cs="Tahoma"/>
          <w:color w:val="auto"/>
          <w:kern w:val="0"/>
          <w:highlight w:val="none"/>
        </w:rPr>
        <w:t>已入库企业有关信息（如单位名称、基本账号、资质、人员等）发生变化的，须及时在交易平台进行相应变更。投标人未及时变更信息而造成的损失和后果，由投标人自行承担。</w:t>
      </w:r>
    </w:p>
    <w:p w14:paraId="782BC666">
      <w:pPr>
        <w:pStyle w:val="73"/>
        <w:widowControl/>
        <w:shd w:val="clear" w:fill="FFFFFF" w:themeFill="background1"/>
        <w:snapToGrid w:val="0"/>
        <w:spacing w:line="400" w:lineRule="atLeast"/>
        <w:ind w:firstLine="480"/>
        <w:jc w:val="left"/>
        <w:rPr>
          <w:rFonts w:hAnsi="宋体" w:cs="Tahoma"/>
          <w:color w:val="auto"/>
          <w:kern w:val="0"/>
          <w:highlight w:val="none"/>
        </w:rPr>
      </w:pPr>
      <w:r>
        <w:rPr>
          <w:rFonts w:hint="eastAsia" w:hAnsi="宋体" w:cs="Tahoma"/>
          <w:color w:val="auto"/>
          <w:kern w:val="0"/>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71FB5135">
      <w:pPr>
        <w:pStyle w:val="58"/>
        <w:shd w:val="clear" w:fill="FFFFFF" w:themeFill="background1"/>
        <w:spacing w:line="440" w:lineRule="exact"/>
        <w:rPr>
          <w:rFonts w:ascii="宋体" w:hAnsi="宋体" w:cs="宋体"/>
          <w:bCs/>
          <w:color w:val="auto"/>
          <w:highlight w:val="none"/>
        </w:rPr>
      </w:pPr>
      <w:bookmarkStart w:id="17" w:name="OLE_LINK4"/>
      <w:bookmarkStart w:id="18" w:name="_Toc26909"/>
      <w:r>
        <w:rPr>
          <w:rFonts w:hint="eastAsia" w:ascii="宋体" w:hAnsi="宋体" w:cs="宋体"/>
          <w:bCs/>
          <w:color w:val="auto"/>
          <w:highlight w:val="none"/>
        </w:rPr>
        <w:t>4.3 投标保证金</w:t>
      </w:r>
    </w:p>
    <w:p w14:paraId="66D0628F">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4.3.1 投标人须缴纳金额为人民币</w:t>
      </w:r>
      <w:r>
        <w:rPr>
          <w:rFonts w:hint="eastAsia" w:ascii="宋体" w:hAnsi="宋体" w:cs="宋体"/>
          <w:bCs/>
          <w:color w:val="auto"/>
          <w:highlight w:val="none"/>
          <w:u w:val="single"/>
          <w:lang w:val="en-US" w:eastAsia="zh-CN"/>
        </w:rPr>
        <w:t>2</w:t>
      </w:r>
      <w:r>
        <w:rPr>
          <w:rFonts w:hint="eastAsia" w:ascii="宋体" w:hAnsi="宋体" w:cs="宋体"/>
          <w:bCs/>
          <w:color w:val="auto"/>
          <w:highlight w:val="none"/>
          <w:u w:val="single"/>
        </w:rPr>
        <w:t>万元</w:t>
      </w:r>
      <w:r>
        <w:rPr>
          <w:rFonts w:hint="eastAsia" w:ascii="宋体" w:hAnsi="宋体" w:cs="宋体"/>
          <w:bCs/>
          <w:color w:val="auto"/>
          <w:highlight w:val="none"/>
        </w:rPr>
        <w:t>的投标保证。</w:t>
      </w:r>
    </w:p>
    <w:p w14:paraId="15895C0D">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4.3.2 投标保证的形式包括投标保证金、投标保证担保、投标保证保险三种，由投标人自主选择。</w:t>
      </w:r>
    </w:p>
    <w:p w14:paraId="647D7C2C">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1）采用投标保证金的，投标人在交易平台获取招标文件后，即可在交易平台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6EE521F7">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2）采用投标保证担保的，投标人应提交有效的电子保函，电子保函的有效期不得短于投标有效期。投标人必须在投标保证担保截止时间（详见“重要事项时间地点一览表”）前，在交易平台完成网上办理电子保函。</w:t>
      </w:r>
    </w:p>
    <w:p w14:paraId="67280792">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3）采用投标保证保险的，投标人须在投标保证保险投保截止时间（见本章第二节“重要事项时间地点一览表”）前，在交易平台完成网上投保。投标人可在交易平台选择保险机构、录入投保信息、支付保费、打印电子保单，电子保单的有效期不得短于投标有效期。逾期投保的，其投标无效。</w:t>
      </w:r>
    </w:p>
    <w:p w14:paraId="10A13314">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温馨提醒：投标人采用投标保证担保或投标保证保险的，为避免在评标过程中因有效期发生争议，建议投标人将电子保函或电子保单有效期设置为较招标文件规定的投标有效期延长不少于20个日历天。</w:t>
      </w:r>
    </w:p>
    <w:p w14:paraId="796DF84B">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4.3.3若投标人因自身原因未能正确完成网上获取招标文件、电子投标、缴纳投标保证的，其投标无效。</w:t>
      </w:r>
    </w:p>
    <w:p w14:paraId="59A38C53">
      <w:pPr>
        <w:pStyle w:val="58"/>
        <w:shd w:val="clear" w:fill="FFFFFF" w:themeFill="background1"/>
        <w:spacing w:line="440" w:lineRule="exact"/>
        <w:rPr>
          <w:rFonts w:ascii="宋体" w:hAnsi="宋体" w:cs="宋体"/>
          <w:bCs/>
          <w:color w:val="auto"/>
          <w:highlight w:val="none"/>
        </w:rPr>
      </w:pPr>
      <w:r>
        <w:rPr>
          <w:rFonts w:hint="eastAsia" w:ascii="宋体" w:hAnsi="宋体" w:cs="宋体"/>
          <w:bCs/>
          <w:color w:val="auto"/>
          <w:highlight w:val="none"/>
        </w:rPr>
        <w:t xml:space="preserve">4.4 </w:t>
      </w:r>
      <w:r>
        <w:rPr>
          <w:rFonts w:hint="eastAsia" w:ascii="宋体" w:hAnsi="宋体"/>
          <w:color w:val="auto"/>
          <w:highlight w:val="none"/>
        </w:rPr>
        <w:t>获取招标文件等资料的方式：已经在</w:t>
      </w:r>
      <w:r>
        <w:rPr>
          <w:rFonts w:hint="eastAsia" w:ascii="宋体" w:hAnsi="宋体" w:cs="宋体"/>
          <w:color w:val="auto"/>
          <w:highlight w:val="none"/>
        </w:rPr>
        <w:t>全国公共资源交易平台 （广东省·韶关市）</w:t>
      </w:r>
      <w:r>
        <w:rPr>
          <w:rFonts w:hint="eastAsia" w:ascii="宋体" w:hAnsi="宋体"/>
          <w:color w:val="auto"/>
          <w:highlight w:val="none"/>
        </w:rPr>
        <w:t>报名的投标人可直接在平台中获取招标文件</w:t>
      </w:r>
      <w:r>
        <w:rPr>
          <w:rFonts w:hint="eastAsia" w:ascii="宋体" w:hAnsi="宋体" w:cs="宋体"/>
          <w:bCs/>
          <w:color w:val="auto"/>
          <w:highlight w:val="none"/>
        </w:rPr>
        <w:t>、工程量清单、图纸等相关资料。</w:t>
      </w:r>
      <w:bookmarkEnd w:id="17"/>
    </w:p>
    <w:p w14:paraId="57C0F1BF">
      <w:pPr>
        <w:pStyle w:val="58"/>
        <w:shd w:val="clear" w:fill="FFFFFF" w:themeFill="background1"/>
        <w:spacing w:line="240" w:lineRule="exact"/>
        <w:rPr>
          <w:rFonts w:ascii="宋体" w:hAnsi="宋体" w:cs="宋体"/>
          <w:bCs/>
          <w:color w:val="auto"/>
          <w:highlight w:val="none"/>
        </w:rPr>
      </w:pPr>
    </w:p>
    <w:p w14:paraId="7ED20E92">
      <w:pPr>
        <w:shd w:val="clear" w:fill="FFFFFF" w:themeFill="background1"/>
        <w:spacing w:line="440" w:lineRule="exact"/>
        <w:outlineLvl w:val="0"/>
        <w:rPr>
          <w:rFonts w:ascii="宋体" w:hAnsi="宋体" w:cs="宋体"/>
          <w:b/>
          <w:color w:val="auto"/>
          <w:sz w:val="28"/>
          <w:szCs w:val="28"/>
          <w:highlight w:val="none"/>
        </w:rPr>
      </w:pPr>
      <w:bookmarkStart w:id="19" w:name="_Toc27968"/>
      <w:r>
        <w:rPr>
          <w:rFonts w:hint="eastAsia" w:ascii="宋体" w:hAnsi="宋体" w:cs="黑体"/>
          <w:color w:val="auto"/>
          <w:sz w:val="28"/>
          <w:szCs w:val="28"/>
          <w:highlight w:val="none"/>
        </w:rPr>
        <w:t>5.</w:t>
      </w:r>
      <w:bookmarkEnd w:id="18"/>
      <w:bookmarkStart w:id="20" w:name="_Toc5243"/>
      <w:r>
        <w:rPr>
          <w:rFonts w:hint="eastAsia" w:ascii="宋体" w:hAnsi="宋体" w:cs="宋体"/>
          <w:b/>
          <w:color w:val="auto"/>
          <w:sz w:val="28"/>
          <w:szCs w:val="28"/>
          <w:highlight w:val="none"/>
        </w:rPr>
        <w:t>电子投标及相关事宜</w:t>
      </w:r>
      <w:bookmarkEnd w:id="19"/>
    </w:p>
    <w:p w14:paraId="544D7995">
      <w:pPr>
        <w:shd w:val="clear" w:fill="FFFFFF" w:themeFill="background1"/>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 投标人若对招标文件、工程量清单等资料有疑问，应在提问截止时间（见“重要事项时间地点一览表”）前使用交易平台提出问题。未在指定时间前、未采用指定方式提出的，招标人不予受理。</w:t>
      </w:r>
    </w:p>
    <w:p w14:paraId="1BC1C141">
      <w:pPr>
        <w:shd w:val="clear" w:fill="FFFFFF" w:themeFill="background1"/>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 招标人在提问截止时间（见“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0181F000">
      <w:pPr>
        <w:shd w:val="clear" w:fill="FFFFFF" w:themeFill="background1"/>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5.3 招标人对招标文件所作的答疑（或修改）公告，构成招标文件的组成部分。</w:t>
      </w:r>
    </w:p>
    <w:p w14:paraId="14D41AE2">
      <w:pPr>
        <w:shd w:val="clear" w:fill="FFFFFF" w:themeFill="background1"/>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5.4投标人必须在规定的截止时间前使用交易平台完成网上获取招标文件、缴纳投标保证和全流程电子投标。只有满足以上所有条件，方为有效投标。</w:t>
      </w:r>
    </w:p>
    <w:p w14:paraId="5F04F6D2">
      <w:pPr>
        <w:shd w:val="clear" w:fill="FFFFFF" w:themeFill="background1"/>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5.5根据《关于全面启用全流程电子化招标投标的通知》（韶交易发〔2022〕24 号）文件，自2022年11月28日起，进入交易平台以招标方式进行交易的项目将全面启用全流程电子化招标投标。投标人可通过交易平台在线办理电子保函、保证保险和投标及下载中标通知书等业务。全流程电子化招标投标项目不再接收纸质投标文件，也不接收纸质保函等单证资料。</w:t>
      </w:r>
    </w:p>
    <w:p w14:paraId="27E959B1">
      <w:pPr>
        <w:shd w:val="clear" w:fill="FFFFFF" w:themeFill="background1"/>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5.6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87D8EC">
      <w:pPr>
        <w:shd w:val="clear" w:fill="FFFFFF" w:themeFill="background1"/>
        <w:spacing w:line="400" w:lineRule="atLeast"/>
        <w:ind w:firstLine="480" w:firstLineChars="200"/>
        <w:rPr>
          <w:rFonts w:ascii="宋体" w:hAnsi="宋体"/>
          <w:color w:val="auto"/>
          <w:sz w:val="24"/>
          <w:highlight w:val="none"/>
        </w:rPr>
      </w:pPr>
      <w:r>
        <w:rPr>
          <w:rFonts w:hint="eastAsia" w:ascii="宋体" w:hAnsi="宋体" w:cs="宋体"/>
          <w:color w:val="auto"/>
          <w:sz w:val="24"/>
          <w:highlight w:val="none"/>
        </w:rPr>
        <w:t>5.7 开标时间和地点：见“重要事项时间地点一览表”。投标人无须进行现场签到（需要提交评审原件时，投标人可在规定的地点、时间内递交至开标现场，无原件的不作要求），可登录交易平台及时观看开标实况、提出异议或进行澄清、确认等操作，具体详见招标文件和系统操作手册为准。</w:t>
      </w:r>
    </w:p>
    <w:p w14:paraId="499A417F">
      <w:pPr>
        <w:pStyle w:val="5"/>
        <w:shd w:val="clear" w:fill="FFFFFF" w:themeFill="background1"/>
        <w:spacing w:line="240" w:lineRule="exact"/>
        <w:rPr>
          <w:rFonts w:ascii="宋体" w:hAnsi="宋体" w:eastAsia="宋体" w:cs="黑体"/>
          <w:bCs w:val="0"/>
          <w:color w:val="auto"/>
          <w:sz w:val="28"/>
          <w:szCs w:val="28"/>
          <w:highlight w:val="none"/>
        </w:rPr>
      </w:pPr>
      <w:bookmarkStart w:id="21" w:name="_Toc13025"/>
    </w:p>
    <w:p w14:paraId="173B4090">
      <w:pPr>
        <w:pStyle w:val="5"/>
        <w:shd w:val="clear" w:fill="FFFFFF" w:themeFill="background1"/>
        <w:spacing w:line="400" w:lineRule="atLeast"/>
        <w:rPr>
          <w:rFonts w:ascii="宋体" w:hAnsi="宋体" w:eastAsia="宋体" w:cs="黑体"/>
          <w:bCs w:val="0"/>
          <w:color w:val="auto"/>
          <w:sz w:val="28"/>
          <w:szCs w:val="28"/>
          <w:highlight w:val="none"/>
        </w:rPr>
      </w:pPr>
      <w:r>
        <w:rPr>
          <w:rFonts w:hint="eastAsia" w:ascii="宋体" w:hAnsi="宋体" w:eastAsia="宋体" w:cs="黑体"/>
          <w:bCs w:val="0"/>
          <w:color w:val="auto"/>
          <w:sz w:val="28"/>
          <w:szCs w:val="28"/>
          <w:highlight w:val="none"/>
        </w:rPr>
        <w:t>6.发布公告的媒介</w:t>
      </w:r>
      <w:bookmarkEnd w:id="20"/>
      <w:bookmarkEnd w:id="21"/>
    </w:p>
    <w:p w14:paraId="496B1818">
      <w:pPr>
        <w:shd w:val="clear" w:fill="FFFFFF" w:themeFill="background1"/>
        <w:adjustRightInd w:val="0"/>
        <w:snapToGrid w:val="0"/>
        <w:spacing w:line="360" w:lineRule="auto"/>
        <w:ind w:firstLine="480" w:firstLineChars="200"/>
        <w:rPr>
          <w:rFonts w:ascii="宋体" w:hAnsi="宋体" w:cs="宋体"/>
          <w:color w:val="auto"/>
          <w:sz w:val="24"/>
          <w:highlight w:val="none"/>
        </w:rPr>
      </w:pPr>
      <w:bookmarkStart w:id="22" w:name="_Toc19457"/>
      <w:r>
        <w:rPr>
          <w:rFonts w:hint="eastAsia" w:ascii="宋体" w:hAnsi="宋体" w:cs="宋体"/>
          <w:color w:val="auto"/>
          <w:kern w:val="0"/>
          <w:sz w:val="24"/>
          <w:highlight w:val="none"/>
        </w:rPr>
        <w:t>本次招标公告同时在①广东省招标投标监管网（http://zbtb.gd.gov.cn/）、②</w:t>
      </w:r>
      <w:r>
        <w:rPr>
          <w:rFonts w:hint="eastAsia" w:ascii="宋体" w:hAnsi="宋体" w:cs="宋体"/>
          <w:color w:val="auto"/>
          <w:sz w:val="24"/>
          <w:highlight w:val="none"/>
        </w:rPr>
        <w:t>全国公共资源交易平台 （广东省·韶关市）（https://ygp.gdzwfw.gov.cn/ggzy-portal/#/440200/index）</w:t>
      </w:r>
      <w:r>
        <w:rPr>
          <w:rFonts w:hint="eastAsia" w:ascii="宋体" w:hAnsi="宋体" w:cs="宋体"/>
          <w:color w:val="auto"/>
          <w:kern w:val="0"/>
          <w:sz w:val="24"/>
          <w:highlight w:val="none"/>
        </w:rPr>
        <w:t>上发布。如公告详细内容不一致者，以</w:t>
      </w:r>
      <w:r>
        <w:rPr>
          <w:rFonts w:hint="eastAsia" w:ascii="宋体" w:hAnsi="宋体" w:cs="宋体"/>
          <w:color w:val="auto"/>
          <w:sz w:val="24"/>
          <w:highlight w:val="none"/>
        </w:rPr>
        <w:t>全国公共资源交易平台 （广东省·韶关市）</w:t>
      </w:r>
      <w:r>
        <w:rPr>
          <w:rFonts w:hint="eastAsia" w:ascii="宋体" w:hAnsi="宋体" w:cs="宋体"/>
          <w:color w:val="auto"/>
          <w:kern w:val="0"/>
          <w:sz w:val="24"/>
          <w:highlight w:val="none"/>
        </w:rPr>
        <w:t>公告为准。</w:t>
      </w:r>
    </w:p>
    <w:p w14:paraId="58551E9E">
      <w:pPr>
        <w:shd w:val="clear" w:fill="FFFFFF" w:themeFill="background1"/>
        <w:spacing w:after="136" w:line="360" w:lineRule="auto"/>
        <w:ind w:firstLine="600" w:firstLineChars="250"/>
        <w:rPr>
          <w:rFonts w:ascii="宋体" w:hAnsi="宋体" w:cs="宋体"/>
          <w:color w:val="auto"/>
          <w:kern w:val="0"/>
          <w:sz w:val="24"/>
          <w:highlight w:val="none"/>
        </w:rPr>
      </w:pPr>
      <w:r>
        <w:rPr>
          <w:rFonts w:hint="eastAsia" w:ascii="宋体" w:hAnsi="宋体" w:cs="宋体"/>
          <w:color w:val="auto"/>
          <w:kern w:val="0"/>
          <w:sz w:val="24"/>
          <w:highlight w:val="none"/>
        </w:rPr>
        <w:t>在规定的报名期间，如本项目报名的投标人不足3家时，招标人依法有权选择以下任一方式：（1）在</w:t>
      </w:r>
      <w:r>
        <w:rPr>
          <w:rFonts w:hint="eastAsia" w:ascii="宋体" w:hAnsi="宋体" w:cs="宋体"/>
          <w:color w:val="auto"/>
          <w:sz w:val="24"/>
          <w:highlight w:val="none"/>
        </w:rPr>
        <w:t>全国公共资源交易平台 （广东省·韶关市）</w:t>
      </w:r>
      <w:r>
        <w:rPr>
          <w:rFonts w:hint="eastAsia" w:ascii="宋体" w:hAnsi="宋体" w:cs="宋体"/>
          <w:color w:val="auto"/>
          <w:kern w:val="0"/>
          <w:sz w:val="24"/>
          <w:highlight w:val="none"/>
        </w:rPr>
        <w:t>发布公告延长报名时间，在延期报名时间内，已报名投标人的资料仍有效并可自行补充资料，未报名的投标人可根据公告的约定进行报名；（2）依法重新组织招标。</w:t>
      </w:r>
    </w:p>
    <w:p w14:paraId="15B1E530">
      <w:pPr>
        <w:shd w:val="clear" w:fill="FFFFFF" w:themeFill="background1"/>
        <w:spacing w:after="136"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投标保证金缴纳截止时间到期后，若交易平台显示成功缴纳投标保证金的投标人数量少于3家时，招标人将取消于次日召开的项目开标会，发布公告延长报名时间或依法重新组织招标。投标人可在投标保证金缴纳截止时间起至电子投标截止时间前自行登录全国公共资源交易平台 （广东省·韶关市）（https://ygp.gdzwfw.gov.cn/ggzy-portal/#/440200/index）查询是否发布了取消项目开标会的相关信息。</w:t>
      </w:r>
    </w:p>
    <w:p w14:paraId="2F531C55">
      <w:pPr>
        <w:pStyle w:val="5"/>
        <w:shd w:val="clear" w:fill="FFFFFF" w:themeFill="background1"/>
        <w:spacing w:line="240" w:lineRule="exact"/>
        <w:rPr>
          <w:rFonts w:ascii="宋体" w:hAnsi="宋体" w:eastAsia="宋体" w:cs="黑体"/>
          <w:bCs w:val="0"/>
          <w:color w:val="auto"/>
          <w:sz w:val="28"/>
          <w:szCs w:val="28"/>
          <w:highlight w:val="none"/>
        </w:rPr>
      </w:pPr>
      <w:bookmarkStart w:id="23" w:name="_Toc27075"/>
    </w:p>
    <w:p w14:paraId="045D839D">
      <w:pPr>
        <w:pStyle w:val="5"/>
        <w:shd w:val="clear" w:fill="FFFFFF" w:themeFill="background1"/>
        <w:spacing w:line="400" w:lineRule="atLeast"/>
        <w:rPr>
          <w:rFonts w:ascii="宋体" w:hAnsi="宋体" w:eastAsia="宋体" w:cs="黑体"/>
          <w:bCs w:val="0"/>
          <w:color w:val="auto"/>
          <w:sz w:val="28"/>
          <w:szCs w:val="28"/>
          <w:highlight w:val="none"/>
        </w:rPr>
      </w:pPr>
      <w:r>
        <w:rPr>
          <w:rFonts w:hint="eastAsia" w:ascii="宋体" w:hAnsi="宋体" w:eastAsia="宋体" w:cs="黑体"/>
          <w:bCs w:val="0"/>
          <w:color w:val="auto"/>
          <w:sz w:val="28"/>
          <w:szCs w:val="28"/>
          <w:highlight w:val="none"/>
        </w:rPr>
        <w:t>7.</w:t>
      </w:r>
      <w:bookmarkStart w:id="24" w:name="_Toc13961"/>
      <w:bookmarkStart w:id="25" w:name="_Toc328560386"/>
      <w:bookmarkStart w:id="26" w:name="_Toc435045826"/>
      <w:r>
        <w:rPr>
          <w:rFonts w:hint="eastAsia" w:ascii="宋体" w:hAnsi="宋体" w:eastAsia="宋体" w:cs="黑体"/>
          <w:bCs w:val="0"/>
          <w:color w:val="auto"/>
          <w:sz w:val="28"/>
          <w:szCs w:val="28"/>
          <w:highlight w:val="none"/>
        </w:rPr>
        <w:t>联系方式</w:t>
      </w:r>
      <w:bookmarkEnd w:id="22"/>
      <w:bookmarkEnd w:id="23"/>
      <w:bookmarkEnd w:id="24"/>
    </w:p>
    <w:bookmarkEnd w:id="25"/>
    <w:bookmarkEnd w:id="26"/>
    <w:tbl>
      <w:tblPr>
        <w:tblStyle w:val="46"/>
        <w:tblW w:w="98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6"/>
        <w:gridCol w:w="4926"/>
      </w:tblGrid>
      <w:tr w14:paraId="51FBE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6" w:hRule="atLeast"/>
          <w:jc w:val="center"/>
        </w:trPr>
        <w:tc>
          <w:tcPr>
            <w:tcW w:w="4926" w:type="dxa"/>
            <w:tcBorders>
              <w:tl2br w:val="nil"/>
              <w:tr2bl w:val="nil"/>
            </w:tcBorders>
          </w:tcPr>
          <w:p w14:paraId="287555BC">
            <w:pPr>
              <w:shd w:val="clear" w:fill="FFFFFF" w:themeFill="background1"/>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招标人：</w:t>
            </w:r>
            <w:r>
              <w:rPr>
                <w:rFonts w:hint="eastAsia" w:ascii="宋体" w:hAnsi="宋体"/>
                <w:color w:val="auto"/>
                <w:sz w:val="24"/>
                <w:highlight w:val="none"/>
              </w:rPr>
              <w:t>乐昌市秀水镇人民政府</w:t>
            </w:r>
          </w:p>
          <w:p w14:paraId="4F415CBD">
            <w:pPr>
              <w:shd w:val="clear" w:fill="FFFFFF" w:themeFill="background1"/>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地  址：广东省韶关市乐昌市秀水镇</w:t>
            </w:r>
          </w:p>
          <w:p w14:paraId="1E503E43">
            <w:pPr>
              <w:shd w:val="clear" w:fill="FFFFFF" w:themeFill="background1"/>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联 系 人：马工</w:t>
            </w:r>
          </w:p>
          <w:p w14:paraId="5E8FFD51">
            <w:pPr>
              <w:shd w:val="clear" w:fill="FFFFFF" w:themeFill="background1"/>
              <w:spacing w:line="420" w:lineRule="exact"/>
              <w:rPr>
                <w:rFonts w:ascii="宋体" w:hAnsi="宋体" w:cs="宋体"/>
                <w:color w:val="auto"/>
                <w:kern w:val="0"/>
                <w:sz w:val="24"/>
                <w:highlight w:val="none"/>
              </w:rPr>
            </w:pPr>
            <w:r>
              <w:rPr>
                <w:rFonts w:hint="eastAsia" w:ascii="宋体" w:hAnsi="宋体" w:cs="宋体"/>
                <w:color w:val="auto"/>
                <w:kern w:val="0"/>
                <w:sz w:val="24"/>
                <w:highlight w:val="none"/>
              </w:rPr>
              <w:t>电    话：0751-5840168</w:t>
            </w:r>
          </w:p>
        </w:tc>
        <w:tc>
          <w:tcPr>
            <w:tcW w:w="4926" w:type="dxa"/>
            <w:tcBorders>
              <w:tl2br w:val="nil"/>
              <w:tr2bl w:val="nil"/>
            </w:tcBorders>
          </w:tcPr>
          <w:p w14:paraId="7DF39E00">
            <w:pPr>
              <w:shd w:val="clear" w:fill="FFFFFF" w:themeFill="background1"/>
              <w:spacing w:line="420" w:lineRule="exact"/>
              <w:rPr>
                <w:rFonts w:hint="eastAsia" w:ascii="宋体" w:hAnsi="宋体" w:eastAsia="宋体" w:cs="宋体"/>
                <w:color w:val="auto"/>
                <w:kern w:val="0"/>
                <w:sz w:val="24"/>
                <w:highlight w:val="none"/>
                <w:lang w:eastAsia="zh-CN"/>
              </w:rPr>
            </w:pPr>
            <w:r>
              <w:rPr>
                <w:rFonts w:ascii="宋体" w:hAnsi="宋体" w:cs="宋体"/>
                <w:color w:val="auto"/>
                <w:kern w:val="0"/>
                <w:sz w:val="24"/>
                <w:highlight w:val="none"/>
              </w:rPr>
              <w:t>单位名称：</w:t>
            </w:r>
            <w:r>
              <w:rPr>
                <w:rFonts w:hint="eastAsia" w:ascii="宋体" w:hAnsi="宋体" w:cs="宋体"/>
                <w:color w:val="auto"/>
                <w:kern w:val="0"/>
                <w:sz w:val="24"/>
                <w:highlight w:val="none"/>
                <w:lang w:eastAsia="zh-CN"/>
              </w:rPr>
              <w:t>韶关市中知工程咨询有限公司</w:t>
            </w:r>
          </w:p>
          <w:p w14:paraId="5860CB7F">
            <w:pPr>
              <w:shd w:val="clear" w:fill="FFFFFF" w:themeFill="background1"/>
              <w:spacing w:line="420" w:lineRule="exact"/>
              <w:rPr>
                <w:rFonts w:hint="eastAsia" w:ascii="宋体" w:hAnsi="宋体" w:eastAsia="宋体" w:cs="宋体"/>
                <w:color w:val="auto"/>
                <w:kern w:val="0"/>
                <w:sz w:val="24"/>
                <w:highlight w:val="none"/>
                <w:lang w:eastAsia="zh-CN"/>
              </w:rPr>
            </w:pPr>
            <w:r>
              <w:rPr>
                <w:rFonts w:ascii="宋体" w:hAnsi="宋体" w:cs="宋体"/>
                <w:color w:val="auto"/>
                <w:kern w:val="0"/>
                <w:sz w:val="24"/>
                <w:highlight w:val="none"/>
              </w:rPr>
              <w:t>办公地址：</w:t>
            </w:r>
            <w:r>
              <w:rPr>
                <w:rFonts w:hint="eastAsia" w:ascii="宋体" w:hAnsi="宋体" w:cs="宋体"/>
                <w:color w:val="auto"/>
                <w:kern w:val="0"/>
                <w:sz w:val="24"/>
                <w:highlight w:val="none"/>
                <w:lang w:eastAsia="zh-CN"/>
              </w:rPr>
              <w:t>韶关市武江区工业东路3号和贵楼306</w:t>
            </w:r>
          </w:p>
          <w:p w14:paraId="5B42E8F8">
            <w:pPr>
              <w:shd w:val="clear" w:fill="FFFFFF" w:themeFill="background1"/>
              <w:spacing w:line="420" w:lineRule="exact"/>
              <w:rPr>
                <w:rFonts w:hint="eastAsia" w:ascii="宋体" w:hAnsi="宋体" w:eastAsia="宋体" w:cs="宋体"/>
                <w:color w:val="auto"/>
                <w:kern w:val="0"/>
                <w:sz w:val="24"/>
                <w:highlight w:val="none"/>
                <w:lang w:eastAsia="zh-CN"/>
              </w:rPr>
            </w:pPr>
            <w:r>
              <w:rPr>
                <w:rFonts w:ascii="宋体" w:hAnsi="宋体" w:cs="宋体"/>
                <w:color w:val="auto"/>
                <w:kern w:val="0"/>
                <w:sz w:val="24"/>
                <w:highlight w:val="none"/>
              </w:rPr>
              <w:t>联 系 人：</w:t>
            </w:r>
            <w:r>
              <w:rPr>
                <w:rFonts w:hint="eastAsia" w:ascii="宋体" w:hAnsi="宋体" w:cs="宋体"/>
                <w:color w:val="auto"/>
                <w:kern w:val="0"/>
                <w:sz w:val="24"/>
                <w:highlight w:val="none"/>
                <w:lang w:eastAsia="zh-CN"/>
              </w:rPr>
              <w:t>刘工</w:t>
            </w:r>
          </w:p>
          <w:p w14:paraId="4DBCA5D7">
            <w:pPr>
              <w:shd w:val="clear" w:fill="FFFFFF" w:themeFill="background1"/>
              <w:spacing w:line="420" w:lineRule="exact"/>
              <w:rPr>
                <w:rFonts w:hint="eastAsia" w:ascii="宋体" w:hAnsi="宋体" w:eastAsia="宋体" w:cs="宋体"/>
                <w:color w:val="auto"/>
                <w:kern w:val="0"/>
                <w:sz w:val="24"/>
                <w:highlight w:val="none"/>
                <w:lang w:eastAsia="zh-CN"/>
              </w:rPr>
            </w:pPr>
            <w:r>
              <w:rPr>
                <w:rFonts w:ascii="宋体" w:hAnsi="宋体" w:cs="宋体"/>
                <w:color w:val="auto"/>
                <w:kern w:val="0"/>
                <w:sz w:val="24"/>
                <w:highlight w:val="none"/>
              </w:rPr>
              <w:t>联系电话：</w:t>
            </w:r>
            <w:r>
              <w:rPr>
                <w:rFonts w:hint="eastAsia" w:ascii="宋体" w:hAnsi="宋体" w:cs="宋体"/>
                <w:color w:val="auto"/>
                <w:kern w:val="0"/>
                <w:sz w:val="24"/>
                <w:highlight w:val="none"/>
                <w:lang w:eastAsia="zh-CN"/>
              </w:rPr>
              <w:t>0751-8272484</w:t>
            </w:r>
          </w:p>
        </w:tc>
      </w:tr>
      <w:tr w14:paraId="7DE34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atLeast"/>
          <w:jc w:val="center"/>
        </w:trPr>
        <w:tc>
          <w:tcPr>
            <w:tcW w:w="9852" w:type="dxa"/>
            <w:gridSpan w:val="2"/>
            <w:tcBorders>
              <w:tl2br w:val="nil"/>
              <w:tr2bl w:val="nil"/>
            </w:tcBorders>
          </w:tcPr>
          <w:p w14:paraId="71F1451F">
            <w:pPr>
              <w:pStyle w:val="39"/>
              <w:widowControl/>
              <w:shd w:val="clear" w:fill="FFFFFF" w:themeFill="background1"/>
              <w:spacing w:before="312" w:beforeLines="100"/>
              <w:jc w:val="right"/>
              <w:rPr>
                <w:rFonts w:ascii="宋体" w:hAnsi="宋体" w:cs="宋体"/>
                <w:color w:val="auto"/>
                <w:kern w:val="0"/>
                <w:highlight w:val="none"/>
              </w:rPr>
            </w:pPr>
          </w:p>
        </w:tc>
      </w:tr>
    </w:tbl>
    <w:p w14:paraId="33865E90">
      <w:pPr>
        <w:pStyle w:val="5"/>
        <w:numPr>
          <w:ilvl w:val="0"/>
          <w:numId w:val="4"/>
        </w:numPr>
        <w:shd w:val="clear" w:fill="FFFFFF" w:themeFill="background1"/>
        <w:spacing w:before="140" w:after="140" w:line="240" w:lineRule="auto"/>
        <w:rPr>
          <w:rFonts w:ascii="宋体" w:hAnsi="宋体" w:eastAsia="宋体" w:cs="黑体"/>
          <w:color w:val="auto"/>
          <w:sz w:val="30"/>
          <w:szCs w:val="30"/>
          <w:highlight w:val="none"/>
        </w:rPr>
      </w:pPr>
      <w:r>
        <w:rPr>
          <w:rFonts w:hint="eastAsia" w:ascii="宋体" w:hAnsi="宋体" w:eastAsia="宋体" w:cs="黑体"/>
          <w:b w:val="0"/>
          <w:bCs w:val="0"/>
          <w:color w:val="auto"/>
          <w:sz w:val="30"/>
          <w:szCs w:val="30"/>
          <w:highlight w:val="none"/>
        </w:rPr>
        <w:br w:type="page"/>
      </w:r>
      <w:bookmarkStart w:id="27" w:name="_Toc19197"/>
      <w:r>
        <w:rPr>
          <w:rFonts w:hint="eastAsia" w:ascii="宋体" w:hAnsi="宋体" w:eastAsia="宋体" w:cs="黑体"/>
          <w:color w:val="auto"/>
          <w:sz w:val="30"/>
          <w:szCs w:val="30"/>
          <w:highlight w:val="none"/>
        </w:rPr>
        <w:t>重要事项时间地点一览表</w:t>
      </w:r>
      <w:bookmarkEnd w:id="27"/>
    </w:p>
    <w:tbl>
      <w:tblPr>
        <w:tblStyle w:val="45"/>
        <w:tblW w:w="10099" w:type="dxa"/>
        <w:tblInd w:w="-6"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62"/>
        <w:gridCol w:w="1425"/>
        <w:gridCol w:w="8212"/>
      </w:tblGrid>
      <w:tr w14:paraId="212103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77"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35571B9A">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w:t>
            </w:r>
          </w:p>
        </w:tc>
        <w:tc>
          <w:tcPr>
            <w:tcW w:w="1425" w:type="dxa"/>
            <w:tcBorders>
              <w:top w:val="single" w:color="080000" w:sz="4" w:space="0"/>
              <w:left w:val="single" w:color="080000" w:sz="4" w:space="0"/>
              <w:bottom w:val="single" w:color="080000" w:sz="4" w:space="0"/>
              <w:right w:val="single" w:color="080000" w:sz="4" w:space="0"/>
            </w:tcBorders>
            <w:vAlign w:val="center"/>
          </w:tcPr>
          <w:p w14:paraId="00445AE6">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招标公告发布时间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3F6F09AC">
            <w:pPr>
              <w:pStyle w:val="73"/>
              <w:shd w:val="clear" w:fill="FFFFFF" w:themeFill="background1"/>
              <w:wordWrap w:val="0"/>
              <w:adjustRightInd w:val="0"/>
              <w:snapToGrid w:val="0"/>
              <w:spacing w:line="400" w:lineRule="exact"/>
              <w:ind w:firstLine="240" w:firstLineChars="100"/>
              <w:jc w:val="left"/>
              <w:rPr>
                <w:rFonts w:hAnsi="宋体" w:cs="宋体"/>
                <w:snapToGrid w:val="0"/>
                <w:color w:val="auto"/>
                <w:kern w:val="0"/>
                <w:szCs w:val="24"/>
                <w:highlight w:val="none"/>
              </w:rPr>
            </w:pP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lang w:val="en-US" w:eastAsia="zh-CN"/>
              </w:rPr>
              <w:t>9</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11</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lang w:val="en-US" w:eastAsia="zh-CN"/>
              </w:rPr>
              <w:t>18</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rPr>
              <w:t>00</w:t>
            </w:r>
            <w:r>
              <w:rPr>
                <w:rFonts w:hint="eastAsia" w:hAnsi="宋体" w:cs="宋体"/>
                <w:snapToGrid w:val="0"/>
                <w:color w:val="auto"/>
                <w:kern w:val="0"/>
                <w:szCs w:val="24"/>
                <w:highlight w:val="none"/>
              </w:rPr>
              <w:t>分至</w:t>
            </w: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9</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lang w:val="en-US" w:eastAsia="zh-CN"/>
              </w:rPr>
              <w:t>11</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lang w:val="en-US" w:eastAsia="zh-CN"/>
              </w:rPr>
              <w:t>00</w:t>
            </w:r>
            <w:r>
              <w:rPr>
                <w:rFonts w:hint="eastAsia" w:hAnsi="宋体" w:cs="宋体"/>
                <w:snapToGrid w:val="0"/>
                <w:color w:val="auto"/>
                <w:kern w:val="0"/>
                <w:szCs w:val="24"/>
                <w:highlight w:val="none"/>
              </w:rPr>
              <w:t>分</w:t>
            </w:r>
          </w:p>
        </w:tc>
      </w:tr>
      <w:tr w14:paraId="2F1AB77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27"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0671CED3">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2</w:t>
            </w:r>
          </w:p>
        </w:tc>
        <w:tc>
          <w:tcPr>
            <w:tcW w:w="1425" w:type="dxa"/>
            <w:tcBorders>
              <w:top w:val="single" w:color="080000" w:sz="4" w:space="0"/>
              <w:left w:val="single" w:color="080000" w:sz="4" w:space="0"/>
              <w:bottom w:val="single" w:color="080000" w:sz="4" w:space="0"/>
              <w:right w:val="single" w:color="080000" w:sz="4" w:space="0"/>
            </w:tcBorders>
            <w:vAlign w:val="center"/>
          </w:tcPr>
          <w:p w14:paraId="4C016B4C">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获取招标文件截止时间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69B86A2E">
            <w:pPr>
              <w:pStyle w:val="73"/>
              <w:shd w:val="clear" w:fill="FFFFFF" w:themeFill="background1"/>
              <w:wordWrap w:val="0"/>
              <w:adjustRightInd w:val="0"/>
              <w:snapToGrid w:val="0"/>
              <w:spacing w:line="400" w:lineRule="exact"/>
              <w:ind w:firstLine="240" w:firstLineChars="100"/>
              <w:jc w:val="left"/>
              <w:rPr>
                <w:rFonts w:hAnsi="宋体" w:cs="宋体"/>
                <w:snapToGrid w:val="0"/>
                <w:color w:val="auto"/>
                <w:kern w:val="0"/>
                <w:szCs w:val="24"/>
                <w:highlight w:val="none"/>
              </w:rPr>
            </w:pP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lang w:val="en-US" w:eastAsia="zh-CN"/>
              </w:rPr>
              <w:t>10</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9</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lang w:val="en-US" w:eastAsia="zh-CN"/>
              </w:rPr>
              <w:t>11</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lang w:val="en-US" w:eastAsia="zh-CN"/>
              </w:rPr>
              <w:t>00</w:t>
            </w:r>
            <w:r>
              <w:rPr>
                <w:rFonts w:hint="eastAsia" w:hAnsi="宋体" w:cs="宋体"/>
                <w:snapToGrid w:val="0"/>
                <w:color w:val="auto"/>
                <w:kern w:val="0"/>
                <w:szCs w:val="24"/>
                <w:highlight w:val="none"/>
              </w:rPr>
              <w:t>分</w:t>
            </w:r>
          </w:p>
        </w:tc>
      </w:tr>
      <w:tr w14:paraId="0D43808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4"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4FA0756D">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3</w:t>
            </w:r>
          </w:p>
        </w:tc>
        <w:tc>
          <w:tcPr>
            <w:tcW w:w="1425" w:type="dxa"/>
            <w:tcBorders>
              <w:top w:val="single" w:color="080000" w:sz="4" w:space="0"/>
              <w:left w:val="single" w:color="080000" w:sz="4" w:space="0"/>
              <w:bottom w:val="single" w:color="080000" w:sz="4" w:space="0"/>
              <w:right w:val="single" w:color="080000" w:sz="4" w:space="0"/>
            </w:tcBorders>
            <w:vAlign w:val="center"/>
          </w:tcPr>
          <w:p w14:paraId="51C47D34">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网上提问截止时间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1FFAFA5A">
            <w:pPr>
              <w:pStyle w:val="73"/>
              <w:shd w:val="clear" w:fill="FFFFFF" w:themeFill="background1"/>
              <w:wordWrap w:val="0"/>
              <w:adjustRightInd w:val="0"/>
              <w:snapToGrid w:val="0"/>
              <w:spacing w:line="400" w:lineRule="exact"/>
              <w:ind w:firstLine="240" w:firstLineChars="100"/>
              <w:jc w:val="left"/>
              <w:rPr>
                <w:rFonts w:hAnsi="宋体" w:cs="宋体"/>
                <w:snapToGrid w:val="0"/>
                <w:color w:val="auto"/>
                <w:kern w:val="0"/>
                <w:szCs w:val="24"/>
                <w:highlight w:val="none"/>
              </w:rPr>
            </w:pP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lang w:val="en-US" w:eastAsia="zh-CN"/>
              </w:rPr>
              <w:t>9</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27</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rPr>
              <w:t>16</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rPr>
              <w:t>00</w:t>
            </w:r>
            <w:r>
              <w:rPr>
                <w:rFonts w:hint="eastAsia" w:hAnsi="宋体" w:cs="宋体"/>
                <w:snapToGrid w:val="0"/>
                <w:color w:val="auto"/>
                <w:kern w:val="0"/>
                <w:szCs w:val="24"/>
                <w:highlight w:val="none"/>
              </w:rPr>
              <w:t>分</w:t>
            </w:r>
          </w:p>
        </w:tc>
      </w:tr>
      <w:tr w14:paraId="1FA6B9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64"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42504E94">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4</w:t>
            </w:r>
          </w:p>
        </w:tc>
        <w:tc>
          <w:tcPr>
            <w:tcW w:w="1425" w:type="dxa"/>
            <w:tcBorders>
              <w:top w:val="single" w:color="080000" w:sz="4" w:space="0"/>
              <w:left w:val="single" w:color="080000" w:sz="4" w:space="0"/>
              <w:bottom w:val="single" w:color="080000" w:sz="4" w:space="0"/>
              <w:right w:val="single" w:color="080000" w:sz="4" w:space="0"/>
            </w:tcBorders>
            <w:vAlign w:val="center"/>
          </w:tcPr>
          <w:p w14:paraId="06F4A6A5">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网上答疑时间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1629F302">
            <w:pPr>
              <w:pStyle w:val="73"/>
              <w:shd w:val="clear" w:fill="FFFFFF" w:themeFill="background1"/>
              <w:wordWrap w:val="0"/>
              <w:adjustRightInd w:val="0"/>
              <w:snapToGrid w:val="0"/>
              <w:spacing w:line="400" w:lineRule="exact"/>
              <w:ind w:firstLine="240" w:firstLineChars="100"/>
              <w:jc w:val="left"/>
              <w:rPr>
                <w:rFonts w:hAnsi="宋体" w:cs="宋体"/>
                <w:snapToGrid w:val="0"/>
                <w:color w:val="auto"/>
                <w:kern w:val="0"/>
                <w:szCs w:val="24"/>
                <w:highlight w:val="none"/>
              </w:rPr>
            </w:pP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lang w:val="en-US" w:eastAsia="zh-CN"/>
              </w:rPr>
              <w:t>9</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27</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rPr>
              <w:t>16</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rPr>
              <w:t>30</w:t>
            </w:r>
            <w:r>
              <w:rPr>
                <w:rFonts w:hint="eastAsia" w:hAnsi="宋体" w:cs="宋体"/>
                <w:snapToGrid w:val="0"/>
                <w:color w:val="auto"/>
                <w:kern w:val="0"/>
                <w:szCs w:val="24"/>
                <w:highlight w:val="none"/>
              </w:rPr>
              <w:t>分至</w:t>
            </w: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lang w:val="en-US" w:eastAsia="zh-CN"/>
              </w:rPr>
              <w:t>9</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 xml:space="preserve"> 30 </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rPr>
              <w:t>16</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rPr>
              <w:t>00</w:t>
            </w:r>
            <w:r>
              <w:rPr>
                <w:rFonts w:hint="eastAsia" w:hAnsi="宋体" w:cs="宋体"/>
                <w:snapToGrid w:val="0"/>
                <w:color w:val="auto"/>
                <w:kern w:val="0"/>
                <w:szCs w:val="24"/>
                <w:highlight w:val="none"/>
              </w:rPr>
              <w:t>分</w:t>
            </w:r>
          </w:p>
        </w:tc>
      </w:tr>
      <w:tr w14:paraId="721A9E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68"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49F9135D">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bookmarkStart w:id="28" w:name="OLE_LINK5" w:colFirst="1" w:colLast="2"/>
            <w:r>
              <w:rPr>
                <w:rFonts w:hint="eastAsia" w:hAnsi="宋体" w:cs="宋体"/>
                <w:snapToGrid w:val="0"/>
                <w:color w:val="auto"/>
                <w:kern w:val="0"/>
                <w:szCs w:val="24"/>
                <w:highlight w:val="none"/>
              </w:rPr>
              <w:t>5</w:t>
            </w:r>
          </w:p>
        </w:tc>
        <w:tc>
          <w:tcPr>
            <w:tcW w:w="1425" w:type="dxa"/>
            <w:tcBorders>
              <w:top w:val="single" w:color="080000" w:sz="4" w:space="0"/>
              <w:left w:val="single" w:color="080000" w:sz="4" w:space="0"/>
              <w:bottom w:val="single" w:color="080000" w:sz="4" w:space="0"/>
              <w:right w:val="single" w:color="080000" w:sz="4" w:space="0"/>
            </w:tcBorders>
            <w:vAlign w:val="center"/>
          </w:tcPr>
          <w:p w14:paraId="7D2F9D39">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投标保证缴</w:t>
            </w:r>
          </w:p>
          <w:p w14:paraId="7E8C573A">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纳截止时间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5516FAEF">
            <w:pPr>
              <w:pStyle w:val="73"/>
              <w:shd w:val="clear" w:fill="FFFFFF" w:themeFill="background1"/>
              <w:wordWrap w:val="0"/>
              <w:adjustRightInd w:val="0"/>
              <w:snapToGrid w:val="0"/>
              <w:spacing w:line="400" w:lineRule="exact"/>
              <w:ind w:firstLine="240" w:firstLineChars="100"/>
              <w:rPr>
                <w:rFonts w:hAnsi="宋体" w:cs="宋体"/>
                <w:snapToGrid w:val="0"/>
                <w:color w:val="auto"/>
                <w:kern w:val="0"/>
                <w:szCs w:val="24"/>
                <w:highlight w:val="none"/>
              </w:rPr>
            </w:pPr>
            <w:r>
              <w:rPr>
                <w:rFonts w:hint="eastAsia" w:hAnsi="宋体" w:cs="宋体"/>
                <w:snapToGrid w:val="0"/>
                <w:color w:val="auto"/>
                <w:kern w:val="0"/>
                <w:szCs w:val="24"/>
                <w:highlight w:val="none"/>
              </w:rPr>
              <w:t>投标保证金到账截止时间：</w:t>
            </w: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lang w:val="en-US" w:eastAsia="zh-CN"/>
              </w:rPr>
              <w:t xml:space="preserve"> 10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 xml:space="preserve"> 8 </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lang w:val="en-US" w:eastAsia="zh-CN"/>
              </w:rPr>
              <w:t>11</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lang w:val="en-US" w:eastAsia="zh-CN"/>
              </w:rPr>
              <w:t>00</w:t>
            </w:r>
            <w:r>
              <w:rPr>
                <w:rFonts w:hint="eastAsia" w:hAnsi="宋体" w:cs="宋体"/>
                <w:snapToGrid w:val="0"/>
                <w:color w:val="auto"/>
                <w:kern w:val="0"/>
                <w:szCs w:val="24"/>
                <w:highlight w:val="none"/>
              </w:rPr>
              <w:t>分；</w:t>
            </w:r>
          </w:p>
          <w:p w14:paraId="3CABA923">
            <w:pPr>
              <w:pStyle w:val="73"/>
              <w:shd w:val="clear" w:fill="FFFFFF" w:themeFill="background1"/>
              <w:wordWrap w:val="0"/>
              <w:adjustRightInd w:val="0"/>
              <w:snapToGrid w:val="0"/>
              <w:spacing w:line="400" w:lineRule="exact"/>
              <w:ind w:firstLine="240" w:firstLineChars="100"/>
              <w:rPr>
                <w:rFonts w:hAnsi="宋体" w:cs="宋体"/>
                <w:snapToGrid w:val="0"/>
                <w:color w:val="auto"/>
                <w:kern w:val="0"/>
                <w:szCs w:val="24"/>
                <w:highlight w:val="none"/>
              </w:rPr>
            </w:pPr>
            <w:r>
              <w:rPr>
                <w:rFonts w:hint="eastAsia" w:hAnsi="宋体" w:cs="宋体"/>
                <w:snapToGrid w:val="0"/>
                <w:color w:val="auto"/>
                <w:kern w:val="0"/>
                <w:szCs w:val="24"/>
                <w:highlight w:val="none"/>
              </w:rPr>
              <w:t>投标保证担保提交截止时间：</w:t>
            </w:r>
            <w:r>
              <w:rPr>
                <w:rFonts w:hint="eastAsia" w:hAnsi="宋体" w:cs="宋体"/>
                <w:snapToGrid w:val="0"/>
                <w:color w:val="auto"/>
                <w:kern w:val="0"/>
                <w:szCs w:val="24"/>
                <w:highlight w:val="none"/>
                <w:u w:val="single"/>
                <w:lang w:val="en-US" w:eastAsia="zh-CN"/>
              </w:rPr>
              <w:t>2025</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lang w:val="en-US" w:eastAsia="zh-CN"/>
              </w:rPr>
              <w:t xml:space="preserve"> 10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lang w:val="en-US" w:eastAsia="zh-CN"/>
              </w:rPr>
              <w:t xml:space="preserve"> 8 </w:t>
            </w:r>
            <w:r>
              <w:rPr>
                <w:rFonts w:hint="eastAsia" w:hAnsi="宋体" w:cs="宋体"/>
                <w:snapToGrid w:val="0"/>
                <w:color w:val="auto"/>
                <w:kern w:val="0"/>
                <w:szCs w:val="24"/>
                <w:highlight w:val="none"/>
              </w:rPr>
              <w:t>日</w:t>
            </w:r>
            <w:r>
              <w:rPr>
                <w:rFonts w:hint="eastAsia" w:hAnsi="宋体" w:cs="宋体"/>
                <w:snapToGrid w:val="0"/>
                <w:color w:val="auto"/>
                <w:kern w:val="0"/>
                <w:szCs w:val="24"/>
                <w:highlight w:val="none"/>
                <w:u w:val="single"/>
                <w:lang w:val="en-US" w:eastAsia="zh-CN"/>
              </w:rPr>
              <w:t>11</w:t>
            </w:r>
            <w:r>
              <w:rPr>
                <w:rFonts w:hint="eastAsia" w:hAnsi="宋体" w:cs="宋体"/>
                <w:snapToGrid w:val="0"/>
                <w:color w:val="auto"/>
                <w:kern w:val="0"/>
                <w:szCs w:val="24"/>
                <w:highlight w:val="none"/>
              </w:rPr>
              <w:t>时</w:t>
            </w:r>
            <w:r>
              <w:rPr>
                <w:rFonts w:hint="eastAsia" w:hAnsi="宋体" w:cs="宋体"/>
                <w:snapToGrid w:val="0"/>
                <w:color w:val="auto"/>
                <w:kern w:val="0"/>
                <w:szCs w:val="24"/>
                <w:highlight w:val="none"/>
                <w:u w:val="single"/>
                <w:lang w:val="en-US" w:eastAsia="zh-CN"/>
              </w:rPr>
              <w:t>00</w:t>
            </w:r>
            <w:r>
              <w:rPr>
                <w:rFonts w:hint="eastAsia" w:hAnsi="宋体" w:cs="宋体"/>
                <w:snapToGrid w:val="0"/>
                <w:color w:val="auto"/>
                <w:kern w:val="0"/>
                <w:szCs w:val="24"/>
                <w:highlight w:val="none"/>
              </w:rPr>
              <w:t>分；</w:t>
            </w:r>
          </w:p>
          <w:p w14:paraId="0A84AB5B">
            <w:pPr>
              <w:pStyle w:val="38"/>
              <w:shd w:val="clear" w:fill="FFFFFF" w:themeFill="background1"/>
              <w:wordWrap w:val="0"/>
              <w:adjustRightInd w:val="0"/>
              <w:snapToGrid w:val="0"/>
              <w:spacing w:line="400" w:lineRule="exact"/>
              <w:ind w:firstLine="240" w:firstLineChars="100"/>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投标保证保险投保截止时间：</w:t>
            </w:r>
            <w:r>
              <w:rPr>
                <w:rFonts w:hint="eastAsia" w:ascii="宋体" w:hAnsi="宋体" w:eastAsia="宋体" w:cs="宋体"/>
                <w:snapToGrid w:val="0"/>
                <w:color w:val="auto"/>
                <w:kern w:val="0"/>
                <w:sz w:val="24"/>
                <w:szCs w:val="32"/>
                <w:highlight w:val="none"/>
                <w:u w:val="single"/>
                <w:lang w:val="en-US" w:eastAsia="zh-CN"/>
              </w:rPr>
              <w:t>2025</w:t>
            </w:r>
            <w:r>
              <w:rPr>
                <w:rFonts w:hint="eastAsia" w:ascii="宋体" w:hAnsi="宋体" w:eastAsia="宋体" w:cs="宋体"/>
                <w:snapToGrid w:val="0"/>
                <w:color w:val="auto"/>
                <w:kern w:val="0"/>
                <w:sz w:val="24"/>
                <w:szCs w:val="32"/>
                <w:highlight w:val="none"/>
              </w:rPr>
              <w:t>年</w:t>
            </w:r>
            <w:r>
              <w:rPr>
                <w:rFonts w:hint="eastAsia" w:ascii="宋体" w:hAnsi="宋体" w:cs="宋体"/>
                <w:snapToGrid w:val="0"/>
                <w:color w:val="auto"/>
                <w:kern w:val="0"/>
                <w:sz w:val="24"/>
                <w:szCs w:val="32"/>
                <w:highlight w:val="none"/>
                <w:u w:val="single"/>
                <w:lang w:val="en-US" w:eastAsia="zh-CN"/>
              </w:rPr>
              <w:t xml:space="preserve"> 10 </w:t>
            </w:r>
            <w:r>
              <w:rPr>
                <w:rFonts w:hint="eastAsia" w:ascii="宋体" w:hAnsi="宋体" w:eastAsia="宋体" w:cs="宋体"/>
                <w:snapToGrid w:val="0"/>
                <w:color w:val="auto"/>
                <w:kern w:val="0"/>
                <w:sz w:val="24"/>
                <w:szCs w:val="32"/>
                <w:highlight w:val="none"/>
              </w:rPr>
              <w:t>月</w:t>
            </w:r>
            <w:r>
              <w:rPr>
                <w:rFonts w:hint="eastAsia" w:ascii="宋体" w:hAnsi="宋体" w:cs="宋体"/>
                <w:snapToGrid w:val="0"/>
                <w:color w:val="auto"/>
                <w:kern w:val="0"/>
                <w:sz w:val="24"/>
                <w:szCs w:val="32"/>
                <w:highlight w:val="none"/>
                <w:u w:val="single"/>
                <w:lang w:val="en-US" w:eastAsia="zh-CN"/>
              </w:rPr>
              <w:t xml:space="preserve"> 8 </w:t>
            </w:r>
            <w:r>
              <w:rPr>
                <w:rFonts w:hint="eastAsia" w:ascii="宋体" w:hAnsi="宋体" w:eastAsia="宋体" w:cs="宋体"/>
                <w:snapToGrid w:val="0"/>
                <w:color w:val="auto"/>
                <w:kern w:val="0"/>
                <w:sz w:val="24"/>
                <w:szCs w:val="32"/>
                <w:highlight w:val="none"/>
              </w:rPr>
              <w:t>日</w:t>
            </w:r>
            <w:r>
              <w:rPr>
                <w:rFonts w:hint="eastAsia" w:ascii="宋体" w:hAnsi="宋体" w:eastAsia="宋体" w:cs="宋体"/>
                <w:snapToGrid w:val="0"/>
                <w:color w:val="auto"/>
                <w:kern w:val="0"/>
                <w:sz w:val="24"/>
                <w:szCs w:val="32"/>
                <w:highlight w:val="none"/>
                <w:u w:val="single"/>
                <w:lang w:val="en-US" w:eastAsia="zh-CN"/>
              </w:rPr>
              <w:t>1</w:t>
            </w:r>
            <w:r>
              <w:rPr>
                <w:rFonts w:hint="eastAsia" w:ascii="宋体" w:hAnsi="宋体" w:cs="宋体"/>
                <w:snapToGrid w:val="0"/>
                <w:color w:val="auto"/>
                <w:kern w:val="0"/>
                <w:sz w:val="24"/>
                <w:szCs w:val="32"/>
                <w:highlight w:val="none"/>
                <w:u w:val="single"/>
                <w:lang w:val="en-US" w:eastAsia="zh-CN"/>
              </w:rPr>
              <w:t>1</w:t>
            </w:r>
            <w:r>
              <w:rPr>
                <w:rFonts w:hint="eastAsia" w:ascii="宋体" w:hAnsi="宋体" w:eastAsia="宋体" w:cs="宋体"/>
                <w:snapToGrid w:val="0"/>
                <w:color w:val="auto"/>
                <w:kern w:val="0"/>
                <w:sz w:val="24"/>
                <w:szCs w:val="32"/>
                <w:highlight w:val="none"/>
              </w:rPr>
              <w:t>时</w:t>
            </w:r>
            <w:r>
              <w:rPr>
                <w:rFonts w:hint="eastAsia" w:ascii="宋体" w:hAnsi="宋体" w:eastAsia="宋体" w:cs="宋体"/>
                <w:snapToGrid w:val="0"/>
                <w:color w:val="auto"/>
                <w:kern w:val="0"/>
                <w:sz w:val="24"/>
                <w:szCs w:val="32"/>
                <w:highlight w:val="none"/>
                <w:u w:val="single"/>
                <w:lang w:val="en-US" w:eastAsia="zh-CN"/>
              </w:rPr>
              <w:t>00</w:t>
            </w:r>
            <w:r>
              <w:rPr>
                <w:rFonts w:hint="eastAsia" w:ascii="宋体" w:hAnsi="宋体" w:eastAsia="宋体" w:cs="宋体"/>
                <w:snapToGrid w:val="0"/>
                <w:color w:val="auto"/>
                <w:kern w:val="0"/>
                <w:sz w:val="24"/>
                <w:szCs w:val="32"/>
                <w:highlight w:val="none"/>
              </w:rPr>
              <w:t>分</w:t>
            </w:r>
            <w:r>
              <w:rPr>
                <w:rFonts w:hint="eastAsia" w:ascii="宋体" w:hAnsi="宋体" w:cs="宋体"/>
                <w:snapToGrid w:val="0"/>
                <w:color w:val="auto"/>
                <w:kern w:val="0"/>
                <w:sz w:val="24"/>
                <w:highlight w:val="none"/>
              </w:rPr>
              <w:t>。</w:t>
            </w:r>
          </w:p>
        </w:tc>
      </w:tr>
      <w:bookmarkEnd w:id="28"/>
      <w:tr w14:paraId="5B06F0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26"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167871A3">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6</w:t>
            </w:r>
          </w:p>
        </w:tc>
        <w:tc>
          <w:tcPr>
            <w:tcW w:w="1425" w:type="dxa"/>
            <w:tcBorders>
              <w:top w:val="single" w:color="080000" w:sz="4" w:space="0"/>
              <w:left w:val="single" w:color="080000" w:sz="4" w:space="0"/>
              <w:bottom w:val="single" w:color="080000" w:sz="4" w:space="0"/>
              <w:right w:val="single" w:color="080000" w:sz="4" w:space="0"/>
            </w:tcBorders>
            <w:vAlign w:val="center"/>
          </w:tcPr>
          <w:p w14:paraId="2A5206DC">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 xml:space="preserve">电子投标截止时间 </w:t>
            </w:r>
          </w:p>
        </w:tc>
        <w:tc>
          <w:tcPr>
            <w:tcW w:w="8212" w:type="dxa"/>
            <w:tcBorders>
              <w:top w:val="single" w:color="080000" w:sz="4" w:space="0"/>
              <w:left w:val="single" w:color="080000" w:sz="4" w:space="0"/>
              <w:bottom w:val="single" w:color="080000" w:sz="4" w:space="0"/>
              <w:right w:val="single" w:color="080000" w:sz="4" w:space="0"/>
            </w:tcBorders>
            <w:vAlign w:val="center"/>
          </w:tcPr>
          <w:p w14:paraId="4B02F8A8">
            <w:pPr>
              <w:pStyle w:val="38"/>
              <w:shd w:val="clear" w:fill="FFFFFF" w:themeFill="background1"/>
              <w:wordWrap w:val="0"/>
              <w:adjustRightInd w:val="0"/>
              <w:snapToGrid w:val="0"/>
              <w:spacing w:line="400" w:lineRule="exact"/>
              <w:jc w:val="left"/>
              <w:rPr>
                <w:rFonts w:ascii="宋体" w:hAnsi="宋体" w:cs="宋体"/>
                <w:snapToGrid w:val="0"/>
                <w:color w:val="auto"/>
                <w:kern w:val="0"/>
                <w:sz w:val="24"/>
                <w:highlight w:val="none"/>
              </w:rPr>
            </w:pPr>
            <w:r>
              <w:rPr>
                <w:rFonts w:hint="eastAsia" w:ascii="宋体" w:hAnsi="宋体" w:eastAsia="宋体" w:cs="宋体"/>
                <w:snapToGrid w:val="0"/>
                <w:color w:val="auto"/>
                <w:kern w:val="0"/>
                <w:sz w:val="24"/>
                <w:szCs w:val="32"/>
                <w:highlight w:val="none"/>
                <w:u w:val="single"/>
                <w:lang w:val="en-US" w:eastAsia="zh-CN"/>
              </w:rPr>
              <w:t>2025</w:t>
            </w:r>
            <w:r>
              <w:rPr>
                <w:rFonts w:hint="eastAsia" w:ascii="宋体" w:hAnsi="宋体" w:eastAsia="宋体" w:cs="宋体"/>
                <w:snapToGrid w:val="0"/>
                <w:color w:val="auto"/>
                <w:kern w:val="0"/>
                <w:sz w:val="24"/>
                <w:szCs w:val="32"/>
                <w:highlight w:val="none"/>
              </w:rPr>
              <w:t>年</w:t>
            </w:r>
            <w:r>
              <w:rPr>
                <w:rFonts w:hint="eastAsia" w:ascii="宋体" w:hAnsi="宋体" w:cs="宋体"/>
                <w:snapToGrid w:val="0"/>
                <w:color w:val="auto"/>
                <w:kern w:val="0"/>
                <w:sz w:val="24"/>
                <w:szCs w:val="32"/>
                <w:highlight w:val="none"/>
                <w:u w:val="single"/>
                <w:lang w:val="en-US" w:eastAsia="zh-CN"/>
              </w:rPr>
              <w:t xml:space="preserve"> 10 </w:t>
            </w:r>
            <w:r>
              <w:rPr>
                <w:rFonts w:hint="eastAsia" w:ascii="宋体" w:hAnsi="宋体" w:eastAsia="宋体" w:cs="宋体"/>
                <w:snapToGrid w:val="0"/>
                <w:color w:val="auto"/>
                <w:kern w:val="0"/>
                <w:sz w:val="24"/>
                <w:szCs w:val="32"/>
                <w:highlight w:val="none"/>
              </w:rPr>
              <w:t>月</w:t>
            </w:r>
            <w:r>
              <w:rPr>
                <w:rFonts w:hint="eastAsia" w:ascii="宋体" w:hAnsi="宋体" w:cs="宋体"/>
                <w:snapToGrid w:val="0"/>
                <w:color w:val="auto"/>
                <w:kern w:val="0"/>
                <w:sz w:val="24"/>
                <w:szCs w:val="32"/>
                <w:highlight w:val="none"/>
                <w:u w:val="single"/>
                <w:lang w:val="en-US" w:eastAsia="zh-CN"/>
              </w:rPr>
              <w:t xml:space="preserve"> 9 </w:t>
            </w:r>
            <w:r>
              <w:rPr>
                <w:rFonts w:hint="eastAsia" w:ascii="宋体" w:hAnsi="宋体" w:eastAsia="宋体" w:cs="宋体"/>
                <w:snapToGrid w:val="0"/>
                <w:color w:val="auto"/>
                <w:kern w:val="0"/>
                <w:sz w:val="24"/>
                <w:szCs w:val="32"/>
                <w:highlight w:val="none"/>
              </w:rPr>
              <w:t>日</w:t>
            </w:r>
            <w:r>
              <w:rPr>
                <w:rFonts w:hint="eastAsia" w:ascii="宋体" w:hAnsi="宋体" w:cs="宋体"/>
                <w:snapToGrid w:val="0"/>
                <w:color w:val="auto"/>
                <w:kern w:val="0"/>
                <w:sz w:val="24"/>
                <w:szCs w:val="32"/>
                <w:highlight w:val="none"/>
                <w:u w:val="single"/>
                <w:lang w:val="en-US" w:eastAsia="zh-CN"/>
              </w:rPr>
              <w:t>11</w:t>
            </w:r>
            <w:r>
              <w:rPr>
                <w:rFonts w:hint="eastAsia" w:ascii="宋体" w:hAnsi="宋体" w:eastAsia="宋体" w:cs="宋体"/>
                <w:snapToGrid w:val="0"/>
                <w:color w:val="auto"/>
                <w:kern w:val="0"/>
                <w:sz w:val="24"/>
                <w:szCs w:val="32"/>
                <w:highlight w:val="none"/>
              </w:rPr>
              <w:t>时</w:t>
            </w:r>
            <w:r>
              <w:rPr>
                <w:rFonts w:hint="eastAsia" w:ascii="宋体" w:hAnsi="宋体" w:cs="宋体"/>
                <w:snapToGrid w:val="0"/>
                <w:color w:val="auto"/>
                <w:kern w:val="0"/>
                <w:sz w:val="24"/>
                <w:szCs w:val="32"/>
                <w:highlight w:val="none"/>
                <w:u w:val="single"/>
                <w:lang w:val="en-US" w:eastAsia="zh-CN"/>
              </w:rPr>
              <w:t>00</w:t>
            </w:r>
            <w:r>
              <w:rPr>
                <w:rFonts w:hint="eastAsia" w:ascii="宋体" w:hAnsi="宋体" w:eastAsia="宋体" w:cs="宋体"/>
                <w:snapToGrid w:val="0"/>
                <w:color w:val="auto"/>
                <w:kern w:val="0"/>
                <w:sz w:val="24"/>
                <w:szCs w:val="32"/>
                <w:highlight w:val="none"/>
              </w:rPr>
              <w:t>分</w:t>
            </w:r>
            <w:bookmarkStart w:id="1764" w:name="_GoBack"/>
            <w:bookmarkEnd w:id="1764"/>
          </w:p>
        </w:tc>
      </w:tr>
      <w:tr w14:paraId="39D3A66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020343A1">
            <w:pPr>
              <w:shd w:val="clear" w:fill="FFFFFF" w:themeFill="background1"/>
              <w:wordWrap w:val="0"/>
              <w:adjustRightInd w:val="0"/>
              <w:snapToGrid w:val="0"/>
              <w:spacing w:line="400" w:lineRule="exact"/>
              <w:jc w:val="center"/>
              <w:rPr>
                <w:rFonts w:hAnsi="宋体" w:cs="宋体"/>
                <w:snapToGrid w:val="0"/>
                <w:color w:val="auto"/>
                <w:kern w:val="0"/>
                <w:highlight w:val="none"/>
              </w:rPr>
            </w:pPr>
            <w:r>
              <w:rPr>
                <w:rFonts w:hint="eastAsia" w:ascii="宋体" w:hAnsi="宋体" w:cs="宋体"/>
                <w:snapToGrid w:val="0"/>
                <w:color w:val="auto"/>
                <w:kern w:val="0"/>
                <w:sz w:val="24"/>
                <w:highlight w:val="none"/>
              </w:rPr>
              <w:t>7</w:t>
            </w:r>
          </w:p>
        </w:tc>
        <w:tc>
          <w:tcPr>
            <w:tcW w:w="1425" w:type="dxa"/>
            <w:tcBorders>
              <w:top w:val="single" w:color="080000" w:sz="4" w:space="0"/>
              <w:left w:val="single" w:color="080000" w:sz="4" w:space="0"/>
              <w:bottom w:val="single" w:color="080000" w:sz="4" w:space="0"/>
              <w:right w:val="single" w:color="080000" w:sz="4" w:space="0"/>
            </w:tcBorders>
            <w:vAlign w:val="center"/>
          </w:tcPr>
          <w:p w14:paraId="16775D8A">
            <w:pPr>
              <w:shd w:val="clear" w:fill="FFFFFF" w:themeFill="background1"/>
              <w:wordWrap w:val="0"/>
              <w:adjustRightInd w:val="0"/>
              <w:snapToGrid w:val="0"/>
              <w:spacing w:line="400" w:lineRule="exact"/>
              <w:jc w:val="center"/>
              <w:rPr>
                <w:rFonts w:hAnsi="宋体" w:cs="宋体"/>
                <w:snapToGrid w:val="0"/>
                <w:color w:val="auto"/>
                <w:kern w:val="0"/>
                <w:highlight w:val="none"/>
              </w:rPr>
            </w:pPr>
            <w:r>
              <w:rPr>
                <w:rFonts w:hint="eastAsia" w:ascii="宋体" w:hAnsi="宋体" w:cs="宋体"/>
                <w:snapToGrid w:val="0"/>
                <w:color w:val="auto"/>
                <w:kern w:val="0"/>
                <w:sz w:val="24"/>
                <w:highlight w:val="none"/>
              </w:rPr>
              <w:t>评审原件（如有）递交时间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0713517C">
            <w:pPr>
              <w:shd w:val="clear" w:fill="FFFFFF" w:themeFill="background1"/>
              <w:wordWrap w:val="0"/>
              <w:adjustRightInd w:val="0"/>
              <w:snapToGrid w:val="0"/>
              <w:spacing w:line="400" w:lineRule="exact"/>
              <w:jc w:val="left"/>
              <w:rPr>
                <w:rFonts w:ascii="宋体" w:hAnsi="宋体" w:cs="宋体"/>
                <w:snapToGrid w:val="0"/>
                <w:color w:val="auto"/>
                <w:kern w:val="0"/>
                <w:sz w:val="24"/>
                <w:highlight w:val="none"/>
                <w:u w:val="single"/>
              </w:rPr>
            </w:pPr>
            <w:r>
              <w:rPr>
                <w:rFonts w:hint="eastAsia" w:ascii="宋体" w:hAnsi="宋体" w:eastAsia="宋体" w:cs="宋体"/>
                <w:snapToGrid w:val="0"/>
                <w:color w:val="auto"/>
                <w:kern w:val="0"/>
                <w:sz w:val="24"/>
                <w:szCs w:val="32"/>
                <w:highlight w:val="none"/>
                <w:u w:val="single"/>
                <w:lang w:val="en-US" w:eastAsia="zh-CN"/>
              </w:rPr>
              <w:t>2025</w:t>
            </w:r>
            <w:r>
              <w:rPr>
                <w:rFonts w:hint="eastAsia" w:ascii="宋体" w:hAnsi="宋体" w:eastAsia="宋体" w:cs="宋体"/>
                <w:snapToGrid w:val="0"/>
                <w:color w:val="auto"/>
                <w:kern w:val="0"/>
                <w:sz w:val="24"/>
                <w:szCs w:val="32"/>
                <w:highlight w:val="none"/>
              </w:rPr>
              <w:t>年</w:t>
            </w:r>
            <w:r>
              <w:rPr>
                <w:rFonts w:hint="eastAsia" w:ascii="宋体" w:hAnsi="宋体" w:cs="宋体"/>
                <w:snapToGrid w:val="0"/>
                <w:color w:val="auto"/>
                <w:kern w:val="0"/>
                <w:sz w:val="24"/>
                <w:szCs w:val="32"/>
                <w:highlight w:val="none"/>
                <w:u w:val="single"/>
                <w:lang w:val="en-US" w:eastAsia="zh-CN"/>
              </w:rPr>
              <w:t xml:space="preserve"> 10 </w:t>
            </w:r>
            <w:r>
              <w:rPr>
                <w:rFonts w:hint="eastAsia" w:ascii="宋体" w:hAnsi="宋体" w:eastAsia="宋体" w:cs="宋体"/>
                <w:snapToGrid w:val="0"/>
                <w:color w:val="auto"/>
                <w:kern w:val="0"/>
                <w:sz w:val="24"/>
                <w:szCs w:val="32"/>
                <w:highlight w:val="none"/>
              </w:rPr>
              <w:t>月</w:t>
            </w:r>
            <w:r>
              <w:rPr>
                <w:rFonts w:hint="eastAsia" w:ascii="宋体" w:hAnsi="宋体" w:cs="宋体"/>
                <w:snapToGrid w:val="0"/>
                <w:color w:val="auto"/>
                <w:kern w:val="0"/>
                <w:sz w:val="24"/>
                <w:szCs w:val="32"/>
                <w:highlight w:val="none"/>
                <w:u w:val="single"/>
                <w:lang w:val="en-US" w:eastAsia="zh-CN"/>
              </w:rPr>
              <w:t xml:space="preserve"> 9 </w:t>
            </w:r>
            <w:r>
              <w:rPr>
                <w:rFonts w:hint="eastAsia" w:ascii="宋体" w:hAnsi="宋体" w:eastAsia="宋体" w:cs="宋体"/>
                <w:snapToGrid w:val="0"/>
                <w:color w:val="auto"/>
                <w:kern w:val="0"/>
                <w:sz w:val="24"/>
                <w:szCs w:val="32"/>
                <w:highlight w:val="none"/>
              </w:rPr>
              <w:t>日</w:t>
            </w:r>
            <w:r>
              <w:rPr>
                <w:rFonts w:hint="eastAsia" w:ascii="宋体" w:hAnsi="宋体" w:cs="宋体"/>
                <w:snapToGrid w:val="0"/>
                <w:color w:val="auto"/>
                <w:kern w:val="0"/>
                <w:sz w:val="24"/>
                <w:szCs w:val="32"/>
                <w:highlight w:val="none"/>
                <w:u w:val="single"/>
                <w:lang w:val="en-US" w:eastAsia="zh-CN"/>
              </w:rPr>
              <w:t>10</w:t>
            </w:r>
            <w:r>
              <w:rPr>
                <w:rFonts w:hint="eastAsia" w:ascii="宋体" w:hAnsi="宋体" w:eastAsia="宋体" w:cs="宋体"/>
                <w:snapToGrid w:val="0"/>
                <w:color w:val="auto"/>
                <w:kern w:val="0"/>
                <w:sz w:val="24"/>
                <w:szCs w:val="32"/>
                <w:highlight w:val="none"/>
              </w:rPr>
              <w:t>时</w:t>
            </w:r>
            <w:r>
              <w:rPr>
                <w:rFonts w:hint="eastAsia" w:ascii="宋体" w:hAnsi="宋体" w:cs="宋体"/>
                <w:snapToGrid w:val="0"/>
                <w:color w:val="auto"/>
                <w:kern w:val="0"/>
                <w:sz w:val="24"/>
                <w:szCs w:val="32"/>
                <w:highlight w:val="none"/>
                <w:u w:val="single"/>
                <w:lang w:val="en-US" w:eastAsia="zh-CN"/>
              </w:rPr>
              <w:t>30</w:t>
            </w:r>
            <w:r>
              <w:rPr>
                <w:rFonts w:hint="eastAsia" w:ascii="宋体" w:hAnsi="宋体" w:eastAsia="宋体" w:cs="宋体"/>
                <w:snapToGrid w:val="0"/>
                <w:color w:val="auto"/>
                <w:kern w:val="0"/>
                <w:sz w:val="24"/>
                <w:szCs w:val="32"/>
                <w:highlight w:val="none"/>
              </w:rPr>
              <w:t>分</w:t>
            </w:r>
            <w:r>
              <w:rPr>
                <w:rFonts w:hint="eastAsia" w:ascii="宋体" w:hAnsi="宋体" w:cs="宋体"/>
                <w:snapToGrid w:val="0"/>
                <w:color w:val="auto"/>
                <w:kern w:val="0"/>
                <w:sz w:val="24"/>
                <w:highlight w:val="none"/>
              </w:rPr>
              <w:t>至</w:t>
            </w:r>
            <w:r>
              <w:rPr>
                <w:rFonts w:hint="eastAsia" w:ascii="宋体" w:hAnsi="宋体" w:eastAsia="宋体" w:cs="宋体"/>
                <w:snapToGrid w:val="0"/>
                <w:color w:val="auto"/>
                <w:kern w:val="0"/>
                <w:sz w:val="24"/>
                <w:szCs w:val="32"/>
                <w:highlight w:val="none"/>
                <w:u w:val="single"/>
                <w:lang w:val="en-US" w:eastAsia="zh-CN"/>
              </w:rPr>
              <w:t>2025</w:t>
            </w:r>
            <w:r>
              <w:rPr>
                <w:rFonts w:hint="eastAsia" w:ascii="宋体" w:hAnsi="宋体" w:eastAsia="宋体" w:cs="宋体"/>
                <w:snapToGrid w:val="0"/>
                <w:color w:val="auto"/>
                <w:kern w:val="0"/>
                <w:sz w:val="24"/>
                <w:szCs w:val="32"/>
                <w:highlight w:val="none"/>
              </w:rPr>
              <w:t>年</w:t>
            </w:r>
            <w:r>
              <w:rPr>
                <w:rFonts w:hint="eastAsia" w:ascii="宋体" w:hAnsi="宋体" w:cs="宋体"/>
                <w:snapToGrid w:val="0"/>
                <w:color w:val="auto"/>
                <w:kern w:val="0"/>
                <w:sz w:val="24"/>
                <w:szCs w:val="32"/>
                <w:highlight w:val="none"/>
                <w:u w:val="single"/>
                <w:lang w:val="en-US" w:eastAsia="zh-CN"/>
              </w:rPr>
              <w:t xml:space="preserve"> 10 </w:t>
            </w:r>
            <w:r>
              <w:rPr>
                <w:rFonts w:hint="eastAsia" w:ascii="宋体" w:hAnsi="宋体" w:eastAsia="宋体" w:cs="宋体"/>
                <w:snapToGrid w:val="0"/>
                <w:color w:val="auto"/>
                <w:kern w:val="0"/>
                <w:sz w:val="24"/>
                <w:szCs w:val="32"/>
                <w:highlight w:val="none"/>
              </w:rPr>
              <w:t>月</w:t>
            </w:r>
            <w:r>
              <w:rPr>
                <w:rFonts w:hint="eastAsia" w:ascii="宋体" w:hAnsi="宋体" w:cs="宋体"/>
                <w:snapToGrid w:val="0"/>
                <w:color w:val="auto"/>
                <w:kern w:val="0"/>
                <w:sz w:val="24"/>
                <w:szCs w:val="32"/>
                <w:highlight w:val="none"/>
                <w:u w:val="single"/>
                <w:lang w:val="en-US" w:eastAsia="zh-CN"/>
              </w:rPr>
              <w:t xml:space="preserve"> 9 </w:t>
            </w:r>
            <w:r>
              <w:rPr>
                <w:rFonts w:hint="eastAsia" w:ascii="宋体" w:hAnsi="宋体" w:eastAsia="宋体" w:cs="宋体"/>
                <w:snapToGrid w:val="0"/>
                <w:color w:val="auto"/>
                <w:kern w:val="0"/>
                <w:sz w:val="24"/>
                <w:szCs w:val="32"/>
                <w:highlight w:val="none"/>
              </w:rPr>
              <w:t>日</w:t>
            </w:r>
            <w:r>
              <w:rPr>
                <w:rFonts w:hint="eastAsia" w:ascii="宋体" w:hAnsi="宋体" w:eastAsia="宋体" w:cs="宋体"/>
                <w:snapToGrid w:val="0"/>
                <w:color w:val="auto"/>
                <w:kern w:val="0"/>
                <w:sz w:val="24"/>
                <w:szCs w:val="32"/>
                <w:highlight w:val="none"/>
                <w:u w:val="single"/>
                <w:lang w:val="en-US" w:eastAsia="zh-CN"/>
              </w:rPr>
              <w:t>1</w:t>
            </w:r>
            <w:r>
              <w:rPr>
                <w:rFonts w:hint="eastAsia" w:ascii="宋体" w:hAnsi="宋体" w:cs="宋体"/>
                <w:snapToGrid w:val="0"/>
                <w:color w:val="auto"/>
                <w:kern w:val="0"/>
                <w:sz w:val="24"/>
                <w:szCs w:val="32"/>
                <w:highlight w:val="none"/>
                <w:u w:val="single"/>
                <w:lang w:val="en-US" w:eastAsia="zh-CN"/>
              </w:rPr>
              <w:t>1</w:t>
            </w:r>
            <w:r>
              <w:rPr>
                <w:rFonts w:hint="eastAsia" w:ascii="宋体" w:hAnsi="宋体" w:eastAsia="宋体" w:cs="宋体"/>
                <w:snapToGrid w:val="0"/>
                <w:color w:val="auto"/>
                <w:kern w:val="0"/>
                <w:sz w:val="24"/>
                <w:szCs w:val="32"/>
                <w:highlight w:val="none"/>
              </w:rPr>
              <w:t>时</w:t>
            </w:r>
            <w:r>
              <w:rPr>
                <w:rFonts w:hint="eastAsia" w:ascii="宋体" w:hAnsi="宋体" w:eastAsia="宋体" w:cs="宋体"/>
                <w:snapToGrid w:val="0"/>
                <w:color w:val="auto"/>
                <w:kern w:val="0"/>
                <w:sz w:val="24"/>
                <w:szCs w:val="32"/>
                <w:highlight w:val="none"/>
                <w:u w:val="single"/>
                <w:lang w:val="en-US" w:eastAsia="zh-CN"/>
              </w:rPr>
              <w:t>00</w:t>
            </w:r>
            <w:r>
              <w:rPr>
                <w:rFonts w:hint="eastAsia" w:ascii="宋体" w:hAnsi="宋体" w:eastAsia="宋体" w:cs="宋体"/>
                <w:snapToGrid w:val="0"/>
                <w:color w:val="auto"/>
                <w:kern w:val="0"/>
                <w:sz w:val="24"/>
                <w:szCs w:val="32"/>
                <w:highlight w:val="none"/>
              </w:rPr>
              <w:t>分</w:t>
            </w:r>
          </w:p>
        </w:tc>
      </w:tr>
      <w:tr w14:paraId="5067C3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612BE051">
            <w:pPr>
              <w:shd w:val="clear" w:fill="FFFFFF" w:themeFill="background1"/>
              <w:wordWrap w:val="0"/>
              <w:adjustRightInd w:val="0"/>
              <w:snapToGrid w:val="0"/>
              <w:spacing w:line="400" w:lineRule="exact"/>
              <w:jc w:val="center"/>
              <w:rPr>
                <w:rFonts w:hAnsi="宋体" w:cs="宋体"/>
                <w:snapToGrid w:val="0"/>
                <w:color w:val="auto"/>
                <w:kern w:val="0"/>
                <w:highlight w:val="none"/>
              </w:rPr>
            </w:pPr>
            <w:r>
              <w:rPr>
                <w:rFonts w:hint="eastAsia" w:ascii="宋体" w:hAnsi="宋体" w:cs="宋体"/>
                <w:snapToGrid w:val="0"/>
                <w:color w:val="auto"/>
                <w:kern w:val="0"/>
                <w:sz w:val="24"/>
                <w:highlight w:val="none"/>
              </w:rPr>
              <w:t>8</w:t>
            </w:r>
          </w:p>
        </w:tc>
        <w:tc>
          <w:tcPr>
            <w:tcW w:w="1425" w:type="dxa"/>
            <w:tcBorders>
              <w:top w:val="single" w:color="080000" w:sz="4" w:space="0"/>
              <w:left w:val="single" w:color="080000" w:sz="4" w:space="0"/>
              <w:bottom w:val="single" w:color="080000" w:sz="4" w:space="0"/>
              <w:right w:val="single" w:color="080000" w:sz="4" w:space="0"/>
            </w:tcBorders>
            <w:vAlign w:val="center"/>
          </w:tcPr>
          <w:p w14:paraId="5EC675CA">
            <w:pPr>
              <w:shd w:val="clear" w:fill="FFFFFF" w:themeFill="background1"/>
              <w:wordWrap w:val="0"/>
              <w:adjustRightInd w:val="0"/>
              <w:snapToGrid w:val="0"/>
              <w:spacing w:line="400" w:lineRule="exact"/>
              <w:jc w:val="center"/>
              <w:rPr>
                <w:rFonts w:hAnsi="宋体" w:cs="宋体"/>
                <w:snapToGrid w:val="0"/>
                <w:color w:val="auto"/>
                <w:kern w:val="0"/>
                <w:highlight w:val="none"/>
              </w:rPr>
            </w:pPr>
            <w:r>
              <w:rPr>
                <w:rFonts w:hint="eastAsia" w:ascii="宋体" w:hAnsi="宋体" w:cs="宋体"/>
                <w:snapToGrid w:val="0"/>
                <w:color w:val="auto"/>
                <w:kern w:val="0"/>
                <w:sz w:val="24"/>
                <w:highlight w:val="none"/>
              </w:rPr>
              <w:t>评审原件（如有）递交地点</w:t>
            </w:r>
          </w:p>
        </w:tc>
        <w:tc>
          <w:tcPr>
            <w:tcW w:w="8212" w:type="dxa"/>
            <w:tcBorders>
              <w:top w:val="single" w:color="080000" w:sz="4" w:space="0"/>
              <w:left w:val="single" w:color="080000" w:sz="4" w:space="0"/>
              <w:bottom w:val="single" w:color="080000" w:sz="4" w:space="0"/>
              <w:right w:val="single" w:color="080000" w:sz="4" w:space="0"/>
            </w:tcBorders>
            <w:vAlign w:val="center"/>
          </w:tcPr>
          <w:p w14:paraId="24D604B1">
            <w:pPr>
              <w:pStyle w:val="73"/>
              <w:shd w:val="clear" w:fill="FFFFFF" w:themeFill="background1"/>
              <w:wordWrap w:val="0"/>
              <w:adjustRightInd w:val="0"/>
              <w:snapToGrid w:val="0"/>
              <w:spacing w:line="400" w:lineRule="exact"/>
              <w:ind w:firstLine="240" w:firstLineChars="100"/>
              <w:rPr>
                <w:rFonts w:hAnsi="宋体" w:cs="宋体"/>
                <w:snapToGrid w:val="0"/>
                <w:color w:val="auto"/>
                <w:kern w:val="0"/>
                <w:szCs w:val="24"/>
                <w:highlight w:val="none"/>
              </w:rPr>
            </w:pPr>
            <w:r>
              <w:rPr>
                <w:rFonts w:hint="eastAsia" w:hAnsi="宋体" w:cs="宋体"/>
                <w:snapToGrid w:val="0"/>
                <w:color w:val="auto"/>
                <w:kern w:val="0"/>
                <w:szCs w:val="24"/>
                <w:highlight w:val="none"/>
              </w:rPr>
              <w:t>递交场所：韶关市公共资源交易中心乐昌分中心；</w:t>
            </w:r>
          </w:p>
          <w:p w14:paraId="59108957">
            <w:pPr>
              <w:pStyle w:val="73"/>
              <w:shd w:val="clear" w:fill="FFFFFF" w:themeFill="background1"/>
              <w:wordWrap w:val="0"/>
              <w:adjustRightInd w:val="0"/>
              <w:snapToGrid w:val="0"/>
              <w:spacing w:line="400" w:lineRule="exact"/>
              <w:ind w:firstLine="240" w:firstLineChars="100"/>
              <w:rPr>
                <w:rFonts w:hAnsi="宋体" w:cs="宋体"/>
                <w:snapToGrid w:val="0"/>
                <w:color w:val="auto"/>
                <w:kern w:val="0"/>
                <w:szCs w:val="24"/>
                <w:highlight w:val="none"/>
              </w:rPr>
            </w:pPr>
            <w:r>
              <w:rPr>
                <w:rFonts w:hint="eastAsia" w:hAnsi="宋体" w:cs="宋体"/>
                <w:snapToGrid w:val="0"/>
                <w:color w:val="auto"/>
                <w:kern w:val="0"/>
                <w:szCs w:val="24"/>
                <w:highlight w:val="none"/>
              </w:rPr>
              <w:t>地址：乐昌市昌山北路23号，具体开标室以当日现场通知为准。</w:t>
            </w:r>
          </w:p>
        </w:tc>
      </w:tr>
      <w:tr w14:paraId="7F8975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62"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52754ED8">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9</w:t>
            </w:r>
          </w:p>
        </w:tc>
        <w:tc>
          <w:tcPr>
            <w:tcW w:w="1425" w:type="dxa"/>
            <w:tcBorders>
              <w:top w:val="single" w:color="080000" w:sz="4" w:space="0"/>
              <w:left w:val="single" w:color="080000" w:sz="4" w:space="0"/>
              <w:bottom w:val="single" w:color="080000" w:sz="4" w:space="0"/>
              <w:right w:val="single" w:color="080000" w:sz="4" w:space="0"/>
            </w:tcBorders>
            <w:vAlign w:val="center"/>
          </w:tcPr>
          <w:p w14:paraId="57E2F73D">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开标时间</w:t>
            </w:r>
          </w:p>
        </w:tc>
        <w:tc>
          <w:tcPr>
            <w:tcW w:w="8212" w:type="dxa"/>
            <w:tcBorders>
              <w:top w:val="single" w:color="080000" w:sz="4" w:space="0"/>
              <w:left w:val="single" w:color="080000" w:sz="4" w:space="0"/>
              <w:bottom w:val="single" w:color="080000" w:sz="4" w:space="0"/>
              <w:right w:val="single" w:color="080000" w:sz="4" w:space="0"/>
            </w:tcBorders>
            <w:vAlign w:val="center"/>
          </w:tcPr>
          <w:p w14:paraId="3B96E13A">
            <w:pPr>
              <w:pStyle w:val="73"/>
              <w:shd w:val="clear" w:fill="FFFFFF" w:themeFill="background1"/>
              <w:wordWrap w:val="0"/>
              <w:adjustRightInd w:val="0"/>
              <w:snapToGrid w:val="0"/>
              <w:spacing w:line="400" w:lineRule="exact"/>
              <w:rPr>
                <w:rFonts w:hAnsi="宋体" w:cs="宋体"/>
                <w:snapToGrid w:val="0"/>
                <w:color w:val="auto"/>
                <w:kern w:val="0"/>
                <w:szCs w:val="24"/>
                <w:highlight w:val="none"/>
              </w:rPr>
            </w:pPr>
            <w:r>
              <w:rPr>
                <w:rFonts w:hint="eastAsia" w:ascii="宋体" w:hAnsi="宋体" w:eastAsia="宋体" w:cs="宋体"/>
                <w:snapToGrid w:val="0"/>
                <w:color w:val="auto"/>
                <w:kern w:val="0"/>
                <w:sz w:val="24"/>
                <w:szCs w:val="32"/>
                <w:highlight w:val="none"/>
                <w:u w:val="single"/>
                <w:lang w:val="en-US" w:eastAsia="zh-CN"/>
              </w:rPr>
              <w:t>2025</w:t>
            </w:r>
            <w:r>
              <w:rPr>
                <w:rFonts w:hint="eastAsia" w:ascii="宋体" w:hAnsi="宋体" w:eastAsia="宋体" w:cs="宋体"/>
                <w:snapToGrid w:val="0"/>
                <w:color w:val="auto"/>
                <w:kern w:val="0"/>
                <w:sz w:val="24"/>
                <w:szCs w:val="32"/>
                <w:highlight w:val="none"/>
              </w:rPr>
              <w:t>年</w:t>
            </w:r>
            <w:r>
              <w:rPr>
                <w:rFonts w:hint="eastAsia" w:hAnsi="宋体" w:cs="宋体"/>
                <w:snapToGrid w:val="0"/>
                <w:color w:val="auto"/>
                <w:kern w:val="0"/>
                <w:sz w:val="24"/>
                <w:szCs w:val="32"/>
                <w:highlight w:val="none"/>
                <w:u w:val="single"/>
                <w:lang w:val="en-US" w:eastAsia="zh-CN"/>
              </w:rPr>
              <w:t xml:space="preserve"> 10 </w:t>
            </w:r>
            <w:r>
              <w:rPr>
                <w:rFonts w:hint="eastAsia" w:ascii="宋体" w:hAnsi="宋体" w:eastAsia="宋体" w:cs="宋体"/>
                <w:snapToGrid w:val="0"/>
                <w:color w:val="auto"/>
                <w:kern w:val="0"/>
                <w:sz w:val="24"/>
                <w:szCs w:val="32"/>
                <w:highlight w:val="none"/>
              </w:rPr>
              <w:t>月</w:t>
            </w:r>
            <w:r>
              <w:rPr>
                <w:rFonts w:hint="eastAsia" w:hAnsi="宋体" w:cs="宋体"/>
                <w:snapToGrid w:val="0"/>
                <w:color w:val="auto"/>
                <w:kern w:val="0"/>
                <w:sz w:val="24"/>
                <w:szCs w:val="32"/>
                <w:highlight w:val="none"/>
                <w:u w:val="single"/>
                <w:lang w:val="en-US" w:eastAsia="zh-CN"/>
              </w:rPr>
              <w:t xml:space="preserve"> 9 </w:t>
            </w:r>
            <w:r>
              <w:rPr>
                <w:rFonts w:hint="eastAsia" w:ascii="宋体" w:hAnsi="宋体" w:eastAsia="宋体" w:cs="宋体"/>
                <w:snapToGrid w:val="0"/>
                <w:color w:val="auto"/>
                <w:kern w:val="0"/>
                <w:sz w:val="24"/>
                <w:szCs w:val="32"/>
                <w:highlight w:val="none"/>
              </w:rPr>
              <w:t>日</w:t>
            </w:r>
            <w:r>
              <w:rPr>
                <w:rFonts w:hint="eastAsia" w:ascii="宋体" w:hAnsi="宋体" w:eastAsia="宋体" w:cs="宋体"/>
                <w:snapToGrid w:val="0"/>
                <w:color w:val="auto"/>
                <w:kern w:val="0"/>
                <w:sz w:val="24"/>
                <w:szCs w:val="32"/>
                <w:highlight w:val="none"/>
                <w:u w:val="single"/>
                <w:lang w:val="en-US" w:eastAsia="zh-CN"/>
              </w:rPr>
              <w:t>1</w:t>
            </w:r>
            <w:r>
              <w:rPr>
                <w:rFonts w:hint="eastAsia" w:hAnsi="宋体" w:cs="宋体"/>
                <w:snapToGrid w:val="0"/>
                <w:color w:val="auto"/>
                <w:kern w:val="0"/>
                <w:sz w:val="24"/>
                <w:szCs w:val="32"/>
                <w:highlight w:val="none"/>
                <w:u w:val="single"/>
                <w:lang w:val="en-US" w:eastAsia="zh-CN"/>
              </w:rPr>
              <w:t>1</w:t>
            </w:r>
            <w:r>
              <w:rPr>
                <w:rFonts w:hint="eastAsia" w:ascii="宋体" w:hAnsi="宋体" w:eastAsia="宋体" w:cs="宋体"/>
                <w:snapToGrid w:val="0"/>
                <w:color w:val="auto"/>
                <w:kern w:val="0"/>
                <w:sz w:val="24"/>
                <w:szCs w:val="32"/>
                <w:highlight w:val="none"/>
              </w:rPr>
              <w:t>时</w:t>
            </w:r>
            <w:r>
              <w:rPr>
                <w:rFonts w:hint="eastAsia" w:ascii="宋体" w:hAnsi="宋体" w:eastAsia="宋体" w:cs="宋体"/>
                <w:snapToGrid w:val="0"/>
                <w:color w:val="auto"/>
                <w:kern w:val="0"/>
                <w:sz w:val="24"/>
                <w:szCs w:val="32"/>
                <w:highlight w:val="none"/>
                <w:u w:val="single"/>
                <w:lang w:val="en-US" w:eastAsia="zh-CN"/>
              </w:rPr>
              <w:t>00</w:t>
            </w:r>
            <w:r>
              <w:rPr>
                <w:rFonts w:hint="eastAsia" w:ascii="宋体" w:hAnsi="宋体" w:eastAsia="宋体" w:cs="宋体"/>
                <w:snapToGrid w:val="0"/>
                <w:color w:val="auto"/>
                <w:kern w:val="0"/>
                <w:sz w:val="24"/>
                <w:szCs w:val="32"/>
                <w:highlight w:val="none"/>
              </w:rPr>
              <w:t>分</w:t>
            </w:r>
          </w:p>
        </w:tc>
      </w:tr>
      <w:tr w14:paraId="5685D7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8" w:hRule="exact"/>
        </w:trPr>
        <w:tc>
          <w:tcPr>
            <w:tcW w:w="462" w:type="dxa"/>
            <w:tcBorders>
              <w:top w:val="single" w:color="080000" w:sz="4" w:space="0"/>
              <w:left w:val="single" w:color="080000" w:sz="4" w:space="0"/>
              <w:bottom w:val="single" w:color="080000" w:sz="4" w:space="0"/>
              <w:right w:val="single" w:color="080000" w:sz="4" w:space="0"/>
            </w:tcBorders>
            <w:vAlign w:val="center"/>
          </w:tcPr>
          <w:p w14:paraId="49F9AEB0">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10</w:t>
            </w:r>
          </w:p>
        </w:tc>
        <w:tc>
          <w:tcPr>
            <w:tcW w:w="1425" w:type="dxa"/>
            <w:tcBorders>
              <w:top w:val="single" w:color="080000" w:sz="4" w:space="0"/>
              <w:left w:val="single" w:color="080000" w:sz="4" w:space="0"/>
              <w:bottom w:val="single" w:color="080000" w:sz="4" w:space="0"/>
              <w:right w:val="single" w:color="080000" w:sz="4" w:space="0"/>
            </w:tcBorders>
            <w:vAlign w:val="center"/>
          </w:tcPr>
          <w:p w14:paraId="4E89FA5D">
            <w:pPr>
              <w:pStyle w:val="73"/>
              <w:shd w:val="clear" w:fill="FFFFFF" w:themeFill="background1"/>
              <w:wordWrap w:val="0"/>
              <w:adjustRightInd w:val="0"/>
              <w:snapToGrid w:val="0"/>
              <w:spacing w:line="360" w:lineRule="exact"/>
              <w:jc w:val="center"/>
              <w:rPr>
                <w:rFonts w:hAnsi="宋体" w:cs="宋体"/>
                <w:snapToGrid w:val="0"/>
                <w:color w:val="auto"/>
                <w:kern w:val="0"/>
                <w:szCs w:val="24"/>
                <w:highlight w:val="none"/>
              </w:rPr>
            </w:pPr>
            <w:r>
              <w:rPr>
                <w:rFonts w:hint="eastAsia" w:hAnsi="宋体" w:cs="宋体"/>
                <w:snapToGrid w:val="0"/>
                <w:color w:val="auto"/>
                <w:kern w:val="0"/>
                <w:szCs w:val="24"/>
                <w:highlight w:val="none"/>
              </w:rPr>
              <w:t>开标地点</w:t>
            </w:r>
          </w:p>
        </w:tc>
        <w:tc>
          <w:tcPr>
            <w:tcW w:w="8212" w:type="dxa"/>
            <w:tcBorders>
              <w:top w:val="single" w:color="080000" w:sz="4" w:space="0"/>
              <w:left w:val="single" w:color="080000" w:sz="4" w:space="0"/>
              <w:bottom w:val="single" w:color="080000" w:sz="4" w:space="0"/>
              <w:right w:val="single" w:color="080000" w:sz="4" w:space="0"/>
            </w:tcBorders>
            <w:vAlign w:val="center"/>
          </w:tcPr>
          <w:p w14:paraId="11B8DF9F">
            <w:pPr>
              <w:pStyle w:val="73"/>
              <w:shd w:val="clear" w:fill="FFFFFF" w:themeFill="background1"/>
              <w:wordWrap w:val="0"/>
              <w:adjustRightInd w:val="0"/>
              <w:snapToGrid w:val="0"/>
              <w:spacing w:line="400" w:lineRule="exact"/>
              <w:ind w:firstLine="240" w:firstLineChars="100"/>
              <w:rPr>
                <w:rFonts w:hAnsi="宋体" w:cs="宋体"/>
                <w:snapToGrid w:val="0"/>
                <w:color w:val="auto"/>
                <w:kern w:val="0"/>
                <w:szCs w:val="24"/>
                <w:highlight w:val="none"/>
              </w:rPr>
            </w:pPr>
            <w:r>
              <w:rPr>
                <w:rFonts w:hint="eastAsia" w:hAnsi="宋体" w:cs="宋体"/>
                <w:snapToGrid w:val="0"/>
                <w:color w:val="auto"/>
                <w:kern w:val="0"/>
                <w:szCs w:val="24"/>
                <w:highlight w:val="none"/>
              </w:rPr>
              <w:t>开标地点：韶关市公共资源交易中心乐昌分中心；</w:t>
            </w:r>
          </w:p>
          <w:p w14:paraId="7D6EA8A3">
            <w:pPr>
              <w:pStyle w:val="73"/>
              <w:shd w:val="clear" w:fill="FFFFFF" w:themeFill="background1"/>
              <w:wordWrap w:val="0"/>
              <w:adjustRightInd w:val="0"/>
              <w:snapToGrid w:val="0"/>
              <w:spacing w:line="400" w:lineRule="exact"/>
              <w:ind w:firstLine="240" w:firstLineChars="100"/>
              <w:rPr>
                <w:rFonts w:hAnsi="宋体" w:cs="宋体"/>
                <w:snapToGrid w:val="0"/>
                <w:color w:val="auto"/>
                <w:kern w:val="0"/>
                <w:szCs w:val="24"/>
                <w:highlight w:val="none"/>
              </w:rPr>
            </w:pPr>
            <w:r>
              <w:rPr>
                <w:rFonts w:hint="eastAsia" w:hAnsi="宋体" w:cs="宋体"/>
                <w:snapToGrid w:val="0"/>
                <w:color w:val="auto"/>
                <w:kern w:val="0"/>
                <w:szCs w:val="24"/>
                <w:highlight w:val="none"/>
              </w:rPr>
              <w:t>地址：乐昌市昌山北路23号，具体开标室以当日现场通知为准。</w:t>
            </w:r>
          </w:p>
        </w:tc>
      </w:tr>
      <w:tr w14:paraId="692D37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52" w:hRule="exact"/>
        </w:trPr>
        <w:tc>
          <w:tcPr>
            <w:tcW w:w="10099" w:type="dxa"/>
            <w:gridSpan w:val="3"/>
            <w:tcBorders>
              <w:top w:val="single" w:color="080000" w:sz="4" w:space="0"/>
              <w:left w:val="single" w:color="080000" w:sz="4" w:space="0"/>
              <w:bottom w:val="single" w:color="080000" w:sz="4" w:space="0"/>
              <w:right w:val="single" w:color="080000" w:sz="4" w:space="0"/>
            </w:tcBorders>
            <w:vAlign w:val="center"/>
          </w:tcPr>
          <w:p w14:paraId="7854C189">
            <w:pPr>
              <w:pStyle w:val="38"/>
              <w:shd w:val="clear" w:fill="FFFFFF" w:themeFill="background1"/>
              <w:wordWrap w:val="0"/>
              <w:adjustRightInd w:val="0"/>
              <w:snapToGrid w:val="0"/>
              <w:spacing w:line="400" w:lineRule="exact"/>
              <w:jc w:val="left"/>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备注：</w:t>
            </w:r>
            <w:r>
              <w:rPr>
                <w:rFonts w:hint="eastAsia" w:ascii="宋体" w:hAnsi="宋体" w:cs="宋体"/>
                <w:color w:val="auto"/>
                <w:sz w:val="24"/>
                <w:highlight w:val="none"/>
                <w:shd w:val="clear" w:color="auto" w:fill="FFFFFF"/>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6A6B5C7C">
      <w:pPr>
        <w:shd w:val="clear" w:fill="FFFFFF" w:themeFill="background1"/>
        <w:adjustRightInd w:val="0"/>
        <w:snapToGrid w:val="0"/>
        <w:spacing w:before="120" w:after="90"/>
        <w:jc w:val="center"/>
        <w:rPr>
          <w:rFonts w:ascii="宋体" w:hAnsi="宋体"/>
          <w:b/>
          <w:bCs/>
          <w:color w:val="auto"/>
          <w:sz w:val="44"/>
          <w:szCs w:val="44"/>
          <w:highlight w:val="none"/>
        </w:rPr>
      </w:pPr>
    </w:p>
    <w:p w14:paraId="485AAA37">
      <w:pPr>
        <w:pStyle w:val="55"/>
        <w:shd w:val="clear" w:fill="FFFFFF" w:themeFill="background1"/>
        <w:rPr>
          <w:color w:val="auto"/>
          <w:highlight w:val="none"/>
        </w:rPr>
      </w:pPr>
    </w:p>
    <w:p w14:paraId="50735F71">
      <w:pPr>
        <w:pStyle w:val="55"/>
        <w:shd w:val="clear" w:fill="FFFFFF" w:themeFill="background1"/>
        <w:rPr>
          <w:color w:val="auto"/>
          <w:highlight w:val="none"/>
        </w:rPr>
      </w:pPr>
    </w:p>
    <w:p w14:paraId="7CB153C3">
      <w:pPr>
        <w:pStyle w:val="55"/>
        <w:shd w:val="clear" w:fill="FFFFFF" w:themeFill="background1"/>
        <w:rPr>
          <w:color w:val="auto"/>
          <w:highlight w:val="none"/>
        </w:rPr>
      </w:pPr>
    </w:p>
    <w:p w14:paraId="7D7687C1">
      <w:pPr>
        <w:shd w:val="clear" w:fill="FFFFFF" w:themeFill="background1"/>
        <w:adjustRightInd w:val="0"/>
        <w:snapToGrid w:val="0"/>
        <w:spacing w:before="120" w:after="90"/>
        <w:jc w:val="center"/>
        <w:rPr>
          <w:rFonts w:ascii="宋体" w:hAnsi="宋体"/>
          <w:b/>
          <w:bCs/>
          <w:color w:val="auto"/>
          <w:sz w:val="44"/>
          <w:szCs w:val="44"/>
          <w:highlight w:val="none"/>
        </w:rPr>
      </w:pPr>
    </w:p>
    <w:p w14:paraId="0DBCBE54">
      <w:pPr>
        <w:pStyle w:val="55"/>
        <w:shd w:val="clear" w:fill="FFFFFF" w:themeFill="background1"/>
        <w:rPr>
          <w:color w:val="auto"/>
          <w:highlight w:val="none"/>
        </w:rPr>
      </w:pPr>
    </w:p>
    <w:p w14:paraId="25C3F1C4">
      <w:pPr>
        <w:pStyle w:val="55"/>
        <w:shd w:val="clear" w:fill="FFFFFF" w:themeFill="background1"/>
        <w:rPr>
          <w:color w:val="auto"/>
          <w:highlight w:val="none"/>
        </w:rPr>
      </w:pPr>
    </w:p>
    <w:p w14:paraId="595A5191">
      <w:pPr>
        <w:pStyle w:val="55"/>
        <w:shd w:val="clear" w:fill="FFFFFF" w:themeFill="background1"/>
        <w:rPr>
          <w:color w:val="auto"/>
          <w:highlight w:val="none"/>
        </w:rPr>
      </w:pPr>
    </w:p>
    <w:p w14:paraId="3295DC55">
      <w:pPr>
        <w:pStyle w:val="55"/>
        <w:shd w:val="clear" w:fill="FFFFFF" w:themeFill="background1"/>
        <w:rPr>
          <w:color w:val="auto"/>
          <w:highlight w:val="none"/>
        </w:rPr>
      </w:pPr>
    </w:p>
    <w:p w14:paraId="2ED070C4">
      <w:pPr>
        <w:shd w:val="clear" w:fill="FFFFFF" w:themeFill="background1"/>
        <w:adjustRightInd w:val="0"/>
        <w:snapToGrid w:val="0"/>
        <w:spacing w:before="120" w:after="90"/>
        <w:jc w:val="center"/>
        <w:rPr>
          <w:rFonts w:ascii="宋体" w:hAnsi="宋体"/>
          <w:b/>
          <w:bCs/>
          <w:color w:val="auto"/>
          <w:sz w:val="44"/>
          <w:szCs w:val="44"/>
          <w:highlight w:val="none"/>
        </w:rPr>
      </w:pPr>
      <w:r>
        <w:rPr>
          <w:rFonts w:ascii="宋体" w:hAnsi="宋体"/>
          <w:b/>
          <w:bCs/>
          <w:color w:val="auto"/>
          <w:sz w:val="44"/>
          <w:szCs w:val="44"/>
          <w:highlight w:val="none"/>
        </w:rPr>
        <w:t>第二章  投标人须知</w:t>
      </w:r>
    </w:p>
    <w:p w14:paraId="7167094D">
      <w:pPr>
        <w:pStyle w:val="4"/>
        <w:shd w:val="clear" w:fill="FFFFFF" w:themeFill="background1"/>
        <w:adjustRightInd w:val="0"/>
        <w:snapToGrid w:val="0"/>
        <w:spacing w:before="120" w:after="90" w:line="240" w:lineRule="auto"/>
        <w:jc w:val="center"/>
        <w:rPr>
          <w:rFonts w:ascii="宋体" w:hAnsi="宋体"/>
          <w:b w:val="0"/>
          <w:bCs w:val="0"/>
          <w:color w:val="auto"/>
          <w:sz w:val="36"/>
          <w:highlight w:val="none"/>
        </w:rPr>
        <w:sectPr>
          <w:pgSz w:w="11906" w:h="16838"/>
          <w:pgMar w:top="1134" w:right="1134" w:bottom="1134" w:left="1134" w:header="851" w:footer="992" w:gutter="0"/>
          <w:cols w:space="720" w:num="1"/>
          <w:docGrid w:type="lines" w:linePitch="312" w:charSpace="0"/>
        </w:sectPr>
      </w:pPr>
    </w:p>
    <w:bookmarkEnd w:id="3"/>
    <w:bookmarkEnd w:id="4"/>
    <w:p w14:paraId="2D9424BC">
      <w:pPr>
        <w:pStyle w:val="4"/>
        <w:shd w:val="clear" w:fill="FFFFFF" w:themeFill="background1"/>
        <w:adjustRightInd w:val="0"/>
        <w:snapToGrid w:val="0"/>
        <w:spacing w:before="120" w:after="90" w:line="240" w:lineRule="auto"/>
        <w:jc w:val="center"/>
        <w:rPr>
          <w:rFonts w:ascii="宋体" w:hAnsi="宋体"/>
          <w:color w:val="auto"/>
          <w:sz w:val="36"/>
          <w:highlight w:val="none"/>
        </w:rPr>
      </w:pPr>
      <w:bookmarkStart w:id="29" w:name="_Toc43475661"/>
      <w:bookmarkEnd w:id="29"/>
      <w:r>
        <w:rPr>
          <w:rFonts w:ascii="宋体" w:hAnsi="宋体"/>
          <w:color w:val="auto"/>
          <w:sz w:val="36"/>
          <w:highlight w:val="none"/>
        </w:rPr>
        <w:t>第二章  投标人须知</w:t>
      </w:r>
    </w:p>
    <w:p w14:paraId="5305FBAF">
      <w:pPr>
        <w:shd w:val="clear" w:fill="FFFFFF" w:themeFill="background1"/>
        <w:jc w:val="left"/>
        <w:rPr>
          <w:rFonts w:ascii="宋体" w:hAnsi="宋体"/>
          <w:b/>
          <w:color w:val="auto"/>
          <w:sz w:val="24"/>
          <w:highlight w:val="none"/>
        </w:rPr>
      </w:pPr>
      <w:bookmarkStart w:id="30" w:name="_Toc234382587"/>
    </w:p>
    <w:bookmarkEnd w:id="30"/>
    <w:p w14:paraId="3D6D6001">
      <w:pPr>
        <w:pStyle w:val="5"/>
        <w:shd w:val="clear" w:fill="FFFFFF" w:themeFill="background1"/>
        <w:rPr>
          <w:b w:val="0"/>
          <w:bCs w:val="0"/>
          <w:color w:val="auto"/>
          <w:sz w:val="28"/>
          <w:szCs w:val="28"/>
          <w:highlight w:val="none"/>
        </w:rPr>
      </w:pPr>
      <w:bookmarkStart w:id="31" w:name="_Toc43475662"/>
      <w:bookmarkEnd w:id="31"/>
      <w:r>
        <w:rPr>
          <w:b w:val="0"/>
          <w:bCs w:val="0"/>
          <w:color w:val="auto"/>
          <w:sz w:val="28"/>
          <w:szCs w:val="28"/>
          <w:highlight w:val="none"/>
        </w:rPr>
        <w:t>投标人须知前附表</w:t>
      </w:r>
    </w:p>
    <w:tbl>
      <w:tblPr>
        <w:tblStyle w:val="45"/>
        <w:tblW w:w="10227" w:type="dxa"/>
        <w:tblInd w:w="0" w:type="dxa"/>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Layout w:type="fixed"/>
        <w:tblCellMar>
          <w:top w:w="0" w:type="dxa"/>
          <w:left w:w="0" w:type="dxa"/>
          <w:bottom w:w="0" w:type="dxa"/>
          <w:right w:w="0" w:type="dxa"/>
        </w:tblCellMar>
      </w:tblPr>
      <w:tblGrid>
        <w:gridCol w:w="968"/>
        <w:gridCol w:w="2728"/>
        <w:gridCol w:w="6531"/>
      </w:tblGrid>
      <w:tr w14:paraId="42E5EC3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blHeader/>
        </w:trPr>
        <w:tc>
          <w:tcPr>
            <w:tcW w:w="968" w:type="dxa"/>
            <w:vAlign w:val="center"/>
          </w:tcPr>
          <w:p w14:paraId="06FB115C">
            <w:pPr>
              <w:shd w:val="clear" w:fill="FFFFFF" w:themeFill="background1"/>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2728" w:type="dxa"/>
            <w:vAlign w:val="center"/>
          </w:tcPr>
          <w:p w14:paraId="15F8F77E">
            <w:pPr>
              <w:shd w:val="clear" w:fill="FFFFFF" w:themeFill="background1"/>
              <w:jc w:val="center"/>
              <w:rPr>
                <w:rFonts w:ascii="宋体" w:hAnsi="宋体" w:cs="宋体"/>
                <w:b/>
                <w:color w:val="auto"/>
                <w:szCs w:val="21"/>
                <w:highlight w:val="none"/>
              </w:rPr>
            </w:pPr>
            <w:r>
              <w:rPr>
                <w:rFonts w:hint="eastAsia" w:ascii="宋体" w:hAnsi="宋体" w:cs="宋体"/>
                <w:b/>
                <w:color w:val="auto"/>
                <w:szCs w:val="21"/>
                <w:highlight w:val="none"/>
              </w:rPr>
              <w:t>条 款 名 称</w:t>
            </w:r>
          </w:p>
        </w:tc>
        <w:tc>
          <w:tcPr>
            <w:tcW w:w="6531" w:type="dxa"/>
            <w:vAlign w:val="center"/>
          </w:tcPr>
          <w:p w14:paraId="5A1493AC">
            <w:pPr>
              <w:shd w:val="clear" w:fill="FFFFFF" w:themeFill="background1"/>
              <w:jc w:val="center"/>
              <w:rPr>
                <w:rFonts w:ascii="宋体" w:hAnsi="宋体" w:cs="宋体"/>
                <w:b/>
                <w:color w:val="auto"/>
                <w:szCs w:val="21"/>
                <w:highlight w:val="none"/>
              </w:rPr>
            </w:pPr>
            <w:r>
              <w:rPr>
                <w:rFonts w:hint="eastAsia" w:ascii="宋体" w:hAnsi="宋体" w:cs="宋体"/>
                <w:b/>
                <w:color w:val="auto"/>
                <w:szCs w:val="21"/>
                <w:highlight w:val="none"/>
              </w:rPr>
              <w:t>编 列 内 容</w:t>
            </w:r>
          </w:p>
        </w:tc>
      </w:tr>
      <w:tr w14:paraId="55AF44D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2F9747F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1.1.2</w:t>
            </w:r>
          </w:p>
        </w:tc>
        <w:tc>
          <w:tcPr>
            <w:tcW w:w="2728" w:type="dxa"/>
            <w:vAlign w:val="center"/>
          </w:tcPr>
          <w:p w14:paraId="2133434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招标人</w:t>
            </w:r>
          </w:p>
        </w:tc>
        <w:tc>
          <w:tcPr>
            <w:tcW w:w="6531" w:type="dxa"/>
            <w:vAlign w:val="center"/>
          </w:tcPr>
          <w:p w14:paraId="552E0F5B">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招标人：乐昌市秀水镇人民政府</w:t>
            </w:r>
          </w:p>
          <w:p w14:paraId="17E67A4F">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地  址：广东省韶关市乐昌市秀水镇</w:t>
            </w:r>
          </w:p>
          <w:p w14:paraId="3F5D1DC7">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联 系 人：马工</w:t>
            </w:r>
          </w:p>
          <w:p w14:paraId="460FC5D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电    话：0751-5840168</w:t>
            </w:r>
          </w:p>
        </w:tc>
      </w:tr>
      <w:tr w14:paraId="76808C30">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7DB09CAD">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1.1.3</w:t>
            </w:r>
          </w:p>
        </w:tc>
        <w:tc>
          <w:tcPr>
            <w:tcW w:w="2728" w:type="dxa"/>
            <w:vAlign w:val="center"/>
          </w:tcPr>
          <w:p w14:paraId="74AAC9F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招标代理机构</w:t>
            </w:r>
          </w:p>
        </w:tc>
        <w:tc>
          <w:tcPr>
            <w:tcW w:w="6531" w:type="dxa"/>
            <w:vAlign w:val="center"/>
          </w:tcPr>
          <w:p w14:paraId="412517E2">
            <w:pPr>
              <w:shd w:val="clear" w:fill="FFFFFF" w:themeFill="background1"/>
              <w:rPr>
                <w:rFonts w:hint="eastAsia" w:ascii="宋体" w:hAnsi="宋体" w:eastAsia="宋体" w:cs="宋体"/>
                <w:color w:val="auto"/>
                <w:szCs w:val="21"/>
                <w:highlight w:val="none"/>
                <w:lang w:eastAsia="zh-CN"/>
              </w:rPr>
            </w:pPr>
            <w:r>
              <w:rPr>
                <w:rFonts w:ascii="宋体" w:hAnsi="宋体" w:cs="宋体"/>
                <w:color w:val="auto"/>
                <w:szCs w:val="21"/>
                <w:highlight w:val="none"/>
              </w:rPr>
              <w:t>单位名称：</w:t>
            </w:r>
            <w:r>
              <w:rPr>
                <w:rFonts w:hint="eastAsia" w:ascii="宋体" w:hAnsi="宋体" w:cs="宋体"/>
                <w:color w:val="auto"/>
                <w:szCs w:val="21"/>
                <w:highlight w:val="none"/>
                <w:lang w:eastAsia="zh-CN"/>
              </w:rPr>
              <w:t>韶关市中知工程咨询有限公司</w:t>
            </w:r>
          </w:p>
          <w:p w14:paraId="50660C87">
            <w:pPr>
              <w:shd w:val="clear" w:fill="FFFFFF" w:themeFill="background1"/>
              <w:rPr>
                <w:rFonts w:hint="eastAsia" w:ascii="宋体" w:hAnsi="宋体" w:eastAsia="宋体" w:cs="宋体"/>
                <w:color w:val="auto"/>
                <w:szCs w:val="21"/>
                <w:highlight w:val="none"/>
                <w:lang w:eastAsia="zh-CN"/>
              </w:rPr>
            </w:pPr>
            <w:r>
              <w:rPr>
                <w:rFonts w:ascii="宋体" w:hAnsi="宋体" w:cs="宋体"/>
                <w:color w:val="auto"/>
                <w:szCs w:val="21"/>
                <w:highlight w:val="none"/>
              </w:rPr>
              <w:t>办公地址：</w:t>
            </w:r>
            <w:r>
              <w:rPr>
                <w:rFonts w:hint="eastAsia" w:ascii="宋体" w:hAnsi="宋体" w:cs="宋体"/>
                <w:color w:val="auto"/>
                <w:szCs w:val="21"/>
                <w:highlight w:val="none"/>
                <w:lang w:eastAsia="zh-CN"/>
              </w:rPr>
              <w:t>韶关市武江区工业东路3号和贵楼306</w:t>
            </w:r>
          </w:p>
          <w:p w14:paraId="75829B74">
            <w:pPr>
              <w:shd w:val="clear" w:fill="FFFFFF" w:themeFill="background1"/>
              <w:rPr>
                <w:rFonts w:hint="eastAsia" w:ascii="宋体" w:hAnsi="宋体" w:eastAsia="宋体" w:cs="宋体"/>
                <w:color w:val="auto"/>
                <w:szCs w:val="21"/>
                <w:highlight w:val="none"/>
                <w:lang w:eastAsia="zh-CN"/>
              </w:rPr>
            </w:pPr>
            <w:r>
              <w:rPr>
                <w:rFonts w:ascii="宋体" w:hAnsi="宋体" w:cs="宋体"/>
                <w:color w:val="auto"/>
                <w:szCs w:val="21"/>
                <w:highlight w:val="none"/>
              </w:rPr>
              <w:t>联 系 人：</w:t>
            </w:r>
            <w:r>
              <w:rPr>
                <w:rFonts w:hint="eastAsia" w:ascii="宋体" w:hAnsi="宋体" w:cs="宋体"/>
                <w:color w:val="auto"/>
                <w:szCs w:val="21"/>
                <w:highlight w:val="none"/>
                <w:lang w:eastAsia="zh-CN"/>
              </w:rPr>
              <w:t>刘工</w:t>
            </w:r>
          </w:p>
          <w:p w14:paraId="766985BB">
            <w:pPr>
              <w:shd w:val="clear" w:fill="FFFFFF" w:themeFill="background1"/>
              <w:rPr>
                <w:rFonts w:hint="eastAsia" w:ascii="宋体" w:hAnsi="宋体" w:eastAsia="宋体" w:cs="宋体"/>
                <w:color w:val="auto"/>
                <w:szCs w:val="21"/>
                <w:highlight w:val="none"/>
                <w:lang w:eastAsia="zh-CN"/>
              </w:rPr>
            </w:pPr>
            <w:r>
              <w:rPr>
                <w:rFonts w:ascii="宋体" w:hAnsi="宋体" w:cs="宋体"/>
                <w:color w:val="auto"/>
                <w:szCs w:val="21"/>
                <w:highlight w:val="none"/>
              </w:rPr>
              <w:t>联系电话：</w:t>
            </w:r>
            <w:r>
              <w:rPr>
                <w:rFonts w:hint="eastAsia" w:ascii="宋体" w:hAnsi="宋体" w:cs="宋体"/>
                <w:color w:val="auto"/>
                <w:szCs w:val="21"/>
                <w:highlight w:val="none"/>
                <w:lang w:eastAsia="zh-CN"/>
              </w:rPr>
              <w:t>0751-8272484</w:t>
            </w:r>
          </w:p>
        </w:tc>
      </w:tr>
      <w:tr w14:paraId="6089B270">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686A7E8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1.1.4</w:t>
            </w:r>
          </w:p>
        </w:tc>
        <w:tc>
          <w:tcPr>
            <w:tcW w:w="2728" w:type="dxa"/>
            <w:vAlign w:val="center"/>
          </w:tcPr>
          <w:p w14:paraId="3DC6FFC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招标项目名称</w:t>
            </w:r>
          </w:p>
        </w:tc>
        <w:tc>
          <w:tcPr>
            <w:tcW w:w="6531" w:type="dxa"/>
            <w:vAlign w:val="center"/>
          </w:tcPr>
          <w:p w14:paraId="5A4FF1B4">
            <w:pPr>
              <w:shd w:val="clear" w:fill="FFFFFF" w:themeFill="background1"/>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Y765线大竹山至下矮山改建工程（单改双）施工</w:t>
            </w:r>
          </w:p>
        </w:tc>
      </w:tr>
      <w:tr w14:paraId="6A6C1F6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306DB2D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1.1.5</w:t>
            </w:r>
          </w:p>
        </w:tc>
        <w:tc>
          <w:tcPr>
            <w:tcW w:w="2728" w:type="dxa"/>
            <w:vAlign w:val="center"/>
          </w:tcPr>
          <w:p w14:paraId="1CC06E5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标段建设地点</w:t>
            </w:r>
          </w:p>
        </w:tc>
        <w:tc>
          <w:tcPr>
            <w:tcW w:w="6531" w:type="dxa"/>
            <w:vAlign w:val="center"/>
          </w:tcPr>
          <w:p w14:paraId="5CCDC12E">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乐昌市秀水镇</w:t>
            </w:r>
          </w:p>
        </w:tc>
      </w:tr>
      <w:tr w14:paraId="0A0DE8F2">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4ED2D6A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1.2.1</w:t>
            </w:r>
          </w:p>
        </w:tc>
        <w:tc>
          <w:tcPr>
            <w:tcW w:w="2728" w:type="dxa"/>
            <w:vAlign w:val="center"/>
          </w:tcPr>
          <w:p w14:paraId="39F771B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资金来源及比例</w:t>
            </w:r>
          </w:p>
        </w:tc>
        <w:tc>
          <w:tcPr>
            <w:tcW w:w="6531" w:type="dxa"/>
            <w:vAlign w:val="center"/>
          </w:tcPr>
          <w:p w14:paraId="3CE8A15F">
            <w:pPr>
              <w:shd w:val="clear" w:fill="FFFFFF" w:themeFill="background1"/>
              <w:rPr>
                <w:rFonts w:ascii="宋体" w:hAnsi="宋体" w:cs="宋体"/>
                <w:color w:val="auto"/>
                <w:szCs w:val="21"/>
                <w:highlight w:val="none"/>
              </w:rPr>
            </w:pPr>
            <w:r>
              <w:rPr>
                <w:rFonts w:hint="eastAsia" w:ascii="宋体" w:hAnsi="宋体" w:cs="宋体"/>
                <w:color w:val="auto"/>
                <w:szCs w:val="21"/>
                <w:highlight w:val="none"/>
                <w:lang w:eastAsia="zh-CN"/>
              </w:rPr>
              <w:t>上级财政补助资金</w:t>
            </w:r>
            <w:r>
              <w:rPr>
                <w:rFonts w:hint="eastAsia" w:ascii="宋体" w:hAnsi="宋体" w:cs="宋体"/>
                <w:color w:val="auto"/>
                <w:szCs w:val="21"/>
                <w:highlight w:val="none"/>
              </w:rPr>
              <w:t>。</w:t>
            </w:r>
          </w:p>
        </w:tc>
      </w:tr>
      <w:tr w14:paraId="1D249FF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1143C88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1.2.2</w:t>
            </w:r>
          </w:p>
        </w:tc>
        <w:tc>
          <w:tcPr>
            <w:tcW w:w="2728" w:type="dxa"/>
            <w:vAlign w:val="center"/>
          </w:tcPr>
          <w:p w14:paraId="3033432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资金落实情况</w:t>
            </w:r>
          </w:p>
        </w:tc>
        <w:tc>
          <w:tcPr>
            <w:tcW w:w="6531" w:type="dxa"/>
            <w:vAlign w:val="center"/>
          </w:tcPr>
          <w:p w14:paraId="025F0B67">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已落实</w:t>
            </w:r>
          </w:p>
        </w:tc>
      </w:tr>
      <w:tr w14:paraId="086E9AB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3BEB0B3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1.3.1</w:t>
            </w:r>
          </w:p>
        </w:tc>
        <w:tc>
          <w:tcPr>
            <w:tcW w:w="2728" w:type="dxa"/>
            <w:vAlign w:val="center"/>
          </w:tcPr>
          <w:p w14:paraId="5BBB1D5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招标范围</w:t>
            </w:r>
          </w:p>
        </w:tc>
        <w:tc>
          <w:tcPr>
            <w:tcW w:w="6531" w:type="dxa"/>
            <w:vAlign w:val="center"/>
          </w:tcPr>
          <w:p w14:paraId="60FD8B50">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本项目施工图设计和工程量清单范围内的工程施工。</w:t>
            </w:r>
          </w:p>
        </w:tc>
      </w:tr>
      <w:tr w14:paraId="54ABB9B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6899A4C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1.3.2</w:t>
            </w:r>
          </w:p>
        </w:tc>
        <w:tc>
          <w:tcPr>
            <w:tcW w:w="2728" w:type="dxa"/>
            <w:vAlign w:val="center"/>
          </w:tcPr>
          <w:p w14:paraId="37F9A74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计划工期</w:t>
            </w:r>
          </w:p>
        </w:tc>
        <w:tc>
          <w:tcPr>
            <w:tcW w:w="6531" w:type="dxa"/>
            <w:vAlign w:val="center"/>
          </w:tcPr>
          <w:p w14:paraId="58C09261">
            <w:pPr>
              <w:shd w:val="clear" w:fill="FFFFFF" w:themeFill="background1"/>
              <w:spacing w:line="32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计划工期：</w:t>
            </w:r>
            <w:r>
              <w:rPr>
                <w:rFonts w:hint="eastAsia" w:ascii="宋体" w:hAnsi="宋体" w:cs="宋体"/>
                <w:color w:val="auto"/>
                <w:szCs w:val="21"/>
                <w:highlight w:val="none"/>
                <w:u w:val="single"/>
                <w:lang w:eastAsia="zh-CN"/>
              </w:rPr>
              <w:t>90</w:t>
            </w:r>
            <w:r>
              <w:rPr>
                <w:rFonts w:hint="eastAsia" w:ascii="宋体" w:hAnsi="宋体" w:cs="宋体"/>
                <w:color w:val="auto"/>
                <w:szCs w:val="21"/>
                <w:highlight w:val="none"/>
                <w:u w:val="single"/>
              </w:rPr>
              <w:t>日历天</w:t>
            </w:r>
            <w:r>
              <w:rPr>
                <w:rFonts w:hint="eastAsia" w:ascii="宋体" w:hAnsi="宋体" w:cs="宋体"/>
                <w:color w:val="auto"/>
                <w:szCs w:val="21"/>
                <w:highlight w:val="none"/>
              </w:rPr>
              <w:t>；(实际开工时间以监理签发开工令为准）</w:t>
            </w:r>
          </w:p>
          <w:p w14:paraId="42EC51B3">
            <w:pPr>
              <w:shd w:val="clear" w:fill="FFFFFF" w:themeFill="background1"/>
              <w:spacing w:line="32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 xml:space="preserve"> / 年 /  月  / 日</w:t>
            </w:r>
            <w:r>
              <w:rPr>
                <w:rFonts w:hint="eastAsia" w:ascii="宋体" w:hAnsi="宋体" w:cs="宋体"/>
                <w:color w:val="auto"/>
                <w:szCs w:val="21"/>
                <w:highlight w:val="none"/>
              </w:rPr>
              <w:t>；</w:t>
            </w:r>
          </w:p>
          <w:p w14:paraId="00568B15">
            <w:pPr>
              <w:shd w:val="clear" w:fill="FFFFFF" w:themeFill="background1"/>
              <w:spacing w:line="280" w:lineRule="exact"/>
              <w:ind w:firstLine="105" w:firstLineChars="50"/>
              <w:rPr>
                <w:rFonts w:ascii="宋体" w:hAnsi="宋体" w:cs="宋体"/>
                <w:color w:val="auto"/>
                <w:szCs w:val="21"/>
                <w:highlight w:val="none"/>
                <w:u w:val="single"/>
              </w:rPr>
            </w:pPr>
            <w:r>
              <w:rPr>
                <w:rFonts w:hint="eastAsia" w:ascii="宋体" w:hAnsi="宋体" w:cs="宋体"/>
                <w:color w:val="auto"/>
                <w:szCs w:val="21"/>
                <w:highlight w:val="none"/>
              </w:rPr>
              <w:t>计划交工日期：</w:t>
            </w:r>
            <w:r>
              <w:rPr>
                <w:rFonts w:hint="eastAsia" w:ascii="宋体" w:hAnsi="宋体" w:cs="宋体"/>
                <w:color w:val="auto"/>
                <w:szCs w:val="21"/>
                <w:highlight w:val="none"/>
                <w:u w:val="single"/>
              </w:rPr>
              <w:t xml:space="preserve"> / 年 /  月 /  日。</w:t>
            </w:r>
          </w:p>
        </w:tc>
      </w:tr>
      <w:tr w14:paraId="5B5B1ABA">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2F52E0E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1.3.3</w:t>
            </w:r>
          </w:p>
        </w:tc>
        <w:tc>
          <w:tcPr>
            <w:tcW w:w="2728" w:type="dxa"/>
            <w:vAlign w:val="center"/>
          </w:tcPr>
          <w:p w14:paraId="5D626F4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质量要求</w:t>
            </w:r>
          </w:p>
        </w:tc>
        <w:tc>
          <w:tcPr>
            <w:tcW w:w="6531" w:type="dxa"/>
            <w:vAlign w:val="center"/>
          </w:tcPr>
          <w:p w14:paraId="2C55EA5F">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标段工程交工验收的质量评定：质量评分： ≥75 ；质量等级：合格。</w:t>
            </w:r>
          </w:p>
          <w:p w14:paraId="26A277B8">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竣工验收的质量评定：质量评分： ≥75 ；质量等级：合格。</w:t>
            </w:r>
          </w:p>
        </w:tc>
      </w:tr>
      <w:tr w14:paraId="0989CA3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vAlign w:val="center"/>
          </w:tcPr>
          <w:p w14:paraId="2481449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1.3.4</w:t>
            </w:r>
          </w:p>
        </w:tc>
        <w:tc>
          <w:tcPr>
            <w:tcW w:w="2728" w:type="dxa"/>
            <w:vAlign w:val="center"/>
          </w:tcPr>
          <w:p w14:paraId="2539902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安全目标</w:t>
            </w:r>
          </w:p>
        </w:tc>
        <w:tc>
          <w:tcPr>
            <w:tcW w:w="6531" w:type="dxa"/>
            <w:vAlign w:val="center"/>
          </w:tcPr>
          <w:p w14:paraId="62C1AE9F">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严格执行有关安全生产的法律法规和规章制度，确保项目建设期内</w:t>
            </w:r>
            <w:r>
              <w:rPr>
                <w:rFonts w:hint="eastAsia" w:ascii="宋体" w:hAnsi="宋体" w:cs="宋体"/>
                <w:color w:val="auto"/>
                <w:szCs w:val="21"/>
                <w:highlight w:val="none"/>
                <w:u w:val="single"/>
              </w:rPr>
              <w:t>无安全生产责任事故发生。</w:t>
            </w:r>
          </w:p>
        </w:tc>
      </w:tr>
      <w:tr w14:paraId="1429503C">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bottom w:val="single" w:color="000000" w:sz="6" w:space="0"/>
            </w:tcBorders>
            <w:vAlign w:val="center"/>
          </w:tcPr>
          <w:p w14:paraId="06A20C6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1.4.1</w:t>
            </w:r>
          </w:p>
        </w:tc>
        <w:tc>
          <w:tcPr>
            <w:tcW w:w="2728" w:type="dxa"/>
            <w:tcBorders>
              <w:bottom w:val="single" w:color="000000" w:sz="6" w:space="0"/>
            </w:tcBorders>
            <w:vAlign w:val="center"/>
          </w:tcPr>
          <w:p w14:paraId="74082143">
            <w:pPr>
              <w:pStyle w:val="17"/>
              <w:shd w:val="clear" w:fill="FFFFFF" w:themeFill="background1"/>
              <w:topLinePunct/>
              <w:rPr>
                <w:rFonts w:hAnsi="宋体" w:cs="宋体"/>
                <w:color w:val="auto"/>
                <w:sz w:val="21"/>
                <w:szCs w:val="21"/>
                <w:highlight w:val="none"/>
              </w:rPr>
            </w:pPr>
            <w:r>
              <w:rPr>
                <w:rFonts w:hint="eastAsia" w:hAnsi="宋体" w:cs="宋体"/>
                <w:color w:val="auto"/>
                <w:sz w:val="21"/>
                <w:szCs w:val="21"/>
                <w:highlight w:val="none"/>
              </w:rPr>
              <w:t>投标人资质条件、能力和信誉</w:t>
            </w:r>
          </w:p>
        </w:tc>
        <w:tc>
          <w:tcPr>
            <w:tcW w:w="6531" w:type="dxa"/>
            <w:tcBorders>
              <w:bottom w:val="single" w:color="000000" w:sz="6" w:space="0"/>
            </w:tcBorders>
            <w:vAlign w:val="center"/>
          </w:tcPr>
          <w:p w14:paraId="04468AD5">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资质条件：见附录1</w:t>
            </w:r>
          </w:p>
          <w:p w14:paraId="7E322FBB">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财务要求：见附录2</w:t>
            </w:r>
          </w:p>
          <w:p w14:paraId="6781C833">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业绩要求：见附录3</w:t>
            </w:r>
          </w:p>
          <w:p w14:paraId="54504D1C">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信誉要求：见附录4</w:t>
            </w:r>
          </w:p>
          <w:p w14:paraId="2EE5A3BA">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项目经理和项目总工资格要求：见附录5</w:t>
            </w:r>
          </w:p>
          <w:p w14:paraId="23A82A74">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其他要求：见附录6、7</w:t>
            </w:r>
          </w:p>
        </w:tc>
      </w:tr>
      <w:tr w14:paraId="231E184D">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bottom w:val="single" w:color="000000" w:sz="6" w:space="0"/>
            </w:tcBorders>
            <w:vAlign w:val="center"/>
          </w:tcPr>
          <w:p w14:paraId="2DCE94B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1.4.2</w:t>
            </w:r>
          </w:p>
        </w:tc>
        <w:tc>
          <w:tcPr>
            <w:tcW w:w="2728" w:type="dxa"/>
            <w:tcBorders>
              <w:bottom w:val="single" w:color="000000" w:sz="6" w:space="0"/>
            </w:tcBorders>
            <w:vAlign w:val="center"/>
          </w:tcPr>
          <w:p w14:paraId="1071771E">
            <w:pPr>
              <w:pStyle w:val="17"/>
              <w:shd w:val="clear" w:fill="FFFFFF" w:themeFill="background1"/>
              <w:topLinePunct/>
              <w:jc w:val="center"/>
              <w:rPr>
                <w:rFonts w:hAnsi="宋体" w:cs="宋体"/>
                <w:color w:val="auto"/>
                <w:sz w:val="21"/>
                <w:szCs w:val="21"/>
                <w:highlight w:val="none"/>
              </w:rPr>
            </w:pPr>
            <w:r>
              <w:rPr>
                <w:rFonts w:hint="eastAsia" w:hAnsi="宋体" w:cs="宋体"/>
                <w:color w:val="auto"/>
                <w:sz w:val="21"/>
                <w:szCs w:val="21"/>
                <w:highlight w:val="none"/>
              </w:rPr>
              <w:t>是否接受联合体投标</w:t>
            </w:r>
          </w:p>
        </w:tc>
        <w:tc>
          <w:tcPr>
            <w:tcW w:w="6531" w:type="dxa"/>
            <w:tcBorders>
              <w:bottom w:val="single" w:color="000000" w:sz="6" w:space="0"/>
            </w:tcBorders>
            <w:vAlign w:val="center"/>
          </w:tcPr>
          <w:p w14:paraId="66C1652F">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☑不接受</w:t>
            </w:r>
          </w:p>
          <w:p w14:paraId="191C4126">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□接受，还应满足下列要求：</w:t>
            </w:r>
          </w:p>
          <w:p w14:paraId="5A38F8F9">
            <w:pPr>
              <w:pStyle w:val="17"/>
              <w:shd w:val="clear" w:fill="FFFFFF" w:themeFill="background1"/>
              <w:topLinePunct/>
              <w:adjustRightInd w:val="0"/>
              <w:snapToGrid w:val="0"/>
              <w:rPr>
                <w:rFonts w:hAnsi="宋体" w:cs="宋体"/>
                <w:color w:val="auto"/>
                <w:sz w:val="21"/>
                <w:szCs w:val="21"/>
                <w:highlight w:val="none"/>
                <w:u w:val="single"/>
              </w:rPr>
            </w:pPr>
            <w:r>
              <w:rPr>
                <w:rFonts w:hint="eastAsia" w:hAnsi="宋体" w:cs="宋体"/>
                <w:color w:val="auto"/>
                <w:sz w:val="21"/>
                <w:szCs w:val="21"/>
                <w:highlight w:val="none"/>
              </w:rPr>
              <w:t>（1）联合体所有成员数量不得超过</w:t>
            </w:r>
            <w:r>
              <w:rPr>
                <w:rFonts w:hint="eastAsia" w:hAnsi="宋体" w:cs="宋体"/>
                <w:color w:val="auto"/>
                <w:sz w:val="21"/>
                <w:szCs w:val="21"/>
                <w:highlight w:val="none"/>
                <w:u w:val="single"/>
              </w:rPr>
              <w:t xml:space="preserve"> / </w:t>
            </w:r>
            <w:r>
              <w:rPr>
                <w:rFonts w:hint="eastAsia" w:hAnsi="宋体" w:cs="宋体"/>
                <w:color w:val="auto"/>
                <w:sz w:val="21"/>
                <w:szCs w:val="21"/>
                <w:highlight w:val="none"/>
              </w:rPr>
              <w:t>家；</w:t>
            </w:r>
          </w:p>
          <w:p w14:paraId="5610D054">
            <w:pPr>
              <w:pStyle w:val="17"/>
              <w:shd w:val="clear" w:fill="FFFFFF" w:themeFill="background1"/>
              <w:topLinePunct/>
              <w:adjustRightInd w:val="0"/>
              <w:snapToGrid w:val="0"/>
              <w:rPr>
                <w:rFonts w:hAnsi="宋体" w:cs="宋体"/>
                <w:color w:val="auto"/>
                <w:sz w:val="21"/>
                <w:szCs w:val="21"/>
                <w:highlight w:val="none"/>
              </w:rPr>
            </w:pPr>
            <w:r>
              <w:rPr>
                <w:rFonts w:hint="eastAsia" w:hAnsi="宋体" w:cs="宋体"/>
                <w:color w:val="auto"/>
                <w:sz w:val="21"/>
                <w:szCs w:val="21"/>
                <w:highlight w:val="none"/>
              </w:rPr>
              <w:t>（2）联合体牵头人应具有</w:t>
            </w:r>
            <w:r>
              <w:rPr>
                <w:rFonts w:hint="eastAsia" w:hAnsi="宋体" w:cs="宋体"/>
                <w:color w:val="auto"/>
                <w:sz w:val="21"/>
                <w:szCs w:val="21"/>
                <w:highlight w:val="none"/>
                <w:u w:val="single"/>
              </w:rPr>
              <w:t xml:space="preserve"> / </w:t>
            </w:r>
            <w:r>
              <w:rPr>
                <w:rFonts w:hint="eastAsia" w:hAnsi="宋体" w:cs="宋体"/>
                <w:color w:val="auto"/>
                <w:sz w:val="21"/>
                <w:szCs w:val="21"/>
                <w:highlight w:val="none"/>
              </w:rPr>
              <w:t>资质；</w:t>
            </w:r>
          </w:p>
        </w:tc>
      </w:tr>
      <w:tr w14:paraId="5E592AB3">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bottom w:val="single" w:color="000000" w:sz="6" w:space="0"/>
            </w:tcBorders>
            <w:vAlign w:val="center"/>
          </w:tcPr>
          <w:p w14:paraId="2C3194A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1.4.3</w:t>
            </w:r>
          </w:p>
        </w:tc>
        <w:tc>
          <w:tcPr>
            <w:tcW w:w="2728" w:type="dxa"/>
            <w:tcBorders>
              <w:bottom w:val="single" w:color="000000" w:sz="6" w:space="0"/>
            </w:tcBorders>
            <w:vAlign w:val="center"/>
          </w:tcPr>
          <w:p w14:paraId="5C74EF0C">
            <w:pPr>
              <w:pStyle w:val="17"/>
              <w:shd w:val="clear" w:fill="FFFFFF" w:themeFill="background1"/>
              <w:topLinePunct/>
              <w:jc w:val="center"/>
              <w:rPr>
                <w:rFonts w:hAnsi="宋体" w:cs="宋体"/>
                <w:color w:val="auto"/>
                <w:sz w:val="21"/>
                <w:szCs w:val="21"/>
                <w:highlight w:val="none"/>
              </w:rPr>
            </w:pPr>
            <w:r>
              <w:rPr>
                <w:rFonts w:hint="eastAsia" w:hAnsi="宋体" w:cs="宋体"/>
                <w:color w:val="auto"/>
                <w:sz w:val="21"/>
                <w:szCs w:val="21"/>
                <w:highlight w:val="none"/>
              </w:rPr>
              <w:t>投标人不得存在的其他关联情形</w:t>
            </w:r>
          </w:p>
        </w:tc>
        <w:tc>
          <w:tcPr>
            <w:tcW w:w="6531" w:type="dxa"/>
            <w:tcBorders>
              <w:bottom w:val="single" w:color="000000" w:sz="6" w:space="0"/>
            </w:tcBorders>
            <w:vAlign w:val="center"/>
          </w:tcPr>
          <w:p w14:paraId="6A227611">
            <w:pPr>
              <w:pStyle w:val="17"/>
              <w:shd w:val="clear" w:fill="FFFFFF" w:themeFill="background1"/>
              <w:topLinePunct/>
              <w:adjustRightInd w:val="0"/>
              <w:snapToGrid w:val="0"/>
              <w:jc w:val="center"/>
              <w:rPr>
                <w:rFonts w:hAnsi="宋体" w:cs="宋体"/>
                <w:color w:val="auto"/>
                <w:sz w:val="21"/>
                <w:szCs w:val="21"/>
                <w:highlight w:val="none"/>
              </w:rPr>
            </w:pPr>
            <w:r>
              <w:rPr>
                <w:rFonts w:hint="eastAsia" w:hAnsi="宋体" w:cs="宋体"/>
                <w:color w:val="auto"/>
                <w:sz w:val="21"/>
                <w:szCs w:val="21"/>
                <w:highlight w:val="none"/>
              </w:rPr>
              <w:t>/</w:t>
            </w:r>
          </w:p>
        </w:tc>
      </w:tr>
      <w:tr w14:paraId="6785F305">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top w:val="single" w:color="000000" w:sz="6" w:space="0"/>
            </w:tcBorders>
            <w:vAlign w:val="center"/>
          </w:tcPr>
          <w:p w14:paraId="698BC5B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1.4.4</w:t>
            </w:r>
          </w:p>
        </w:tc>
        <w:tc>
          <w:tcPr>
            <w:tcW w:w="2728" w:type="dxa"/>
            <w:tcBorders>
              <w:top w:val="single" w:color="000000" w:sz="6" w:space="0"/>
            </w:tcBorders>
            <w:vAlign w:val="center"/>
          </w:tcPr>
          <w:p w14:paraId="0A8A8168">
            <w:pPr>
              <w:pStyle w:val="17"/>
              <w:shd w:val="clear" w:fill="FFFFFF" w:themeFill="background1"/>
              <w:topLinePunct/>
              <w:jc w:val="center"/>
              <w:rPr>
                <w:rFonts w:hAnsi="宋体" w:cs="宋体"/>
                <w:color w:val="auto"/>
                <w:sz w:val="21"/>
                <w:szCs w:val="21"/>
                <w:highlight w:val="none"/>
              </w:rPr>
            </w:pPr>
            <w:r>
              <w:rPr>
                <w:rFonts w:hint="eastAsia" w:hAnsi="宋体" w:cs="宋体"/>
                <w:color w:val="auto"/>
                <w:sz w:val="21"/>
                <w:szCs w:val="21"/>
                <w:highlight w:val="none"/>
              </w:rPr>
              <w:t>投标人不得存在的其他不良状况或不良信用</w:t>
            </w:r>
          </w:p>
        </w:tc>
        <w:tc>
          <w:tcPr>
            <w:tcW w:w="6531" w:type="dxa"/>
            <w:tcBorders>
              <w:top w:val="single" w:color="000000" w:sz="6" w:space="0"/>
            </w:tcBorders>
            <w:vAlign w:val="center"/>
          </w:tcPr>
          <w:p w14:paraId="2E562C2C">
            <w:pPr>
              <w:pStyle w:val="17"/>
              <w:shd w:val="clear" w:fill="FFFFFF" w:themeFill="background1"/>
              <w:topLinePunct/>
              <w:adjustRightInd w:val="0"/>
              <w:snapToGrid w:val="0"/>
              <w:jc w:val="center"/>
              <w:rPr>
                <w:rFonts w:hAnsi="宋体" w:cs="宋体"/>
                <w:color w:val="auto"/>
                <w:sz w:val="21"/>
                <w:szCs w:val="21"/>
                <w:highlight w:val="none"/>
              </w:rPr>
            </w:pPr>
            <w:r>
              <w:rPr>
                <w:rFonts w:hint="eastAsia" w:hAnsi="宋体" w:cs="宋体"/>
                <w:color w:val="auto"/>
                <w:sz w:val="21"/>
                <w:szCs w:val="21"/>
                <w:highlight w:val="none"/>
              </w:rPr>
              <w:t>/</w:t>
            </w:r>
          </w:p>
        </w:tc>
      </w:tr>
      <w:tr w14:paraId="0AD0DF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restart"/>
            <w:vAlign w:val="center"/>
          </w:tcPr>
          <w:p w14:paraId="4DF54C1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1.10.2</w:t>
            </w:r>
          </w:p>
        </w:tc>
        <w:tc>
          <w:tcPr>
            <w:tcW w:w="2728" w:type="dxa"/>
            <w:vMerge w:val="restart"/>
            <w:vAlign w:val="center"/>
          </w:tcPr>
          <w:p w14:paraId="3FCB893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投标人在投标预备会前提出问题</w:t>
            </w:r>
          </w:p>
        </w:tc>
        <w:tc>
          <w:tcPr>
            <w:tcW w:w="6531" w:type="dxa"/>
            <w:vAlign w:val="center"/>
          </w:tcPr>
          <w:p w14:paraId="6FDF2F82">
            <w:pPr>
              <w:shd w:val="clear" w:fill="FFFFFF" w:themeFill="background1"/>
              <w:ind w:left="105" w:leftChars="50"/>
              <w:rPr>
                <w:rFonts w:ascii="宋体" w:hAnsi="宋体" w:cs="宋体"/>
                <w:color w:val="auto"/>
                <w:szCs w:val="21"/>
                <w:highlight w:val="none"/>
              </w:rPr>
            </w:pPr>
            <w:r>
              <w:rPr>
                <w:rFonts w:hint="eastAsia" w:ascii="宋体" w:hAnsi="宋体" w:cs="宋体"/>
                <w:color w:val="auto"/>
                <w:kern w:val="0"/>
                <w:szCs w:val="21"/>
                <w:highlight w:val="none"/>
              </w:rPr>
              <w:t>招标人不组织投标预备会。</w:t>
            </w:r>
          </w:p>
        </w:tc>
      </w:tr>
      <w:tr w14:paraId="2C925F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continue"/>
            <w:vAlign w:val="center"/>
          </w:tcPr>
          <w:p w14:paraId="26A6DD0F">
            <w:pPr>
              <w:shd w:val="clear" w:fill="FFFFFF" w:themeFill="background1"/>
              <w:jc w:val="center"/>
              <w:rPr>
                <w:rFonts w:ascii="宋体" w:hAnsi="宋体" w:cs="宋体"/>
                <w:color w:val="auto"/>
                <w:szCs w:val="21"/>
                <w:highlight w:val="none"/>
              </w:rPr>
            </w:pPr>
          </w:p>
        </w:tc>
        <w:tc>
          <w:tcPr>
            <w:tcW w:w="2728" w:type="dxa"/>
            <w:vMerge w:val="continue"/>
            <w:vAlign w:val="center"/>
          </w:tcPr>
          <w:p w14:paraId="22116D40">
            <w:pPr>
              <w:shd w:val="clear" w:fill="FFFFFF" w:themeFill="background1"/>
              <w:jc w:val="center"/>
              <w:rPr>
                <w:rFonts w:ascii="宋体" w:hAnsi="宋体" w:cs="宋体"/>
                <w:color w:val="auto"/>
                <w:szCs w:val="21"/>
                <w:highlight w:val="none"/>
              </w:rPr>
            </w:pPr>
          </w:p>
        </w:tc>
        <w:tc>
          <w:tcPr>
            <w:tcW w:w="6531" w:type="dxa"/>
            <w:vAlign w:val="center"/>
          </w:tcPr>
          <w:p w14:paraId="59E0A9A5">
            <w:pPr>
              <w:shd w:val="clear" w:fill="FFFFFF" w:themeFill="background1"/>
              <w:ind w:left="105" w:leftChars="50"/>
              <w:jc w:val="left"/>
              <w:rPr>
                <w:rFonts w:ascii="宋体" w:hAnsi="宋体" w:cs="宋体"/>
                <w:color w:val="auto"/>
                <w:szCs w:val="21"/>
                <w:highlight w:val="none"/>
              </w:rPr>
            </w:pPr>
            <w:r>
              <w:rPr>
                <w:rFonts w:hint="eastAsia" w:ascii="宋体" w:hAnsi="宋体" w:cs="宋体"/>
                <w:color w:val="auto"/>
                <w:kern w:val="0"/>
                <w:szCs w:val="21"/>
                <w:highlight w:val="none"/>
              </w:rPr>
              <w:t>形式：</w:t>
            </w:r>
            <w:r>
              <w:rPr>
                <w:rFonts w:hint="eastAsia" w:ascii="宋体" w:hAnsi="宋体" w:cs="宋体"/>
                <w:color w:val="auto"/>
                <w:szCs w:val="21"/>
                <w:highlight w:val="none"/>
                <w:u w:val="single"/>
              </w:rPr>
              <w:t xml:space="preserve">   /  </w:t>
            </w:r>
          </w:p>
        </w:tc>
      </w:tr>
      <w:tr w14:paraId="3BA30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7610FAA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1.11.1</w:t>
            </w:r>
          </w:p>
        </w:tc>
        <w:tc>
          <w:tcPr>
            <w:tcW w:w="2728" w:type="dxa"/>
            <w:vAlign w:val="center"/>
          </w:tcPr>
          <w:p w14:paraId="40246AF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分  包</w:t>
            </w:r>
          </w:p>
        </w:tc>
        <w:tc>
          <w:tcPr>
            <w:tcW w:w="6531" w:type="dxa"/>
            <w:vAlign w:val="center"/>
          </w:tcPr>
          <w:p w14:paraId="51663D80">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☑不允许</w:t>
            </w:r>
          </w:p>
          <w:p w14:paraId="5FAE4459">
            <w:pPr>
              <w:shd w:val="clear" w:fill="FFFFFF" w:themeFill="background1"/>
              <w:rPr>
                <w:color w:val="auto"/>
                <w:highlight w:val="none"/>
              </w:rPr>
            </w:pPr>
            <w:r>
              <w:rPr>
                <w:rFonts w:hint="eastAsia"/>
                <w:color w:val="auto"/>
                <w:highlight w:val="none"/>
              </w:rPr>
              <w:t>□允许，允许分包的专项工程（或不允许分包的专项工程）：</w:t>
            </w:r>
            <w:r>
              <w:rPr>
                <w:rFonts w:hint="eastAsia"/>
                <w:color w:val="auto"/>
                <w:highlight w:val="none"/>
                <w:u w:val="single"/>
              </w:rPr>
              <w:t xml:space="preserve">      /   </w:t>
            </w:r>
            <w:r>
              <w:rPr>
                <w:rFonts w:hint="eastAsia"/>
                <w:color w:val="auto"/>
                <w:highlight w:val="none"/>
              </w:rPr>
              <w:t xml:space="preserve">      </w:t>
            </w:r>
          </w:p>
          <w:p w14:paraId="1A166D49">
            <w:pPr>
              <w:shd w:val="clear" w:fill="FFFFFF" w:themeFill="background1"/>
              <w:ind w:left="105" w:leftChars="50"/>
              <w:rPr>
                <w:color w:val="auto"/>
                <w:highlight w:val="none"/>
              </w:rPr>
            </w:pPr>
            <w:r>
              <w:rPr>
                <w:rFonts w:hint="eastAsia"/>
                <w:color w:val="auto"/>
                <w:highlight w:val="none"/>
              </w:rPr>
              <w:t>对分包人的资格要求：</w:t>
            </w:r>
            <w:r>
              <w:rPr>
                <w:rFonts w:hint="eastAsia"/>
                <w:color w:val="auto"/>
                <w:highlight w:val="none"/>
                <w:u w:val="single"/>
              </w:rPr>
              <w:t xml:space="preserve">       </w:t>
            </w:r>
            <w:r>
              <w:rPr>
                <w:rFonts w:hint="eastAsia"/>
                <w:color w:val="auto"/>
                <w:highlight w:val="none"/>
              </w:rPr>
              <w:t xml:space="preserve">/        </w:t>
            </w:r>
          </w:p>
        </w:tc>
      </w:tr>
      <w:tr w14:paraId="387BB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396A172B">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2.1</w:t>
            </w:r>
          </w:p>
        </w:tc>
        <w:tc>
          <w:tcPr>
            <w:tcW w:w="2728" w:type="dxa"/>
            <w:vAlign w:val="center"/>
          </w:tcPr>
          <w:p w14:paraId="5562A3E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构成招标文件的其他资料</w:t>
            </w:r>
          </w:p>
        </w:tc>
        <w:tc>
          <w:tcPr>
            <w:tcW w:w="6531" w:type="dxa"/>
            <w:vAlign w:val="center"/>
          </w:tcPr>
          <w:p w14:paraId="3A9D8906">
            <w:pPr>
              <w:shd w:val="clear" w:fill="FFFFFF" w:themeFill="background1"/>
              <w:rPr>
                <w:rFonts w:ascii="宋体" w:hAnsi="宋体" w:cs="宋体"/>
                <w:b/>
                <w:color w:val="auto"/>
                <w:szCs w:val="21"/>
                <w:highlight w:val="none"/>
              </w:rPr>
            </w:pPr>
            <w:r>
              <w:rPr>
                <w:rFonts w:hint="eastAsia" w:ascii="宋体" w:hAnsi="宋体" w:cs="宋体"/>
                <w:color w:val="auto"/>
                <w:szCs w:val="21"/>
                <w:highlight w:val="none"/>
              </w:rPr>
              <w:t xml:space="preserve"> 招标文件所附的其他资料</w:t>
            </w:r>
          </w:p>
        </w:tc>
      </w:tr>
      <w:tr w14:paraId="265227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restart"/>
            <w:vAlign w:val="center"/>
          </w:tcPr>
          <w:p w14:paraId="666EE76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2.2.1</w:t>
            </w:r>
          </w:p>
        </w:tc>
        <w:tc>
          <w:tcPr>
            <w:tcW w:w="2728" w:type="dxa"/>
            <w:vMerge w:val="restart"/>
            <w:vAlign w:val="center"/>
          </w:tcPr>
          <w:p w14:paraId="32933633">
            <w:pPr>
              <w:shd w:val="clear" w:fill="FFFFFF" w:themeFill="background1"/>
              <w:autoSpaceDE w:val="0"/>
              <w:autoSpaceDN w:val="0"/>
              <w:jc w:val="center"/>
              <w:rPr>
                <w:rFonts w:ascii="宋体" w:hAnsi="宋体" w:cs="宋体"/>
                <w:color w:val="auto"/>
                <w:kern w:val="0"/>
                <w:szCs w:val="21"/>
                <w:highlight w:val="none"/>
              </w:rPr>
            </w:pPr>
            <w:r>
              <w:rPr>
                <w:rFonts w:hint="eastAsia" w:ascii="宋体" w:hAnsi="宋体" w:cs="宋体"/>
                <w:color w:val="auto"/>
                <w:kern w:val="0"/>
                <w:szCs w:val="21"/>
                <w:highlight w:val="none"/>
              </w:rPr>
              <w:t>投标人要求澄清</w:t>
            </w:r>
          </w:p>
          <w:p w14:paraId="48E8E08A">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招标文件</w:t>
            </w:r>
          </w:p>
        </w:tc>
        <w:tc>
          <w:tcPr>
            <w:tcW w:w="6531" w:type="dxa"/>
            <w:vAlign w:val="center"/>
          </w:tcPr>
          <w:p w14:paraId="32ECE2B3">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时间：</w:t>
            </w:r>
            <w:r>
              <w:rPr>
                <w:rFonts w:hint="eastAsia" w:ascii="宋体" w:hAnsi="宋体" w:cs="宋体"/>
                <w:color w:val="auto"/>
                <w:kern w:val="0"/>
                <w:szCs w:val="21"/>
                <w:highlight w:val="none"/>
                <w:u w:val="single"/>
              </w:rPr>
              <w:t>递交投标文件截止之日10天前</w:t>
            </w:r>
          </w:p>
        </w:tc>
      </w:tr>
      <w:tr w14:paraId="0BA38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continue"/>
            <w:vAlign w:val="center"/>
          </w:tcPr>
          <w:p w14:paraId="3066E323">
            <w:pPr>
              <w:shd w:val="clear" w:fill="FFFFFF" w:themeFill="background1"/>
              <w:jc w:val="center"/>
              <w:rPr>
                <w:rFonts w:ascii="宋体" w:hAnsi="宋体" w:cs="宋体"/>
                <w:color w:val="auto"/>
                <w:szCs w:val="21"/>
                <w:highlight w:val="none"/>
              </w:rPr>
            </w:pPr>
          </w:p>
        </w:tc>
        <w:tc>
          <w:tcPr>
            <w:tcW w:w="2728" w:type="dxa"/>
            <w:vMerge w:val="continue"/>
            <w:vAlign w:val="center"/>
          </w:tcPr>
          <w:p w14:paraId="6B804DF7">
            <w:pPr>
              <w:shd w:val="clear" w:fill="FFFFFF" w:themeFill="background1"/>
              <w:autoSpaceDE w:val="0"/>
              <w:autoSpaceDN w:val="0"/>
              <w:jc w:val="center"/>
              <w:rPr>
                <w:rFonts w:ascii="宋体" w:hAnsi="宋体" w:cs="宋体"/>
                <w:color w:val="auto"/>
                <w:szCs w:val="21"/>
                <w:highlight w:val="none"/>
              </w:rPr>
            </w:pPr>
          </w:p>
        </w:tc>
        <w:tc>
          <w:tcPr>
            <w:tcW w:w="6531" w:type="dxa"/>
            <w:vAlign w:val="center"/>
          </w:tcPr>
          <w:p w14:paraId="4F46E1D4">
            <w:pPr>
              <w:shd w:val="clear" w:fill="FFFFFF" w:themeFill="background1"/>
              <w:rPr>
                <w:rFonts w:ascii="宋体" w:hAnsi="宋体" w:cs="宋体"/>
                <w:color w:val="auto"/>
                <w:szCs w:val="21"/>
                <w:highlight w:val="none"/>
              </w:rPr>
            </w:pPr>
            <w:r>
              <w:rPr>
                <w:rFonts w:hint="eastAsia" w:ascii="宋体" w:hAnsi="宋体" w:cs="宋体"/>
                <w:color w:val="auto"/>
                <w:kern w:val="0"/>
                <w:szCs w:val="21"/>
                <w:highlight w:val="none"/>
              </w:rPr>
              <w:t>形式：投标人在全国公共资源交易平台 （广东省·韶关市）（https://ygp.gdzwfw.gov.cn/ggzy-portal/#/440200/index）</w:t>
            </w:r>
            <w:r>
              <w:rPr>
                <w:rFonts w:hint="eastAsia" w:ascii="宋体" w:hAnsi="宋体" w:cs="宋体"/>
                <w:color w:val="auto"/>
                <w:szCs w:val="21"/>
                <w:highlight w:val="none"/>
                <w:u w:val="single"/>
              </w:rPr>
              <w:t>招标答疑栏以不记名方式提出。</w:t>
            </w:r>
          </w:p>
        </w:tc>
      </w:tr>
      <w:tr w14:paraId="34CB18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1DB3D9F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2.2.2</w:t>
            </w:r>
          </w:p>
        </w:tc>
        <w:tc>
          <w:tcPr>
            <w:tcW w:w="2728" w:type="dxa"/>
            <w:vAlign w:val="center"/>
          </w:tcPr>
          <w:p w14:paraId="0DC6D4D8">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招标文件澄清发出的形式</w:t>
            </w:r>
          </w:p>
        </w:tc>
        <w:tc>
          <w:tcPr>
            <w:tcW w:w="6531" w:type="dxa"/>
            <w:vAlign w:val="center"/>
          </w:tcPr>
          <w:p w14:paraId="08968405">
            <w:pPr>
              <w:shd w:val="clear" w:fill="FFFFFF" w:themeFill="background1"/>
              <w:rPr>
                <w:rFonts w:ascii="宋体" w:hAnsi="宋体" w:cs="宋体"/>
                <w:color w:val="auto"/>
                <w:szCs w:val="21"/>
                <w:highlight w:val="none"/>
              </w:rPr>
            </w:pPr>
            <w:r>
              <w:rPr>
                <w:rFonts w:hint="eastAsia" w:ascii="宋体" w:hAnsi="宋体" w:cs="宋体"/>
                <w:color w:val="auto"/>
                <w:kern w:val="0"/>
                <w:szCs w:val="21"/>
                <w:highlight w:val="none"/>
              </w:rPr>
              <w:t>网站公告：全国公共资源交易平台 （广东省·韶关市）（https://ygp.gdzwfw.gov.cn/ggzy-portal/#/440200/index）</w:t>
            </w:r>
            <w:r>
              <w:rPr>
                <w:rFonts w:hint="eastAsia" w:ascii="宋体" w:hAnsi="宋体" w:cs="宋体"/>
                <w:color w:val="auto"/>
                <w:szCs w:val="21"/>
                <w:highlight w:val="none"/>
              </w:rPr>
              <w:t>发布。</w:t>
            </w:r>
          </w:p>
        </w:tc>
      </w:tr>
      <w:tr w14:paraId="0DC1B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restart"/>
            <w:vAlign w:val="center"/>
          </w:tcPr>
          <w:p w14:paraId="4E3E750B">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2.2.3</w:t>
            </w:r>
          </w:p>
        </w:tc>
        <w:tc>
          <w:tcPr>
            <w:tcW w:w="2728" w:type="dxa"/>
            <w:vMerge w:val="restart"/>
            <w:vAlign w:val="center"/>
          </w:tcPr>
          <w:p w14:paraId="7130DCD4">
            <w:pPr>
              <w:shd w:val="clear" w:fill="FFFFFF" w:themeFill="background1"/>
              <w:autoSpaceDE w:val="0"/>
              <w:autoSpaceDN w:val="0"/>
              <w:jc w:val="center"/>
              <w:rPr>
                <w:rFonts w:ascii="宋体" w:hAnsi="宋体" w:cs="宋体"/>
                <w:color w:val="auto"/>
                <w:kern w:val="0"/>
                <w:szCs w:val="21"/>
                <w:highlight w:val="none"/>
              </w:rPr>
            </w:pPr>
            <w:r>
              <w:rPr>
                <w:rFonts w:hint="eastAsia" w:ascii="宋体" w:hAnsi="宋体" w:cs="宋体"/>
                <w:color w:val="auto"/>
                <w:kern w:val="0"/>
                <w:szCs w:val="21"/>
                <w:highlight w:val="none"/>
              </w:rPr>
              <w:t>投标人确认收到招标文件澄</w:t>
            </w:r>
          </w:p>
          <w:p w14:paraId="784AC1B7">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清</w:t>
            </w:r>
          </w:p>
        </w:tc>
        <w:tc>
          <w:tcPr>
            <w:tcW w:w="6531" w:type="dxa"/>
            <w:vAlign w:val="center"/>
          </w:tcPr>
          <w:p w14:paraId="60E7E399">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时间：以全国公共资源交易平台 （广东省·韶关市）（https://ygp.gdzwfw.gov.cn/ggzy-portal/#/440200/index）</w:t>
            </w:r>
            <w:r>
              <w:rPr>
                <w:rFonts w:hint="eastAsia" w:ascii="宋体" w:hAnsi="宋体" w:cs="宋体"/>
                <w:color w:val="auto"/>
                <w:szCs w:val="21"/>
                <w:highlight w:val="none"/>
              </w:rPr>
              <w:t>发布时间为准。</w:t>
            </w:r>
          </w:p>
        </w:tc>
      </w:tr>
      <w:tr w14:paraId="43890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continue"/>
            <w:vAlign w:val="center"/>
          </w:tcPr>
          <w:p w14:paraId="50EC5019">
            <w:pPr>
              <w:shd w:val="clear" w:fill="FFFFFF" w:themeFill="background1"/>
              <w:jc w:val="center"/>
              <w:rPr>
                <w:rFonts w:ascii="宋体" w:hAnsi="宋体" w:cs="宋体"/>
                <w:color w:val="auto"/>
                <w:szCs w:val="21"/>
                <w:highlight w:val="none"/>
              </w:rPr>
            </w:pPr>
          </w:p>
        </w:tc>
        <w:tc>
          <w:tcPr>
            <w:tcW w:w="2728" w:type="dxa"/>
            <w:vMerge w:val="continue"/>
            <w:vAlign w:val="center"/>
          </w:tcPr>
          <w:p w14:paraId="4AD6980D">
            <w:pPr>
              <w:shd w:val="clear" w:fill="FFFFFF" w:themeFill="background1"/>
              <w:autoSpaceDE w:val="0"/>
              <w:autoSpaceDN w:val="0"/>
              <w:jc w:val="center"/>
              <w:rPr>
                <w:rFonts w:ascii="宋体" w:hAnsi="宋体" w:cs="宋体"/>
                <w:color w:val="auto"/>
                <w:szCs w:val="21"/>
                <w:highlight w:val="none"/>
              </w:rPr>
            </w:pPr>
          </w:p>
        </w:tc>
        <w:tc>
          <w:tcPr>
            <w:tcW w:w="6531" w:type="dxa"/>
            <w:vAlign w:val="center"/>
          </w:tcPr>
          <w:p w14:paraId="062E3752">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形式：</w:t>
            </w:r>
            <w:r>
              <w:rPr>
                <w:rFonts w:hint="eastAsia" w:ascii="宋体" w:hAnsi="宋体" w:cs="宋体"/>
                <w:color w:val="auto"/>
                <w:szCs w:val="21"/>
                <w:highlight w:val="none"/>
              </w:rPr>
              <w:t>投标人应及时留意浏览网上发出的澄清公告，因投标人自身原因未及时获知澄清内容而导致的任何后果将由投标人自行承担。</w:t>
            </w:r>
          </w:p>
        </w:tc>
      </w:tr>
      <w:tr w14:paraId="01A582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79D89C2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2.3.1</w:t>
            </w:r>
          </w:p>
        </w:tc>
        <w:tc>
          <w:tcPr>
            <w:tcW w:w="2728" w:type="dxa"/>
            <w:vAlign w:val="center"/>
          </w:tcPr>
          <w:p w14:paraId="60D86AA4">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招标文件修改发出的形式</w:t>
            </w:r>
          </w:p>
        </w:tc>
        <w:tc>
          <w:tcPr>
            <w:tcW w:w="6531" w:type="dxa"/>
            <w:vAlign w:val="center"/>
          </w:tcPr>
          <w:p w14:paraId="4EDC4D2C">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在全国公共资源交易平台 （广东省·韶关市）（https://ygp.gdzwfw.gov.cn/ggzy-portal/#/440200/index）公布。</w:t>
            </w:r>
          </w:p>
        </w:tc>
      </w:tr>
      <w:tr w14:paraId="349566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restart"/>
            <w:vAlign w:val="center"/>
          </w:tcPr>
          <w:p w14:paraId="5950707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2.3.2</w:t>
            </w:r>
          </w:p>
        </w:tc>
        <w:tc>
          <w:tcPr>
            <w:tcW w:w="2728" w:type="dxa"/>
            <w:vMerge w:val="restart"/>
            <w:vAlign w:val="center"/>
          </w:tcPr>
          <w:p w14:paraId="7B63AD13">
            <w:pPr>
              <w:shd w:val="clear" w:fill="FFFFFF" w:themeFill="background1"/>
              <w:autoSpaceDE w:val="0"/>
              <w:autoSpaceDN w:val="0"/>
              <w:jc w:val="center"/>
              <w:rPr>
                <w:rFonts w:ascii="宋体" w:hAnsi="宋体" w:cs="宋体"/>
                <w:color w:val="auto"/>
                <w:kern w:val="0"/>
                <w:szCs w:val="21"/>
                <w:highlight w:val="none"/>
              </w:rPr>
            </w:pPr>
            <w:r>
              <w:rPr>
                <w:rFonts w:hint="eastAsia" w:ascii="宋体" w:hAnsi="宋体" w:cs="宋体"/>
                <w:color w:val="auto"/>
                <w:kern w:val="0"/>
                <w:szCs w:val="21"/>
                <w:highlight w:val="none"/>
              </w:rPr>
              <w:t>投标人确认收到招标文件修</w:t>
            </w:r>
          </w:p>
          <w:p w14:paraId="617D3C0E">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改</w:t>
            </w:r>
          </w:p>
        </w:tc>
        <w:tc>
          <w:tcPr>
            <w:tcW w:w="6531" w:type="dxa"/>
            <w:vAlign w:val="center"/>
          </w:tcPr>
          <w:p w14:paraId="2C6748A8">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时间：以全国公共资源交易平台 （广东省·韶关市）（https://ygp.gdzwfw.gov.cn/ggzy-portal/#/440200/index）</w:t>
            </w:r>
            <w:r>
              <w:rPr>
                <w:rFonts w:hint="eastAsia" w:ascii="宋体" w:hAnsi="宋体" w:cs="宋体"/>
                <w:color w:val="auto"/>
                <w:szCs w:val="21"/>
                <w:highlight w:val="none"/>
              </w:rPr>
              <w:t>发布时间为准</w:t>
            </w:r>
          </w:p>
        </w:tc>
      </w:tr>
      <w:tr w14:paraId="1F7E50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Merge w:val="continue"/>
            <w:vAlign w:val="center"/>
          </w:tcPr>
          <w:p w14:paraId="3CB8CA56">
            <w:pPr>
              <w:shd w:val="clear" w:fill="FFFFFF" w:themeFill="background1"/>
              <w:jc w:val="center"/>
              <w:rPr>
                <w:rFonts w:ascii="宋体" w:hAnsi="宋体" w:cs="宋体"/>
                <w:color w:val="auto"/>
                <w:szCs w:val="21"/>
                <w:highlight w:val="none"/>
              </w:rPr>
            </w:pPr>
          </w:p>
        </w:tc>
        <w:tc>
          <w:tcPr>
            <w:tcW w:w="2728" w:type="dxa"/>
            <w:vMerge w:val="continue"/>
            <w:vAlign w:val="center"/>
          </w:tcPr>
          <w:p w14:paraId="3EE56EAE">
            <w:pPr>
              <w:shd w:val="clear" w:fill="FFFFFF" w:themeFill="background1"/>
              <w:autoSpaceDE w:val="0"/>
              <w:autoSpaceDN w:val="0"/>
              <w:jc w:val="center"/>
              <w:rPr>
                <w:rFonts w:ascii="宋体" w:hAnsi="宋体" w:cs="宋体"/>
                <w:color w:val="auto"/>
                <w:szCs w:val="21"/>
                <w:highlight w:val="none"/>
              </w:rPr>
            </w:pPr>
          </w:p>
        </w:tc>
        <w:tc>
          <w:tcPr>
            <w:tcW w:w="6531" w:type="dxa"/>
            <w:vAlign w:val="center"/>
          </w:tcPr>
          <w:p w14:paraId="12724A3E">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形式：</w:t>
            </w:r>
            <w:r>
              <w:rPr>
                <w:rFonts w:hint="eastAsia" w:ascii="宋体" w:hAnsi="宋体" w:cs="宋体"/>
                <w:color w:val="auto"/>
                <w:szCs w:val="21"/>
                <w:highlight w:val="none"/>
              </w:rPr>
              <w:t>投标人应及时留意浏览网上发出的修改公告，因投标人自身原因未及时获知修改内容而导致的任何后果将由投标人自行承担。</w:t>
            </w:r>
          </w:p>
        </w:tc>
      </w:tr>
      <w:tr w14:paraId="06BA3C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0191959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3.1.1</w:t>
            </w:r>
          </w:p>
        </w:tc>
        <w:tc>
          <w:tcPr>
            <w:tcW w:w="2728" w:type="dxa"/>
            <w:vAlign w:val="center"/>
          </w:tcPr>
          <w:p w14:paraId="21DFA6F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投标文件密封形式</w:t>
            </w:r>
          </w:p>
        </w:tc>
        <w:tc>
          <w:tcPr>
            <w:tcW w:w="6531" w:type="dxa"/>
            <w:vAlign w:val="center"/>
          </w:tcPr>
          <w:p w14:paraId="6CA0CDA8">
            <w:pPr>
              <w:shd w:val="clear" w:fill="FFFFFF" w:themeFill="background1"/>
              <w:ind w:left="105" w:leftChars="50" w:right="113"/>
              <w:rPr>
                <w:rFonts w:ascii="宋体" w:hAnsi="宋体" w:cs="宋体"/>
                <w:color w:val="auto"/>
                <w:szCs w:val="21"/>
                <w:highlight w:val="none"/>
              </w:rPr>
            </w:pPr>
            <w:r>
              <w:rPr>
                <w:rFonts w:hint="eastAsia" w:ascii="宋体" w:hAnsi="宋体" w:cs="宋体"/>
                <w:color w:val="auto"/>
                <w:szCs w:val="21"/>
                <w:highlight w:val="none"/>
              </w:rPr>
              <w:t>☑双信封</w:t>
            </w:r>
          </w:p>
          <w:p w14:paraId="25170F44">
            <w:pPr>
              <w:shd w:val="clear" w:fill="FFFFFF" w:themeFill="background1"/>
              <w:ind w:left="105" w:leftChars="50" w:right="113"/>
              <w:rPr>
                <w:rFonts w:ascii="宋体" w:hAnsi="宋体" w:cs="宋体"/>
                <w:color w:val="auto"/>
                <w:szCs w:val="21"/>
                <w:highlight w:val="none"/>
              </w:rPr>
            </w:pPr>
            <w:r>
              <w:rPr>
                <w:rFonts w:hint="eastAsia" w:ascii="宋体" w:hAnsi="宋体" w:cs="宋体"/>
                <w:color w:val="auto"/>
                <w:szCs w:val="21"/>
                <w:highlight w:val="none"/>
              </w:rPr>
              <w:t>□单信封</w:t>
            </w:r>
          </w:p>
        </w:tc>
      </w:tr>
      <w:tr w14:paraId="33B1D6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7EB3000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3.1.1</w:t>
            </w:r>
          </w:p>
        </w:tc>
        <w:tc>
          <w:tcPr>
            <w:tcW w:w="2728" w:type="dxa"/>
            <w:vAlign w:val="center"/>
          </w:tcPr>
          <w:p w14:paraId="04ECE08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构成投标文件的其他资料</w:t>
            </w:r>
          </w:p>
        </w:tc>
        <w:tc>
          <w:tcPr>
            <w:tcW w:w="6531" w:type="dxa"/>
            <w:vAlign w:val="center"/>
          </w:tcPr>
          <w:p w14:paraId="2347E371">
            <w:pPr>
              <w:shd w:val="clear" w:fill="FFFFFF" w:themeFill="background1"/>
              <w:ind w:left="105" w:leftChars="50" w:right="113"/>
              <w:jc w:val="center"/>
              <w:rPr>
                <w:rFonts w:ascii="宋体" w:hAnsi="宋体" w:cs="宋体"/>
                <w:color w:val="auto"/>
                <w:szCs w:val="21"/>
                <w:highlight w:val="none"/>
              </w:rPr>
            </w:pPr>
            <w:r>
              <w:rPr>
                <w:rFonts w:hint="eastAsia" w:ascii="宋体" w:hAnsi="宋体" w:cs="宋体"/>
                <w:color w:val="auto"/>
                <w:szCs w:val="21"/>
                <w:highlight w:val="none"/>
              </w:rPr>
              <w:t>/</w:t>
            </w:r>
          </w:p>
        </w:tc>
      </w:tr>
      <w:tr w14:paraId="02599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43E78E0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3.2.1</w:t>
            </w:r>
          </w:p>
        </w:tc>
        <w:tc>
          <w:tcPr>
            <w:tcW w:w="2728" w:type="dxa"/>
            <w:vAlign w:val="center"/>
          </w:tcPr>
          <w:p w14:paraId="0F228BC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增值税税金计算方法</w:t>
            </w:r>
          </w:p>
        </w:tc>
        <w:tc>
          <w:tcPr>
            <w:tcW w:w="6531" w:type="dxa"/>
            <w:vAlign w:val="center"/>
          </w:tcPr>
          <w:p w14:paraId="2D59F566">
            <w:pPr>
              <w:shd w:val="clear" w:fill="FFFFFF" w:themeFill="background1"/>
              <w:ind w:left="105" w:leftChars="50" w:right="113"/>
              <w:rPr>
                <w:rFonts w:ascii="宋体" w:hAnsi="宋体" w:cs="宋体"/>
                <w:color w:val="auto"/>
                <w:szCs w:val="21"/>
                <w:highlight w:val="none"/>
              </w:rPr>
            </w:pPr>
            <w:r>
              <w:rPr>
                <w:rFonts w:hint="eastAsia" w:ascii="宋体" w:hAnsi="宋体" w:cs="宋体"/>
                <w:color w:val="auto"/>
                <w:szCs w:val="21"/>
                <w:highlight w:val="none"/>
              </w:rPr>
              <w:t>按国家、省、市现行规定执行</w:t>
            </w:r>
          </w:p>
        </w:tc>
      </w:tr>
      <w:tr w14:paraId="1F50CC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683A798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3.2.1</w:t>
            </w:r>
          </w:p>
        </w:tc>
        <w:tc>
          <w:tcPr>
            <w:tcW w:w="2728" w:type="dxa"/>
            <w:vAlign w:val="center"/>
          </w:tcPr>
          <w:p w14:paraId="1E7CA0A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工程量清单的填写方式</w:t>
            </w:r>
          </w:p>
        </w:tc>
        <w:tc>
          <w:tcPr>
            <w:tcW w:w="6531" w:type="dxa"/>
            <w:vAlign w:val="center"/>
          </w:tcPr>
          <w:p w14:paraId="724B0B20">
            <w:pPr>
              <w:pStyle w:val="80"/>
              <w:shd w:val="clear" w:fill="FFFFFF" w:themeFill="background1"/>
              <w:spacing w:line="359" w:lineRule="exact"/>
              <w:ind w:left="107"/>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投标人按照招标人</w:t>
            </w:r>
            <w:r>
              <w:rPr>
                <w:rFonts w:hint="eastAsia" w:ascii="宋体" w:hAnsi="宋体" w:cs="宋体"/>
                <w:color w:val="auto"/>
                <w:spacing w:val="2"/>
                <w:szCs w:val="21"/>
                <w:highlight w:val="none"/>
              </w:rPr>
              <w:t>提</w:t>
            </w:r>
            <w:r>
              <w:rPr>
                <w:rFonts w:hint="eastAsia" w:ascii="宋体" w:hAnsi="宋体" w:cs="宋体"/>
                <w:color w:val="auto"/>
                <w:szCs w:val="21"/>
                <w:highlight w:val="none"/>
              </w:rPr>
              <w:t>供的工程</w:t>
            </w:r>
            <w:r>
              <w:rPr>
                <w:rFonts w:hint="eastAsia" w:ascii="宋体" w:hAnsi="宋体" w:cs="宋体"/>
                <w:color w:val="auto"/>
                <w:spacing w:val="2"/>
                <w:szCs w:val="21"/>
                <w:highlight w:val="none"/>
              </w:rPr>
              <w:t>量</w:t>
            </w:r>
            <w:r>
              <w:rPr>
                <w:rFonts w:hint="eastAsia" w:ascii="宋体" w:hAnsi="宋体" w:cs="宋体"/>
                <w:color w:val="auto"/>
                <w:szCs w:val="21"/>
                <w:highlight w:val="none"/>
              </w:rPr>
              <w:t>固化清单</w:t>
            </w:r>
            <w:r>
              <w:rPr>
                <w:rFonts w:hint="eastAsia" w:ascii="宋体" w:hAnsi="宋体" w:cs="宋体"/>
                <w:color w:val="auto"/>
                <w:spacing w:val="2"/>
                <w:szCs w:val="21"/>
                <w:highlight w:val="none"/>
              </w:rPr>
              <w:t>电</w:t>
            </w:r>
            <w:r>
              <w:rPr>
                <w:rFonts w:hint="eastAsia" w:ascii="宋体" w:hAnsi="宋体" w:cs="宋体"/>
                <w:color w:val="auto"/>
                <w:szCs w:val="21"/>
                <w:highlight w:val="none"/>
              </w:rPr>
              <w:t>子文件填写工程量清单，下</w:t>
            </w:r>
            <w:r>
              <w:rPr>
                <w:rFonts w:hint="eastAsia" w:ascii="宋体" w:hAnsi="宋体" w:cs="宋体"/>
                <w:color w:val="auto"/>
                <w:spacing w:val="-3"/>
                <w:szCs w:val="21"/>
                <w:highlight w:val="none"/>
              </w:rPr>
              <w:t>载</w:t>
            </w:r>
            <w:r>
              <w:rPr>
                <w:rFonts w:hint="eastAsia" w:ascii="宋体" w:hAnsi="宋体" w:cs="宋体"/>
                <w:color w:val="auto"/>
                <w:szCs w:val="21"/>
                <w:highlight w:val="none"/>
              </w:rPr>
              <w:t>网站</w:t>
            </w:r>
            <w:r>
              <w:rPr>
                <w:rFonts w:hint="eastAsia" w:ascii="宋体" w:hAnsi="宋体" w:cs="宋体"/>
                <w:color w:val="auto"/>
                <w:spacing w:val="-3"/>
                <w:szCs w:val="21"/>
                <w:highlight w:val="none"/>
              </w:rPr>
              <w:t>：</w:t>
            </w:r>
            <w:r>
              <w:rPr>
                <w:rFonts w:hint="eastAsia" w:ascii="宋体" w:hAnsi="宋体" w:cs="宋体"/>
                <w:color w:val="auto"/>
                <w:szCs w:val="21"/>
                <w:highlight w:val="none"/>
              </w:rPr>
              <w:t>全国公共资源交易平台 （广东省·韶关市）。</w:t>
            </w:r>
          </w:p>
          <w:p w14:paraId="130F60DA">
            <w:pPr>
              <w:shd w:val="clear" w:fill="FFFFFF" w:themeFill="background1"/>
              <w:adjustRightInd w:val="0"/>
              <w:snapToGrid w:val="0"/>
              <w:ind w:left="105" w:leftChars="50" w:right="113"/>
              <w:rPr>
                <w:rFonts w:ascii="宋体" w:hAnsi="宋体" w:cs="宋体"/>
                <w:color w:val="auto"/>
                <w:szCs w:val="21"/>
                <w:highlight w:val="none"/>
              </w:rPr>
            </w:pPr>
            <w:r>
              <w:rPr>
                <w:rFonts w:hint="eastAsia" w:ascii="宋体" w:hAnsi="宋体" w:cs="宋体"/>
                <w:color w:val="auto"/>
                <w:szCs w:val="21"/>
                <w:highlight w:val="none"/>
              </w:rPr>
              <w:t>☑投标人按照招标人提供的书面工程量清单填写工程量清单，下</w:t>
            </w:r>
            <w:r>
              <w:rPr>
                <w:rFonts w:hint="eastAsia" w:ascii="宋体" w:hAnsi="宋体" w:cs="宋体"/>
                <w:color w:val="auto"/>
                <w:spacing w:val="-3"/>
                <w:szCs w:val="21"/>
                <w:highlight w:val="none"/>
              </w:rPr>
              <w:t>载</w:t>
            </w:r>
            <w:r>
              <w:rPr>
                <w:rFonts w:hint="eastAsia" w:ascii="宋体" w:hAnsi="宋体" w:cs="宋体"/>
                <w:color w:val="auto"/>
                <w:szCs w:val="21"/>
                <w:highlight w:val="none"/>
              </w:rPr>
              <w:t>网站</w:t>
            </w:r>
            <w:r>
              <w:rPr>
                <w:rFonts w:hint="eastAsia" w:ascii="宋体" w:hAnsi="宋体" w:cs="宋体"/>
                <w:color w:val="auto"/>
                <w:spacing w:val="-3"/>
                <w:szCs w:val="21"/>
                <w:highlight w:val="none"/>
              </w:rPr>
              <w:t>：</w:t>
            </w:r>
            <w:r>
              <w:rPr>
                <w:rFonts w:hint="eastAsia" w:ascii="宋体" w:hAnsi="宋体" w:cs="宋体"/>
                <w:color w:val="auto"/>
                <w:szCs w:val="21"/>
                <w:highlight w:val="none"/>
              </w:rPr>
              <w:t>全国公共资源交易平台 （广东省·韶关市）。</w:t>
            </w:r>
          </w:p>
        </w:tc>
      </w:tr>
      <w:tr w14:paraId="70D003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6C93EA2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3.2.3</w:t>
            </w:r>
          </w:p>
        </w:tc>
        <w:tc>
          <w:tcPr>
            <w:tcW w:w="2728" w:type="dxa"/>
            <w:vAlign w:val="center"/>
          </w:tcPr>
          <w:p w14:paraId="6A32A06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报价方式</w:t>
            </w:r>
          </w:p>
        </w:tc>
        <w:tc>
          <w:tcPr>
            <w:tcW w:w="6531" w:type="dxa"/>
            <w:vAlign w:val="center"/>
          </w:tcPr>
          <w:p w14:paraId="77A0BDB9">
            <w:pPr>
              <w:shd w:val="clear" w:fill="FFFFFF" w:themeFill="background1"/>
              <w:ind w:left="105" w:leftChars="50" w:right="113"/>
              <w:rPr>
                <w:rFonts w:ascii="宋体" w:hAnsi="宋体" w:cs="宋体"/>
                <w:color w:val="auto"/>
                <w:szCs w:val="21"/>
                <w:highlight w:val="none"/>
              </w:rPr>
            </w:pPr>
            <w:r>
              <w:rPr>
                <w:rFonts w:hint="eastAsia" w:ascii="宋体" w:hAnsi="宋体" w:cs="宋体"/>
                <w:color w:val="auto"/>
                <w:szCs w:val="21"/>
                <w:highlight w:val="none"/>
              </w:rPr>
              <w:t>□单价</w:t>
            </w:r>
          </w:p>
          <w:p w14:paraId="291A642E">
            <w:pPr>
              <w:shd w:val="clear" w:fill="FFFFFF" w:themeFill="background1"/>
              <w:ind w:left="113" w:right="-11"/>
              <w:rPr>
                <w:rFonts w:ascii="宋体" w:hAnsi="宋体" w:cs="宋体"/>
                <w:color w:val="auto"/>
                <w:szCs w:val="21"/>
                <w:highlight w:val="none"/>
              </w:rPr>
            </w:pPr>
            <w:r>
              <w:rPr>
                <w:rFonts w:hint="eastAsia" w:ascii="宋体" w:hAnsi="宋体" w:cs="宋体"/>
                <w:color w:val="auto"/>
                <w:szCs w:val="21"/>
                <w:highlight w:val="none"/>
              </w:rPr>
              <w:t>☑总价</w:t>
            </w:r>
          </w:p>
        </w:tc>
      </w:tr>
      <w:tr w14:paraId="26141A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0335424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3.2.6</w:t>
            </w:r>
          </w:p>
        </w:tc>
        <w:tc>
          <w:tcPr>
            <w:tcW w:w="2728" w:type="dxa"/>
            <w:vAlign w:val="center"/>
          </w:tcPr>
          <w:p w14:paraId="622CE4F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是否接受调价函</w:t>
            </w:r>
          </w:p>
        </w:tc>
        <w:tc>
          <w:tcPr>
            <w:tcW w:w="6531" w:type="dxa"/>
            <w:vAlign w:val="center"/>
          </w:tcPr>
          <w:p w14:paraId="36482CB5">
            <w:pPr>
              <w:shd w:val="clear" w:fill="FFFFFF" w:themeFill="background1"/>
              <w:adjustRightInd w:val="0"/>
              <w:snapToGrid w:val="0"/>
              <w:ind w:left="105" w:leftChars="50" w:right="113"/>
              <w:rPr>
                <w:rFonts w:ascii="宋体" w:hAnsi="宋体" w:cs="宋体"/>
                <w:color w:val="auto"/>
                <w:szCs w:val="21"/>
                <w:highlight w:val="none"/>
              </w:rPr>
            </w:pPr>
            <w:r>
              <w:rPr>
                <w:rFonts w:hint="eastAsia" w:ascii="宋体" w:hAnsi="宋体" w:cs="宋体"/>
                <w:color w:val="auto"/>
                <w:szCs w:val="21"/>
                <w:highlight w:val="none"/>
              </w:rPr>
              <w:t>□是</w:t>
            </w:r>
          </w:p>
          <w:p w14:paraId="3E118811">
            <w:pPr>
              <w:shd w:val="clear" w:fill="FFFFFF" w:themeFill="background1"/>
              <w:adjustRightInd w:val="0"/>
              <w:snapToGrid w:val="0"/>
              <w:ind w:left="105" w:leftChars="50" w:right="113"/>
              <w:rPr>
                <w:rFonts w:ascii="宋体" w:hAnsi="宋体" w:cs="宋体"/>
                <w:color w:val="auto"/>
                <w:szCs w:val="21"/>
                <w:highlight w:val="none"/>
              </w:rPr>
            </w:pPr>
            <w:r>
              <w:rPr>
                <w:rFonts w:hint="eastAsia" w:ascii="宋体" w:hAnsi="宋体" w:cs="宋体"/>
                <w:color w:val="auto"/>
                <w:szCs w:val="21"/>
                <w:highlight w:val="none"/>
              </w:rPr>
              <w:t>☑否</w:t>
            </w:r>
          </w:p>
        </w:tc>
      </w:tr>
      <w:tr w14:paraId="0A19E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065D689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3.2.8</w:t>
            </w:r>
          </w:p>
        </w:tc>
        <w:tc>
          <w:tcPr>
            <w:tcW w:w="2728" w:type="dxa"/>
            <w:vAlign w:val="center"/>
          </w:tcPr>
          <w:p w14:paraId="40C7BEC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最高投标限价</w:t>
            </w:r>
          </w:p>
        </w:tc>
        <w:tc>
          <w:tcPr>
            <w:tcW w:w="6531" w:type="dxa"/>
            <w:vAlign w:val="center"/>
          </w:tcPr>
          <w:p w14:paraId="76164209">
            <w:pPr>
              <w:shd w:val="clear" w:fill="FFFFFF" w:themeFill="background1"/>
              <w:ind w:right="113"/>
              <w:jc w:val="left"/>
              <w:rPr>
                <w:rFonts w:hint="eastAsia" w:ascii="宋体" w:hAnsi="宋体" w:cs="宋体"/>
                <w:b/>
                <w:bCs/>
                <w:color w:val="auto"/>
                <w:szCs w:val="21"/>
                <w:highlight w:val="none"/>
                <w:u w:val="single"/>
              </w:rPr>
            </w:pPr>
            <w:r>
              <w:rPr>
                <w:rFonts w:ascii="宋体" w:hAnsi="宋体" w:cs="宋体"/>
                <w:b/>
                <w:bCs/>
                <w:color w:val="auto"/>
                <w:szCs w:val="21"/>
                <w:highlight w:val="none"/>
              </w:rPr>
              <w:t>本</w:t>
            </w:r>
            <w:r>
              <w:rPr>
                <w:rFonts w:hint="eastAsia" w:ascii="宋体" w:hAnsi="宋体" w:cs="宋体"/>
                <w:b/>
                <w:bCs/>
                <w:color w:val="auto"/>
                <w:szCs w:val="21"/>
                <w:highlight w:val="none"/>
              </w:rPr>
              <w:t>项目最高投标限价为：</w:t>
            </w:r>
            <w:r>
              <w:rPr>
                <w:rFonts w:hint="eastAsia" w:ascii="宋体" w:hAnsi="宋体" w:cs="宋体"/>
                <w:b/>
                <w:bCs/>
                <w:color w:val="auto"/>
                <w:szCs w:val="21"/>
                <w:highlight w:val="none"/>
                <w:u w:val="single"/>
                <w:lang w:eastAsia="zh-CN"/>
              </w:rPr>
              <w:t>贰佰贰拾捌万壹仟壹佰零陆元整</w:t>
            </w:r>
            <w:r>
              <w:rPr>
                <w:rFonts w:hint="eastAsia" w:ascii="宋体" w:hAnsi="宋体" w:cs="宋体"/>
                <w:b/>
                <w:bCs/>
                <w:color w:val="auto"/>
                <w:szCs w:val="21"/>
                <w:highlight w:val="none"/>
                <w:u w:val="single"/>
              </w:rPr>
              <w:t>（¥</w:t>
            </w:r>
            <w:r>
              <w:rPr>
                <w:rFonts w:hint="eastAsia" w:ascii="宋体" w:hAnsi="宋体" w:cs="宋体"/>
                <w:b/>
                <w:bCs/>
                <w:color w:val="auto"/>
                <w:szCs w:val="21"/>
                <w:highlight w:val="none"/>
                <w:u w:val="single"/>
                <w:lang w:eastAsia="zh-CN"/>
              </w:rPr>
              <w:t>2281106</w:t>
            </w:r>
            <w:r>
              <w:rPr>
                <w:rFonts w:hint="eastAsia" w:ascii="宋体" w:hAnsi="宋体" w:cs="宋体"/>
                <w:b/>
                <w:bCs/>
                <w:color w:val="auto"/>
                <w:szCs w:val="21"/>
                <w:highlight w:val="none"/>
                <w:u w:val="single"/>
              </w:rPr>
              <w:t>元），其中暂列金额(统一报价)为：¥</w:t>
            </w:r>
            <w:r>
              <w:rPr>
                <w:rFonts w:hint="eastAsia" w:ascii="宋体" w:hAnsi="宋体" w:cs="宋体"/>
                <w:b/>
                <w:bCs/>
                <w:color w:val="auto"/>
                <w:szCs w:val="21"/>
                <w:highlight w:val="none"/>
                <w:u w:val="single"/>
                <w:lang w:eastAsia="zh-CN"/>
              </w:rPr>
              <w:t>70000</w:t>
            </w:r>
            <w:r>
              <w:rPr>
                <w:rFonts w:hint="eastAsia" w:ascii="宋体" w:hAnsi="宋体" w:cs="宋体"/>
                <w:b/>
                <w:bCs/>
                <w:color w:val="auto"/>
                <w:szCs w:val="21"/>
                <w:highlight w:val="none"/>
                <w:u w:val="single"/>
              </w:rPr>
              <w:t>元</w:t>
            </w:r>
            <w:r>
              <w:rPr>
                <w:rFonts w:hint="eastAsia" w:ascii="宋体" w:hAnsi="宋体" w:cs="宋体"/>
                <w:b/>
                <w:bCs/>
                <w:color w:val="auto"/>
                <w:szCs w:val="21"/>
                <w:highlight w:val="none"/>
                <w:u w:val="single"/>
                <w:lang w:eastAsia="zh-CN"/>
              </w:rPr>
              <w:t>，</w:t>
            </w:r>
            <w:r>
              <w:rPr>
                <w:rFonts w:hint="eastAsia" w:ascii="宋体" w:hAnsi="宋体" w:cs="宋体"/>
                <w:b/>
                <w:bCs/>
                <w:color w:val="auto"/>
                <w:szCs w:val="21"/>
                <w:highlight w:val="none"/>
                <w:u w:val="single"/>
                <w:lang w:val="en-US" w:eastAsia="zh-CN"/>
              </w:rPr>
              <w:t>安全生产费：¥29200元（统一报价），施工场地建设费：¥103911元（统一报价）</w:t>
            </w:r>
            <w:r>
              <w:rPr>
                <w:rFonts w:hint="eastAsia" w:ascii="宋体" w:hAnsi="宋体" w:cs="宋体"/>
                <w:b/>
                <w:bCs/>
                <w:color w:val="auto"/>
                <w:szCs w:val="21"/>
                <w:highlight w:val="none"/>
                <w:u w:val="single"/>
              </w:rPr>
              <w:t>。</w:t>
            </w:r>
          </w:p>
          <w:p w14:paraId="77C9D9B2">
            <w:pPr>
              <w:pStyle w:val="2"/>
              <w:shd w:val="clear" w:fill="FFFFFF" w:themeFill="background1"/>
              <w:jc w:val="left"/>
              <w:rPr>
                <w:rFonts w:hint="default"/>
                <w:color w:val="auto"/>
                <w:highlight w:val="none"/>
                <w:lang w:val="en-US"/>
              </w:rPr>
            </w:pPr>
            <w:r>
              <w:rPr>
                <w:rFonts w:hint="eastAsia"/>
                <w:color w:val="auto"/>
                <w:highlight w:val="none"/>
                <w:lang w:val="en-US" w:eastAsia="zh-CN"/>
              </w:rPr>
              <w:t>注:暂列金额投标人按给定金额统一报价，但并不属于承包人所有，也不必然发生，只能按照发包人（建设单位）的指示使用，其最终结算费用应以实际发生为准，其余额仍归发包人（建设单位）所有。</w:t>
            </w:r>
          </w:p>
        </w:tc>
      </w:tr>
      <w:tr w14:paraId="7B552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0C164FD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3.2.9</w:t>
            </w:r>
          </w:p>
        </w:tc>
        <w:tc>
          <w:tcPr>
            <w:tcW w:w="2728" w:type="dxa"/>
            <w:vAlign w:val="center"/>
          </w:tcPr>
          <w:p w14:paraId="5533B81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投标报价其他要求</w:t>
            </w:r>
          </w:p>
        </w:tc>
        <w:tc>
          <w:tcPr>
            <w:tcW w:w="6531" w:type="dxa"/>
            <w:vAlign w:val="center"/>
          </w:tcPr>
          <w:p w14:paraId="352B980E">
            <w:pPr>
              <w:shd w:val="clear" w:fill="FFFFFF" w:themeFill="background1"/>
              <w:ind w:left="113" w:right="113"/>
              <w:jc w:val="center"/>
              <w:rPr>
                <w:rFonts w:ascii="宋体" w:hAnsi="宋体" w:cs="宋体"/>
                <w:color w:val="auto"/>
                <w:szCs w:val="21"/>
                <w:highlight w:val="none"/>
              </w:rPr>
            </w:pPr>
            <w:r>
              <w:rPr>
                <w:rFonts w:hint="eastAsia" w:ascii="宋体" w:hAnsi="宋体" w:cs="宋体"/>
                <w:color w:val="auto"/>
                <w:szCs w:val="21"/>
                <w:highlight w:val="none"/>
              </w:rPr>
              <w:t>/</w:t>
            </w:r>
          </w:p>
        </w:tc>
      </w:tr>
      <w:tr w14:paraId="4E660E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vAlign w:val="center"/>
          </w:tcPr>
          <w:p w14:paraId="526EA45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3.3.1</w:t>
            </w:r>
          </w:p>
        </w:tc>
        <w:tc>
          <w:tcPr>
            <w:tcW w:w="2728" w:type="dxa"/>
            <w:vAlign w:val="center"/>
          </w:tcPr>
          <w:p w14:paraId="62DF1C2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6531" w:type="dxa"/>
            <w:vAlign w:val="center"/>
          </w:tcPr>
          <w:p w14:paraId="1CA61DB6">
            <w:pPr>
              <w:shd w:val="clear" w:fill="FFFFFF" w:themeFill="background1"/>
              <w:ind w:left="113" w:right="113"/>
              <w:rPr>
                <w:rFonts w:ascii="宋体" w:hAnsi="宋体" w:cs="宋体"/>
                <w:color w:val="auto"/>
                <w:szCs w:val="21"/>
                <w:highlight w:val="none"/>
              </w:rPr>
            </w:pPr>
            <w:r>
              <w:rPr>
                <w:rFonts w:hint="eastAsia" w:ascii="宋体" w:hAnsi="宋体" w:cs="宋体"/>
                <w:color w:val="auto"/>
                <w:szCs w:val="21"/>
                <w:highlight w:val="none"/>
              </w:rPr>
              <w:t>自投标人提交投标文件截止之日起计算90日</w:t>
            </w:r>
          </w:p>
        </w:tc>
      </w:tr>
      <w:tr w14:paraId="7C2A5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6714EC1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3.4.1</w:t>
            </w:r>
          </w:p>
        </w:tc>
        <w:tc>
          <w:tcPr>
            <w:tcW w:w="2728" w:type="dxa"/>
            <w:tcBorders>
              <w:top w:val="single" w:color="000000" w:sz="4" w:space="0"/>
              <w:left w:val="single" w:color="000000" w:sz="4" w:space="0"/>
              <w:bottom w:val="single" w:color="000000" w:sz="4" w:space="0"/>
              <w:right w:val="single" w:color="000000" w:sz="4" w:space="0"/>
            </w:tcBorders>
            <w:vAlign w:val="center"/>
          </w:tcPr>
          <w:p w14:paraId="347C5118">
            <w:pPr>
              <w:pStyle w:val="57"/>
              <w:shd w:val="clear" w:fill="FFFFFF" w:themeFill="background1"/>
              <w:rPr>
                <w:rFonts w:ascii="宋体" w:hAnsi="宋体" w:cs="宋体"/>
                <w:color w:val="auto"/>
                <w:sz w:val="21"/>
                <w:szCs w:val="21"/>
                <w:highlight w:val="none"/>
              </w:rPr>
            </w:pPr>
            <w:r>
              <w:rPr>
                <w:rFonts w:hint="eastAsia" w:ascii="宋体" w:hAnsi="宋体" w:cs="宋体"/>
                <w:color w:val="auto"/>
                <w:sz w:val="21"/>
                <w:szCs w:val="21"/>
                <w:highlight w:val="none"/>
              </w:rPr>
              <w:t>投标保证金</w:t>
            </w:r>
          </w:p>
        </w:tc>
        <w:tc>
          <w:tcPr>
            <w:tcW w:w="6531" w:type="dxa"/>
            <w:tcBorders>
              <w:top w:val="single" w:color="000000" w:sz="4" w:space="0"/>
              <w:left w:val="single" w:color="000000" w:sz="4" w:space="0"/>
              <w:bottom w:val="single" w:color="000000" w:sz="4" w:space="0"/>
              <w:right w:val="single" w:color="000000" w:sz="12" w:space="0"/>
            </w:tcBorders>
            <w:vAlign w:val="center"/>
          </w:tcPr>
          <w:p w14:paraId="4607D7F3">
            <w:pPr>
              <w:pStyle w:val="80"/>
              <w:shd w:val="clear" w:fill="FFFFFF" w:themeFill="background1"/>
              <w:spacing w:line="40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是否要求投标人递交投标保证金：</w:t>
            </w:r>
          </w:p>
          <w:p w14:paraId="7DE51A17">
            <w:pPr>
              <w:pStyle w:val="57"/>
              <w:shd w:val="clear" w:fill="FFFFFF" w:themeFill="background1"/>
              <w:spacing w:line="400" w:lineRule="exact"/>
              <w:ind w:firstLine="105" w:firstLineChars="50"/>
              <w:jc w:val="left"/>
              <w:rPr>
                <w:rFonts w:ascii="宋体" w:hAnsi="宋体" w:cs="宋体"/>
                <w:color w:val="auto"/>
                <w:sz w:val="21"/>
                <w:szCs w:val="21"/>
                <w:highlight w:val="none"/>
              </w:rPr>
            </w:pPr>
            <w:r>
              <w:rPr>
                <w:rFonts w:hint="eastAsia" w:ascii="宋体" w:hAnsi="宋体" w:cs="宋体"/>
                <w:color w:val="auto"/>
                <w:sz w:val="21"/>
                <w:szCs w:val="21"/>
                <w:highlight w:val="none"/>
              </w:rPr>
              <w:t>☑要求，投标保证金为人民币：</w:t>
            </w:r>
            <w:r>
              <w:rPr>
                <w:rFonts w:hint="eastAsia" w:ascii="宋体" w:hAnsi="宋体" w:cs="宋体"/>
                <w:color w:val="auto"/>
                <w:sz w:val="21"/>
                <w:szCs w:val="21"/>
                <w:highlight w:val="none"/>
                <w:u w:val="single"/>
                <w:lang w:val="en-US" w:eastAsia="zh-CN"/>
              </w:rPr>
              <w:t>2</w:t>
            </w:r>
            <w:r>
              <w:rPr>
                <w:rFonts w:hint="eastAsia" w:ascii="宋体" w:hAnsi="宋体" w:cs="宋体"/>
                <w:color w:val="auto"/>
                <w:sz w:val="21"/>
                <w:szCs w:val="21"/>
                <w:highlight w:val="none"/>
                <w:u w:val="single"/>
              </w:rPr>
              <w:t>万元</w:t>
            </w:r>
            <w:r>
              <w:rPr>
                <w:rFonts w:hint="eastAsia" w:ascii="宋体" w:hAnsi="宋体" w:cs="宋体"/>
                <w:color w:val="auto"/>
                <w:sz w:val="21"/>
                <w:szCs w:val="21"/>
                <w:highlight w:val="none"/>
              </w:rPr>
              <w:t>。</w:t>
            </w:r>
          </w:p>
          <w:p w14:paraId="6A577F3C">
            <w:pPr>
              <w:pStyle w:val="57"/>
              <w:shd w:val="clear" w:fill="FFFFFF" w:themeFill="background1"/>
              <w:spacing w:line="400" w:lineRule="exact"/>
              <w:ind w:firstLine="105" w:firstLineChars="50"/>
              <w:jc w:val="left"/>
              <w:rPr>
                <w:rFonts w:ascii="宋体" w:hAnsi="宋体" w:cs="宋体"/>
                <w:bCs/>
                <w:color w:val="auto"/>
                <w:sz w:val="21"/>
                <w:szCs w:val="21"/>
                <w:highlight w:val="none"/>
              </w:rPr>
            </w:pPr>
            <w:r>
              <w:rPr>
                <w:rFonts w:hint="eastAsia" w:ascii="宋体" w:hAnsi="宋体" w:cs="宋体"/>
                <w:bCs/>
                <w:color w:val="auto"/>
                <w:sz w:val="21"/>
                <w:szCs w:val="21"/>
                <w:highlight w:val="none"/>
              </w:rPr>
              <w:t>投标保证金的有关说明： </w:t>
            </w:r>
          </w:p>
          <w:p w14:paraId="121F10CD">
            <w:pPr>
              <w:pStyle w:val="80"/>
              <w:shd w:val="clear" w:fill="FFFFFF" w:themeFill="background1"/>
              <w:spacing w:line="420" w:lineRule="exact"/>
              <w:ind w:right="136"/>
              <w:rPr>
                <w:rFonts w:ascii="宋体" w:hAnsi="宋体" w:cs="宋体"/>
                <w:bCs/>
                <w:color w:val="auto"/>
                <w:szCs w:val="21"/>
                <w:highlight w:val="none"/>
              </w:rPr>
            </w:pPr>
            <w:r>
              <w:rPr>
                <w:rFonts w:hint="eastAsia" w:ascii="宋体" w:hAnsi="宋体" w:cs="宋体"/>
                <w:bCs/>
                <w:color w:val="auto"/>
                <w:szCs w:val="21"/>
                <w:highlight w:val="none"/>
              </w:rPr>
              <w:t>1、投标保证的形式包括投标保证金、投标保证担保、投标保证保险三种，由投标人自主选择。</w:t>
            </w:r>
          </w:p>
          <w:p w14:paraId="1BCE7A00">
            <w:pPr>
              <w:pStyle w:val="80"/>
              <w:shd w:val="clear" w:fill="FFFFFF" w:themeFill="background1"/>
              <w:spacing w:line="420" w:lineRule="exact"/>
              <w:ind w:right="136"/>
              <w:rPr>
                <w:rFonts w:ascii="宋体" w:hAnsi="宋体" w:cs="宋体"/>
                <w:bCs/>
                <w:color w:val="auto"/>
                <w:szCs w:val="21"/>
                <w:highlight w:val="none"/>
              </w:rPr>
            </w:pPr>
            <w:r>
              <w:rPr>
                <w:rFonts w:hint="eastAsia" w:ascii="宋体" w:hAnsi="宋体" w:cs="宋体"/>
                <w:bCs/>
                <w:color w:val="auto"/>
                <w:szCs w:val="21"/>
                <w:highlight w:val="none"/>
              </w:rPr>
              <w:t>（1）采用投标保证金的，投标人在交易平台获取招标文件后，即可在交易平台申请缴纳投标保证金，获取本次招标投标保证金缴纳账号。投标人须于投标保证金到账截止时间（见“重要事项时间地点一览表””）前，从其基本账户将投标保证金转账到指定的缴纳账号。逾期到账的、从非投标人基本账户转出的，其投标无效。</w:t>
            </w:r>
          </w:p>
          <w:p w14:paraId="7C1C14A3">
            <w:pPr>
              <w:pStyle w:val="80"/>
              <w:shd w:val="clear" w:fill="FFFFFF" w:themeFill="background1"/>
              <w:spacing w:line="420" w:lineRule="exact"/>
              <w:ind w:right="136"/>
              <w:rPr>
                <w:rFonts w:ascii="宋体" w:hAnsi="宋体" w:cs="宋体"/>
                <w:bCs/>
                <w:color w:val="auto"/>
                <w:szCs w:val="21"/>
                <w:highlight w:val="none"/>
              </w:rPr>
            </w:pPr>
            <w:r>
              <w:rPr>
                <w:rFonts w:hint="eastAsia" w:ascii="宋体" w:hAnsi="宋体" w:cs="宋体"/>
                <w:bCs/>
                <w:color w:val="auto"/>
                <w:szCs w:val="21"/>
                <w:highlight w:val="none"/>
              </w:rPr>
              <w:t>（2）采用投标保证担保的，投标人应提交有效的银行保函，银行保函的有效期不得短于投标有效期。投标人必须在投标保证担保截止时间（见“重要事项时间地点一览表””）前，在交易平台完成网上办理电子保函。</w:t>
            </w:r>
          </w:p>
          <w:p w14:paraId="547B9278">
            <w:pPr>
              <w:pStyle w:val="80"/>
              <w:shd w:val="clear" w:fill="FFFFFF" w:themeFill="background1"/>
              <w:spacing w:line="420" w:lineRule="exact"/>
              <w:ind w:right="136"/>
              <w:rPr>
                <w:rFonts w:ascii="宋体" w:hAnsi="宋体" w:cs="宋体"/>
                <w:bCs/>
                <w:color w:val="auto"/>
                <w:szCs w:val="21"/>
                <w:highlight w:val="none"/>
              </w:rPr>
            </w:pPr>
            <w:r>
              <w:rPr>
                <w:rFonts w:hint="eastAsia" w:ascii="宋体" w:hAnsi="宋体" w:cs="宋体"/>
                <w:bCs/>
                <w:color w:val="auto"/>
                <w:szCs w:val="21"/>
                <w:highlight w:val="none"/>
              </w:rPr>
              <w:t>（3）采用投标保证保险的，投标人须在投标保证保险投保截止时间（见“重要事项时间地点一览表””）前，在交易平台完成网上投保。投标人可在交易平台选择保险机构、录入投保信息、支付保费、打印电子保单，电子保单的有效期不得短于投标有效期。</w:t>
            </w:r>
          </w:p>
          <w:p w14:paraId="3F64AEA2">
            <w:pPr>
              <w:pStyle w:val="80"/>
              <w:shd w:val="clear" w:fill="FFFFFF" w:themeFill="background1"/>
              <w:spacing w:line="420" w:lineRule="exact"/>
              <w:ind w:right="136"/>
              <w:rPr>
                <w:rFonts w:ascii="宋体" w:hAnsi="宋体" w:cs="宋体"/>
                <w:color w:val="auto"/>
                <w:szCs w:val="21"/>
                <w:highlight w:val="none"/>
              </w:rPr>
            </w:pPr>
            <w:r>
              <w:rPr>
                <w:rFonts w:hint="eastAsia" w:ascii="宋体" w:hAnsi="宋体" w:cs="宋体"/>
                <w:bCs/>
                <w:color w:val="auto"/>
                <w:szCs w:val="21"/>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2518AB42">
            <w:pPr>
              <w:pStyle w:val="55"/>
              <w:shd w:val="clear" w:fill="FFFFFF" w:themeFill="background1"/>
              <w:rPr>
                <w:rFonts w:ascii="宋体" w:hAnsi="宋体" w:cs="宋体"/>
                <w:color w:val="auto"/>
                <w:sz w:val="21"/>
                <w:szCs w:val="21"/>
                <w:highlight w:val="none"/>
              </w:rPr>
            </w:pPr>
            <w:r>
              <w:rPr>
                <w:rFonts w:hint="eastAsia" w:ascii="宋体" w:hAnsi="宋体" w:cs="宋体"/>
                <w:color w:val="auto"/>
                <w:sz w:val="21"/>
                <w:szCs w:val="21"/>
                <w:highlight w:val="none"/>
              </w:rPr>
              <w:t>□不要求</w:t>
            </w:r>
          </w:p>
        </w:tc>
      </w:tr>
      <w:tr w14:paraId="09739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60FC5E5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3.4.3</w:t>
            </w:r>
          </w:p>
        </w:tc>
        <w:tc>
          <w:tcPr>
            <w:tcW w:w="2728" w:type="dxa"/>
            <w:tcBorders>
              <w:top w:val="single" w:color="000000" w:sz="4" w:space="0"/>
              <w:left w:val="single" w:color="000000" w:sz="4" w:space="0"/>
              <w:bottom w:val="single" w:color="000000" w:sz="4" w:space="0"/>
              <w:right w:val="single" w:color="000000" w:sz="4" w:space="0"/>
            </w:tcBorders>
            <w:vAlign w:val="center"/>
          </w:tcPr>
          <w:p w14:paraId="75B3FED2">
            <w:pPr>
              <w:pStyle w:val="80"/>
              <w:shd w:val="clear" w:fill="FFFFFF" w:themeFill="background1"/>
              <w:ind w:left="1"/>
              <w:jc w:val="center"/>
              <w:rPr>
                <w:rFonts w:ascii="宋体" w:hAnsi="宋体" w:cs="宋体"/>
                <w:color w:val="auto"/>
                <w:szCs w:val="21"/>
                <w:highlight w:val="none"/>
              </w:rPr>
            </w:pPr>
            <w:r>
              <w:rPr>
                <w:rFonts w:hint="eastAsia" w:ascii="宋体" w:hAnsi="宋体" w:cs="宋体"/>
                <w:color w:val="auto"/>
                <w:szCs w:val="21"/>
                <w:highlight w:val="none"/>
              </w:rPr>
              <w:t>投标保证金的利息计算原则</w:t>
            </w:r>
          </w:p>
        </w:tc>
        <w:tc>
          <w:tcPr>
            <w:tcW w:w="6531" w:type="dxa"/>
            <w:tcBorders>
              <w:top w:val="single" w:color="000000" w:sz="4" w:space="0"/>
              <w:left w:val="single" w:color="000000" w:sz="4" w:space="0"/>
              <w:bottom w:val="single" w:color="000000" w:sz="4" w:space="0"/>
              <w:right w:val="single" w:color="000000" w:sz="12" w:space="0"/>
            </w:tcBorders>
            <w:vAlign w:val="center"/>
          </w:tcPr>
          <w:p w14:paraId="349857F0">
            <w:pPr>
              <w:pStyle w:val="80"/>
              <w:shd w:val="clear" w:fill="FFFFFF" w:themeFill="background1"/>
              <w:ind w:left="1"/>
              <w:jc w:val="left"/>
              <w:rPr>
                <w:rFonts w:ascii="宋体" w:hAnsi="宋体" w:cs="宋体"/>
                <w:color w:val="auto"/>
                <w:szCs w:val="21"/>
                <w:highlight w:val="none"/>
              </w:rPr>
            </w:pPr>
            <w:r>
              <w:rPr>
                <w:rFonts w:hint="eastAsia" w:ascii="宋体" w:hAnsi="宋体" w:cs="宋体"/>
                <w:color w:val="auto"/>
                <w:szCs w:val="21"/>
                <w:highlight w:val="none"/>
              </w:rPr>
              <w:t>利息退还方式按韶关市公共资源交易中心相关规定办理。</w:t>
            </w:r>
          </w:p>
        </w:tc>
      </w:tr>
      <w:tr w14:paraId="1B09DC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54CB1EB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3.4.4</w:t>
            </w:r>
          </w:p>
        </w:tc>
        <w:tc>
          <w:tcPr>
            <w:tcW w:w="2728" w:type="dxa"/>
            <w:tcBorders>
              <w:top w:val="single" w:color="000000" w:sz="4" w:space="0"/>
              <w:left w:val="single" w:color="000000" w:sz="4" w:space="0"/>
              <w:bottom w:val="single" w:color="000000" w:sz="4" w:space="0"/>
              <w:right w:val="single" w:color="000000" w:sz="4" w:space="0"/>
            </w:tcBorders>
            <w:vAlign w:val="center"/>
          </w:tcPr>
          <w:p w14:paraId="26FCCE7B">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其他可以不予退还投标保证金的情形</w:t>
            </w:r>
          </w:p>
        </w:tc>
        <w:tc>
          <w:tcPr>
            <w:tcW w:w="6531" w:type="dxa"/>
            <w:tcBorders>
              <w:top w:val="single" w:color="000000" w:sz="4" w:space="0"/>
              <w:left w:val="single" w:color="000000" w:sz="4" w:space="0"/>
              <w:bottom w:val="single" w:color="000000" w:sz="4" w:space="0"/>
              <w:right w:val="single" w:color="000000" w:sz="12" w:space="0"/>
            </w:tcBorders>
            <w:vAlign w:val="center"/>
          </w:tcPr>
          <w:p w14:paraId="7FBD3796">
            <w:pPr>
              <w:shd w:val="clear" w:fill="FFFFFF" w:themeFill="background1"/>
              <w:autoSpaceDE w:val="0"/>
              <w:autoSpaceDN w:val="0"/>
              <w:rPr>
                <w:rFonts w:ascii="宋体" w:hAnsi="宋体" w:cs="宋体"/>
                <w:color w:val="auto"/>
                <w:kern w:val="0"/>
                <w:szCs w:val="21"/>
                <w:highlight w:val="none"/>
              </w:rPr>
            </w:pPr>
            <w:r>
              <w:rPr>
                <w:rFonts w:hint="eastAsia" w:ascii="宋体" w:hAnsi="宋体" w:cs="宋体"/>
                <w:color w:val="auto"/>
                <w:kern w:val="0"/>
                <w:szCs w:val="21"/>
                <w:highlight w:val="none"/>
              </w:rPr>
              <w:t>（4）串通投标；或</w:t>
            </w:r>
          </w:p>
          <w:p w14:paraId="6B308B61">
            <w:pPr>
              <w:shd w:val="clear" w:fill="FFFFFF" w:themeFill="background1"/>
              <w:autoSpaceDE w:val="0"/>
              <w:autoSpaceDN w:val="0"/>
              <w:rPr>
                <w:rFonts w:ascii="宋体" w:hAnsi="宋体" w:cs="宋体"/>
                <w:color w:val="auto"/>
                <w:kern w:val="0"/>
                <w:szCs w:val="21"/>
                <w:highlight w:val="none"/>
              </w:rPr>
            </w:pPr>
            <w:r>
              <w:rPr>
                <w:rFonts w:hint="eastAsia" w:ascii="宋体" w:hAnsi="宋体" w:cs="宋体"/>
                <w:color w:val="auto"/>
                <w:kern w:val="0"/>
                <w:szCs w:val="21"/>
                <w:highlight w:val="none"/>
              </w:rPr>
              <w:t>（5）评标、中标候选人公示、签订合同前等环节因作假而被取消中标资格；或</w:t>
            </w:r>
          </w:p>
          <w:p w14:paraId="0D886E15">
            <w:pPr>
              <w:shd w:val="clear" w:fill="FFFFFF" w:themeFill="background1"/>
              <w:autoSpaceDE w:val="0"/>
              <w:autoSpaceDN w:val="0"/>
              <w:rPr>
                <w:rFonts w:ascii="宋体" w:hAnsi="宋体" w:cs="宋体"/>
                <w:color w:val="auto"/>
                <w:kern w:val="0"/>
                <w:szCs w:val="21"/>
                <w:highlight w:val="none"/>
              </w:rPr>
            </w:pPr>
            <w:r>
              <w:rPr>
                <w:rFonts w:hint="eastAsia" w:ascii="宋体" w:hAnsi="宋体" w:cs="宋体"/>
                <w:color w:val="auto"/>
                <w:kern w:val="0"/>
                <w:szCs w:val="21"/>
                <w:highlight w:val="none"/>
              </w:rPr>
              <w:t>（6）因投诉属实取消投标资格的；或</w:t>
            </w:r>
          </w:p>
          <w:p w14:paraId="0CDBB3EC">
            <w:pPr>
              <w:shd w:val="clear" w:fill="FFFFFF" w:themeFill="background1"/>
              <w:autoSpaceDE w:val="0"/>
              <w:autoSpaceDN w:val="0"/>
              <w:rPr>
                <w:rFonts w:ascii="宋体" w:hAnsi="宋体" w:cs="宋体"/>
                <w:color w:val="auto"/>
                <w:kern w:val="0"/>
                <w:szCs w:val="21"/>
                <w:highlight w:val="none"/>
              </w:rPr>
            </w:pPr>
            <w:r>
              <w:rPr>
                <w:rFonts w:hint="eastAsia" w:ascii="宋体" w:hAnsi="宋体" w:cs="宋体"/>
                <w:color w:val="auto"/>
                <w:kern w:val="0"/>
                <w:szCs w:val="21"/>
                <w:highlight w:val="none"/>
              </w:rPr>
              <w:t>（7）其他违反规定、妨碍公平竞争准则的行为；或</w:t>
            </w:r>
          </w:p>
          <w:p w14:paraId="533534EB">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w:t>
            </w:r>
          </w:p>
        </w:tc>
      </w:tr>
      <w:tr w14:paraId="4DE94C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2754348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3.5</w:t>
            </w:r>
          </w:p>
        </w:tc>
        <w:tc>
          <w:tcPr>
            <w:tcW w:w="2728" w:type="dxa"/>
            <w:tcBorders>
              <w:top w:val="single" w:color="000000" w:sz="4" w:space="0"/>
              <w:left w:val="single" w:color="000000" w:sz="4" w:space="0"/>
              <w:bottom w:val="single" w:color="000000" w:sz="4" w:space="0"/>
              <w:right w:val="single" w:color="000000" w:sz="4" w:space="0"/>
            </w:tcBorders>
            <w:vAlign w:val="center"/>
          </w:tcPr>
          <w:p w14:paraId="4CAEB98B">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资格审查资料的特殊要求</w:t>
            </w:r>
          </w:p>
        </w:tc>
        <w:tc>
          <w:tcPr>
            <w:tcW w:w="6531" w:type="dxa"/>
            <w:tcBorders>
              <w:top w:val="single" w:color="000000" w:sz="4" w:space="0"/>
              <w:left w:val="single" w:color="000000" w:sz="4" w:space="0"/>
              <w:bottom w:val="single" w:color="000000" w:sz="4" w:space="0"/>
              <w:right w:val="single" w:color="000000" w:sz="12" w:space="0"/>
            </w:tcBorders>
            <w:vAlign w:val="center"/>
          </w:tcPr>
          <w:p w14:paraId="1EC2F4C4">
            <w:pPr>
              <w:shd w:val="clear" w:fill="FFFFFF" w:themeFill="background1"/>
              <w:spacing w:line="360" w:lineRule="exact"/>
              <w:rPr>
                <w:rFonts w:ascii="宋体" w:hAnsi="宋体" w:cs="宋体"/>
                <w:color w:val="auto"/>
                <w:szCs w:val="21"/>
                <w:highlight w:val="none"/>
              </w:rPr>
            </w:pPr>
            <w:r>
              <w:rPr>
                <w:rFonts w:hint="eastAsia" w:ascii="宋体" w:hAnsi="宋体" w:cs="宋体"/>
                <w:color w:val="auto"/>
                <w:szCs w:val="21"/>
                <w:highlight w:val="none"/>
              </w:rPr>
              <w:t>□无</w:t>
            </w:r>
          </w:p>
          <w:p w14:paraId="13DAEF65">
            <w:pPr>
              <w:shd w:val="clear" w:fill="FFFFFF" w:themeFill="background1"/>
              <w:ind w:right="113"/>
              <w:rPr>
                <w:rFonts w:ascii="宋体" w:hAnsi="宋体" w:cs="宋体"/>
                <w:color w:val="auto"/>
                <w:szCs w:val="21"/>
                <w:highlight w:val="none"/>
                <w:u w:val="single"/>
              </w:rPr>
            </w:pPr>
            <w:r>
              <w:rPr>
                <w:rFonts w:hint="eastAsia" w:ascii="宋体" w:hAnsi="宋体" w:cs="宋体"/>
                <w:color w:val="auto"/>
                <w:szCs w:val="21"/>
                <w:highlight w:val="none"/>
              </w:rPr>
              <w:t>☑有，具体要求：投标人提供的各类证照复印件均指彩色扫描件或彩色复印件，其他资料的复印件可为黑白扫描或黑白复印件。</w:t>
            </w:r>
          </w:p>
        </w:tc>
      </w:tr>
      <w:tr w14:paraId="7657842B">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36CEF90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3.5.2</w:t>
            </w:r>
          </w:p>
        </w:tc>
        <w:tc>
          <w:tcPr>
            <w:tcW w:w="2728" w:type="dxa"/>
            <w:tcBorders>
              <w:top w:val="single" w:color="000000" w:sz="4" w:space="0"/>
              <w:left w:val="single" w:color="000000" w:sz="4" w:space="0"/>
              <w:bottom w:val="single" w:color="000000" w:sz="4" w:space="0"/>
              <w:right w:val="single" w:color="000000" w:sz="4" w:space="0"/>
            </w:tcBorders>
            <w:vAlign w:val="center"/>
          </w:tcPr>
          <w:p w14:paraId="01CBACC8">
            <w:pPr>
              <w:shd w:val="clear" w:fill="FFFFFF" w:themeFill="background1"/>
              <w:adjustRightInd w:val="0"/>
              <w:snapToGrid w:val="0"/>
              <w:ind w:right="113"/>
              <w:jc w:val="center"/>
              <w:rPr>
                <w:rFonts w:ascii="宋体" w:hAnsi="宋体" w:cs="宋体"/>
                <w:color w:val="auto"/>
                <w:szCs w:val="21"/>
                <w:highlight w:val="none"/>
              </w:rPr>
            </w:pPr>
            <w:r>
              <w:rPr>
                <w:rFonts w:hint="eastAsia" w:ascii="宋体" w:hAnsi="宋体" w:cs="宋体"/>
                <w:color w:val="auto"/>
                <w:szCs w:val="21"/>
                <w:highlight w:val="none"/>
              </w:rPr>
              <w:t>近年财务状况的年份要求</w:t>
            </w:r>
          </w:p>
        </w:tc>
        <w:tc>
          <w:tcPr>
            <w:tcW w:w="6531" w:type="dxa"/>
            <w:tcBorders>
              <w:top w:val="single" w:color="000000" w:sz="4" w:space="0"/>
              <w:left w:val="single" w:color="000000" w:sz="4" w:space="0"/>
              <w:bottom w:val="single" w:color="000000" w:sz="4" w:space="0"/>
              <w:right w:val="single" w:color="000000" w:sz="12" w:space="0"/>
            </w:tcBorders>
            <w:vAlign w:val="center"/>
          </w:tcPr>
          <w:p w14:paraId="28C45A31">
            <w:pPr>
              <w:shd w:val="clear" w:fill="FFFFFF" w:themeFill="background1"/>
              <w:adjustRightInd w:val="0"/>
              <w:snapToGrid w:val="0"/>
              <w:ind w:right="113"/>
              <w:rPr>
                <w:rFonts w:ascii="宋体" w:hAnsi="宋体" w:cs="宋体"/>
                <w:color w:val="auto"/>
                <w:szCs w:val="21"/>
                <w:highlight w:val="none"/>
              </w:rPr>
            </w:pPr>
            <w:r>
              <w:rPr>
                <w:rFonts w:hint="eastAsia" w:ascii="宋体" w:hAnsi="宋体" w:cs="宋体"/>
                <w:color w:val="auto"/>
                <w:szCs w:val="21"/>
                <w:highlight w:val="none"/>
                <w:lang w:eastAsia="zh-CN"/>
              </w:rPr>
              <w:t>2022年～ 2024年</w:t>
            </w:r>
            <w:r>
              <w:rPr>
                <w:rFonts w:hint="eastAsia" w:ascii="宋体" w:hAnsi="宋体" w:cs="宋体"/>
                <w:color w:val="auto"/>
                <w:szCs w:val="21"/>
                <w:highlight w:val="none"/>
              </w:rPr>
              <w:t>（近三个年度）</w:t>
            </w:r>
          </w:p>
        </w:tc>
      </w:tr>
      <w:tr w14:paraId="714B45A0">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087DCFC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3.5.3</w:t>
            </w:r>
          </w:p>
        </w:tc>
        <w:tc>
          <w:tcPr>
            <w:tcW w:w="2728" w:type="dxa"/>
            <w:tcBorders>
              <w:top w:val="single" w:color="000000" w:sz="4" w:space="0"/>
              <w:left w:val="single" w:color="000000" w:sz="4" w:space="0"/>
              <w:bottom w:val="single" w:color="000000" w:sz="4" w:space="0"/>
              <w:right w:val="single" w:color="000000" w:sz="4" w:space="0"/>
            </w:tcBorders>
            <w:vAlign w:val="center"/>
          </w:tcPr>
          <w:p w14:paraId="02C4C20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近年完成的类似项目情况的时间要求</w:t>
            </w:r>
          </w:p>
        </w:tc>
        <w:tc>
          <w:tcPr>
            <w:tcW w:w="6531" w:type="dxa"/>
            <w:tcBorders>
              <w:top w:val="single" w:color="000000" w:sz="4" w:space="0"/>
              <w:left w:val="single" w:color="000000" w:sz="4" w:space="0"/>
              <w:bottom w:val="single" w:color="000000" w:sz="4" w:space="0"/>
              <w:right w:val="single" w:color="000000" w:sz="12" w:space="0"/>
            </w:tcBorders>
            <w:vAlign w:val="center"/>
          </w:tcPr>
          <w:p w14:paraId="3DCDA76D">
            <w:pPr>
              <w:shd w:val="clear" w:fill="FFFFFF" w:themeFill="background1"/>
              <w:rPr>
                <w:rFonts w:ascii="宋体" w:hAnsi="宋体" w:cs="宋体"/>
                <w:color w:val="auto"/>
                <w:szCs w:val="21"/>
                <w:highlight w:val="none"/>
              </w:rPr>
            </w:pPr>
            <w:r>
              <w:rPr>
                <w:rFonts w:hint="eastAsia" w:ascii="宋体" w:hAnsi="宋体" w:cs="宋体"/>
                <w:color w:val="auto"/>
                <w:szCs w:val="21"/>
                <w:highlight w:val="none"/>
                <w:u w:val="single"/>
                <w:lang w:eastAsia="zh-CN"/>
              </w:rPr>
              <w:t>2020年1月1日</w:t>
            </w:r>
            <w:r>
              <w:rPr>
                <w:rFonts w:hint="eastAsia" w:ascii="宋体" w:hAnsi="宋体" w:cs="宋体"/>
                <w:color w:val="auto"/>
                <w:kern w:val="0"/>
                <w:szCs w:val="21"/>
                <w:highlight w:val="none"/>
              </w:rPr>
              <w:t>至</w:t>
            </w:r>
            <w:r>
              <w:rPr>
                <w:rFonts w:hint="eastAsia" w:ascii="宋体" w:hAnsi="宋体" w:cs="宋体"/>
                <w:color w:val="auto"/>
                <w:szCs w:val="21"/>
                <w:highlight w:val="none"/>
              </w:rPr>
              <w:t>投标文件递交截止之日止（近五年）以“全国公路建设市场监督管理系统”上的交工验收或未交工验收一次性竣工验收的时间为准。</w:t>
            </w:r>
          </w:p>
        </w:tc>
      </w:tr>
      <w:tr w14:paraId="024D64F9">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3D3A22ED">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3.6.1</w:t>
            </w:r>
          </w:p>
        </w:tc>
        <w:tc>
          <w:tcPr>
            <w:tcW w:w="2728" w:type="dxa"/>
            <w:tcBorders>
              <w:top w:val="single" w:color="000000" w:sz="4" w:space="0"/>
              <w:left w:val="single" w:color="000000" w:sz="4" w:space="0"/>
              <w:bottom w:val="single" w:color="000000" w:sz="4" w:space="0"/>
              <w:right w:val="single" w:color="000000" w:sz="4" w:space="0"/>
            </w:tcBorders>
            <w:vAlign w:val="center"/>
          </w:tcPr>
          <w:p w14:paraId="5DB757C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是否允许递交备选投标方案</w:t>
            </w:r>
          </w:p>
        </w:tc>
        <w:tc>
          <w:tcPr>
            <w:tcW w:w="6531" w:type="dxa"/>
            <w:tcBorders>
              <w:top w:val="single" w:color="000000" w:sz="4" w:space="0"/>
              <w:left w:val="single" w:color="000000" w:sz="4" w:space="0"/>
              <w:bottom w:val="single" w:color="000000" w:sz="4" w:space="0"/>
              <w:right w:val="single" w:color="000000" w:sz="12" w:space="0"/>
            </w:tcBorders>
            <w:vAlign w:val="center"/>
          </w:tcPr>
          <w:p w14:paraId="7BCBAD36">
            <w:pPr>
              <w:shd w:val="clear" w:fill="FFFFFF" w:themeFill="background1"/>
              <w:ind w:left="113" w:right="113"/>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不允许</w:t>
            </w:r>
          </w:p>
          <w:p w14:paraId="3CE27CD9">
            <w:pPr>
              <w:shd w:val="clear" w:fill="FFFFFF" w:themeFill="background1"/>
              <w:ind w:right="113" w:firstLine="120"/>
              <w:rPr>
                <w:rFonts w:ascii="宋体" w:hAnsi="宋体" w:cs="宋体"/>
                <w:color w:val="auto"/>
                <w:szCs w:val="21"/>
                <w:highlight w:val="none"/>
                <w:u w:val="single"/>
              </w:rPr>
            </w:pPr>
            <w:r>
              <w:rPr>
                <w:rFonts w:hint="eastAsia" w:ascii="宋体" w:hAnsi="宋体" w:cs="宋体"/>
                <w:color w:val="auto"/>
                <w:szCs w:val="21"/>
                <w:highlight w:val="none"/>
              </w:rPr>
              <w:t>□允许</w:t>
            </w:r>
          </w:p>
        </w:tc>
      </w:tr>
      <w:tr w14:paraId="2B3FC248">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20BECF6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3.7.4</w:t>
            </w:r>
          </w:p>
        </w:tc>
        <w:tc>
          <w:tcPr>
            <w:tcW w:w="2728" w:type="dxa"/>
            <w:tcBorders>
              <w:top w:val="single" w:color="000000" w:sz="4" w:space="0"/>
              <w:left w:val="single" w:color="000000" w:sz="4" w:space="0"/>
              <w:bottom w:val="single" w:color="000000" w:sz="4" w:space="0"/>
              <w:right w:val="single" w:color="000000" w:sz="4" w:space="0"/>
            </w:tcBorders>
            <w:vAlign w:val="center"/>
          </w:tcPr>
          <w:p w14:paraId="402F8A9A">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投标文件副本份数及其他要求</w:t>
            </w:r>
          </w:p>
        </w:tc>
        <w:tc>
          <w:tcPr>
            <w:tcW w:w="6531" w:type="dxa"/>
            <w:tcBorders>
              <w:top w:val="single" w:color="000000" w:sz="4" w:space="0"/>
              <w:left w:val="single" w:color="000000" w:sz="4" w:space="0"/>
              <w:bottom w:val="single" w:color="000000" w:sz="4" w:space="0"/>
              <w:right w:val="single" w:color="000000" w:sz="12" w:space="0"/>
            </w:tcBorders>
            <w:vAlign w:val="center"/>
          </w:tcPr>
          <w:p w14:paraId="575B7927">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本项目采用全流程电子投标，不需要提交纸质版的投标文件。</w:t>
            </w:r>
          </w:p>
        </w:tc>
      </w:tr>
      <w:tr w14:paraId="085B8696">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07B1124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3.7.5</w:t>
            </w:r>
          </w:p>
        </w:tc>
        <w:tc>
          <w:tcPr>
            <w:tcW w:w="2728" w:type="dxa"/>
            <w:tcBorders>
              <w:top w:val="single" w:color="000000" w:sz="4" w:space="0"/>
              <w:left w:val="single" w:color="000000" w:sz="4" w:space="0"/>
              <w:bottom w:val="single" w:color="000000" w:sz="4" w:space="0"/>
              <w:right w:val="single" w:color="000000" w:sz="4" w:space="0"/>
            </w:tcBorders>
            <w:vAlign w:val="center"/>
          </w:tcPr>
          <w:p w14:paraId="67BC46B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装订的其他要求</w:t>
            </w:r>
          </w:p>
        </w:tc>
        <w:tc>
          <w:tcPr>
            <w:tcW w:w="6531" w:type="dxa"/>
            <w:tcBorders>
              <w:top w:val="single" w:color="000000" w:sz="4" w:space="0"/>
              <w:left w:val="single" w:color="000000" w:sz="4" w:space="0"/>
              <w:bottom w:val="single" w:color="000000" w:sz="4" w:space="0"/>
              <w:right w:val="single" w:color="000000" w:sz="12" w:space="0"/>
            </w:tcBorders>
            <w:vAlign w:val="center"/>
          </w:tcPr>
          <w:p w14:paraId="3E06BC7E">
            <w:pPr>
              <w:pStyle w:val="57"/>
              <w:shd w:val="clear" w:fill="FFFFFF" w:themeFill="background1"/>
              <w:jc w:val="left"/>
              <w:rPr>
                <w:rFonts w:ascii="宋体" w:hAnsi="宋体" w:cs="宋体"/>
                <w:color w:val="auto"/>
                <w:sz w:val="21"/>
                <w:szCs w:val="21"/>
                <w:highlight w:val="none"/>
              </w:rPr>
            </w:pPr>
            <w:r>
              <w:rPr>
                <w:rFonts w:hint="eastAsia" w:ascii="宋体" w:hAnsi="宋体" w:cs="宋体"/>
                <w:color w:val="auto"/>
                <w:sz w:val="21"/>
                <w:szCs w:val="21"/>
                <w:highlight w:val="none"/>
              </w:rPr>
              <w:t>/</w:t>
            </w:r>
          </w:p>
        </w:tc>
      </w:tr>
      <w:tr w14:paraId="50689C4F">
        <w:tblPrEx>
          <w:tblBorders>
            <w:top w:val="single" w:color="auto" w:sz="12" w:space="0"/>
            <w:left w:val="single" w:color="auto" w:sz="12" w:space="0"/>
            <w:bottom w:val="single" w:color="auto" w:sz="12" w:space="0"/>
            <w:right w:val="single" w:color="auto" w:sz="12" w:space="0"/>
            <w:insideH w:val="single" w:color="000000" w:sz="6" w:space="0"/>
            <w:insideV w:val="single" w:color="000000" w:sz="6" w:space="0"/>
          </w:tblBorders>
          <w:tblCellMar>
            <w:top w:w="0" w:type="dxa"/>
            <w:left w:w="0" w:type="dxa"/>
            <w:bottom w:w="0" w:type="dxa"/>
            <w:right w:w="0" w:type="dxa"/>
          </w:tblCellMar>
        </w:tblPrEx>
        <w:trPr>
          <w:trHeight w:val="20" w:hRule="atLeast"/>
        </w:trPr>
        <w:tc>
          <w:tcPr>
            <w:tcW w:w="968" w:type="dxa"/>
            <w:tcBorders>
              <w:top w:val="single" w:color="000000" w:sz="4" w:space="0"/>
              <w:left w:val="single" w:color="000000" w:sz="12" w:space="0"/>
              <w:bottom w:val="single" w:color="000000" w:sz="4" w:space="0"/>
              <w:right w:val="single" w:color="000000" w:sz="4" w:space="0"/>
            </w:tcBorders>
            <w:vAlign w:val="center"/>
          </w:tcPr>
          <w:p w14:paraId="4A2A551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4.1.2</w:t>
            </w:r>
          </w:p>
        </w:tc>
        <w:tc>
          <w:tcPr>
            <w:tcW w:w="2728" w:type="dxa"/>
            <w:tcBorders>
              <w:top w:val="single" w:color="000000" w:sz="4" w:space="0"/>
              <w:left w:val="single" w:color="000000" w:sz="4" w:space="0"/>
              <w:bottom w:val="single" w:color="000000" w:sz="4" w:space="0"/>
              <w:right w:val="single" w:color="000000" w:sz="4" w:space="0"/>
            </w:tcBorders>
            <w:vAlign w:val="center"/>
          </w:tcPr>
          <w:p w14:paraId="7196FEB5">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封套上应载明的信息</w:t>
            </w:r>
          </w:p>
        </w:tc>
        <w:tc>
          <w:tcPr>
            <w:tcW w:w="6531" w:type="dxa"/>
            <w:tcBorders>
              <w:top w:val="single" w:color="000000" w:sz="4" w:space="0"/>
              <w:left w:val="single" w:color="000000" w:sz="4" w:space="0"/>
              <w:bottom w:val="single" w:color="000000" w:sz="4" w:space="0"/>
              <w:right w:val="single" w:color="000000" w:sz="12" w:space="0"/>
            </w:tcBorders>
            <w:vAlign w:val="center"/>
          </w:tcPr>
          <w:p w14:paraId="6AFEA2F2">
            <w:pPr>
              <w:pStyle w:val="80"/>
              <w:shd w:val="clear" w:fill="FFFFFF" w:themeFill="background1"/>
              <w:tabs>
                <w:tab w:val="left" w:pos="733"/>
                <w:tab w:val="left" w:pos="2587"/>
              </w:tabs>
              <w:spacing w:before="85" w:line="314" w:lineRule="auto"/>
              <w:ind w:right="101"/>
              <w:jc w:val="left"/>
              <w:rPr>
                <w:rFonts w:ascii="宋体" w:hAnsi="宋体" w:cs="宋体"/>
                <w:color w:val="auto"/>
                <w:szCs w:val="21"/>
                <w:highlight w:val="none"/>
              </w:rPr>
            </w:pPr>
            <w:r>
              <w:rPr>
                <w:rFonts w:hint="eastAsia" w:ascii="宋体" w:hAnsi="宋体" w:cs="宋体"/>
                <w:color w:val="auto"/>
                <w:kern w:val="0"/>
                <w:szCs w:val="21"/>
                <w:highlight w:val="none"/>
              </w:rPr>
              <w:t>本项目采用全流程电子投标，不需要提交纸质版的投标文件。</w:t>
            </w:r>
          </w:p>
        </w:tc>
      </w:tr>
      <w:tr w14:paraId="0F3FF4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7A3A1D3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4.2.3</w:t>
            </w:r>
          </w:p>
        </w:tc>
        <w:tc>
          <w:tcPr>
            <w:tcW w:w="2728" w:type="dxa"/>
            <w:tcBorders>
              <w:top w:val="single" w:color="auto" w:sz="4" w:space="0"/>
              <w:left w:val="single" w:color="auto" w:sz="4" w:space="0"/>
              <w:bottom w:val="single" w:color="auto" w:sz="4" w:space="0"/>
              <w:right w:val="single" w:color="auto" w:sz="4" w:space="0"/>
            </w:tcBorders>
            <w:vAlign w:val="center"/>
          </w:tcPr>
          <w:p w14:paraId="1344FF1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是否退还投标文件</w:t>
            </w:r>
          </w:p>
        </w:tc>
        <w:tc>
          <w:tcPr>
            <w:tcW w:w="6531" w:type="dxa"/>
            <w:tcBorders>
              <w:top w:val="single" w:color="auto" w:sz="4" w:space="0"/>
              <w:left w:val="single" w:color="auto" w:sz="4" w:space="0"/>
              <w:bottom w:val="single" w:color="auto" w:sz="4" w:space="0"/>
              <w:right w:val="single" w:color="auto" w:sz="12" w:space="0"/>
            </w:tcBorders>
            <w:vAlign w:val="center"/>
          </w:tcPr>
          <w:p w14:paraId="4C749EBB">
            <w:pPr>
              <w:shd w:val="clear" w:fill="FFFFFF" w:themeFill="background1"/>
              <w:spacing w:line="276" w:lineRule="auto"/>
              <w:ind w:right="118" w:rightChars="56"/>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否</w:t>
            </w:r>
          </w:p>
          <w:p w14:paraId="15E40771">
            <w:pPr>
              <w:shd w:val="clear" w:fill="FFFFFF" w:themeFill="background1"/>
              <w:spacing w:line="276" w:lineRule="auto"/>
              <w:rPr>
                <w:rFonts w:ascii="宋体" w:hAnsi="宋体" w:cs="宋体"/>
                <w:color w:val="auto"/>
                <w:szCs w:val="21"/>
                <w:highlight w:val="none"/>
              </w:rPr>
            </w:pPr>
            <w:r>
              <w:rPr>
                <w:rFonts w:hint="eastAsia" w:ascii="宋体" w:hAnsi="宋体" w:cs="宋体"/>
                <w:color w:val="auto"/>
                <w:szCs w:val="21"/>
                <w:highlight w:val="none"/>
              </w:rPr>
              <w:t>□是，退还时间：</w:t>
            </w:r>
          </w:p>
        </w:tc>
      </w:tr>
      <w:tr w14:paraId="6EC78D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7A2F2A3C">
            <w:pPr>
              <w:shd w:val="clear" w:fill="FFFFFF" w:themeFill="background1"/>
              <w:jc w:val="center"/>
              <w:rPr>
                <w:rFonts w:ascii="宋体" w:hAnsi="宋体" w:cs="宋体"/>
                <w:b/>
                <w:color w:val="auto"/>
                <w:szCs w:val="21"/>
                <w:highlight w:val="none"/>
              </w:rPr>
            </w:pPr>
            <w:r>
              <w:rPr>
                <w:rFonts w:hint="eastAsia" w:ascii="宋体" w:hAnsi="宋体" w:cs="宋体"/>
                <w:color w:val="auto"/>
                <w:szCs w:val="21"/>
                <w:highlight w:val="none"/>
              </w:rPr>
              <w:t>5.1</w:t>
            </w:r>
          </w:p>
        </w:tc>
        <w:tc>
          <w:tcPr>
            <w:tcW w:w="2728" w:type="dxa"/>
            <w:tcBorders>
              <w:top w:val="single" w:color="auto" w:sz="4" w:space="0"/>
              <w:left w:val="single" w:color="auto" w:sz="4" w:space="0"/>
              <w:bottom w:val="single" w:color="auto" w:sz="4" w:space="0"/>
              <w:right w:val="single" w:color="auto" w:sz="4" w:space="0"/>
            </w:tcBorders>
            <w:vAlign w:val="center"/>
          </w:tcPr>
          <w:p w14:paraId="08C54DC0">
            <w:pPr>
              <w:shd w:val="clear" w:fill="FFFFFF" w:themeFill="background1"/>
              <w:autoSpaceDE w:val="0"/>
              <w:autoSpaceDN w:val="0"/>
              <w:jc w:val="center"/>
              <w:rPr>
                <w:rFonts w:ascii="宋体" w:hAnsi="宋体" w:cs="宋体"/>
                <w:b/>
                <w:color w:val="auto"/>
                <w:szCs w:val="21"/>
                <w:highlight w:val="none"/>
              </w:rPr>
            </w:pPr>
            <w:r>
              <w:rPr>
                <w:rFonts w:hint="eastAsia" w:ascii="宋体" w:hAnsi="宋体" w:cs="宋体"/>
                <w:color w:val="auto"/>
                <w:kern w:val="0"/>
                <w:szCs w:val="21"/>
                <w:highlight w:val="none"/>
              </w:rPr>
              <w:t>开标时间和地点</w:t>
            </w:r>
          </w:p>
        </w:tc>
        <w:tc>
          <w:tcPr>
            <w:tcW w:w="6531" w:type="dxa"/>
            <w:tcBorders>
              <w:top w:val="single" w:color="auto" w:sz="4" w:space="0"/>
              <w:left w:val="single" w:color="auto" w:sz="4" w:space="0"/>
              <w:bottom w:val="single" w:color="auto" w:sz="4" w:space="0"/>
              <w:right w:val="single" w:color="auto" w:sz="12" w:space="0"/>
            </w:tcBorders>
            <w:vAlign w:val="center"/>
          </w:tcPr>
          <w:p w14:paraId="7504A661">
            <w:pPr>
              <w:shd w:val="clear" w:fill="FFFFFF" w:themeFill="background1"/>
              <w:autoSpaceDE w:val="0"/>
              <w:autoSpaceDN w:val="0"/>
              <w:spacing w:line="360" w:lineRule="exact"/>
              <w:jc w:val="left"/>
              <w:rPr>
                <w:rFonts w:ascii="宋体" w:hAnsi="宋体" w:cs="宋体"/>
                <w:color w:val="auto"/>
                <w:kern w:val="0"/>
                <w:szCs w:val="21"/>
                <w:highlight w:val="none"/>
              </w:rPr>
            </w:pPr>
            <w:r>
              <w:rPr>
                <w:rFonts w:hint="eastAsia" w:ascii="宋体" w:hAnsi="宋体" w:cs="宋体"/>
                <w:b/>
                <w:color w:val="auto"/>
                <w:kern w:val="0"/>
                <w:szCs w:val="21"/>
                <w:highlight w:val="none"/>
              </w:rPr>
              <w:t>投标文件第一信封（商务及技术文件）</w:t>
            </w:r>
            <w:r>
              <w:rPr>
                <w:rFonts w:hint="eastAsia" w:ascii="宋体" w:hAnsi="宋体" w:cs="宋体"/>
                <w:color w:val="auto"/>
                <w:kern w:val="0"/>
                <w:szCs w:val="21"/>
                <w:highlight w:val="none"/>
              </w:rPr>
              <w:t>开标时间：同投标截止时间</w:t>
            </w:r>
          </w:p>
          <w:p w14:paraId="172F23F8">
            <w:pPr>
              <w:shd w:val="clear" w:fill="FFFFFF" w:themeFill="background1"/>
              <w:autoSpaceDE w:val="0"/>
              <w:autoSpaceDN w:val="0"/>
              <w:spacing w:line="36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开标地点：韶关市公共资源交易中心，地址：广东省韶关市武江区西联镇，具体房间号以当日现场通知为准。</w:t>
            </w:r>
          </w:p>
          <w:p w14:paraId="3269887A">
            <w:pPr>
              <w:shd w:val="clear" w:fill="FFFFFF" w:themeFill="background1"/>
              <w:autoSpaceDE w:val="0"/>
              <w:autoSpaceDN w:val="0"/>
              <w:spacing w:line="360" w:lineRule="exact"/>
              <w:jc w:val="left"/>
              <w:rPr>
                <w:rFonts w:ascii="宋体" w:hAnsi="宋体" w:cs="宋体"/>
                <w:color w:val="auto"/>
                <w:kern w:val="0"/>
                <w:szCs w:val="21"/>
                <w:highlight w:val="none"/>
              </w:rPr>
            </w:pPr>
            <w:r>
              <w:rPr>
                <w:rFonts w:hint="eastAsia" w:ascii="宋体" w:hAnsi="宋体" w:cs="宋体"/>
                <w:b/>
                <w:color w:val="auto"/>
                <w:kern w:val="0"/>
                <w:szCs w:val="21"/>
                <w:highlight w:val="none"/>
              </w:rPr>
              <w:t>投标文件第二信封（报价文件）开标时间</w:t>
            </w:r>
            <w:r>
              <w:rPr>
                <w:rFonts w:hint="eastAsia" w:ascii="宋体" w:hAnsi="宋体" w:cs="宋体"/>
                <w:color w:val="auto"/>
                <w:kern w:val="0"/>
                <w:szCs w:val="21"/>
                <w:highlight w:val="none"/>
              </w:rPr>
              <w:t>：同投标截止时间，且在宣布通过商务文件和技术文件的投标人名单后。</w:t>
            </w:r>
          </w:p>
          <w:p w14:paraId="1997ADE8">
            <w:pPr>
              <w:shd w:val="clear" w:fill="FFFFFF" w:themeFill="background1"/>
              <w:autoSpaceDE w:val="0"/>
              <w:autoSpaceDN w:val="0"/>
              <w:spacing w:line="360" w:lineRule="exact"/>
              <w:jc w:val="left"/>
              <w:rPr>
                <w:rFonts w:ascii="宋体" w:hAnsi="宋体" w:cs="宋体"/>
                <w:color w:val="auto"/>
                <w:szCs w:val="21"/>
                <w:highlight w:val="none"/>
              </w:rPr>
            </w:pPr>
            <w:r>
              <w:rPr>
                <w:rFonts w:hint="eastAsia" w:ascii="宋体" w:hAnsi="宋体" w:cs="宋体"/>
                <w:color w:val="auto"/>
                <w:kern w:val="0"/>
                <w:szCs w:val="21"/>
                <w:highlight w:val="none"/>
              </w:rPr>
              <w:t>开标地点：韶关市公共资源交易中心，地址：广东省韶关市武江区西联镇，具体房间号以当日现场通知为准。</w:t>
            </w:r>
          </w:p>
        </w:tc>
      </w:tr>
      <w:tr w14:paraId="6197DF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76CFF1C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5.2.1</w:t>
            </w:r>
          </w:p>
        </w:tc>
        <w:tc>
          <w:tcPr>
            <w:tcW w:w="2728" w:type="dxa"/>
            <w:tcBorders>
              <w:top w:val="single" w:color="auto" w:sz="4" w:space="0"/>
              <w:left w:val="single" w:color="auto" w:sz="4" w:space="0"/>
              <w:bottom w:val="single" w:color="auto" w:sz="4" w:space="0"/>
              <w:right w:val="single" w:color="auto" w:sz="4" w:space="0"/>
            </w:tcBorders>
            <w:vAlign w:val="center"/>
          </w:tcPr>
          <w:p w14:paraId="044BCC97">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第一个信封（商务及技术文件）开标程序</w:t>
            </w:r>
          </w:p>
        </w:tc>
        <w:tc>
          <w:tcPr>
            <w:tcW w:w="6531" w:type="dxa"/>
            <w:tcBorders>
              <w:top w:val="single" w:color="auto" w:sz="4" w:space="0"/>
              <w:left w:val="single" w:color="auto" w:sz="4" w:space="0"/>
              <w:bottom w:val="single" w:color="auto" w:sz="4" w:space="0"/>
              <w:right w:val="single" w:color="auto" w:sz="12" w:space="0"/>
            </w:tcBorders>
            <w:vAlign w:val="center"/>
          </w:tcPr>
          <w:p w14:paraId="4DC970B8">
            <w:pPr>
              <w:shd w:val="clear" w:fill="FFFFFF" w:themeFill="background1"/>
              <w:autoSpaceDE w:val="0"/>
              <w:autoSpaceDN w:val="0"/>
              <w:spacing w:line="360" w:lineRule="exact"/>
              <w:rPr>
                <w:rFonts w:ascii="宋体" w:hAnsi="宋体" w:cs="宋体"/>
                <w:color w:val="auto"/>
                <w:kern w:val="0"/>
                <w:szCs w:val="21"/>
                <w:highlight w:val="none"/>
                <w:u w:val="single"/>
              </w:rPr>
            </w:pPr>
            <w:r>
              <w:rPr>
                <w:rFonts w:hint="eastAsia" w:ascii="宋体" w:hAnsi="宋体" w:cs="宋体"/>
                <w:color w:val="auto"/>
                <w:kern w:val="0"/>
                <w:szCs w:val="21"/>
                <w:highlight w:val="none"/>
              </w:rPr>
              <w:t>（4）密封情况检查：</w:t>
            </w:r>
            <w:r>
              <w:rPr>
                <w:rFonts w:hint="eastAsia" w:ascii="宋体" w:hAnsi="宋体" w:cs="宋体"/>
                <w:color w:val="auto"/>
                <w:kern w:val="0"/>
                <w:szCs w:val="21"/>
                <w:highlight w:val="none"/>
                <w:u w:val="single"/>
              </w:rPr>
              <w:t>本项目采用全流程电子投标，不需检查密封情况。</w:t>
            </w:r>
          </w:p>
          <w:p w14:paraId="2DE2DFB1">
            <w:pPr>
              <w:shd w:val="clear" w:fill="FFFFFF" w:themeFill="background1"/>
              <w:autoSpaceDE w:val="0"/>
              <w:autoSpaceDN w:val="0"/>
              <w:spacing w:line="360" w:lineRule="exact"/>
              <w:rPr>
                <w:rFonts w:ascii="宋体" w:hAnsi="宋体" w:cs="宋体"/>
                <w:color w:val="auto"/>
                <w:szCs w:val="21"/>
                <w:highlight w:val="none"/>
              </w:rPr>
            </w:pPr>
            <w:r>
              <w:rPr>
                <w:rFonts w:hint="eastAsia" w:ascii="宋体" w:hAnsi="宋体" w:cs="宋体"/>
                <w:color w:val="auto"/>
                <w:kern w:val="0"/>
                <w:szCs w:val="21"/>
                <w:highlight w:val="none"/>
              </w:rPr>
              <w:t>（5）开标顺序：</w:t>
            </w:r>
            <w:r>
              <w:rPr>
                <w:rFonts w:hint="eastAsia" w:ascii="宋体" w:hAnsi="宋体" w:cs="宋体"/>
                <w:color w:val="auto"/>
                <w:kern w:val="0"/>
                <w:szCs w:val="21"/>
                <w:highlight w:val="none"/>
                <w:u w:val="single"/>
              </w:rPr>
              <w:t>对投标截止时间前上传的电子投标文件随机开标，先对投标文件第一信封（商务及技术文件）进行开标，并检查投标保证。</w:t>
            </w:r>
          </w:p>
        </w:tc>
      </w:tr>
      <w:tr w14:paraId="60666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7EB37BD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5.2.3</w:t>
            </w:r>
          </w:p>
        </w:tc>
        <w:tc>
          <w:tcPr>
            <w:tcW w:w="2728" w:type="dxa"/>
            <w:tcBorders>
              <w:top w:val="single" w:color="auto" w:sz="4" w:space="0"/>
              <w:left w:val="single" w:color="auto" w:sz="4" w:space="0"/>
              <w:bottom w:val="single" w:color="auto" w:sz="4" w:space="0"/>
              <w:right w:val="single" w:color="auto" w:sz="4" w:space="0"/>
            </w:tcBorders>
            <w:vAlign w:val="center"/>
          </w:tcPr>
          <w:p w14:paraId="09E94D72">
            <w:pPr>
              <w:shd w:val="clear" w:fill="FFFFFF" w:themeFill="background1"/>
              <w:autoSpaceDE w:val="0"/>
              <w:autoSpaceDN w:val="0"/>
              <w:jc w:val="center"/>
              <w:rPr>
                <w:rFonts w:ascii="宋体" w:hAnsi="宋体" w:cs="宋体"/>
                <w:color w:val="auto"/>
                <w:szCs w:val="21"/>
                <w:highlight w:val="none"/>
              </w:rPr>
            </w:pPr>
            <w:r>
              <w:rPr>
                <w:rFonts w:hint="eastAsia" w:ascii="宋体" w:hAnsi="宋体" w:cs="宋体"/>
                <w:color w:val="auto"/>
                <w:kern w:val="0"/>
                <w:szCs w:val="21"/>
                <w:highlight w:val="none"/>
              </w:rPr>
              <w:t>第二个信封（报价文件）开标程序</w:t>
            </w:r>
          </w:p>
        </w:tc>
        <w:tc>
          <w:tcPr>
            <w:tcW w:w="6531" w:type="dxa"/>
            <w:tcBorders>
              <w:top w:val="single" w:color="auto" w:sz="4" w:space="0"/>
              <w:left w:val="single" w:color="auto" w:sz="4" w:space="0"/>
              <w:bottom w:val="single" w:color="auto" w:sz="4" w:space="0"/>
              <w:right w:val="single" w:color="auto" w:sz="12" w:space="0"/>
            </w:tcBorders>
            <w:vAlign w:val="center"/>
          </w:tcPr>
          <w:p w14:paraId="1529C927">
            <w:pPr>
              <w:shd w:val="clear" w:fill="FFFFFF" w:themeFill="background1"/>
              <w:autoSpaceDE w:val="0"/>
              <w:autoSpaceDN w:val="0"/>
              <w:rPr>
                <w:rFonts w:ascii="宋体" w:hAnsi="宋体" w:cs="宋体"/>
                <w:color w:val="auto"/>
                <w:kern w:val="0"/>
                <w:szCs w:val="21"/>
                <w:highlight w:val="none"/>
                <w:u w:val="single"/>
              </w:rPr>
            </w:pPr>
            <w:r>
              <w:rPr>
                <w:rFonts w:hint="eastAsia" w:ascii="宋体" w:hAnsi="宋体" w:cs="宋体"/>
                <w:color w:val="auto"/>
                <w:kern w:val="0"/>
                <w:szCs w:val="21"/>
                <w:highlight w:val="none"/>
              </w:rPr>
              <w:t>（4）密封情况检查：</w:t>
            </w:r>
            <w:r>
              <w:rPr>
                <w:rFonts w:hint="eastAsia" w:ascii="宋体" w:hAnsi="宋体" w:cs="宋体"/>
                <w:color w:val="auto"/>
                <w:kern w:val="0"/>
                <w:szCs w:val="21"/>
                <w:highlight w:val="none"/>
                <w:u w:val="single"/>
              </w:rPr>
              <w:t>本项目采用全流程电子投标，不需检查密封情况。</w:t>
            </w:r>
          </w:p>
          <w:p w14:paraId="289352ED">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（5）开标顺序：</w:t>
            </w:r>
            <w:r>
              <w:rPr>
                <w:rFonts w:hint="eastAsia" w:ascii="宋体" w:hAnsi="宋体" w:cs="宋体"/>
                <w:color w:val="auto"/>
                <w:kern w:val="0"/>
                <w:szCs w:val="21"/>
                <w:highlight w:val="none"/>
                <w:u w:val="single"/>
              </w:rPr>
              <w:t>对通过了投标文件第一信封（商务及技术文件）评审（是指第一信封（商务及技术文件）通过了评标办法规定的资格审查和初步评审，未出现废标情况）的投标人的电子投标文件第二信封（报价文件）进行随机开标。</w:t>
            </w:r>
          </w:p>
        </w:tc>
      </w:tr>
      <w:tr w14:paraId="261CBD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5244CC44">
            <w:pPr>
              <w:shd w:val="clear" w:fill="FFFFFF" w:themeFill="background1"/>
              <w:jc w:val="center"/>
              <w:rPr>
                <w:rFonts w:ascii="宋体" w:hAnsi="宋体" w:cs="宋体"/>
                <w:b/>
                <w:color w:val="auto"/>
                <w:szCs w:val="21"/>
                <w:highlight w:val="none"/>
              </w:rPr>
            </w:pPr>
            <w:r>
              <w:rPr>
                <w:rFonts w:hint="eastAsia" w:ascii="宋体" w:hAnsi="宋体" w:cs="宋体"/>
                <w:color w:val="auto"/>
                <w:szCs w:val="21"/>
                <w:highlight w:val="none"/>
              </w:rPr>
              <w:t>6.1.1</w:t>
            </w:r>
          </w:p>
        </w:tc>
        <w:tc>
          <w:tcPr>
            <w:tcW w:w="2728" w:type="dxa"/>
            <w:tcBorders>
              <w:top w:val="single" w:color="auto" w:sz="4" w:space="0"/>
              <w:left w:val="single" w:color="auto" w:sz="4" w:space="0"/>
              <w:bottom w:val="single" w:color="auto" w:sz="4" w:space="0"/>
              <w:right w:val="single" w:color="auto" w:sz="4" w:space="0"/>
            </w:tcBorders>
            <w:vAlign w:val="center"/>
          </w:tcPr>
          <w:p w14:paraId="006AC6E7">
            <w:pPr>
              <w:shd w:val="clear" w:fill="FFFFFF" w:themeFill="background1"/>
              <w:jc w:val="center"/>
              <w:rPr>
                <w:rFonts w:ascii="宋体" w:hAnsi="宋体" w:cs="宋体"/>
                <w:b/>
                <w:color w:val="auto"/>
                <w:szCs w:val="21"/>
                <w:highlight w:val="none"/>
              </w:rPr>
            </w:pPr>
            <w:r>
              <w:rPr>
                <w:rFonts w:hint="eastAsia" w:ascii="宋体" w:hAnsi="宋体" w:cs="宋体"/>
                <w:color w:val="auto"/>
                <w:szCs w:val="21"/>
                <w:highlight w:val="none"/>
              </w:rPr>
              <w:t>评标委员会的组建</w:t>
            </w:r>
          </w:p>
        </w:tc>
        <w:tc>
          <w:tcPr>
            <w:tcW w:w="6531" w:type="dxa"/>
            <w:tcBorders>
              <w:top w:val="single" w:color="auto" w:sz="4" w:space="0"/>
              <w:left w:val="single" w:color="auto" w:sz="4" w:space="0"/>
              <w:bottom w:val="single" w:color="auto" w:sz="4" w:space="0"/>
              <w:right w:val="single" w:color="auto" w:sz="12" w:space="0"/>
            </w:tcBorders>
            <w:vAlign w:val="center"/>
          </w:tcPr>
          <w:p w14:paraId="7F3F6270">
            <w:pPr>
              <w:shd w:val="clear" w:fill="FFFFFF" w:themeFill="background1"/>
              <w:ind w:right="113"/>
              <w:rPr>
                <w:rFonts w:ascii="宋体" w:hAnsi="宋体" w:cs="宋体"/>
                <w:color w:val="auto"/>
                <w:szCs w:val="21"/>
                <w:highlight w:val="none"/>
              </w:rPr>
            </w:pPr>
            <w:r>
              <w:rPr>
                <w:rFonts w:hint="eastAsia" w:ascii="宋体" w:hAnsi="宋体" w:cs="宋体"/>
                <w:color w:val="auto"/>
                <w:szCs w:val="21"/>
                <w:highlight w:val="none"/>
              </w:rPr>
              <w:t>评标委员会构成：</w:t>
            </w:r>
            <w:r>
              <w:rPr>
                <w:rFonts w:hint="eastAsia" w:ascii="宋体" w:hAnsi="宋体" w:cs="宋体"/>
                <w:color w:val="auto"/>
                <w:szCs w:val="21"/>
                <w:highlight w:val="none"/>
                <w:u w:val="single"/>
              </w:rPr>
              <w:t>7人</w:t>
            </w:r>
            <w:r>
              <w:rPr>
                <w:rFonts w:hint="eastAsia" w:ascii="宋体" w:hAnsi="宋体" w:cs="宋体"/>
                <w:color w:val="auto"/>
                <w:szCs w:val="21"/>
                <w:highlight w:val="none"/>
              </w:rPr>
              <w:t>，其中招标人代表</w:t>
            </w:r>
            <w:r>
              <w:rPr>
                <w:rFonts w:hint="eastAsia" w:ascii="宋体" w:hAnsi="宋体" w:cs="宋体"/>
                <w:color w:val="auto"/>
                <w:szCs w:val="21"/>
                <w:highlight w:val="none"/>
                <w:u w:val="single"/>
              </w:rPr>
              <w:t>0</w:t>
            </w:r>
            <w:r>
              <w:rPr>
                <w:rFonts w:hint="eastAsia" w:ascii="宋体" w:hAnsi="宋体" w:cs="宋体"/>
                <w:color w:val="auto"/>
                <w:szCs w:val="21"/>
                <w:highlight w:val="none"/>
              </w:rPr>
              <w:t>人，专家</w:t>
            </w:r>
            <w:r>
              <w:rPr>
                <w:rFonts w:hint="eastAsia" w:ascii="宋体" w:hAnsi="宋体" w:cs="宋体"/>
                <w:color w:val="auto"/>
                <w:szCs w:val="21"/>
                <w:highlight w:val="none"/>
                <w:u w:val="single"/>
              </w:rPr>
              <w:t>7</w:t>
            </w:r>
            <w:r>
              <w:rPr>
                <w:rFonts w:hint="eastAsia" w:ascii="宋体" w:hAnsi="宋体" w:cs="宋体"/>
                <w:color w:val="auto"/>
                <w:szCs w:val="21"/>
                <w:highlight w:val="none"/>
              </w:rPr>
              <w:t>人；</w:t>
            </w:r>
          </w:p>
          <w:p w14:paraId="5B85B15E">
            <w:pPr>
              <w:shd w:val="clear" w:fill="FFFFFF" w:themeFill="background1"/>
              <w:ind w:right="113"/>
              <w:rPr>
                <w:rFonts w:ascii="宋体" w:hAnsi="宋体" w:cs="宋体"/>
                <w:b/>
                <w:color w:val="auto"/>
                <w:szCs w:val="21"/>
                <w:highlight w:val="none"/>
              </w:rPr>
            </w:pPr>
            <w:r>
              <w:rPr>
                <w:rFonts w:hint="eastAsia" w:ascii="宋体" w:hAnsi="宋体" w:cs="宋体"/>
                <w:color w:val="auto"/>
                <w:szCs w:val="21"/>
                <w:highlight w:val="none"/>
              </w:rPr>
              <w:t>专家确定方式：从广东省综合评标评审专家库--韶关市区域中随机抽取。</w:t>
            </w:r>
          </w:p>
        </w:tc>
      </w:tr>
      <w:tr w14:paraId="672805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3A5DD6B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6.3.2</w:t>
            </w:r>
          </w:p>
        </w:tc>
        <w:tc>
          <w:tcPr>
            <w:tcW w:w="2728" w:type="dxa"/>
            <w:tcBorders>
              <w:top w:val="single" w:color="auto" w:sz="4" w:space="0"/>
              <w:left w:val="single" w:color="auto" w:sz="4" w:space="0"/>
              <w:bottom w:val="single" w:color="auto" w:sz="4" w:space="0"/>
              <w:right w:val="single" w:color="auto" w:sz="4" w:space="0"/>
            </w:tcBorders>
            <w:vAlign w:val="center"/>
          </w:tcPr>
          <w:p w14:paraId="0D5C67F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评标委员会推荐中标候选人的人数</w:t>
            </w:r>
          </w:p>
        </w:tc>
        <w:tc>
          <w:tcPr>
            <w:tcW w:w="6531" w:type="dxa"/>
            <w:tcBorders>
              <w:top w:val="single" w:color="auto" w:sz="4" w:space="0"/>
              <w:left w:val="single" w:color="auto" w:sz="4" w:space="0"/>
              <w:bottom w:val="single" w:color="auto" w:sz="4" w:space="0"/>
              <w:right w:val="single" w:color="auto" w:sz="12" w:space="0"/>
            </w:tcBorders>
            <w:vAlign w:val="center"/>
          </w:tcPr>
          <w:p w14:paraId="677FE05A">
            <w:pPr>
              <w:shd w:val="clear" w:fill="FFFFFF" w:themeFill="background1"/>
              <w:ind w:left="147" w:leftChars="70"/>
              <w:rPr>
                <w:rFonts w:ascii="宋体" w:hAnsi="宋体" w:cs="宋体"/>
                <w:color w:val="auto"/>
                <w:szCs w:val="21"/>
                <w:highlight w:val="none"/>
              </w:rPr>
            </w:pPr>
            <w:r>
              <w:rPr>
                <w:rFonts w:hint="eastAsia" w:ascii="宋体" w:hAnsi="宋体" w:cs="宋体"/>
                <w:color w:val="auto"/>
                <w:szCs w:val="21"/>
                <w:highlight w:val="none"/>
              </w:rPr>
              <w:t xml:space="preserve"> 3 个</w:t>
            </w:r>
          </w:p>
        </w:tc>
      </w:tr>
      <w:tr w14:paraId="15BB7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422FD19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7.1</w:t>
            </w:r>
          </w:p>
        </w:tc>
        <w:tc>
          <w:tcPr>
            <w:tcW w:w="2728" w:type="dxa"/>
            <w:tcBorders>
              <w:top w:val="single" w:color="auto" w:sz="4" w:space="0"/>
              <w:left w:val="single" w:color="auto" w:sz="4" w:space="0"/>
              <w:bottom w:val="single" w:color="auto" w:sz="4" w:space="0"/>
              <w:right w:val="single" w:color="auto" w:sz="4" w:space="0"/>
            </w:tcBorders>
            <w:vAlign w:val="center"/>
          </w:tcPr>
          <w:p w14:paraId="63E332B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中标候选人公示媒介</w:t>
            </w:r>
          </w:p>
          <w:p w14:paraId="4A823D4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及期限</w:t>
            </w:r>
          </w:p>
        </w:tc>
        <w:tc>
          <w:tcPr>
            <w:tcW w:w="6531" w:type="dxa"/>
            <w:tcBorders>
              <w:top w:val="single" w:color="auto" w:sz="4" w:space="0"/>
              <w:left w:val="single" w:color="auto" w:sz="4" w:space="0"/>
              <w:bottom w:val="single" w:color="auto" w:sz="4" w:space="0"/>
              <w:right w:val="single" w:color="auto" w:sz="12" w:space="0"/>
            </w:tcBorders>
            <w:vAlign w:val="center"/>
          </w:tcPr>
          <w:p w14:paraId="030A61FA">
            <w:pPr>
              <w:shd w:val="clear" w:fill="FFFFFF" w:themeFill="background1"/>
              <w:wordWrap w:val="0"/>
              <w:spacing w:line="276" w:lineRule="auto"/>
              <w:ind w:left="147" w:leftChars="70"/>
              <w:jc w:val="left"/>
              <w:rPr>
                <w:rFonts w:ascii="宋体" w:hAnsi="宋体" w:cs="宋体"/>
                <w:color w:val="auto"/>
                <w:szCs w:val="21"/>
                <w:highlight w:val="none"/>
              </w:rPr>
            </w:pPr>
            <w:r>
              <w:rPr>
                <w:rFonts w:hint="eastAsia" w:ascii="宋体" w:hAnsi="宋体" w:cs="宋体"/>
                <w:color w:val="auto"/>
                <w:szCs w:val="21"/>
                <w:highlight w:val="none"/>
              </w:rPr>
              <w:t>公示媒介：</w:t>
            </w:r>
            <w:r>
              <w:rPr>
                <w:rFonts w:hint="eastAsia" w:ascii="宋体" w:hAnsi="宋体" w:cs="宋体"/>
                <w:color w:val="auto"/>
                <w:szCs w:val="21"/>
                <w:highlight w:val="none"/>
                <w:u w:val="single"/>
              </w:rPr>
              <w:t>广 东 省 招 标 投 标 监 管 网 、全国公共资源交易平台 （广东省·韶关市）</w:t>
            </w:r>
          </w:p>
          <w:p w14:paraId="555877FB">
            <w:pPr>
              <w:shd w:val="clear" w:fill="FFFFFF" w:themeFill="background1"/>
              <w:spacing w:line="276" w:lineRule="auto"/>
              <w:ind w:left="147" w:leftChars="70"/>
              <w:rPr>
                <w:rFonts w:ascii="宋体" w:hAnsi="宋体" w:cs="宋体"/>
                <w:color w:val="auto"/>
                <w:szCs w:val="21"/>
                <w:highlight w:val="none"/>
              </w:rPr>
            </w:pPr>
            <w:r>
              <w:rPr>
                <w:rFonts w:hint="eastAsia" w:ascii="宋体" w:hAnsi="宋体" w:cs="宋体"/>
                <w:color w:val="auto"/>
                <w:szCs w:val="21"/>
                <w:highlight w:val="none"/>
              </w:rPr>
              <w:t>公示期限：</w:t>
            </w:r>
            <w:r>
              <w:rPr>
                <w:rFonts w:hint="eastAsia" w:ascii="宋体" w:hAnsi="宋体" w:cs="宋体"/>
                <w:color w:val="auto"/>
                <w:szCs w:val="21"/>
                <w:highlight w:val="none"/>
                <w:u w:val="single"/>
              </w:rPr>
              <w:t xml:space="preserve"> 3 日</w:t>
            </w:r>
          </w:p>
          <w:p w14:paraId="5FCA3B0D">
            <w:pPr>
              <w:shd w:val="clear" w:fill="FFFFFF" w:themeFill="background1"/>
              <w:ind w:left="145" w:leftChars="69"/>
              <w:rPr>
                <w:rFonts w:ascii="宋体" w:hAnsi="宋体" w:cs="宋体"/>
                <w:color w:val="auto"/>
                <w:szCs w:val="21"/>
                <w:highlight w:val="none"/>
              </w:rPr>
            </w:pPr>
            <w:r>
              <w:rPr>
                <w:rFonts w:hint="eastAsia" w:ascii="宋体" w:hAnsi="宋体" w:cs="宋体"/>
                <w:color w:val="auto"/>
                <w:szCs w:val="21"/>
                <w:highlight w:val="none"/>
              </w:rPr>
              <w:t>公示的其他内容：</w:t>
            </w:r>
            <w:r>
              <w:rPr>
                <w:rFonts w:hint="eastAsia" w:ascii="宋体" w:hAnsi="宋体" w:cs="宋体"/>
                <w:color w:val="auto"/>
                <w:szCs w:val="21"/>
                <w:highlight w:val="none"/>
                <w:u w:val="thick"/>
              </w:rPr>
              <w:t>最新年度信用等级使用情况及所有承诺使用最新年度 AA、A 级投标人的年度信用等级使用情况。</w:t>
            </w:r>
          </w:p>
        </w:tc>
      </w:tr>
      <w:tr w14:paraId="460C1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7F7D9982">
            <w:pPr>
              <w:shd w:val="clear" w:fill="FFFFFF" w:themeFill="background1"/>
              <w:jc w:val="center"/>
              <w:rPr>
                <w:rFonts w:ascii="宋体" w:hAnsi="宋体" w:cs="宋体"/>
                <w:b/>
                <w:color w:val="auto"/>
                <w:szCs w:val="21"/>
                <w:highlight w:val="none"/>
              </w:rPr>
            </w:pPr>
            <w:r>
              <w:rPr>
                <w:rFonts w:hint="eastAsia" w:ascii="宋体" w:hAnsi="宋体" w:cs="宋体"/>
                <w:color w:val="auto"/>
                <w:szCs w:val="21"/>
                <w:highlight w:val="none"/>
              </w:rPr>
              <w:t>7.4</w:t>
            </w:r>
          </w:p>
        </w:tc>
        <w:tc>
          <w:tcPr>
            <w:tcW w:w="2728" w:type="dxa"/>
            <w:tcBorders>
              <w:top w:val="single" w:color="auto" w:sz="4" w:space="0"/>
              <w:left w:val="single" w:color="auto" w:sz="4" w:space="0"/>
              <w:bottom w:val="single" w:color="auto" w:sz="4" w:space="0"/>
              <w:right w:val="single" w:color="auto" w:sz="4" w:space="0"/>
            </w:tcBorders>
            <w:vAlign w:val="center"/>
          </w:tcPr>
          <w:p w14:paraId="6E002307">
            <w:pPr>
              <w:shd w:val="clear" w:fill="FFFFFF" w:themeFill="background1"/>
              <w:jc w:val="center"/>
              <w:rPr>
                <w:rFonts w:ascii="宋体" w:hAnsi="宋体" w:cs="宋体"/>
                <w:b/>
                <w:color w:val="auto"/>
                <w:szCs w:val="21"/>
                <w:highlight w:val="none"/>
              </w:rPr>
            </w:pPr>
            <w:r>
              <w:rPr>
                <w:rFonts w:hint="eastAsia" w:ascii="宋体" w:hAnsi="宋体" w:cs="宋体"/>
                <w:color w:val="auto"/>
                <w:szCs w:val="21"/>
                <w:highlight w:val="none"/>
              </w:rPr>
              <w:t>是否授权评标委员会确定中标人</w:t>
            </w:r>
          </w:p>
        </w:tc>
        <w:tc>
          <w:tcPr>
            <w:tcW w:w="6531" w:type="dxa"/>
            <w:tcBorders>
              <w:top w:val="single" w:color="auto" w:sz="4" w:space="0"/>
              <w:left w:val="single" w:color="auto" w:sz="4" w:space="0"/>
              <w:bottom w:val="single" w:color="auto" w:sz="4" w:space="0"/>
              <w:right w:val="single" w:color="auto" w:sz="12" w:space="0"/>
            </w:tcBorders>
            <w:vAlign w:val="center"/>
          </w:tcPr>
          <w:p w14:paraId="31D4226E">
            <w:pPr>
              <w:shd w:val="clear" w:fill="FFFFFF" w:themeFill="background1"/>
              <w:spacing w:line="440" w:lineRule="exact"/>
              <w:rPr>
                <w:rFonts w:ascii="宋体" w:hAnsi="宋体" w:cs="宋体"/>
                <w:color w:val="auto"/>
                <w:szCs w:val="21"/>
                <w:highlight w:val="none"/>
              </w:rPr>
            </w:pPr>
            <w:r>
              <w:rPr>
                <w:rFonts w:hint="eastAsia" w:ascii="宋体" w:hAnsi="宋体" w:cs="宋体"/>
                <w:color w:val="auto"/>
                <w:szCs w:val="21"/>
                <w:highlight w:val="none"/>
              </w:rPr>
              <w:t>□是</w:t>
            </w:r>
          </w:p>
          <w:p w14:paraId="636D304F">
            <w:pPr>
              <w:shd w:val="clear" w:fill="FFFFFF" w:themeFill="background1"/>
              <w:spacing w:line="440" w:lineRule="exact"/>
              <w:rPr>
                <w:rFonts w:ascii="宋体" w:hAnsi="宋体" w:cs="宋体"/>
                <w:b/>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否</w:t>
            </w:r>
          </w:p>
        </w:tc>
      </w:tr>
      <w:tr w14:paraId="0967BC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28A0F86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7.5</w:t>
            </w:r>
          </w:p>
        </w:tc>
        <w:tc>
          <w:tcPr>
            <w:tcW w:w="2728" w:type="dxa"/>
            <w:tcBorders>
              <w:top w:val="single" w:color="auto" w:sz="4" w:space="0"/>
              <w:left w:val="single" w:color="auto" w:sz="4" w:space="0"/>
              <w:bottom w:val="single" w:color="auto" w:sz="4" w:space="0"/>
              <w:right w:val="single" w:color="auto" w:sz="4" w:space="0"/>
            </w:tcBorders>
            <w:vAlign w:val="center"/>
          </w:tcPr>
          <w:p w14:paraId="0426CC9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中标通知书和中标结果通知发出的形式</w:t>
            </w:r>
          </w:p>
        </w:tc>
        <w:tc>
          <w:tcPr>
            <w:tcW w:w="6531" w:type="dxa"/>
            <w:tcBorders>
              <w:top w:val="single" w:color="auto" w:sz="4" w:space="0"/>
              <w:left w:val="single" w:color="auto" w:sz="4" w:space="0"/>
              <w:bottom w:val="single" w:color="auto" w:sz="4" w:space="0"/>
              <w:right w:val="single" w:color="auto" w:sz="12" w:space="0"/>
            </w:tcBorders>
            <w:vAlign w:val="center"/>
          </w:tcPr>
          <w:p w14:paraId="6F86D1A0">
            <w:pPr>
              <w:shd w:val="clear" w:fill="FFFFFF" w:themeFill="background1"/>
              <w:spacing w:line="440" w:lineRule="exact"/>
              <w:rPr>
                <w:rFonts w:ascii="宋体" w:hAnsi="宋体" w:cs="宋体"/>
                <w:color w:val="auto"/>
                <w:szCs w:val="21"/>
                <w:highlight w:val="none"/>
              </w:rPr>
            </w:pPr>
            <w:r>
              <w:rPr>
                <w:rFonts w:hint="eastAsia" w:ascii="宋体" w:hAnsi="宋体" w:cs="宋体"/>
                <w:color w:val="auto"/>
                <w:szCs w:val="21"/>
                <w:highlight w:val="none"/>
              </w:rPr>
              <w:t>书面形式</w:t>
            </w:r>
          </w:p>
        </w:tc>
      </w:tr>
      <w:tr w14:paraId="199C8E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5B04A5A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7.6</w:t>
            </w:r>
          </w:p>
        </w:tc>
        <w:tc>
          <w:tcPr>
            <w:tcW w:w="2728" w:type="dxa"/>
            <w:tcBorders>
              <w:top w:val="single" w:color="auto" w:sz="4" w:space="0"/>
              <w:left w:val="single" w:color="auto" w:sz="4" w:space="0"/>
              <w:bottom w:val="single" w:color="auto" w:sz="4" w:space="0"/>
              <w:right w:val="single" w:color="auto" w:sz="4" w:space="0"/>
            </w:tcBorders>
            <w:vAlign w:val="center"/>
          </w:tcPr>
          <w:p w14:paraId="7F480A6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中标结果公告媒介</w:t>
            </w:r>
          </w:p>
        </w:tc>
        <w:tc>
          <w:tcPr>
            <w:tcW w:w="6531" w:type="dxa"/>
            <w:tcBorders>
              <w:top w:val="single" w:color="auto" w:sz="4" w:space="0"/>
              <w:left w:val="single" w:color="auto" w:sz="4" w:space="0"/>
              <w:bottom w:val="single" w:color="auto" w:sz="4" w:space="0"/>
              <w:right w:val="single" w:color="auto" w:sz="12" w:space="0"/>
            </w:tcBorders>
            <w:vAlign w:val="center"/>
          </w:tcPr>
          <w:p w14:paraId="5EBC92AB">
            <w:pPr>
              <w:pStyle w:val="80"/>
              <w:shd w:val="clear" w:fill="FFFFFF" w:themeFill="background1"/>
              <w:spacing w:before="78"/>
              <w:ind w:left="107"/>
              <w:rPr>
                <w:rFonts w:ascii="宋体" w:hAnsi="宋体" w:cs="宋体"/>
                <w:color w:val="auto"/>
                <w:szCs w:val="21"/>
                <w:highlight w:val="none"/>
              </w:rPr>
            </w:pPr>
            <w:r>
              <w:rPr>
                <w:rFonts w:hint="eastAsia" w:ascii="宋体" w:hAnsi="宋体" w:cs="宋体"/>
                <w:color w:val="auto"/>
                <w:szCs w:val="21"/>
                <w:highlight w:val="none"/>
              </w:rPr>
              <w:t>公示媒介：</w:t>
            </w:r>
            <w:r>
              <w:rPr>
                <w:rFonts w:hint="eastAsia" w:ascii="宋体" w:hAnsi="宋体" w:cs="宋体"/>
                <w:color w:val="auto"/>
                <w:szCs w:val="21"/>
                <w:highlight w:val="none"/>
                <w:u w:val="single"/>
              </w:rPr>
              <w:t>广 东 省 招 标 投 标 监 管 网 、全国公共资源交易平台 （广东省·韶关市）</w:t>
            </w:r>
            <w:r>
              <w:rPr>
                <w:rFonts w:hint="eastAsia" w:ascii="宋体" w:hAnsi="宋体" w:cs="宋体"/>
                <w:color w:val="auto"/>
                <w:szCs w:val="21"/>
                <w:highlight w:val="none"/>
              </w:rPr>
              <w:t>。</w:t>
            </w:r>
          </w:p>
        </w:tc>
      </w:tr>
      <w:tr w14:paraId="7FE588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1F8F849B">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7.7.1</w:t>
            </w:r>
          </w:p>
        </w:tc>
        <w:tc>
          <w:tcPr>
            <w:tcW w:w="2728" w:type="dxa"/>
            <w:tcBorders>
              <w:top w:val="single" w:color="auto" w:sz="4" w:space="0"/>
              <w:left w:val="single" w:color="auto" w:sz="4" w:space="0"/>
              <w:bottom w:val="single" w:color="auto" w:sz="4" w:space="0"/>
              <w:right w:val="single" w:color="auto" w:sz="4" w:space="0"/>
            </w:tcBorders>
            <w:vAlign w:val="center"/>
          </w:tcPr>
          <w:p w14:paraId="61C59A6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6531" w:type="dxa"/>
            <w:tcBorders>
              <w:top w:val="single" w:color="auto" w:sz="4" w:space="0"/>
              <w:left w:val="single" w:color="auto" w:sz="4" w:space="0"/>
              <w:bottom w:val="single" w:color="auto" w:sz="4" w:space="0"/>
              <w:right w:val="single" w:color="auto" w:sz="12" w:space="0"/>
            </w:tcBorders>
            <w:vAlign w:val="center"/>
          </w:tcPr>
          <w:p w14:paraId="0CE924DB">
            <w:pPr>
              <w:shd w:val="clear" w:fill="FFFFFF" w:themeFill="background1"/>
              <w:ind w:right="113" w:firstLine="210" w:firstLineChars="100"/>
              <w:rPr>
                <w:rFonts w:ascii="宋体" w:hAnsi="宋体" w:cs="宋体"/>
                <w:color w:val="auto"/>
                <w:szCs w:val="21"/>
                <w:highlight w:val="none"/>
              </w:rPr>
            </w:pPr>
            <w:r>
              <w:rPr>
                <w:rFonts w:hint="eastAsia" w:ascii="宋体" w:hAnsi="宋体" w:cs="宋体"/>
                <w:color w:val="auto"/>
                <w:szCs w:val="21"/>
                <w:highlight w:val="none"/>
              </w:rPr>
              <w:t>是否要求中标人提交履约保证金：</w:t>
            </w:r>
          </w:p>
          <w:p w14:paraId="21BD9365">
            <w:pPr>
              <w:shd w:val="clear" w:fill="FFFFFF" w:themeFill="background1"/>
              <w:ind w:left="105" w:leftChars="50" w:right="113"/>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要求，履约担保形式：</w:t>
            </w:r>
            <w:r>
              <w:rPr>
                <w:rFonts w:hint="eastAsia" w:ascii="宋体" w:hAnsi="宋体" w:cs="宋体"/>
                <w:color w:val="auto"/>
                <w:szCs w:val="21"/>
                <w:highlight w:val="none"/>
                <w:u w:val="single"/>
              </w:rPr>
              <w:t>由投标人自主选择采用现金（或支票）、或银行保函或其他合法形式。</w:t>
            </w:r>
          </w:p>
          <w:p w14:paraId="18DA6F2B">
            <w:pPr>
              <w:shd w:val="clear" w:fill="FFFFFF" w:themeFill="background1"/>
              <w:ind w:left="105" w:leftChars="50" w:right="113"/>
              <w:rPr>
                <w:rFonts w:ascii="宋体" w:hAnsi="宋体" w:cs="宋体"/>
                <w:color w:val="auto"/>
                <w:szCs w:val="21"/>
                <w:highlight w:val="none"/>
                <w:u w:val="single"/>
              </w:rPr>
            </w:pPr>
            <w:r>
              <w:rPr>
                <w:rFonts w:hint="eastAsia" w:ascii="宋体" w:hAnsi="宋体" w:cs="宋体"/>
                <w:color w:val="auto"/>
                <w:szCs w:val="21"/>
                <w:highlight w:val="none"/>
              </w:rPr>
              <w:t xml:space="preserve">   履约担保金额：</w:t>
            </w:r>
            <w:r>
              <w:rPr>
                <w:rFonts w:hint="eastAsia" w:ascii="宋体" w:hAnsi="宋体" w:cs="宋体"/>
                <w:color w:val="auto"/>
                <w:szCs w:val="21"/>
                <w:highlight w:val="none"/>
                <w:u w:val="single"/>
              </w:rPr>
              <w:t>中标合同额的10%。</w:t>
            </w:r>
          </w:p>
          <w:p w14:paraId="26FCEA90">
            <w:pPr>
              <w:shd w:val="clear" w:fill="FFFFFF" w:themeFill="background1"/>
              <w:ind w:left="105" w:leftChars="50" w:right="113"/>
              <w:rPr>
                <w:rFonts w:ascii="宋体" w:hAnsi="宋体" w:cs="宋体"/>
                <w:color w:val="auto"/>
                <w:szCs w:val="21"/>
                <w:highlight w:val="none"/>
                <w:u w:val="single"/>
              </w:rPr>
            </w:pPr>
            <w:r>
              <w:rPr>
                <w:rFonts w:hint="eastAsia" w:ascii="宋体" w:hAnsi="宋体" w:cs="宋体"/>
                <w:color w:val="auto"/>
                <w:szCs w:val="21"/>
                <w:highlight w:val="none"/>
              </w:rPr>
              <w:t xml:space="preserve">   采用银行保函时，</w:t>
            </w:r>
            <w:r>
              <w:rPr>
                <w:rFonts w:hint="eastAsia" w:ascii="宋体" w:hAnsi="宋体" w:cs="宋体"/>
                <w:color w:val="auto"/>
                <w:szCs w:val="21"/>
                <w:highlight w:val="none"/>
                <w:u w:val="single"/>
              </w:rPr>
              <w:t>出具履约担保的银行级别：投标人公司注册所在地的全国性国有商业银行或股份制商业银行的分支机构。</w:t>
            </w:r>
          </w:p>
          <w:p w14:paraId="2499826F">
            <w:pPr>
              <w:shd w:val="clear" w:fill="FFFFFF" w:themeFill="background1"/>
              <w:ind w:left="105" w:leftChars="50" w:right="113"/>
              <w:rPr>
                <w:rFonts w:ascii="宋体" w:hAnsi="宋体" w:cs="宋体"/>
                <w:color w:val="auto"/>
                <w:szCs w:val="21"/>
                <w:highlight w:val="none"/>
              </w:rPr>
            </w:pPr>
          </w:p>
          <w:p w14:paraId="4DD99965">
            <w:pPr>
              <w:shd w:val="clear" w:fill="FFFFFF" w:themeFill="background1"/>
              <w:ind w:left="105" w:leftChars="50" w:right="113"/>
              <w:rPr>
                <w:rFonts w:ascii="宋体" w:hAnsi="宋体" w:cs="宋体"/>
                <w:color w:val="auto"/>
                <w:szCs w:val="21"/>
                <w:highlight w:val="none"/>
              </w:rPr>
            </w:pPr>
            <w:r>
              <w:rPr>
                <w:rFonts w:hint="eastAsia" w:ascii="宋体" w:hAnsi="宋体" w:cs="宋体"/>
                <w:color w:val="auto"/>
                <w:szCs w:val="21"/>
                <w:highlight w:val="none"/>
              </w:rPr>
              <w:t>□不要求</w:t>
            </w:r>
          </w:p>
        </w:tc>
      </w:tr>
      <w:tr w14:paraId="285269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4297347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8.5.1</w:t>
            </w:r>
          </w:p>
        </w:tc>
        <w:tc>
          <w:tcPr>
            <w:tcW w:w="2728" w:type="dxa"/>
            <w:tcBorders>
              <w:top w:val="single" w:color="auto" w:sz="4" w:space="0"/>
              <w:left w:val="single" w:color="auto" w:sz="4" w:space="0"/>
              <w:bottom w:val="single" w:color="auto" w:sz="4" w:space="0"/>
              <w:right w:val="single" w:color="auto" w:sz="4" w:space="0"/>
            </w:tcBorders>
            <w:vAlign w:val="center"/>
          </w:tcPr>
          <w:p w14:paraId="354E9F2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监督部门</w:t>
            </w:r>
          </w:p>
        </w:tc>
        <w:tc>
          <w:tcPr>
            <w:tcW w:w="6531" w:type="dxa"/>
            <w:tcBorders>
              <w:top w:val="single" w:color="auto" w:sz="4" w:space="0"/>
              <w:left w:val="single" w:color="auto" w:sz="4" w:space="0"/>
              <w:bottom w:val="single" w:color="auto" w:sz="4" w:space="0"/>
              <w:right w:val="single" w:color="auto" w:sz="12" w:space="0"/>
            </w:tcBorders>
            <w:vAlign w:val="center"/>
          </w:tcPr>
          <w:p w14:paraId="1F79E0E0">
            <w:pPr>
              <w:shd w:val="clear" w:fill="FFFFFF" w:themeFill="background1"/>
              <w:ind w:left="113" w:right="113"/>
              <w:rPr>
                <w:rFonts w:ascii="宋体" w:hAnsi="宋体" w:cs="宋体"/>
                <w:color w:val="auto"/>
                <w:szCs w:val="21"/>
                <w:highlight w:val="none"/>
              </w:rPr>
            </w:pPr>
            <w:r>
              <w:rPr>
                <w:rFonts w:hint="eastAsia" w:ascii="宋体" w:hAnsi="宋体" w:cs="宋体"/>
                <w:color w:val="auto"/>
                <w:szCs w:val="21"/>
                <w:highlight w:val="none"/>
              </w:rPr>
              <w:t>监督部门：乐昌市交通运输局</w:t>
            </w:r>
          </w:p>
          <w:p w14:paraId="144B1DE4">
            <w:pPr>
              <w:shd w:val="clear" w:fill="FFFFFF" w:themeFill="background1"/>
              <w:ind w:left="113" w:right="113"/>
              <w:rPr>
                <w:rFonts w:ascii="宋体" w:hAnsi="宋体" w:cs="宋体"/>
                <w:color w:val="auto"/>
                <w:szCs w:val="21"/>
                <w:highlight w:val="none"/>
              </w:rPr>
            </w:pPr>
            <w:r>
              <w:rPr>
                <w:rFonts w:hint="eastAsia" w:ascii="宋体" w:hAnsi="宋体" w:cs="宋体"/>
                <w:color w:val="auto"/>
                <w:szCs w:val="21"/>
                <w:highlight w:val="none"/>
              </w:rPr>
              <w:t>地  址：乐昌市公园路7号</w:t>
            </w:r>
          </w:p>
          <w:p w14:paraId="71D54FF0">
            <w:pPr>
              <w:shd w:val="clear" w:fill="FFFFFF" w:themeFill="background1"/>
              <w:ind w:left="113" w:right="113"/>
              <w:rPr>
                <w:rFonts w:ascii="宋体" w:hAnsi="宋体" w:cs="宋体"/>
                <w:color w:val="auto"/>
                <w:szCs w:val="21"/>
                <w:highlight w:val="none"/>
              </w:rPr>
            </w:pPr>
            <w:r>
              <w:rPr>
                <w:rFonts w:hint="eastAsia" w:ascii="宋体" w:hAnsi="宋体" w:cs="宋体"/>
                <w:color w:val="auto"/>
                <w:szCs w:val="21"/>
                <w:highlight w:val="none"/>
              </w:rPr>
              <w:t xml:space="preserve">电  话：0751-5574986 </w:t>
            </w:r>
          </w:p>
          <w:p w14:paraId="5AD53439">
            <w:pPr>
              <w:shd w:val="clear" w:fill="FFFFFF" w:themeFill="background1"/>
              <w:ind w:left="113" w:right="113"/>
              <w:rPr>
                <w:rFonts w:ascii="宋体" w:hAnsi="宋体" w:cs="宋体"/>
                <w:color w:val="auto"/>
                <w:szCs w:val="21"/>
                <w:highlight w:val="none"/>
              </w:rPr>
            </w:pPr>
            <w:r>
              <w:rPr>
                <w:rFonts w:hint="eastAsia" w:ascii="宋体" w:hAnsi="宋体" w:cs="宋体"/>
                <w:color w:val="auto"/>
                <w:szCs w:val="21"/>
                <w:highlight w:val="none"/>
              </w:rPr>
              <w:t>邮政编码：512229</w:t>
            </w:r>
          </w:p>
        </w:tc>
      </w:tr>
      <w:tr w14:paraId="1F0C4D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4" w:space="0"/>
            </w:tcBorders>
            <w:vAlign w:val="center"/>
          </w:tcPr>
          <w:p w14:paraId="519EDE1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9</w:t>
            </w:r>
          </w:p>
        </w:tc>
        <w:tc>
          <w:tcPr>
            <w:tcW w:w="2728" w:type="dxa"/>
            <w:tcBorders>
              <w:top w:val="single" w:color="auto" w:sz="4" w:space="0"/>
              <w:left w:val="single" w:color="auto" w:sz="4" w:space="0"/>
              <w:bottom w:val="single" w:color="auto" w:sz="4" w:space="0"/>
              <w:right w:val="single" w:color="auto" w:sz="4" w:space="0"/>
            </w:tcBorders>
            <w:vAlign w:val="center"/>
          </w:tcPr>
          <w:p w14:paraId="6EB81747">
            <w:pPr>
              <w:shd w:val="clear" w:fill="FFFFFF" w:themeFill="background1"/>
              <w:autoSpaceDE w:val="0"/>
              <w:autoSpaceDN w:val="0"/>
              <w:rPr>
                <w:rFonts w:ascii="宋体" w:hAnsi="宋体" w:cs="宋体"/>
                <w:color w:val="auto"/>
                <w:szCs w:val="21"/>
                <w:highlight w:val="none"/>
              </w:rPr>
            </w:pPr>
            <w:r>
              <w:rPr>
                <w:rFonts w:hint="eastAsia" w:ascii="宋体" w:hAnsi="宋体" w:cs="宋体"/>
                <w:color w:val="auto"/>
                <w:kern w:val="0"/>
                <w:szCs w:val="21"/>
                <w:highlight w:val="none"/>
              </w:rPr>
              <w:t>是否采用电子招标投标</w:t>
            </w:r>
          </w:p>
        </w:tc>
        <w:tc>
          <w:tcPr>
            <w:tcW w:w="6531" w:type="dxa"/>
            <w:tcBorders>
              <w:top w:val="single" w:color="auto" w:sz="4" w:space="0"/>
              <w:left w:val="single" w:color="auto" w:sz="4" w:space="0"/>
              <w:bottom w:val="single" w:color="auto" w:sz="4" w:space="0"/>
              <w:right w:val="single" w:color="auto" w:sz="12" w:space="0"/>
            </w:tcBorders>
            <w:vAlign w:val="center"/>
          </w:tcPr>
          <w:p w14:paraId="76A474C9">
            <w:pPr>
              <w:shd w:val="clear" w:fill="FFFFFF" w:themeFill="background1"/>
              <w:autoSpaceDE w:val="0"/>
              <w:autoSpaceDN w:val="0"/>
              <w:rPr>
                <w:rFonts w:ascii="宋体" w:hAnsi="宋体" w:cs="宋体"/>
                <w:color w:val="auto"/>
                <w:kern w:val="0"/>
                <w:szCs w:val="21"/>
                <w:highlight w:val="none"/>
              </w:rPr>
            </w:pPr>
            <w:r>
              <w:rPr>
                <w:rFonts w:hint="eastAsia" w:ascii="宋体" w:hAnsi="宋体" w:cs="宋体"/>
                <w:color w:val="auto"/>
                <w:kern w:val="0"/>
                <w:szCs w:val="21"/>
                <w:highlight w:val="none"/>
              </w:rPr>
              <w:t>□否</w:t>
            </w:r>
          </w:p>
          <w:p w14:paraId="225C36EA">
            <w:pPr>
              <w:shd w:val="clear" w:fill="FFFFFF" w:themeFill="background1"/>
              <w:autoSpaceDE w:val="0"/>
              <w:autoSpaceDN w:val="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eq \o\ac(</w:instrText>
            </w:r>
            <w:r>
              <w:rPr>
                <w:rFonts w:hint="eastAsia" w:ascii="宋体" w:hAnsi="宋体" w:cs="宋体"/>
                <w:color w:val="auto"/>
                <w:kern w:val="0"/>
                <w:position w:val="-4"/>
                <w:sz w:val="31"/>
                <w:szCs w:val="21"/>
                <w:highlight w:val="none"/>
              </w:rPr>
              <w:instrText xml:space="preserve">□</w:instrText>
            </w:r>
            <w:r>
              <w:rPr>
                <w:rFonts w:hint="eastAsia" w:ascii="宋体" w:hAnsi="宋体" w:cs="宋体"/>
                <w:color w:val="auto"/>
                <w:kern w:val="0"/>
                <w:szCs w:val="21"/>
                <w:highlight w:val="none"/>
              </w:rPr>
              <w:instrText xml:space="preserve">,√)</w:instrTex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是，具体要求：</w:t>
            </w:r>
          </w:p>
          <w:p w14:paraId="442ACFEA">
            <w:pPr>
              <w:pStyle w:val="82"/>
              <w:shd w:val="clear" w:fill="FFFFFF" w:themeFill="background1"/>
              <w:ind w:firstLine="422" w:firstLineChars="200"/>
              <w:rPr>
                <w:rFonts w:ascii="宋体" w:hAnsi="宋体" w:cs="宋体"/>
                <w:color w:val="auto"/>
                <w:szCs w:val="21"/>
                <w:highlight w:val="none"/>
              </w:rPr>
            </w:pPr>
            <w:r>
              <w:rPr>
                <w:rFonts w:hint="eastAsia" w:ascii="宋体" w:hAnsi="宋体" w:cs="宋体"/>
                <w:b/>
                <w:bCs/>
                <w:color w:val="auto"/>
                <w:kern w:val="0"/>
                <w:szCs w:val="21"/>
                <w:highlight w:val="none"/>
                <w:u w:val="single"/>
              </w:rPr>
              <w:t>投标人必须在规定的截止时间前使用建设工程交易平台完成电子投标(包括缴纳投标保证金)。</w:t>
            </w:r>
          </w:p>
        </w:tc>
      </w:tr>
      <w:tr w14:paraId="6317E8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0227" w:type="dxa"/>
            <w:gridSpan w:val="3"/>
            <w:tcBorders>
              <w:top w:val="single" w:color="auto" w:sz="4" w:space="0"/>
              <w:left w:val="single" w:color="auto" w:sz="12" w:space="0"/>
              <w:bottom w:val="single" w:color="auto" w:sz="4" w:space="0"/>
              <w:right w:val="single" w:color="auto" w:sz="12" w:space="0"/>
            </w:tcBorders>
            <w:vAlign w:val="center"/>
          </w:tcPr>
          <w:p w14:paraId="4D43D17A">
            <w:pPr>
              <w:shd w:val="clear" w:fill="FFFFFF" w:themeFill="background1"/>
              <w:spacing w:line="380" w:lineRule="exact"/>
              <w:rPr>
                <w:rFonts w:ascii="宋体" w:hAnsi="宋体" w:cs="宋体"/>
                <w:color w:val="auto"/>
                <w:szCs w:val="21"/>
                <w:highlight w:val="none"/>
              </w:rPr>
            </w:pPr>
            <w:r>
              <w:rPr>
                <w:rFonts w:hint="eastAsia" w:ascii="宋体" w:hAnsi="宋体" w:cs="宋体"/>
                <w:color w:val="auto"/>
                <w:szCs w:val="21"/>
                <w:highlight w:val="none"/>
              </w:rPr>
              <w:t>需补充的其他内容</w:t>
            </w:r>
          </w:p>
        </w:tc>
      </w:tr>
      <w:tr w14:paraId="0BCA32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1F085B3C">
            <w:pPr>
              <w:shd w:val="clear" w:fill="FFFFFF" w:themeFill="background1"/>
              <w:autoSpaceDE w:val="0"/>
              <w:autoSpaceDN w:val="0"/>
              <w:spacing w:line="480" w:lineRule="auto"/>
              <w:jc w:val="center"/>
              <w:rPr>
                <w:rFonts w:ascii="宋体" w:hAnsi="宋体" w:cs="宋体"/>
                <w:bCs/>
                <w:color w:val="auto"/>
                <w:szCs w:val="21"/>
                <w:highlight w:val="none"/>
              </w:rPr>
            </w:pPr>
            <w:r>
              <w:rPr>
                <w:rFonts w:hint="eastAsia" w:ascii="宋体" w:hAnsi="宋体" w:cs="宋体"/>
                <w:bCs/>
                <w:color w:val="auto"/>
                <w:kern w:val="0"/>
                <w:szCs w:val="21"/>
                <w:highlight w:val="none"/>
              </w:rPr>
              <w:t>1.4.4</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54C19CC3">
            <w:pPr>
              <w:shd w:val="clear" w:fill="FFFFFF" w:themeFill="background1"/>
              <w:spacing w:line="400" w:lineRule="exact"/>
              <w:rPr>
                <w:rFonts w:ascii="宋体" w:hAnsi="宋体" w:cs="宋体"/>
                <w:color w:val="auto"/>
                <w:szCs w:val="21"/>
                <w:highlight w:val="none"/>
              </w:rPr>
            </w:pPr>
            <w:r>
              <w:rPr>
                <w:rFonts w:hint="eastAsia" w:ascii="宋体" w:hAnsi="宋体" w:cs="宋体"/>
                <w:color w:val="auto"/>
                <w:szCs w:val="21"/>
                <w:highlight w:val="none"/>
              </w:rPr>
              <w:t>投标人须知正文</w:t>
            </w:r>
          </w:p>
          <w:p w14:paraId="13AC61C5">
            <w:pPr>
              <w:shd w:val="clear" w:fill="FFFFFF" w:themeFill="background1"/>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第 1.4.4 项中（1）目中的“招标项目所在地”指“广东省”。</w:t>
            </w:r>
          </w:p>
          <w:p w14:paraId="375CE820">
            <w:pPr>
              <w:shd w:val="clear" w:fill="FFFFFF" w:themeFill="background1"/>
              <w:spacing w:line="400" w:lineRule="exact"/>
              <w:rPr>
                <w:rFonts w:ascii="宋体" w:hAnsi="宋体" w:cs="宋体"/>
                <w:b/>
                <w:bCs/>
                <w:color w:val="auto"/>
                <w:szCs w:val="21"/>
                <w:highlight w:val="none"/>
              </w:rPr>
            </w:pPr>
            <w:r>
              <w:rPr>
                <w:rFonts w:hint="eastAsia" w:ascii="宋体" w:hAnsi="宋体" w:cs="宋体"/>
                <w:b/>
                <w:bCs/>
                <w:color w:val="auto"/>
                <w:szCs w:val="21"/>
                <w:highlight w:val="none"/>
              </w:rPr>
              <w:t>第 1.4.4（6）目内容细化如下：</w:t>
            </w:r>
          </w:p>
          <w:p w14:paraId="7513A2AF">
            <w:pPr>
              <w:shd w:val="clear" w:fill="FFFFFF" w:themeFill="background1"/>
              <w:spacing w:line="400" w:lineRule="exact"/>
              <w:rPr>
                <w:rFonts w:ascii="宋体" w:hAnsi="宋体" w:cs="宋体"/>
                <w:color w:val="auto"/>
                <w:szCs w:val="21"/>
                <w:highlight w:val="none"/>
              </w:rPr>
            </w:pPr>
            <w:r>
              <w:rPr>
                <w:rFonts w:hint="eastAsia" w:ascii="宋体" w:hAnsi="宋体" w:cs="宋体"/>
                <w:color w:val="auto"/>
                <w:szCs w:val="21"/>
                <w:highlight w:val="none"/>
              </w:rPr>
              <w:t>（6）投标人及其法定代表人、拟委任的项目经理（含备选，如有）、项目总工（含备选，如有）在近三年内有行贿犯罪行为的（以投标人投标函中的承诺为准）。</w:t>
            </w:r>
          </w:p>
        </w:tc>
      </w:tr>
      <w:tr w14:paraId="7AD96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249251DB">
            <w:pPr>
              <w:shd w:val="clear" w:fill="FFFFFF" w:themeFill="background1"/>
              <w:spacing w:line="380" w:lineRule="exact"/>
              <w:jc w:val="center"/>
              <w:rPr>
                <w:rFonts w:ascii="宋体" w:hAnsi="宋体" w:cs="宋体"/>
                <w:color w:val="auto"/>
                <w:szCs w:val="21"/>
                <w:highlight w:val="none"/>
              </w:rPr>
            </w:pPr>
            <w:r>
              <w:rPr>
                <w:rFonts w:hint="eastAsia" w:ascii="宋体" w:hAnsi="宋体" w:cs="宋体"/>
                <w:color w:val="auto"/>
                <w:szCs w:val="21"/>
                <w:highlight w:val="none"/>
              </w:rPr>
              <w:t>2.2</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2B9485DF">
            <w:pPr>
              <w:pStyle w:val="57"/>
              <w:shd w:val="clear" w:fill="FFFFFF" w:themeFill="background1"/>
              <w:spacing w:line="380" w:lineRule="exact"/>
              <w:jc w:val="both"/>
              <w:rPr>
                <w:rFonts w:ascii="宋体" w:hAnsi="宋体" w:cs="宋体"/>
                <w:b/>
                <w:bCs/>
                <w:color w:val="auto"/>
                <w:kern w:val="2"/>
                <w:sz w:val="21"/>
                <w:szCs w:val="21"/>
                <w:highlight w:val="none"/>
              </w:rPr>
            </w:pPr>
            <w:r>
              <w:rPr>
                <w:rFonts w:hint="eastAsia" w:ascii="宋体" w:hAnsi="宋体" w:cs="宋体"/>
                <w:b/>
                <w:bCs/>
                <w:color w:val="auto"/>
                <w:kern w:val="2"/>
                <w:sz w:val="21"/>
                <w:szCs w:val="21"/>
                <w:highlight w:val="none"/>
              </w:rPr>
              <w:t>在投标人须知范本原文增加内容如下：</w:t>
            </w:r>
          </w:p>
          <w:p w14:paraId="1CCD58A4">
            <w:pPr>
              <w:shd w:val="clear" w:fill="FFFFFF" w:themeFill="background1"/>
              <w:spacing w:line="380" w:lineRule="exact"/>
              <w:rPr>
                <w:rFonts w:ascii="宋体" w:hAnsi="宋体" w:cs="宋体"/>
                <w:color w:val="auto"/>
                <w:szCs w:val="21"/>
                <w:highlight w:val="none"/>
              </w:rPr>
            </w:pPr>
            <w:r>
              <w:rPr>
                <w:rFonts w:hint="eastAsia" w:ascii="宋体" w:hAnsi="宋体" w:cs="宋体"/>
                <w:color w:val="auto"/>
                <w:szCs w:val="21"/>
                <w:highlight w:val="none"/>
              </w:rPr>
              <w:t>2.2.5 澄清和修改内容将以编号的补遗书形式在全国公共资源交易平台 （广东省·韶关市）（https://ygp.gdzwfw.gov.cn/ggzy-portal/#/440200/index）建设工程栏目的公告公示上发布。补遗书作为招标文件的组成部分，对所有投标人均具有约束力。</w:t>
            </w:r>
          </w:p>
        </w:tc>
      </w:tr>
      <w:tr w14:paraId="5EC0F4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25890E18">
            <w:pPr>
              <w:shd w:val="clear" w:fill="FFFFFF" w:themeFill="background1"/>
              <w:autoSpaceDE w:val="0"/>
              <w:autoSpaceDN w:val="0"/>
              <w:spacing w:line="480" w:lineRule="auto"/>
              <w:jc w:val="center"/>
              <w:rPr>
                <w:rFonts w:ascii="宋体" w:hAnsi="宋体" w:cs="宋体"/>
                <w:color w:val="auto"/>
                <w:szCs w:val="21"/>
                <w:highlight w:val="none"/>
              </w:rPr>
            </w:pPr>
            <w:r>
              <w:rPr>
                <w:rFonts w:hint="eastAsia" w:ascii="宋体" w:hAnsi="宋体" w:cs="宋体"/>
                <w:bCs/>
                <w:color w:val="auto"/>
                <w:kern w:val="0"/>
                <w:szCs w:val="21"/>
                <w:highlight w:val="none"/>
              </w:rPr>
              <w:t>2.3</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01DF53F1">
            <w:pPr>
              <w:shd w:val="clear" w:fill="FFFFFF" w:themeFill="background1"/>
              <w:autoSpaceDE w:val="0"/>
              <w:autoSpaceDN w:val="0"/>
              <w:adjustRightInd w:val="0"/>
              <w:spacing w:before="51" w:line="269" w:lineRule="auto"/>
              <w:ind w:right="176"/>
              <w:jc w:val="left"/>
              <w:rPr>
                <w:rFonts w:ascii="宋体" w:hAnsi="宋体" w:cs="宋体"/>
                <w:b/>
                <w:color w:val="auto"/>
                <w:szCs w:val="21"/>
                <w:highlight w:val="none"/>
              </w:rPr>
            </w:pPr>
            <w:r>
              <w:rPr>
                <w:rFonts w:hint="eastAsia" w:ascii="宋体" w:hAnsi="宋体" w:cs="宋体"/>
                <w:b/>
                <w:color w:val="auto"/>
                <w:szCs w:val="21"/>
                <w:highlight w:val="none"/>
              </w:rPr>
              <w:t>投标人须知正文第2.3款内容修改如下：</w:t>
            </w:r>
          </w:p>
          <w:p w14:paraId="5DF5E594">
            <w:pPr>
              <w:shd w:val="clear" w:fill="FFFFFF" w:themeFill="background1"/>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2.3.1在投标人须知前附表规定的截止投标时间15天前，招标人可以书面修改招标文件，并在</w:t>
            </w:r>
            <w:r>
              <w:rPr>
                <w:rFonts w:hint="eastAsia" w:ascii="宋体" w:hAnsi="宋体" w:cs="宋体"/>
                <w:color w:val="auto"/>
                <w:kern w:val="0"/>
                <w:szCs w:val="21"/>
                <w:highlight w:val="none"/>
                <w:u w:val="single"/>
              </w:rPr>
              <w:t>全国公共资源交易平台 （广东省·韶关市）</w:t>
            </w:r>
            <w:r>
              <w:rPr>
                <w:rFonts w:hint="eastAsia" w:ascii="宋体" w:hAnsi="宋体" w:cs="宋体"/>
                <w:color w:val="auto"/>
                <w:kern w:val="0"/>
                <w:szCs w:val="21"/>
                <w:highlight w:val="none"/>
              </w:rPr>
              <w:t>网站上</w:t>
            </w:r>
            <w:r>
              <w:rPr>
                <w:rFonts w:hint="eastAsia" w:ascii="宋体" w:hAnsi="宋体" w:cs="宋体"/>
                <w:color w:val="auto"/>
                <w:szCs w:val="21"/>
                <w:highlight w:val="none"/>
              </w:rPr>
              <w:t>发布。如果修改招标文件的时间超出规定的截止时间，相应延长投标截止时间。</w:t>
            </w:r>
          </w:p>
          <w:p w14:paraId="741C6C91">
            <w:pPr>
              <w:shd w:val="clear" w:fill="FFFFFF" w:themeFill="background1"/>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2.3.2招标文件的修改及有关补充通知一经在全国公共资源交易平台 （广东省·韶关市）网站上发布，视作已发放给所有投标人。</w:t>
            </w:r>
          </w:p>
        </w:tc>
      </w:tr>
      <w:tr w14:paraId="4BDC9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2AA1AEF6">
            <w:pPr>
              <w:shd w:val="clear" w:fill="FFFFFF" w:themeFill="background1"/>
              <w:spacing w:line="380" w:lineRule="exact"/>
              <w:jc w:val="center"/>
              <w:rPr>
                <w:rFonts w:ascii="宋体" w:hAnsi="宋体" w:cs="宋体"/>
                <w:color w:val="auto"/>
                <w:szCs w:val="21"/>
                <w:highlight w:val="none"/>
              </w:rPr>
            </w:pPr>
            <w:r>
              <w:rPr>
                <w:rFonts w:hint="eastAsia" w:ascii="宋体" w:hAnsi="宋体" w:cs="宋体"/>
                <w:color w:val="auto"/>
                <w:szCs w:val="21"/>
                <w:highlight w:val="none"/>
              </w:rPr>
              <w:t>3.1.1</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57F0B604">
            <w:pPr>
              <w:shd w:val="clear" w:fill="FFFFFF" w:themeFill="background1"/>
              <w:spacing w:line="380" w:lineRule="exact"/>
              <w:ind w:firstLine="435"/>
              <w:rPr>
                <w:rFonts w:ascii="宋体" w:hAnsi="宋体" w:cs="宋体"/>
                <w:b/>
                <w:bCs/>
                <w:color w:val="auto"/>
                <w:szCs w:val="21"/>
                <w:highlight w:val="none"/>
              </w:rPr>
            </w:pPr>
            <w:r>
              <w:rPr>
                <w:rFonts w:hint="eastAsia" w:ascii="宋体" w:hAnsi="宋体" w:cs="宋体"/>
                <w:b/>
                <w:bCs/>
                <w:color w:val="auto"/>
                <w:szCs w:val="21"/>
                <w:highlight w:val="none"/>
              </w:rPr>
              <w:t>将投标人须知原文3.1.1款修改如下：</w:t>
            </w:r>
          </w:p>
          <w:p w14:paraId="05D83FFE">
            <w:pPr>
              <w:shd w:val="clear" w:fill="FFFFFF" w:themeFill="background1"/>
              <w:spacing w:line="380" w:lineRule="exact"/>
              <w:ind w:firstLine="435"/>
              <w:rPr>
                <w:rFonts w:ascii="宋体" w:hAnsi="宋体" w:cs="宋体"/>
                <w:b/>
                <w:bCs/>
                <w:color w:val="auto"/>
                <w:szCs w:val="21"/>
                <w:highlight w:val="none"/>
              </w:rPr>
            </w:pPr>
            <w:r>
              <w:rPr>
                <w:rFonts w:hint="eastAsia" w:ascii="宋体" w:hAnsi="宋体" w:cs="宋体"/>
                <w:b/>
                <w:bCs/>
                <w:color w:val="auto"/>
                <w:szCs w:val="21"/>
                <w:highlight w:val="none"/>
              </w:rPr>
              <w:t>3.1.1 投标文件应包括下列内容：</w:t>
            </w:r>
          </w:p>
          <w:p w14:paraId="752E9962">
            <w:pPr>
              <w:shd w:val="clear" w:fill="FFFFFF" w:themeFill="background1"/>
              <w:spacing w:line="380" w:lineRule="exact"/>
              <w:ind w:firstLine="435"/>
              <w:rPr>
                <w:rFonts w:ascii="宋体" w:hAnsi="宋体" w:cs="宋体"/>
                <w:color w:val="auto"/>
                <w:szCs w:val="21"/>
                <w:highlight w:val="none"/>
              </w:rPr>
            </w:pPr>
            <w:r>
              <w:rPr>
                <w:rFonts w:hint="eastAsia" w:ascii="宋体" w:hAnsi="宋体" w:cs="宋体"/>
                <w:color w:val="auto"/>
                <w:szCs w:val="21"/>
                <w:highlight w:val="none"/>
              </w:rPr>
              <w:t>第一个信封（商务及技术文件）</w:t>
            </w:r>
          </w:p>
          <w:p w14:paraId="3399A974">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（1）投标函及投标函附录</w:t>
            </w:r>
          </w:p>
          <w:p w14:paraId="0F144761">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（2）授权委托书或法定代表人身份证明</w:t>
            </w:r>
          </w:p>
          <w:p w14:paraId="2EC830F8">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（3）投标保证金</w:t>
            </w:r>
          </w:p>
          <w:p w14:paraId="53B32169">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（4）施工组织设计</w:t>
            </w:r>
          </w:p>
          <w:p w14:paraId="34D043F5">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（5）项目管理机构</w:t>
            </w:r>
          </w:p>
          <w:p w14:paraId="4A537283">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（6）拟分包项目情况表</w:t>
            </w:r>
          </w:p>
          <w:p w14:paraId="618F4A63">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（7）资格审查资料(适用于未进行资格预审的)</w:t>
            </w:r>
          </w:p>
          <w:p w14:paraId="7D9A473F">
            <w:pPr>
              <w:shd w:val="clear" w:fill="FFFFFF" w:themeFill="background1"/>
              <w:spacing w:line="360" w:lineRule="exact"/>
              <w:ind w:firstLine="435"/>
              <w:rPr>
                <w:rFonts w:ascii="宋体" w:hAnsi="宋体" w:cs="宋体"/>
                <w:color w:val="auto"/>
                <w:szCs w:val="21"/>
                <w:highlight w:val="none"/>
              </w:rPr>
            </w:pPr>
            <w:r>
              <w:rPr>
                <w:rFonts w:hint="eastAsia" w:ascii="宋体" w:hAnsi="宋体" w:cs="宋体"/>
                <w:color w:val="auto"/>
                <w:szCs w:val="21"/>
                <w:highlight w:val="none"/>
              </w:rPr>
              <w:t>（8）其他资料</w:t>
            </w:r>
          </w:p>
          <w:p w14:paraId="11ACAE02">
            <w:pPr>
              <w:shd w:val="clear" w:fill="FFFFFF" w:themeFill="background1"/>
              <w:spacing w:line="380" w:lineRule="exact"/>
              <w:ind w:firstLine="435"/>
              <w:rPr>
                <w:rFonts w:ascii="宋体" w:hAnsi="宋体" w:cs="宋体"/>
                <w:color w:val="auto"/>
                <w:szCs w:val="21"/>
                <w:highlight w:val="none"/>
              </w:rPr>
            </w:pPr>
            <w:r>
              <w:rPr>
                <w:rFonts w:hint="eastAsia" w:ascii="宋体" w:hAnsi="宋体" w:cs="宋体"/>
                <w:color w:val="auto"/>
                <w:szCs w:val="21"/>
                <w:highlight w:val="none"/>
              </w:rPr>
              <w:t>第二个封信（报价文件）</w:t>
            </w:r>
          </w:p>
          <w:p w14:paraId="10234AA1">
            <w:pPr>
              <w:numPr>
                <w:ilvl w:val="0"/>
                <w:numId w:val="5"/>
              </w:numPr>
              <w:shd w:val="clear" w:fill="FFFFFF" w:themeFill="background1"/>
              <w:spacing w:line="380" w:lineRule="exact"/>
              <w:rPr>
                <w:rFonts w:ascii="宋体" w:hAnsi="宋体" w:cs="宋体"/>
                <w:color w:val="auto"/>
                <w:szCs w:val="21"/>
                <w:highlight w:val="none"/>
              </w:rPr>
            </w:pPr>
            <w:r>
              <w:rPr>
                <w:rFonts w:hint="eastAsia" w:ascii="宋体" w:hAnsi="宋体" w:cs="宋体"/>
                <w:color w:val="auto"/>
                <w:szCs w:val="21"/>
                <w:highlight w:val="none"/>
              </w:rPr>
              <w:t>投标函；</w:t>
            </w:r>
          </w:p>
          <w:p w14:paraId="5DCD3EEE">
            <w:pPr>
              <w:numPr>
                <w:ilvl w:val="0"/>
                <w:numId w:val="5"/>
              </w:numPr>
              <w:shd w:val="clear" w:fill="FFFFFF" w:themeFill="background1"/>
              <w:spacing w:line="380" w:lineRule="exact"/>
              <w:rPr>
                <w:rFonts w:ascii="宋体" w:hAnsi="宋体" w:cs="宋体"/>
                <w:color w:val="auto"/>
                <w:szCs w:val="21"/>
                <w:highlight w:val="none"/>
              </w:rPr>
            </w:pPr>
            <w:r>
              <w:rPr>
                <w:rFonts w:hint="eastAsia" w:ascii="宋体" w:hAnsi="宋体" w:cs="宋体"/>
                <w:color w:val="auto"/>
                <w:szCs w:val="21"/>
                <w:highlight w:val="none"/>
              </w:rPr>
              <w:t>已标价工程量清单。</w:t>
            </w:r>
          </w:p>
          <w:p w14:paraId="0D4481BA">
            <w:pPr>
              <w:pStyle w:val="55"/>
              <w:shd w:val="clear" w:fill="FFFFFF" w:themeFill="background1"/>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投标人在评标过程中作出的符合法律法规和招标文件规定的澄清确认，构成投标文件的组成部分。</w:t>
            </w:r>
          </w:p>
        </w:tc>
      </w:tr>
      <w:tr w14:paraId="4BA884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062EB2A1">
            <w:pPr>
              <w:shd w:val="clear" w:fill="FFFFFF" w:themeFill="background1"/>
              <w:spacing w:line="380" w:lineRule="exact"/>
              <w:jc w:val="center"/>
              <w:rPr>
                <w:rFonts w:ascii="宋体" w:hAnsi="宋体" w:cs="宋体"/>
                <w:color w:val="auto"/>
                <w:szCs w:val="21"/>
                <w:highlight w:val="none"/>
              </w:rPr>
            </w:pPr>
            <w:r>
              <w:rPr>
                <w:rFonts w:hint="eastAsia" w:ascii="宋体" w:hAnsi="宋体" w:cs="宋体"/>
                <w:color w:val="auto"/>
                <w:szCs w:val="21"/>
                <w:highlight w:val="none"/>
              </w:rPr>
              <w:t>3.2.1</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1899449A">
            <w:pPr>
              <w:pStyle w:val="80"/>
              <w:shd w:val="clear" w:fill="FFFFFF" w:themeFill="background1"/>
              <w:spacing w:before="19" w:line="380" w:lineRule="exact"/>
              <w:ind w:left="103" w:right="-22"/>
              <w:rPr>
                <w:rFonts w:ascii="宋体" w:hAnsi="宋体" w:cs="宋体"/>
                <w:b/>
                <w:bCs/>
                <w:color w:val="auto"/>
                <w:szCs w:val="21"/>
                <w:highlight w:val="none"/>
              </w:rPr>
            </w:pPr>
            <w:r>
              <w:rPr>
                <w:rFonts w:hint="eastAsia" w:ascii="宋体" w:hAnsi="宋体" w:cs="宋体"/>
                <w:b/>
                <w:bCs/>
                <w:color w:val="auto"/>
                <w:szCs w:val="21"/>
                <w:highlight w:val="none"/>
              </w:rPr>
              <w:t>投标人须知正文第3.2.1项部分内容细化如下：</w:t>
            </w:r>
          </w:p>
          <w:p w14:paraId="496D7AC6">
            <w:pPr>
              <w:pStyle w:val="80"/>
              <w:numPr>
                <w:ilvl w:val="0"/>
                <w:numId w:val="6"/>
              </w:numPr>
              <w:shd w:val="clear" w:fill="FFFFFF" w:themeFill="background1"/>
              <w:spacing w:before="19" w:line="380" w:lineRule="exact"/>
              <w:ind w:right="-22"/>
              <w:rPr>
                <w:rFonts w:ascii="宋体" w:hAnsi="宋体" w:cs="宋体"/>
                <w:color w:val="auto"/>
                <w:szCs w:val="21"/>
                <w:highlight w:val="none"/>
              </w:rPr>
            </w:pPr>
            <w:r>
              <w:rPr>
                <w:rFonts w:hint="eastAsia" w:ascii="宋体" w:hAnsi="宋体" w:cs="宋体"/>
                <w:color w:val="auto"/>
                <w:szCs w:val="21"/>
                <w:highlight w:val="none"/>
              </w:rPr>
              <w:t>本项目招标由招标人提供工程量清单（已报名的投标单位可在全国公共资源交易平台 （广东省·韶关市）系统下载），投标人应按照招标人提供的工程量清单填写本合同各工程子目的单价、合价和总额价。投标人未在工程量清单中填入单价或总额价的工程子目，将被认为其已包含在工程量清单其他子目的单价和总额价中，招标人将不予支付。评标委员会将按照第三章“评标办法”规定对投标价进行算术性错误修正及其它错误修正。</w:t>
            </w:r>
          </w:p>
          <w:p w14:paraId="59D1F1A3">
            <w:pPr>
              <w:pStyle w:val="80"/>
              <w:shd w:val="clear" w:fill="FFFFFF" w:themeFill="background1"/>
              <w:spacing w:before="19" w:line="380" w:lineRule="exact"/>
              <w:ind w:right="-22"/>
              <w:rPr>
                <w:rFonts w:ascii="宋体" w:hAnsi="宋体" w:cs="宋体"/>
                <w:color w:val="auto"/>
                <w:szCs w:val="21"/>
                <w:highlight w:val="none"/>
              </w:rPr>
            </w:pPr>
            <w:r>
              <w:rPr>
                <w:rFonts w:hint="eastAsia" w:ascii="宋体" w:hAnsi="宋体" w:cs="宋体"/>
                <w:color w:val="auto"/>
                <w:szCs w:val="21"/>
                <w:highlight w:val="none"/>
              </w:rPr>
              <w:t>增加以下内容：</w:t>
            </w:r>
          </w:p>
          <w:p w14:paraId="45BBA9EB">
            <w:pPr>
              <w:pStyle w:val="80"/>
              <w:numPr>
                <w:ilvl w:val="0"/>
                <w:numId w:val="6"/>
              </w:numPr>
              <w:shd w:val="clear" w:fill="FFFFFF" w:themeFill="background1"/>
              <w:spacing w:before="19" w:line="380" w:lineRule="exact"/>
              <w:ind w:right="-22"/>
              <w:rPr>
                <w:rFonts w:ascii="宋体" w:hAnsi="宋体" w:cs="宋体"/>
                <w:color w:val="auto"/>
                <w:szCs w:val="21"/>
                <w:highlight w:val="none"/>
              </w:rPr>
            </w:pPr>
            <w:r>
              <w:rPr>
                <w:rFonts w:hint="eastAsia" w:ascii="宋体" w:hAnsi="宋体" w:cs="宋体"/>
                <w:color w:val="auto"/>
                <w:szCs w:val="21"/>
                <w:highlight w:val="none"/>
              </w:rPr>
              <w:t>投标人的投标函文字报价、工程量清单投标报价总价和上传至全国公共资源交易平台 （广东省·韶关市）交易平台的投标报价三者应该一致。若发生不一致而且是由于投标人的原因所致，将视为重大偏差，其投标将被否决。</w:t>
            </w:r>
          </w:p>
          <w:p w14:paraId="200A4067">
            <w:pPr>
              <w:shd w:val="clear" w:fill="FFFFFF" w:themeFill="background1"/>
              <w:spacing w:line="380" w:lineRule="exact"/>
              <w:rPr>
                <w:rFonts w:ascii="宋体" w:hAnsi="宋体" w:cs="宋体"/>
                <w:color w:val="auto"/>
                <w:szCs w:val="21"/>
                <w:highlight w:val="none"/>
              </w:rPr>
            </w:pPr>
            <w:r>
              <w:rPr>
                <w:rFonts w:hint="eastAsia" w:ascii="宋体" w:hAnsi="宋体" w:cs="宋体"/>
                <w:b/>
                <w:bCs/>
                <w:color w:val="auto"/>
                <w:szCs w:val="21"/>
                <w:highlight w:val="none"/>
              </w:rPr>
              <w:t>投标报价的所有单价取小数点后两位，所有合价和总价应四舍五入取整数</w:t>
            </w:r>
            <w:r>
              <w:rPr>
                <w:rFonts w:hint="eastAsia" w:ascii="宋体" w:hAnsi="宋体" w:cs="宋体"/>
                <w:color w:val="auto"/>
                <w:szCs w:val="21"/>
                <w:highlight w:val="none"/>
              </w:rPr>
              <w:t>。工程量清单不需要附单价分析表、项目清单、分项清单，但投标人中标后，发包人可要求中标人提交项目清单、分项清单及单价分析表，中标人不得拒绝。</w:t>
            </w:r>
          </w:p>
        </w:tc>
      </w:tr>
      <w:tr w14:paraId="7796ED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30992AEF">
            <w:pPr>
              <w:shd w:val="clear" w:fill="FFFFFF" w:themeFill="background1"/>
              <w:spacing w:line="420" w:lineRule="exact"/>
              <w:jc w:val="center"/>
              <w:rPr>
                <w:rFonts w:ascii="宋体" w:hAnsi="宋体" w:cs="宋体"/>
                <w:color w:val="auto"/>
                <w:szCs w:val="21"/>
                <w:highlight w:val="none"/>
              </w:rPr>
            </w:pPr>
            <w:r>
              <w:rPr>
                <w:rFonts w:hint="eastAsia" w:ascii="宋体" w:hAnsi="宋体" w:cs="宋体"/>
                <w:color w:val="auto"/>
                <w:szCs w:val="21"/>
                <w:highlight w:val="none"/>
                <w:lang w:val="zh-CN" w:bidi="zh-CN"/>
              </w:rPr>
              <w:t>3.4</w:t>
            </w:r>
            <w:r>
              <w:rPr>
                <w:rFonts w:hint="eastAsia" w:ascii="宋体" w:hAnsi="宋体" w:cs="宋体"/>
                <w:color w:val="auto"/>
                <w:szCs w:val="21"/>
                <w:highlight w:val="none"/>
                <w:lang w:bidi="zh-CN"/>
              </w:rPr>
              <w:t>.3</w:t>
            </w:r>
          </w:p>
        </w:tc>
        <w:tc>
          <w:tcPr>
            <w:tcW w:w="9259" w:type="dxa"/>
            <w:gridSpan w:val="2"/>
            <w:tcBorders>
              <w:top w:val="single" w:color="auto" w:sz="4" w:space="0"/>
              <w:left w:val="single" w:color="auto" w:sz="2" w:space="0"/>
              <w:bottom w:val="single" w:color="auto" w:sz="4" w:space="0"/>
              <w:right w:val="single" w:color="auto" w:sz="12" w:space="0"/>
            </w:tcBorders>
          </w:tcPr>
          <w:p w14:paraId="2894452B">
            <w:pPr>
              <w:shd w:val="clear" w:fill="FFFFFF" w:themeFill="background1"/>
              <w:spacing w:line="276" w:lineRule="auto"/>
              <w:rPr>
                <w:rFonts w:ascii="宋体" w:hAnsi="宋体" w:cs="宋体"/>
                <w:b/>
                <w:bCs/>
                <w:color w:val="auto"/>
                <w:szCs w:val="21"/>
                <w:highlight w:val="none"/>
                <w:lang w:val="zh-CN"/>
              </w:rPr>
            </w:pPr>
            <w:r>
              <w:rPr>
                <w:rFonts w:hint="eastAsia" w:ascii="宋体" w:hAnsi="宋体" w:cs="宋体"/>
                <w:b/>
                <w:bCs/>
                <w:color w:val="auto"/>
                <w:szCs w:val="21"/>
                <w:highlight w:val="none"/>
                <w:lang w:val="zh-CN"/>
              </w:rPr>
              <w:t>投标人须知正文3.4.3</w:t>
            </w:r>
            <w:r>
              <w:rPr>
                <w:rFonts w:hint="eastAsia" w:ascii="宋体" w:hAnsi="宋体" w:cs="宋体"/>
                <w:b/>
                <w:bCs/>
                <w:color w:val="auto"/>
                <w:szCs w:val="21"/>
                <w:highlight w:val="none"/>
              </w:rPr>
              <w:t>项</w:t>
            </w:r>
            <w:r>
              <w:rPr>
                <w:rFonts w:hint="eastAsia" w:ascii="宋体" w:hAnsi="宋体" w:cs="宋体"/>
                <w:b/>
                <w:bCs/>
                <w:color w:val="auto"/>
                <w:szCs w:val="21"/>
                <w:highlight w:val="none"/>
                <w:lang w:val="zh-CN"/>
              </w:rPr>
              <w:t xml:space="preserve">修改如下：     </w:t>
            </w:r>
          </w:p>
          <w:p w14:paraId="46552823">
            <w:pPr>
              <w:pStyle w:val="55"/>
              <w:shd w:val="clear" w:fill="FFFFFF" w:themeFill="background1"/>
              <w:spacing w:line="240" w:lineRule="auto"/>
              <w:rPr>
                <w:rFonts w:ascii="宋体" w:hAnsi="宋体" w:cs="宋体"/>
                <w:color w:val="auto"/>
                <w:sz w:val="21"/>
                <w:szCs w:val="21"/>
                <w:highlight w:val="none"/>
              </w:rPr>
            </w:pPr>
            <w:r>
              <w:rPr>
                <w:rFonts w:hint="eastAsia" w:ascii="宋体" w:hAnsi="宋体" w:cs="宋体"/>
                <w:color w:val="auto"/>
                <w:sz w:val="21"/>
                <w:szCs w:val="21"/>
                <w:highlight w:val="none"/>
                <w:lang w:val="zh-CN"/>
              </w:rPr>
              <w:t>3.4.3（</w:t>
            </w:r>
            <w:r>
              <w:rPr>
                <w:rFonts w:hint="eastAsia" w:ascii="宋体" w:hAnsi="宋体" w:cs="宋体"/>
                <w:color w:val="auto"/>
                <w:sz w:val="21"/>
                <w:szCs w:val="21"/>
                <w:highlight w:val="none"/>
              </w:rPr>
              <w:t>1</w:t>
            </w:r>
            <w:r>
              <w:rPr>
                <w:rFonts w:hint="eastAsia" w:ascii="宋体" w:hAnsi="宋体" w:cs="宋体"/>
                <w:color w:val="auto"/>
                <w:sz w:val="21"/>
                <w:szCs w:val="21"/>
                <w:highlight w:val="none"/>
                <w:lang w:val="zh-CN"/>
              </w:rPr>
              <w:t>）中标人的投标保证金，系统在收到招标人与中标人所签合同后五日内退还原转出银行帐号；未中标投标人的投标保证金退还，按法定的评标结果、中标结果公示结束或异议处理结束后五日内分批退还至原转出银行帐号。</w:t>
            </w:r>
          </w:p>
        </w:tc>
      </w:tr>
      <w:tr w14:paraId="66258E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37AED24A">
            <w:pPr>
              <w:shd w:val="clear" w:fill="FFFFFF" w:themeFill="background1"/>
              <w:spacing w:line="380" w:lineRule="exact"/>
              <w:jc w:val="center"/>
              <w:rPr>
                <w:rFonts w:ascii="宋体" w:hAnsi="宋体" w:cs="宋体"/>
                <w:color w:val="auto"/>
                <w:szCs w:val="21"/>
                <w:highlight w:val="none"/>
                <w:lang w:bidi="zh-CN"/>
              </w:rPr>
            </w:pPr>
            <w:r>
              <w:rPr>
                <w:rFonts w:hint="eastAsia" w:ascii="宋体" w:hAnsi="宋体" w:cs="宋体"/>
                <w:color w:val="auto"/>
                <w:szCs w:val="21"/>
                <w:highlight w:val="none"/>
                <w:lang w:bidi="zh-CN"/>
              </w:rPr>
              <w:t>3.5.1</w:t>
            </w:r>
          </w:p>
        </w:tc>
        <w:tc>
          <w:tcPr>
            <w:tcW w:w="9259" w:type="dxa"/>
            <w:gridSpan w:val="2"/>
            <w:tcBorders>
              <w:top w:val="single" w:color="auto" w:sz="4" w:space="0"/>
              <w:left w:val="single" w:color="auto" w:sz="2" w:space="0"/>
              <w:bottom w:val="single" w:color="auto" w:sz="4" w:space="0"/>
              <w:right w:val="single" w:color="auto" w:sz="12" w:space="0"/>
            </w:tcBorders>
          </w:tcPr>
          <w:p w14:paraId="36868889">
            <w:pPr>
              <w:shd w:val="clear" w:fill="FFFFFF" w:themeFill="background1"/>
              <w:spacing w:line="380" w:lineRule="exact"/>
              <w:rPr>
                <w:rFonts w:ascii="宋体" w:hAnsi="宋体" w:cs="宋体"/>
                <w:b/>
                <w:bCs/>
                <w:color w:val="auto"/>
                <w:szCs w:val="21"/>
                <w:highlight w:val="none"/>
                <w:lang w:val="zh-CN" w:bidi="zh-CN"/>
              </w:rPr>
            </w:pPr>
            <w:r>
              <w:rPr>
                <w:rFonts w:hint="eastAsia" w:ascii="宋体" w:hAnsi="宋体" w:cs="宋体"/>
                <w:b/>
                <w:bCs/>
                <w:color w:val="auto"/>
                <w:szCs w:val="21"/>
                <w:highlight w:val="none"/>
                <w:lang w:val="zh-CN" w:bidi="zh-CN"/>
              </w:rPr>
              <w:t xml:space="preserve">投标人须知正文第 3.5.1 项内容修改如下： </w:t>
            </w:r>
          </w:p>
          <w:p w14:paraId="6FD3CDDC">
            <w:pPr>
              <w:shd w:val="clear" w:fill="FFFFFF" w:themeFill="background1"/>
              <w:spacing w:line="380" w:lineRule="exact"/>
              <w:ind w:firstLine="480"/>
              <w:rPr>
                <w:rFonts w:ascii="宋体" w:hAnsi="宋体" w:cs="宋体"/>
                <w:color w:val="auto"/>
                <w:szCs w:val="21"/>
                <w:highlight w:val="none"/>
                <w:lang w:val="zh-CN" w:bidi="zh-CN"/>
              </w:rPr>
            </w:pPr>
            <w:r>
              <w:rPr>
                <w:rFonts w:hint="eastAsia" w:ascii="宋体" w:hAnsi="宋体" w:cs="宋体"/>
                <w:color w:val="auto"/>
                <w:szCs w:val="21"/>
                <w:highlight w:val="none"/>
                <w:lang w:val="zh-CN" w:bidi="zh-CN"/>
              </w:rPr>
              <w:t>投标人须知正文第 3.5.1 项内容修改如下：</w:t>
            </w:r>
          </w:p>
          <w:p w14:paraId="654F3DF9">
            <w:pPr>
              <w:shd w:val="clear" w:fill="FFFFFF" w:themeFill="background1"/>
              <w:spacing w:line="380" w:lineRule="exact"/>
              <w:ind w:firstLine="480"/>
              <w:rPr>
                <w:rFonts w:ascii="宋体" w:hAnsi="宋体" w:cs="宋体"/>
                <w:color w:val="auto"/>
                <w:szCs w:val="21"/>
                <w:highlight w:val="none"/>
                <w:lang w:val="zh-CN" w:bidi="zh-CN"/>
              </w:rPr>
            </w:pPr>
            <w:r>
              <w:rPr>
                <w:rFonts w:hint="eastAsia" w:ascii="宋体" w:hAnsi="宋体" w:cs="宋体"/>
                <w:color w:val="auto"/>
                <w:szCs w:val="21"/>
                <w:highlight w:val="none"/>
                <w:lang w:val="zh-CN" w:bidi="zh-CN"/>
              </w:rPr>
              <w:t>“投标人基本情况表”应附企业法人营业执照、施工资质证书、安全生产许可证、基本账户开户许可证（如企业所在地已取消企业银行账户许可而无法提供开户许可证的，则需附上开户银行出具的“基本存款账户信息”或“人民银行账户管理系统查询的基本账户信息截图”，下同）的复印件， 投标人在交通运输部“全国公路建设市场监督管理系统”公路工程施工资质企业名录中的网页截图复印件，以及投标人在“国家企业信用信息公示系统”中基础信息（体现股东及出资详细信息）的网页截图复印件。</w:t>
            </w:r>
          </w:p>
          <w:p w14:paraId="10FF741C">
            <w:pPr>
              <w:shd w:val="clear" w:fill="FFFFFF" w:themeFill="background1"/>
              <w:spacing w:line="380" w:lineRule="exact"/>
              <w:ind w:firstLine="480"/>
              <w:rPr>
                <w:rFonts w:ascii="宋体" w:hAnsi="宋体" w:cs="宋体"/>
                <w:color w:val="auto"/>
                <w:szCs w:val="21"/>
                <w:highlight w:val="none"/>
                <w:lang w:val="zh-CN" w:bidi="zh-CN"/>
              </w:rPr>
            </w:pPr>
            <w:r>
              <w:rPr>
                <w:rFonts w:hint="eastAsia" w:ascii="宋体" w:hAnsi="宋体" w:cs="宋体"/>
                <w:color w:val="auto"/>
                <w:szCs w:val="21"/>
                <w:highlight w:val="none"/>
                <w:lang w:val="zh-CN" w:bidi="zh-CN"/>
              </w:rPr>
              <w:t>企业法人营业执照、施工资质证书、安全生产许可证、基本账户开户许可证的复印件应提供全本（证书封面、封底、空白页除外），包括投标人名称、投标人其他相关信息、颁发机构名称、投标人信息变更情况等关键页在内。</w:t>
            </w:r>
          </w:p>
        </w:tc>
      </w:tr>
      <w:tr w14:paraId="13594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2ACEC0BE">
            <w:pPr>
              <w:shd w:val="clear" w:fill="FFFFFF" w:themeFill="background1"/>
              <w:spacing w:line="380" w:lineRule="exact"/>
              <w:jc w:val="center"/>
              <w:rPr>
                <w:rFonts w:ascii="宋体" w:hAnsi="宋体" w:cs="宋体"/>
                <w:color w:val="auto"/>
                <w:szCs w:val="21"/>
                <w:highlight w:val="none"/>
              </w:rPr>
            </w:pPr>
            <w:r>
              <w:rPr>
                <w:rFonts w:hint="eastAsia" w:ascii="宋体" w:hAnsi="宋体" w:cs="宋体"/>
                <w:color w:val="auto"/>
                <w:szCs w:val="21"/>
                <w:highlight w:val="none"/>
              </w:rPr>
              <w:t>3.5.2</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4341CBF5">
            <w:pPr>
              <w:shd w:val="clear" w:fill="FFFFFF" w:themeFill="background1"/>
              <w:spacing w:line="38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投标人须知正文第 3.5.2 项内容修改如下：</w:t>
            </w:r>
          </w:p>
          <w:p w14:paraId="6E0673D8">
            <w:pPr>
              <w:shd w:val="clear" w:fill="FFFFFF" w:themeFill="background1"/>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近年财务状况表”具体年份要求见投标人须知前附表，近年财务信息以投标人提供的“全国公路建设市场监督管理系统”企业所填的信息截图为准。投标人的成立时间少于投标人须知前附表规定年份的，应提供成立以来的财务信息截图或网页打印件，且规定年份的平均营业总收入按成立以来的财务数据结合招标文件规定的年份进行计算评审，盈利满足资格审查要求的年数。“近年财务状况表”所填数据应与信息截图的数据一致。</w:t>
            </w:r>
          </w:p>
        </w:tc>
      </w:tr>
      <w:tr w14:paraId="3D99C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1618B61F">
            <w:pPr>
              <w:shd w:val="clear" w:fill="FFFFFF" w:themeFill="background1"/>
              <w:spacing w:line="380" w:lineRule="exact"/>
              <w:jc w:val="center"/>
              <w:rPr>
                <w:rFonts w:ascii="宋体" w:hAnsi="宋体" w:cs="宋体"/>
                <w:color w:val="auto"/>
                <w:szCs w:val="21"/>
                <w:highlight w:val="none"/>
                <w:lang w:val="zh-CN" w:bidi="zh-CN"/>
              </w:rPr>
            </w:pPr>
            <w:r>
              <w:rPr>
                <w:rFonts w:hint="eastAsia" w:ascii="宋体" w:hAnsi="宋体" w:cs="宋体"/>
                <w:color w:val="auto"/>
                <w:szCs w:val="21"/>
                <w:highlight w:val="none"/>
                <w:lang w:val="zh-CN" w:bidi="zh-CN"/>
              </w:rPr>
              <w:t>3.5.3</w:t>
            </w:r>
          </w:p>
          <w:p w14:paraId="705CDB97">
            <w:pPr>
              <w:shd w:val="clear" w:fill="FFFFFF" w:themeFill="background1"/>
              <w:spacing w:line="380" w:lineRule="exact"/>
              <w:jc w:val="center"/>
              <w:rPr>
                <w:rFonts w:ascii="宋体" w:hAnsi="宋体" w:cs="宋体"/>
                <w:color w:val="auto"/>
                <w:szCs w:val="21"/>
                <w:highlight w:val="none"/>
                <w:lang w:val="zh-CN" w:bidi="zh-CN"/>
              </w:rPr>
            </w:pP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5E04A12A">
            <w:pPr>
              <w:shd w:val="clear" w:fill="FFFFFF" w:themeFill="background1"/>
              <w:spacing w:line="380" w:lineRule="exact"/>
              <w:ind w:firstLine="422" w:firstLineChars="200"/>
              <w:rPr>
                <w:b/>
                <w:bCs/>
                <w:color w:val="auto"/>
                <w:highlight w:val="none"/>
              </w:rPr>
            </w:pPr>
            <w:r>
              <w:rPr>
                <w:rFonts w:hint="eastAsia"/>
                <w:b/>
                <w:bCs/>
                <w:color w:val="auto"/>
                <w:highlight w:val="none"/>
              </w:rPr>
              <w:t>投标人须知正文第 3.5.3 项内容修改如下：</w:t>
            </w:r>
          </w:p>
          <w:p w14:paraId="6832A3B0">
            <w:pPr>
              <w:shd w:val="clear" w:fill="FFFFFF" w:themeFill="background1"/>
              <w:spacing w:line="380" w:lineRule="exact"/>
              <w:ind w:firstLine="420" w:firstLineChars="200"/>
              <w:rPr>
                <w:color w:val="auto"/>
                <w:highlight w:val="none"/>
              </w:rPr>
            </w:pPr>
            <w:r>
              <w:rPr>
                <w:rFonts w:hint="eastAsia"/>
                <w:color w:val="auto"/>
                <w:highlight w:val="none"/>
              </w:rPr>
              <w:t>“近年完成的类似项目”应是已列入交通运输部“全国公路建设市场监督管理系统”并公开的总包已建业绩或分包（不包括劳务分包）已建业绩，具体时间要求见投标人须知前附表。</w:t>
            </w:r>
          </w:p>
          <w:p w14:paraId="0DB181D1">
            <w:pPr>
              <w:shd w:val="clear" w:fill="FFFFFF" w:themeFill="background1"/>
              <w:spacing w:line="380" w:lineRule="exact"/>
              <w:ind w:firstLine="420" w:firstLineChars="200"/>
              <w:rPr>
                <w:color w:val="auto"/>
                <w:highlight w:val="none"/>
              </w:rPr>
            </w:pPr>
            <w:r>
              <w:rPr>
                <w:rFonts w:hint="eastAsia"/>
                <w:color w:val="auto"/>
                <w:highlight w:val="none"/>
              </w:rPr>
              <w:t>“近年完成的类似项目情况表”应附在交通运输部“全国公路建设市场监督管理系统”中查询到的企业“业绩信息”相关项目网页截图复印件或网页打印件，即包括“项目名称”、“标段类型”、“合同价”、“主要工程量”等栏目在内的项目详细信息网页截图复印件或网页打印件。除网页截图复印件或网页打印件外，投标人无需再提供任何业绩证明材料。</w:t>
            </w:r>
          </w:p>
          <w:p w14:paraId="356B84E6">
            <w:pPr>
              <w:shd w:val="clear" w:fill="FFFFFF" w:themeFill="background1"/>
              <w:spacing w:line="380" w:lineRule="exact"/>
              <w:ind w:firstLine="420" w:firstLineChars="200"/>
              <w:rPr>
                <w:color w:val="auto"/>
                <w:highlight w:val="none"/>
              </w:rPr>
            </w:pPr>
            <w:r>
              <w:rPr>
                <w:rFonts w:hint="eastAsia"/>
                <w:color w:val="auto"/>
                <w:highlight w:val="none"/>
              </w:rPr>
              <w:t>如投标人未提供相关项目网页截图复印件或相关项目网页截图中的信息无法证实投标人满足招标文件规定的资格审查条件（业绩最低要求）或评标办法评分标准（如有），则该项目业绩不予认定。</w:t>
            </w:r>
          </w:p>
          <w:p w14:paraId="42860C0B">
            <w:pPr>
              <w:shd w:val="clear" w:fill="FFFFFF" w:themeFill="background1"/>
              <w:spacing w:line="380" w:lineRule="exact"/>
              <w:ind w:firstLine="420" w:firstLineChars="200"/>
              <w:rPr>
                <w:color w:val="auto"/>
                <w:highlight w:val="none"/>
              </w:rPr>
            </w:pPr>
            <w:r>
              <w:rPr>
                <w:rFonts w:hint="eastAsia"/>
                <w:color w:val="auto"/>
                <w:highlight w:val="none"/>
              </w:rPr>
              <w:t>如近年来，投标人法人机构发生合法变更或重组或法人名称变更时，应提供相关部门的合法批件或其他相关证明材料来证明其所附业绩的继承性。</w:t>
            </w:r>
          </w:p>
        </w:tc>
      </w:tr>
      <w:tr w14:paraId="13029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4A3DAA5D">
            <w:pPr>
              <w:shd w:val="clear" w:fill="FFFFFF" w:themeFill="background1"/>
              <w:spacing w:line="420" w:lineRule="exact"/>
              <w:jc w:val="center"/>
              <w:rPr>
                <w:rFonts w:ascii="宋体" w:hAnsi="宋体" w:cs="宋体"/>
                <w:color w:val="auto"/>
                <w:szCs w:val="21"/>
                <w:highlight w:val="none"/>
                <w:lang w:val="zh-CN" w:bidi="zh-CN"/>
              </w:rPr>
            </w:pPr>
            <w:r>
              <w:rPr>
                <w:rFonts w:hint="eastAsia" w:ascii="宋体" w:hAnsi="宋体" w:cs="宋体"/>
                <w:color w:val="auto"/>
                <w:szCs w:val="21"/>
                <w:highlight w:val="none"/>
              </w:rPr>
              <w:t>3.5.4</w:t>
            </w:r>
          </w:p>
        </w:tc>
        <w:tc>
          <w:tcPr>
            <w:tcW w:w="9259" w:type="dxa"/>
            <w:gridSpan w:val="2"/>
            <w:tcBorders>
              <w:top w:val="single" w:color="auto" w:sz="4" w:space="0"/>
              <w:left w:val="single" w:color="auto" w:sz="2" w:space="0"/>
              <w:bottom w:val="single" w:color="auto" w:sz="4" w:space="0"/>
              <w:right w:val="single" w:color="auto" w:sz="12" w:space="0"/>
            </w:tcBorders>
          </w:tcPr>
          <w:p w14:paraId="275C4D5C">
            <w:pPr>
              <w:shd w:val="clear" w:fill="FFFFFF" w:themeFill="background1"/>
              <w:spacing w:line="42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 xml:space="preserve">投标人须知正文第 3.5.4 项内容修改如下： </w:t>
            </w:r>
          </w:p>
          <w:p w14:paraId="795B41E7">
            <w:pPr>
              <w:shd w:val="clear" w:fill="FFFFFF" w:themeFill="background1"/>
              <w:spacing w:line="42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“投标人的信誉情况”应附投标人在“国家企业信用信息公示系统”中未被列入严重违法失信企业名单、在“信用中国”网站中未被列入失信被执行人名单的网页截图复印件。</w:t>
            </w:r>
          </w:p>
        </w:tc>
      </w:tr>
      <w:tr w14:paraId="75D0D7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11730ACD">
            <w:pPr>
              <w:shd w:val="clear" w:fill="FFFFFF" w:themeFill="background1"/>
              <w:spacing w:line="420" w:lineRule="exact"/>
              <w:jc w:val="center"/>
              <w:rPr>
                <w:rFonts w:ascii="宋体" w:hAnsi="宋体" w:cs="宋体"/>
                <w:color w:val="auto"/>
                <w:szCs w:val="21"/>
                <w:highlight w:val="none"/>
                <w:lang w:val="zh-CN" w:bidi="zh-CN"/>
              </w:rPr>
            </w:pPr>
            <w:r>
              <w:rPr>
                <w:rFonts w:hint="eastAsia" w:ascii="宋体" w:hAnsi="宋体" w:cs="宋体"/>
                <w:color w:val="auto"/>
                <w:szCs w:val="21"/>
                <w:highlight w:val="none"/>
              </w:rPr>
              <w:t>3.5.5</w:t>
            </w:r>
          </w:p>
        </w:tc>
        <w:tc>
          <w:tcPr>
            <w:tcW w:w="9259" w:type="dxa"/>
            <w:gridSpan w:val="2"/>
            <w:tcBorders>
              <w:top w:val="single" w:color="auto" w:sz="4" w:space="0"/>
              <w:left w:val="single" w:color="auto" w:sz="2" w:space="0"/>
              <w:bottom w:val="single" w:color="auto" w:sz="4" w:space="0"/>
              <w:right w:val="single" w:color="auto" w:sz="12" w:space="0"/>
            </w:tcBorders>
          </w:tcPr>
          <w:p w14:paraId="5EC60096">
            <w:pPr>
              <w:shd w:val="clear" w:fill="FFFFFF" w:themeFill="background1"/>
              <w:spacing w:line="42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 xml:space="preserve">删除原 3.5.5 项内容，修改如下： </w:t>
            </w:r>
          </w:p>
          <w:p w14:paraId="3AF38AE2">
            <w:pPr>
              <w:shd w:val="clear" w:fill="FFFFFF" w:themeFill="background1"/>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拟委任的项目经理和项目总工资历表”应同时附①交通运输部“全国公路建设市场监督管理系统”中载明的、能够证明项目经理（以及备选人，如有）和项目总工（以及备选人，如有）满足投标人须知前附表附录 5 或者评标办法评分标准（如有）所提出的各项指标（即包括人员的“基本信息”、“职称信息”、“执业资格”、“个人业绩”等栏目在内）的网页截图复印件或网页打印件；②建造师注册证书在全国建筑市场监管公共服务平台上公开信息的网页截图复印件或网页打印件；③安全生产考核合格证书在交通运输部公路水运工程施工企业主要负责人和安全生产管理人员信息管理系统上查询公开信息的网页截图复印件或网页打印件；④投标人在社保系统打印的拟委任的项目经理（以及备选人，如有）和项目总工（以及备选人，如有）参加社保的缴费明细复印件（社保时段为投标文件递交截止日前半年时间内连续不少于三个月）。</w:t>
            </w:r>
          </w:p>
          <w:p w14:paraId="5825C7B7">
            <w:pPr>
              <w:shd w:val="clear" w:fill="FFFFFF" w:themeFill="background1"/>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建造师注册信息以②的证明材料为准，安全生产考核信息以③的证明材料为准。</w:t>
            </w:r>
          </w:p>
          <w:p w14:paraId="043702CD">
            <w:pPr>
              <w:shd w:val="clear" w:fill="FFFFFF" w:themeFill="background1"/>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除上述资料外，投标人无需再提供任何证明材料。</w:t>
            </w:r>
          </w:p>
          <w:p w14:paraId="793BAA85">
            <w:pPr>
              <w:shd w:val="clear" w:fill="FFFFFF" w:themeFill="background1"/>
              <w:spacing w:line="4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如项目经理（以及备选人，如有）和项目总工（以及备选人，如有）目前仍在其他项目上任职，则投标人应按投标函的格式承诺上述人员能够从该项目撤离。</w:t>
            </w:r>
          </w:p>
        </w:tc>
      </w:tr>
      <w:tr w14:paraId="1B6150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05957B86">
            <w:pPr>
              <w:shd w:val="clear" w:fill="FFFFFF" w:themeFill="background1"/>
              <w:spacing w:line="380" w:lineRule="exact"/>
              <w:jc w:val="center"/>
              <w:rPr>
                <w:rFonts w:ascii="宋体" w:hAnsi="宋体" w:cs="宋体"/>
                <w:color w:val="auto"/>
                <w:szCs w:val="21"/>
                <w:highlight w:val="none"/>
              </w:rPr>
            </w:pPr>
            <w:r>
              <w:rPr>
                <w:rFonts w:hint="eastAsia" w:ascii="宋体" w:hAnsi="宋体" w:cs="宋体"/>
                <w:color w:val="auto"/>
                <w:szCs w:val="21"/>
                <w:highlight w:val="none"/>
              </w:rPr>
              <w:t>3.5.7</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4C2483C5">
            <w:pPr>
              <w:widowControl/>
              <w:shd w:val="clear" w:fill="FFFFFF" w:themeFill="background1"/>
              <w:jc w:val="left"/>
              <w:rPr>
                <w:b/>
                <w:color w:val="auto"/>
                <w:highlight w:val="none"/>
              </w:rPr>
            </w:pPr>
            <w:r>
              <w:rPr>
                <w:rFonts w:hint="eastAsia" w:ascii="宋体" w:hAnsi="宋体" w:cs="宋体"/>
                <w:b/>
                <w:color w:val="auto"/>
                <w:kern w:val="0"/>
                <w:sz w:val="20"/>
                <w:szCs w:val="20"/>
                <w:highlight w:val="none"/>
              </w:rPr>
              <w:t xml:space="preserve">删除原 3.5.7 项内容，修改如下： </w:t>
            </w:r>
          </w:p>
          <w:p w14:paraId="76463038">
            <w:pPr>
              <w:widowControl/>
              <w:shd w:val="clear" w:fill="FFFFFF" w:themeFill="background1"/>
              <w:ind w:firstLine="420" w:firstLineChars="200"/>
              <w:jc w:val="left"/>
              <w:rPr>
                <w:rFonts w:ascii="宋体" w:hAnsi="宋体" w:cs="宋体"/>
                <w:color w:val="auto"/>
                <w:szCs w:val="21"/>
                <w:highlight w:val="none"/>
              </w:rPr>
            </w:pPr>
            <w:r>
              <w:rPr>
                <w:rFonts w:hint="eastAsia" w:ascii="宋体" w:hAnsi="宋体" w:cs="宋体"/>
                <w:color w:val="auto"/>
                <w:kern w:val="0"/>
                <w:szCs w:val="21"/>
                <w:highlight w:val="none"/>
              </w:rPr>
              <w:t>“拟投入本标段的主要设备表”（如有）应按本章附录7备注要求承诺。</w:t>
            </w:r>
          </w:p>
        </w:tc>
      </w:tr>
      <w:tr w14:paraId="6E318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639C6DDB">
            <w:pPr>
              <w:shd w:val="clear" w:fill="FFFFFF" w:themeFill="background1"/>
              <w:spacing w:line="380" w:lineRule="exact"/>
              <w:jc w:val="center"/>
              <w:rPr>
                <w:rFonts w:ascii="宋体" w:hAnsi="宋体" w:cs="宋体"/>
                <w:color w:val="auto"/>
                <w:szCs w:val="21"/>
                <w:highlight w:val="none"/>
              </w:rPr>
            </w:pPr>
            <w:r>
              <w:rPr>
                <w:rFonts w:hint="eastAsia" w:ascii="宋体" w:hAnsi="宋体" w:cs="宋体"/>
                <w:color w:val="auto"/>
                <w:szCs w:val="21"/>
                <w:highlight w:val="none"/>
              </w:rPr>
              <w:t>3.7</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14C4FB19">
            <w:pPr>
              <w:pStyle w:val="57"/>
              <w:shd w:val="clear" w:fill="FFFFFF" w:themeFill="background1"/>
              <w:spacing w:line="380" w:lineRule="exact"/>
              <w:jc w:val="both"/>
              <w:rPr>
                <w:rFonts w:ascii="宋体" w:hAnsi="宋体" w:cs="宋体"/>
                <w:b/>
                <w:color w:val="auto"/>
                <w:kern w:val="2"/>
                <w:sz w:val="21"/>
                <w:szCs w:val="21"/>
                <w:highlight w:val="none"/>
              </w:rPr>
            </w:pPr>
            <w:r>
              <w:rPr>
                <w:rFonts w:hint="eastAsia" w:ascii="宋体" w:hAnsi="宋体" w:cs="宋体"/>
                <w:b/>
                <w:color w:val="auto"/>
                <w:sz w:val="21"/>
                <w:szCs w:val="21"/>
                <w:highlight w:val="none"/>
              </w:rPr>
              <w:t>删除原 3.7.4、3.7.5项内容，修改如下：</w:t>
            </w:r>
          </w:p>
          <w:p w14:paraId="4229BEB8">
            <w:pPr>
              <w:pStyle w:val="57"/>
              <w:shd w:val="clear" w:fill="FFFFFF" w:themeFill="background1"/>
              <w:spacing w:line="380" w:lineRule="exact"/>
              <w:ind w:firstLine="420" w:firstLineChars="200"/>
              <w:jc w:val="both"/>
              <w:rPr>
                <w:rFonts w:ascii="宋体" w:hAnsi="宋体" w:cs="宋体"/>
                <w:color w:val="auto"/>
                <w:sz w:val="21"/>
                <w:szCs w:val="21"/>
                <w:highlight w:val="none"/>
              </w:rPr>
            </w:pPr>
            <w:r>
              <w:rPr>
                <w:rFonts w:hint="eastAsia" w:ascii="宋体" w:hAnsi="宋体" w:cs="宋体"/>
                <w:color w:val="auto"/>
                <w:kern w:val="2"/>
                <w:sz w:val="21"/>
                <w:szCs w:val="21"/>
                <w:highlight w:val="none"/>
              </w:rPr>
              <w:t>3.7.4</w:t>
            </w:r>
            <w:r>
              <w:rPr>
                <w:rFonts w:hint="eastAsia" w:ascii="宋体" w:hAnsi="宋体" w:cs="宋体"/>
                <w:color w:val="auto"/>
                <w:sz w:val="21"/>
                <w:szCs w:val="21"/>
                <w:highlight w:val="none"/>
              </w:rPr>
              <w:t>本项目采用全流程电子投标，不需要提交纸质版的投标文件</w:t>
            </w:r>
            <w:r>
              <w:rPr>
                <w:rFonts w:hint="eastAsia" w:ascii="宋体" w:hAnsi="宋体" w:cs="宋体"/>
                <w:color w:val="auto"/>
                <w:kern w:val="2"/>
                <w:sz w:val="21"/>
                <w:szCs w:val="21"/>
                <w:highlight w:val="none"/>
              </w:rPr>
              <w:t>，投标单位没有成功</w:t>
            </w:r>
            <w:r>
              <w:rPr>
                <w:rFonts w:hint="eastAsia" w:ascii="宋体" w:hAnsi="宋体" w:cs="宋体"/>
                <w:bCs/>
                <w:color w:val="auto"/>
                <w:sz w:val="21"/>
                <w:szCs w:val="21"/>
                <w:highlight w:val="none"/>
              </w:rPr>
              <w:t>完成电子投标（包括缴纳投标保证金）</w:t>
            </w:r>
            <w:r>
              <w:rPr>
                <w:rFonts w:hint="eastAsia" w:ascii="宋体" w:hAnsi="宋体" w:cs="宋体"/>
                <w:color w:val="auto"/>
                <w:kern w:val="2"/>
                <w:sz w:val="21"/>
                <w:szCs w:val="21"/>
                <w:highlight w:val="none"/>
              </w:rPr>
              <w:t>，则视为无效，按无效标书处理。</w:t>
            </w:r>
          </w:p>
        </w:tc>
      </w:tr>
      <w:tr w14:paraId="316DC7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0D2D55DA">
            <w:pPr>
              <w:shd w:val="clear" w:fill="FFFFFF" w:themeFill="background1"/>
              <w:autoSpaceDE w:val="0"/>
              <w:autoSpaceDN w:val="0"/>
              <w:spacing w:line="480" w:lineRule="auto"/>
              <w:jc w:val="center"/>
              <w:rPr>
                <w:rFonts w:ascii="宋体" w:hAnsi="宋体" w:cs="宋体"/>
                <w:bCs/>
                <w:color w:val="auto"/>
                <w:szCs w:val="21"/>
                <w:highlight w:val="none"/>
              </w:rPr>
            </w:pPr>
            <w:r>
              <w:rPr>
                <w:rFonts w:hint="eastAsia" w:ascii="宋体" w:hAnsi="宋体" w:cs="宋体"/>
                <w:bCs/>
                <w:color w:val="auto"/>
                <w:szCs w:val="21"/>
                <w:highlight w:val="none"/>
              </w:rPr>
              <w:t>4.1</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249A38CC">
            <w:pPr>
              <w:shd w:val="clear" w:fill="FFFFFF" w:themeFill="background1"/>
              <w:spacing w:line="380" w:lineRule="exact"/>
              <w:rPr>
                <w:rFonts w:ascii="宋体" w:hAnsi="宋体" w:cs="宋体"/>
                <w:b/>
                <w:color w:val="auto"/>
                <w:szCs w:val="21"/>
                <w:highlight w:val="none"/>
              </w:rPr>
            </w:pPr>
            <w:r>
              <w:rPr>
                <w:rFonts w:hint="eastAsia" w:ascii="宋体" w:hAnsi="宋体" w:cs="宋体"/>
                <w:b/>
                <w:color w:val="auto"/>
                <w:szCs w:val="21"/>
                <w:highlight w:val="none"/>
              </w:rPr>
              <w:t>投标人须知正文 4.1 项内容修改如下：</w:t>
            </w:r>
          </w:p>
          <w:p w14:paraId="2D32B7D6">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kern w:val="0"/>
                <w:szCs w:val="21"/>
                <w:highlight w:val="none"/>
              </w:rPr>
              <w:t>本项目采用全流程电子投标，不需要提交纸质版的投标文件。投标单位</w:t>
            </w:r>
            <w:r>
              <w:rPr>
                <w:rFonts w:hint="eastAsia" w:ascii="宋体" w:hAnsi="宋体" w:cs="Arial"/>
                <w:color w:val="auto"/>
                <w:szCs w:val="21"/>
                <w:highlight w:val="none"/>
              </w:rPr>
              <w:t>中标后须提交</w:t>
            </w:r>
            <w:r>
              <w:rPr>
                <w:rFonts w:hint="eastAsia" w:ascii="宋体" w:hAnsi="宋体" w:cs="宋体"/>
                <w:bCs/>
                <w:color w:val="auto"/>
                <w:kern w:val="0"/>
                <w:szCs w:val="21"/>
                <w:highlight w:val="none"/>
              </w:rPr>
              <w:t>一正两副的纸质版投标文件。</w:t>
            </w:r>
          </w:p>
        </w:tc>
      </w:tr>
      <w:tr w14:paraId="5AB2FE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1855A5DB">
            <w:pPr>
              <w:shd w:val="clear" w:fill="FFFFFF" w:themeFill="background1"/>
              <w:autoSpaceDE w:val="0"/>
              <w:autoSpaceDN w:val="0"/>
              <w:spacing w:line="480" w:lineRule="auto"/>
              <w:jc w:val="center"/>
              <w:rPr>
                <w:rFonts w:ascii="宋体" w:hAnsi="宋体" w:cs="宋体"/>
                <w:bCs/>
                <w:color w:val="auto"/>
                <w:szCs w:val="21"/>
                <w:highlight w:val="none"/>
              </w:rPr>
            </w:pPr>
            <w:r>
              <w:rPr>
                <w:rFonts w:hint="eastAsia" w:ascii="宋体" w:hAnsi="宋体" w:cs="宋体"/>
                <w:bCs/>
                <w:color w:val="auto"/>
                <w:szCs w:val="21"/>
                <w:highlight w:val="none"/>
              </w:rPr>
              <w:t>4.2</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341E6CE1">
            <w:pPr>
              <w:shd w:val="clear" w:fill="FFFFFF" w:themeFill="background1"/>
              <w:spacing w:line="380" w:lineRule="exact"/>
              <w:rPr>
                <w:rFonts w:ascii="宋体" w:hAnsi="宋体" w:cs="宋体"/>
                <w:b/>
                <w:color w:val="auto"/>
                <w:szCs w:val="21"/>
                <w:highlight w:val="none"/>
              </w:rPr>
            </w:pPr>
            <w:r>
              <w:rPr>
                <w:rFonts w:hint="eastAsia" w:ascii="宋体" w:hAnsi="宋体" w:cs="宋体"/>
                <w:b/>
                <w:color w:val="auto"/>
                <w:szCs w:val="21"/>
                <w:highlight w:val="none"/>
              </w:rPr>
              <w:t>投标人须知正文 4.2 项内容修改如下：</w:t>
            </w:r>
          </w:p>
          <w:p w14:paraId="448D0584">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kern w:val="0"/>
                <w:szCs w:val="21"/>
                <w:highlight w:val="none"/>
              </w:rPr>
              <w:t>本项目采用全流程电子投标，不需要提交纸质版的投标文件。投标人应在规定的截止时间前登录建设工程交易平台完成电子投标（包括缴纳投标保证金），方为有效投标。</w:t>
            </w:r>
          </w:p>
        </w:tc>
      </w:tr>
      <w:tr w14:paraId="13171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0EE1C13D">
            <w:pPr>
              <w:shd w:val="clear" w:fill="FFFFFF" w:themeFill="background1"/>
              <w:autoSpaceDE w:val="0"/>
              <w:autoSpaceDN w:val="0"/>
              <w:spacing w:line="480" w:lineRule="auto"/>
              <w:jc w:val="center"/>
              <w:rPr>
                <w:rFonts w:ascii="宋体" w:hAnsi="宋体" w:cs="宋体"/>
                <w:bCs/>
                <w:color w:val="auto"/>
                <w:szCs w:val="21"/>
                <w:highlight w:val="none"/>
              </w:rPr>
            </w:pPr>
            <w:r>
              <w:rPr>
                <w:rFonts w:hint="eastAsia" w:ascii="宋体" w:hAnsi="宋体" w:cs="宋体"/>
                <w:bCs/>
                <w:color w:val="auto"/>
                <w:szCs w:val="21"/>
                <w:highlight w:val="none"/>
              </w:rPr>
              <w:t>4.3</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0E4A1440">
            <w:pPr>
              <w:shd w:val="clear" w:fill="FFFFFF" w:themeFill="background1"/>
              <w:spacing w:line="380" w:lineRule="exact"/>
              <w:rPr>
                <w:rFonts w:ascii="宋体" w:hAnsi="宋体" w:cs="宋体"/>
                <w:b/>
                <w:color w:val="auto"/>
                <w:szCs w:val="21"/>
                <w:highlight w:val="none"/>
              </w:rPr>
            </w:pPr>
            <w:r>
              <w:rPr>
                <w:rFonts w:hint="eastAsia" w:ascii="宋体" w:hAnsi="宋体" w:cs="宋体"/>
                <w:b/>
                <w:color w:val="auto"/>
                <w:szCs w:val="21"/>
                <w:highlight w:val="none"/>
              </w:rPr>
              <w:t>投标人须知正文 4.3 项内容修改如下：</w:t>
            </w:r>
          </w:p>
          <w:p w14:paraId="6202BAC3">
            <w:pPr>
              <w:shd w:val="clear" w:fill="FFFFFF" w:themeFill="background1"/>
              <w:spacing w:line="38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4.3电子投标文件的修改、撤回：</w:t>
            </w:r>
          </w:p>
          <w:p w14:paraId="24342767">
            <w:pPr>
              <w:shd w:val="clear" w:fill="FFFFFF" w:themeFill="background1"/>
              <w:spacing w:line="38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在提交投标文件截止时间前，投标人可以修改或撤回未解密的电子投标文件，并于提交投标文件截止时间前将重新上传修改后的电子投标文件至交易平台，到达投标文件提交截止时间后投标人不得撤回、补充、修改和更换投标文件。</w:t>
            </w:r>
          </w:p>
        </w:tc>
      </w:tr>
      <w:tr w14:paraId="334E4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00225FA8">
            <w:pPr>
              <w:shd w:val="clear" w:fill="FFFFFF" w:themeFill="background1"/>
              <w:autoSpaceDE w:val="0"/>
              <w:autoSpaceDN w:val="0"/>
              <w:spacing w:line="480" w:lineRule="auto"/>
              <w:jc w:val="center"/>
              <w:rPr>
                <w:rFonts w:ascii="宋体" w:hAnsi="宋体" w:cs="宋体"/>
                <w:bCs/>
                <w:color w:val="auto"/>
                <w:szCs w:val="21"/>
                <w:highlight w:val="none"/>
              </w:rPr>
            </w:pPr>
            <w:r>
              <w:rPr>
                <w:rFonts w:hint="eastAsia" w:ascii="宋体" w:hAnsi="宋体" w:cs="宋体"/>
                <w:bCs/>
                <w:color w:val="auto"/>
                <w:szCs w:val="21"/>
                <w:highlight w:val="none"/>
              </w:rPr>
              <w:t>5.1</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5E4767F8">
            <w:pPr>
              <w:shd w:val="clear" w:fill="FFFFFF" w:themeFill="background1"/>
              <w:spacing w:line="380" w:lineRule="exact"/>
              <w:rPr>
                <w:rFonts w:ascii="宋体" w:hAnsi="宋体" w:cs="宋体"/>
                <w:b/>
                <w:color w:val="auto"/>
                <w:szCs w:val="21"/>
                <w:highlight w:val="none"/>
              </w:rPr>
            </w:pPr>
            <w:r>
              <w:rPr>
                <w:rFonts w:hint="eastAsia" w:ascii="宋体" w:hAnsi="宋体" w:cs="宋体"/>
                <w:b/>
                <w:color w:val="auto"/>
                <w:szCs w:val="21"/>
                <w:highlight w:val="none"/>
              </w:rPr>
              <w:t>投标人须知正文 5.1 项内容修改如下：</w:t>
            </w:r>
          </w:p>
          <w:p w14:paraId="3162D660">
            <w:pPr>
              <w:shd w:val="clear" w:fill="FFFFFF" w:themeFill="background1"/>
              <w:spacing w:line="380" w:lineRule="exact"/>
              <w:ind w:firstLine="422"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5.1开标时间和地点</w:t>
            </w:r>
          </w:p>
          <w:p w14:paraId="1B1F8BF5">
            <w:pPr>
              <w:shd w:val="clear" w:fill="FFFFFF" w:themeFill="background1"/>
              <w:spacing w:line="380" w:lineRule="exact"/>
              <w:ind w:firstLine="420" w:firstLineChars="200"/>
              <w:rPr>
                <w:rFonts w:ascii="宋体" w:hAnsi="宋体" w:cs="宋体"/>
                <w:bCs/>
                <w:color w:val="auto"/>
                <w:kern w:val="0"/>
                <w:szCs w:val="21"/>
                <w:highlight w:val="none"/>
              </w:rPr>
            </w:pPr>
            <w:r>
              <w:rPr>
                <w:rFonts w:hint="eastAsia" w:ascii="宋体" w:hAnsi="宋体" w:cs="宋体"/>
                <w:color w:val="auto"/>
                <w:kern w:val="0"/>
                <w:szCs w:val="21"/>
                <w:highlight w:val="none"/>
              </w:rPr>
              <w:t>投标人无须进行现场签到，可登录交易平台及时观看开标实况、提出异议或进行澄清、确认等操作，具体详见招标文件和投标人操作指南为准。投标人未及时观看开标实况的，视其默认开标结果，以及放弃在开标期间见证、澄清、确认、监督、投诉、申辩的权利。</w:t>
            </w:r>
          </w:p>
        </w:tc>
      </w:tr>
      <w:tr w14:paraId="70091E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6AC9E4E1">
            <w:pPr>
              <w:shd w:val="clear" w:fill="FFFFFF" w:themeFill="background1"/>
              <w:jc w:val="center"/>
              <w:rPr>
                <w:rFonts w:ascii="宋体" w:hAnsi="宋体" w:cs="宋体"/>
                <w:bCs/>
                <w:color w:val="auto"/>
                <w:szCs w:val="21"/>
                <w:highlight w:val="none"/>
              </w:rPr>
            </w:pPr>
            <w:r>
              <w:rPr>
                <w:rFonts w:hint="eastAsia" w:ascii="宋体" w:hAnsi="宋体" w:cs="宋体"/>
                <w:bCs/>
                <w:color w:val="auto"/>
                <w:szCs w:val="21"/>
                <w:highlight w:val="none"/>
              </w:rPr>
              <w:t>5.2.1</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045DA66C">
            <w:pPr>
              <w:shd w:val="clear" w:fill="FFFFFF" w:themeFill="background1"/>
              <w:spacing w:line="276" w:lineRule="auto"/>
              <w:rPr>
                <w:rFonts w:ascii="宋体" w:hAnsi="宋体" w:cs="宋体"/>
                <w:b/>
                <w:color w:val="auto"/>
                <w:szCs w:val="21"/>
                <w:highlight w:val="none"/>
              </w:rPr>
            </w:pPr>
            <w:r>
              <w:rPr>
                <w:rFonts w:hint="eastAsia" w:ascii="宋体" w:hAnsi="宋体" w:cs="宋体"/>
                <w:b/>
                <w:color w:val="auto"/>
                <w:szCs w:val="21"/>
                <w:highlight w:val="none"/>
              </w:rPr>
              <w:t>删除投标人须知正文第5.2.1（4）款，并对序号进行修改。</w:t>
            </w:r>
          </w:p>
          <w:p w14:paraId="205228B0">
            <w:pPr>
              <w:shd w:val="clear" w:fill="FFFFFF" w:themeFill="background1"/>
              <w:spacing w:line="276"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投标人须知正文第5.2.1（5）款修改为：</w:t>
            </w:r>
          </w:p>
          <w:p w14:paraId="1B290346">
            <w:pPr>
              <w:shd w:val="clear" w:fill="FFFFFF" w:themeFill="background1"/>
              <w:spacing w:line="276"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主持人组织，在交易场所工作人员的见证下，招标代理机构对投标人的电子投标信息进行解密，解密成功后查看各投标人投标保证金缴纳情况及第一个信封（商务及技术文件）开标一览表。</w:t>
            </w:r>
          </w:p>
        </w:tc>
      </w:tr>
      <w:tr w14:paraId="1E3A6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36A9B354">
            <w:pPr>
              <w:shd w:val="clear" w:fill="FFFFFF" w:themeFill="background1"/>
              <w:jc w:val="center"/>
              <w:rPr>
                <w:rFonts w:ascii="宋体" w:hAnsi="宋体" w:cs="宋体"/>
                <w:bCs/>
                <w:color w:val="auto"/>
                <w:szCs w:val="21"/>
                <w:highlight w:val="none"/>
              </w:rPr>
            </w:pPr>
            <w:r>
              <w:rPr>
                <w:rFonts w:hint="eastAsia" w:ascii="宋体" w:hAnsi="宋体" w:cs="宋体"/>
                <w:bCs/>
                <w:color w:val="auto"/>
                <w:szCs w:val="21"/>
                <w:highlight w:val="none"/>
              </w:rPr>
              <w:t>5.2.2</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7601C410">
            <w:pPr>
              <w:shd w:val="clear" w:fill="FFFFFF" w:themeFill="background1"/>
              <w:jc w:val="left"/>
              <w:rPr>
                <w:rFonts w:ascii="宋体" w:hAnsi="宋体" w:cs="宋体"/>
                <w:b/>
                <w:color w:val="auto"/>
                <w:szCs w:val="21"/>
                <w:highlight w:val="none"/>
              </w:rPr>
            </w:pPr>
            <w:r>
              <w:rPr>
                <w:rFonts w:hint="eastAsia" w:ascii="宋体" w:hAnsi="宋体" w:cs="宋体"/>
                <w:b/>
                <w:color w:val="auto"/>
                <w:szCs w:val="21"/>
                <w:highlight w:val="none"/>
              </w:rPr>
              <w:t>投标人须知正文 5.2.2项内容修改如下：</w:t>
            </w:r>
          </w:p>
          <w:p w14:paraId="27A6A969">
            <w:pPr>
              <w:shd w:val="clear" w:fill="FFFFFF" w:themeFill="background1"/>
              <w:jc w:val="left"/>
              <w:rPr>
                <w:rFonts w:ascii="宋体" w:hAnsi="宋体" w:cs="宋体"/>
                <w:bCs/>
                <w:color w:val="auto"/>
                <w:szCs w:val="21"/>
                <w:highlight w:val="none"/>
              </w:rPr>
            </w:pPr>
            <w:r>
              <w:rPr>
                <w:rFonts w:hint="eastAsia" w:ascii="宋体" w:hAnsi="宋体" w:cs="宋体"/>
                <w:bCs/>
                <w:color w:val="auto"/>
                <w:szCs w:val="21"/>
                <w:highlight w:val="none"/>
              </w:rPr>
              <w:t>5.2.2  在投标文件第一个信封（商务及技术文件）开标现场，投标文件第二个信封（报价文件）不予开标。</w:t>
            </w:r>
          </w:p>
        </w:tc>
      </w:tr>
      <w:tr w14:paraId="04C2D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63B08A94">
            <w:pPr>
              <w:shd w:val="clear" w:fill="FFFFFF" w:themeFill="background1"/>
              <w:jc w:val="center"/>
              <w:rPr>
                <w:rFonts w:ascii="宋体" w:hAnsi="宋体" w:cs="宋体"/>
                <w:bCs/>
                <w:color w:val="auto"/>
                <w:szCs w:val="21"/>
                <w:highlight w:val="none"/>
              </w:rPr>
            </w:pPr>
            <w:r>
              <w:rPr>
                <w:rFonts w:hint="eastAsia" w:ascii="宋体" w:hAnsi="宋体" w:cs="宋体"/>
                <w:bCs/>
                <w:color w:val="auto"/>
                <w:szCs w:val="21"/>
                <w:highlight w:val="none"/>
              </w:rPr>
              <w:t>5.2.3</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313E6B0E">
            <w:pPr>
              <w:shd w:val="clear" w:fill="FFFFFF" w:themeFill="background1"/>
              <w:spacing w:line="276" w:lineRule="auto"/>
              <w:ind w:firstLine="420"/>
              <w:rPr>
                <w:rFonts w:ascii="宋体" w:hAnsi="宋体" w:cs="宋体"/>
                <w:bCs/>
                <w:color w:val="auto"/>
                <w:szCs w:val="21"/>
                <w:highlight w:val="none"/>
              </w:rPr>
            </w:pPr>
            <w:r>
              <w:rPr>
                <w:rFonts w:hint="eastAsia" w:ascii="宋体" w:hAnsi="宋体" w:cs="宋体"/>
                <w:bCs/>
                <w:color w:val="auto"/>
                <w:szCs w:val="21"/>
                <w:highlight w:val="none"/>
              </w:rPr>
              <w:t>删除投标人须知正文第5.2.3（4）和（7）款，并对序号进行修改。</w:t>
            </w:r>
          </w:p>
        </w:tc>
      </w:tr>
      <w:tr w14:paraId="3EA682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37EFA100">
            <w:pPr>
              <w:pStyle w:val="57"/>
              <w:shd w:val="clear" w:fill="FFFFFF" w:themeFill="background1"/>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6.1.2</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0BCD5C45">
            <w:pPr>
              <w:pStyle w:val="57"/>
              <w:shd w:val="clear" w:fill="FFFFFF" w:themeFill="background1"/>
              <w:spacing w:line="38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投标人须知正文6.1.2 项末增加如下内容：</w:t>
            </w:r>
          </w:p>
          <w:p w14:paraId="343D3D5F">
            <w:pPr>
              <w:pStyle w:val="57"/>
              <w:shd w:val="clear" w:fill="FFFFFF" w:themeFill="background1"/>
              <w:spacing w:line="380" w:lineRule="exact"/>
              <w:jc w:val="both"/>
              <w:rPr>
                <w:rFonts w:ascii="宋体" w:hAnsi="宋体" w:cs="宋体"/>
                <w:color w:val="auto"/>
                <w:kern w:val="2"/>
                <w:sz w:val="21"/>
                <w:szCs w:val="21"/>
                <w:highlight w:val="none"/>
              </w:rPr>
            </w:pPr>
            <w:r>
              <w:rPr>
                <w:rFonts w:hint="eastAsia" w:ascii="宋体" w:hAnsi="宋体" w:cs="宋体"/>
                <w:color w:val="auto"/>
                <w:sz w:val="21"/>
                <w:szCs w:val="21"/>
                <w:highlight w:val="none"/>
              </w:rPr>
              <w:t xml:space="preserve">    招标人及其子公司、招标人下属单位、招标人的上级主管部门或者控股公司、招标代理机构的工作人员或者退休人员不得以专家身份参与本单位招标或者招标代理项目的评标。</w:t>
            </w:r>
          </w:p>
        </w:tc>
      </w:tr>
      <w:tr w14:paraId="19F246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157BAD4E">
            <w:pPr>
              <w:pStyle w:val="57"/>
              <w:shd w:val="clear" w:fill="FFFFFF" w:themeFill="background1"/>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7.8.6</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287DFABC">
            <w:pPr>
              <w:pStyle w:val="80"/>
              <w:shd w:val="clear" w:fill="FFFFFF" w:themeFill="background1"/>
              <w:spacing w:before="6" w:line="380" w:lineRule="exact"/>
              <w:ind w:right="134"/>
              <w:rPr>
                <w:rFonts w:ascii="宋体" w:hAnsi="宋体" w:cs="宋体"/>
                <w:b/>
                <w:bCs/>
                <w:color w:val="auto"/>
                <w:kern w:val="0"/>
                <w:szCs w:val="21"/>
                <w:highlight w:val="none"/>
              </w:rPr>
            </w:pPr>
            <w:r>
              <w:rPr>
                <w:rFonts w:hint="eastAsia" w:ascii="宋体" w:hAnsi="宋体" w:cs="宋体"/>
                <w:b/>
                <w:bCs/>
                <w:color w:val="auto"/>
                <w:kern w:val="0"/>
                <w:szCs w:val="21"/>
                <w:highlight w:val="none"/>
              </w:rPr>
              <w:t>增加 7.8.6 项“不平衡报价的处理”：</w:t>
            </w:r>
          </w:p>
          <w:p w14:paraId="01F62A88">
            <w:pPr>
              <w:pStyle w:val="80"/>
              <w:shd w:val="clear" w:fill="FFFFFF" w:themeFill="background1"/>
              <w:spacing w:before="6" w:line="380" w:lineRule="exact"/>
              <w:ind w:right="134"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中标人如果存在不平衡报价，招标人可以在保证投标总价不变的前提下予以合理调整，中标人应无条件接受。不平衡报价处理的具体条款如下：</w:t>
            </w:r>
          </w:p>
          <w:p w14:paraId="11442711">
            <w:pPr>
              <w:pStyle w:val="80"/>
              <w:shd w:val="clear" w:fill="FFFFFF" w:themeFill="background1"/>
              <w:spacing w:before="6" w:line="380" w:lineRule="exact"/>
              <w:ind w:right="134"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在签订合同前，招标人组织人员对中标人的工程量清单报价进行审核：</w:t>
            </w:r>
          </w:p>
          <w:p w14:paraId="567ADC5E">
            <w:pPr>
              <w:pStyle w:val="80"/>
              <w:shd w:val="clear" w:fill="FFFFFF" w:themeFill="background1"/>
              <w:spacing w:before="6" w:line="380" w:lineRule="exact"/>
              <w:ind w:right="134"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（1）若中标人的工程量清单报价，超过如下范围：招标人招标清单预算相应单价与（1-中标人中标价下浮率）乘积的 85 %～ 115 %，则视为存在不平衡报价。</w:t>
            </w:r>
          </w:p>
          <w:p w14:paraId="002808A1">
            <w:pPr>
              <w:pStyle w:val="80"/>
              <w:shd w:val="clear" w:fill="FFFFFF" w:themeFill="background1"/>
              <w:spacing w:before="6" w:line="380" w:lineRule="exact"/>
              <w:ind w:right="134" w:firstLine="210" w:firstLineChars="100"/>
              <w:rPr>
                <w:rFonts w:ascii="宋体" w:hAnsi="宋体" w:cs="宋体"/>
                <w:color w:val="auto"/>
                <w:kern w:val="0"/>
                <w:szCs w:val="21"/>
                <w:highlight w:val="none"/>
              </w:rPr>
            </w:pPr>
            <w:r>
              <w:rPr>
                <w:rFonts w:hint="eastAsia" w:ascii="宋体" w:hAnsi="宋体" w:cs="宋体"/>
                <w:color w:val="auto"/>
                <w:kern w:val="0"/>
                <w:szCs w:val="21"/>
                <w:highlight w:val="none"/>
              </w:rPr>
              <w:t>如果存在不平衡报价，招标人将在保证投标总价不变的前提下，按以下原则调整其工程量清单报价（不随报价调整的除外）：（1）招标人招标清单预算相应单价×（1-中标人中标价下浮率）为基准进行调整；（2）按上述算术修正和本款调整后，对以百分比计取的非固定报价项目的报价也应作相应的修正。</w:t>
            </w:r>
          </w:p>
          <w:p w14:paraId="4137D7CA">
            <w:pPr>
              <w:pStyle w:val="80"/>
              <w:shd w:val="clear" w:fill="FFFFFF" w:themeFill="background1"/>
              <w:spacing w:before="6" w:line="380" w:lineRule="exact"/>
              <w:ind w:right="134"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（2）为使调整后的投标总价保持不变，对处于招标人招标清单预算相应单价与（1- 中标人中标价下浮率）乘积的 85 %～ 115 %内的报价，招标人有权根据本项第（1）条调整原则进行报价调整。</w:t>
            </w:r>
          </w:p>
          <w:p w14:paraId="7CCDE80A">
            <w:pPr>
              <w:pStyle w:val="80"/>
              <w:shd w:val="clear" w:fill="FFFFFF" w:themeFill="background1"/>
              <w:spacing w:before="6" w:line="380" w:lineRule="exact"/>
              <w:ind w:right="134"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中标人中标价下浮率指中标人中标价较造价管理部门核备的清单预算之下浮比例。</w:t>
            </w:r>
          </w:p>
        </w:tc>
      </w:tr>
      <w:tr w14:paraId="2CF8C8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34BF1458">
            <w:pPr>
              <w:pStyle w:val="57"/>
              <w:shd w:val="clear" w:fill="FFFFFF" w:themeFill="background1"/>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8.5</w:t>
            </w:r>
          </w:p>
        </w:tc>
        <w:tc>
          <w:tcPr>
            <w:tcW w:w="9259" w:type="dxa"/>
            <w:gridSpan w:val="2"/>
            <w:tcBorders>
              <w:top w:val="single" w:color="auto" w:sz="4" w:space="0"/>
              <w:left w:val="single" w:color="auto" w:sz="2" w:space="0"/>
              <w:bottom w:val="single" w:color="auto" w:sz="4" w:space="0"/>
              <w:right w:val="single" w:color="auto" w:sz="12" w:space="0"/>
            </w:tcBorders>
          </w:tcPr>
          <w:p w14:paraId="50D72246">
            <w:pPr>
              <w:pStyle w:val="57"/>
              <w:shd w:val="clear" w:fill="FFFFFF" w:themeFill="background1"/>
              <w:spacing w:line="380" w:lineRule="exact"/>
              <w:jc w:val="both"/>
              <w:rPr>
                <w:rFonts w:ascii="宋体" w:hAnsi="宋体" w:cs="宋体"/>
                <w:b/>
                <w:bCs/>
                <w:color w:val="auto"/>
                <w:sz w:val="21"/>
                <w:szCs w:val="21"/>
                <w:highlight w:val="none"/>
              </w:rPr>
            </w:pPr>
            <w:r>
              <w:rPr>
                <w:rFonts w:hint="eastAsia" w:ascii="宋体" w:hAnsi="宋体" w:cs="宋体"/>
                <w:b/>
                <w:bCs/>
                <w:color w:val="auto"/>
                <w:sz w:val="21"/>
                <w:szCs w:val="21"/>
                <w:highlight w:val="none"/>
              </w:rPr>
              <w:t>投标人须知范本原文第 8.5.1 项细化如下：</w:t>
            </w:r>
          </w:p>
          <w:p w14:paraId="7CC2760C">
            <w:pPr>
              <w:pStyle w:val="57"/>
              <w:shd w:val="clear" w:fill="FFFFFF" w:themeFill="background1"/>
              <w:spacing w:line="380" w:lineRule="exact"/>
              <w:ind w:firstLine="630" w:firstLineChars="300"/>
              <w:jc w:val="left"/>
              <w:rPr>
                <w:rFonts w:ascii="宋体" w:hAnsi="宋体" w:cs="宋体"/>
                <w:color w:val="auto"/>
                <w:kern w:val="2"/>
                <w:sz w:val="21"/>
                <w:szCs w:val="21"/>
                <w:highlight w:val="none"/>
              </w:rPr>
            </w:pPr>
            <w:r>
              <w:rPr>
                <w:rFonts w:hint="eastAsia" w:ascii="宋体" w:hAnsi="宋体" w:cs="宋体"/>
                <w:color w:val="auto"/>
                <w:sz w:val="21"/>
                <w:szCs w:val="21"/>
                <w:highlight w:val="none"/>
              </w:rPr>
              <w:t>8.5.1 投标人或其他利害关系人认为招标投标活动不符合法律、行政法规规定的，可以自知道或应当知道之日起 10 日内向交通运输主管部门投诉。对于按法规规定应先提出异议的事项进行投诉的，应当提交已提出异议的证明文件。未按规定提出异议或者未提交已提出异议的证明文件的投诉，交通运输主管部门可以不予受理。投诉人缺乏事实根据或者法律依据进行投诉的，或者有证据表明投诉人捏造事实、伪造材料的，或者投诉人以非法手段取得证明材料进行投诉的，交通运输主管部门应当予以驳回，并对恶意投诉按照有关规定追究投诉人责任。交通运输主管部门处理投诉，有权查阅、复制有关文件、资料，调查有关情况，相关单位和人员应当予以配合。必要时，交通运输主管部门可以责令暂停招标投标活动。</w:t>
            </w:r>
          </w:p>
        </w:tc>
      </w:tr>
      <w:tr w14:paraId="416E56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7F109DAB">
            <w:pPr>
              <w:pStyle w:val="57"/>
              <w:shd w:val="clear" w:fill="FFFFFF" w:themeFill="background1"/>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10.1</w:t>
            </w:r>
          </w:p>
        </w:tc>
        <w:tc>
          <w:tcPr>
            <w:tcW w:w="9259" w:type="dxa"/>
            <w:gridSpan w:val="2"/>
            <w:tcBorders>
              <w:top w:val="single" w:color="auto" w:sz="4" w:space="0"/>
              <w:left w:val="single" w:color="auto" w:sz="2" w:space="0"/>
              <w:bottom w:val="single" w:color="auto" w:sz="4" w:space="0"/>
              <w:right w:val="single" w:color="auto" w:sz="12" w:space="0"/>
            </w:tcBorders>
          </w:tcPr>
          <w:p w14:paraId="30983758">
            <w:pPr>
              <w:pStyle w:val="57"/>
              <w:shd w:val="clear" w:fill="FFFFFF" w:themeFill="background1"/>
              <w:spacing w:line="380" w:lineRule="exact"/>
              <w:ind w:firstLine="422" w:firstLineChars="200"/>
              <w:jc w:val="left"/>
              <w:rPr>
                <w:rFonts w:ascii="宋体" w:hAnsi="宋体" w:cs="宋体"/>
                <w:b/>
                <w:bCs/>
                <w:color w:val="auto"/>
                <w:sz w:val="21"/>
                <w:szCs w:val="21"/>
                <w:highlight w:val="none"/>
              </w:rPr>
            </w:pPr>
            <w:r>
              <w:rPr>
                <w:rFonts w:hint="eastAsia" w:ascii="宋体" w:hAnsi="宋体" w:cs="宋体"/>
                <w:b/>
                <w:bCs/>
                <w:color w:val="auto"/>
                <w:sz w:val="21"/>
                <w:szCs w:val="21"/>
                <w:highlight w:val="none"/>
              </w:rPr>
              <w:t>在 10.1 款后增加如下条款：10.2 款、10.3 款、10.4 款、10.5 款、10.6 款、10.7、10.8 款、10.9 款。</w:t>
            </w:r>
          </w:p>
          <w:p w14:paraId="7DF08412">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10.2 信用等级的确定原则：</w:t>
            </w:r>
          </w:p>
          <w:p w14:paraId="55B407FA">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10.2.1 招标文件中的信用等级指的是广东省交通运输厅最新年度的信用评价。如无广东省最新年度信用等级而有上一年度广东省信用等级的，则其原信用等级可延续一年，但在递交资审申请文件（资格后审的为投标文件）时信用等级的使用次数应按上一年度公布的信用评价结果顺延上一年度的使用次数。具体使用次数有关规定如下：</w:t>
            </w:r>
          </w:p>
          <w:p w14:paraId="1B2D5A6F">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1.对于信用等级为 AA 级的从业单位:</w:t>
            </w:r>
          </w:p>
          <w:p w14:paraId="71986733">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(1)仅最新一年度信用等级为 AA 级的从业单位在参加广东省公路工程建设项目投标活动（以递交资格预审申请文件或资格后审递交投标文件时间为准）时，可申请使用 AA 级分值 8 次，用完 8 次后信用等级分值将按 A 级分值取定；</w:t>
            </w:r>
          </w:p>
          <w:p w14:paraId="4B715207">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(2)连续最近两个年度信用等级为 AA 级的单位在参加广东省公路工程投标活动（以递交资格预审申请文件或资格后审递交投标文件时间为准）时，可申请使用 AA级分值 12 次，用完 12 次后信用等级分值将按 A 级取定；</w:t>
            </w:r>
          </w:p>
          <w:p w14:paraId="4433F641">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2.对于信用等级为 A 级的从业单位:当年度信用等级 A 级单位在参加广东省公路工程建设项目招投标活动（以递交资格预审申请文件或资格后审递交投标文件时间为准）时，可申请使用 A 级分值 12 次，用完 12 次后信用等级分值将按 B 级分值取定。</w:t>
            </w:r>
          </w:p>
          <w:p w14:paraId="39597345">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3.当年度信用等级为 AA、A 级的从业单位未承诺使用的信用等级分值的，AA 级信用等级企业按 A 级对待、A 级信用等级企业按 B 级对待。</w:t>
            </w:r>
          </w:p>
          <w:p w14:paraId="29DDF20F">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4.若从业企业在信用评价年度信用等级由 AA 降级为 A 级时，AA 级信用等级已使用次数纳入 A 级信用等级使用次数合并累计。</w:t>
            </w:r>
          </w:p>
          <w:p w14:paraId="43FB387D">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10.2.2 信用等级延续 1 年后仍无信用评价等级的，按照初次进入广东省确定，原则上按 B 级对待，但下列情况除外：最新年度的全国公路从业单位（施工单位）信用评价结果为 C 级或 D 级的，则按最新年度的全国公路从业单位（施工单位）信用评价结果对待；或最新年度的全国公路从业单位（施工单位）信用评价结果未被评为 C级或 D 级的，但在广东省最近年度原评价等级为 D 级的，则按 C 级对待。</w:t>
            </w:r>
          </w:p>
          <w:p w14:paraId="2BB6E1AF">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10.2.3 AA、A 级单位是指使用广东省信用评价等级申请承诺书的单位。提交申请承诺书未使用 AA、A 时，在评标过程中，AA 级信用等级企业按 A 级对待、A 级信用等级企业按 B 级对待。（注：属于资格预审项目的，以资格预审申请文件的为准。当出现跨年度信用等级时，以投标人资格预审时申请使用信用等级与投标文件递交截止日的信用等级作比较，按“就低原则”认定等级，即降低等级的按低等级认定、升高等级的仍维持资审时的申请等级。）</w:t>
            </w:r>
          </w:p>
          <w:p w14:paraId="444F96F1">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10.2.4 在招标评标中，信用评价等级采用按次、按标段或标类（指资格预审时未明确具体标段的情形）申请使用的原则，即在同一次招标中的多个标段的投标，可对其中部分或全部标段申请使用 AA 或 A 级信用等级，无论中标与否，均应根据递交投标（或申请）文件情况按标段计算使用次数（非投标人原因导致招标失败的情况除外）。</w:t>
            </w:r>
          </w:p>
          <w:p w14:paraId="56D3B659">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10.2.5 招标项目为一个标段类别时，投标人以联合体形式投标的，信用等级以联合体中信用等级较低的为准。</w:t>
            </w:r>
          </w:p>
          <w:p w14:paraId="50C45D3B">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10.2.6 如招标内容包含了多个标段类别（如机电工程+交通安全设施工程类），招标项目的资质条件设置不止一个资质时投标人的信用等级认定原则：</w:t>
            </w:r>
          </w:p>
          <w:p w14:paraId="09F12EC8">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就低不就高模式：</w:t>
            </w:r>
          </w:p>
          <w:p w14:paraId="101F77B3">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独立投标的，按各类别招标内容相对应的投标人的信用等级，按就低不就高的原则确定投标人的最终信用等级得分；以联合体形式投标的，联合体成员按联合体协议书中约定承担的专业工程对应相应的信用等级按就低不就高的原则确定投标人的最终信用等级得分。</w:t>
            </w:r>
          </w:p>
          <w:p w14:paraId="1CDCDCA6">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举例：招标文件约定的机电工程所占的比例为 70%，交通安全设施工程所占的比例为30%，联合体形式投标的情形：单位甲为机电专业，其信用等级分值为机电工程A 级，单位乙为交通安全设施工程专业，其信用等级分值为交通安全设施工程 B 级。结合招标文件中约定的信用等级 A 级对应分值为 4.75 分，B 级对应分值为 4.45 分，则按方法一计算的联合体信用等级分值为：4.45 分。</w:t>
            </w:r>
          </w:p>
          <w:p w14:paraId="656D1640">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10.3 如果推荐的第一中标候选人放弃中标、因不可抗力提出不能履行合同、或因被投诉经查证属实取消中标资格的，或者招标文件规定应当提交履约保证金而在规定的期限内未能提交的，招标人可以确定排名第二的中标候选人为中标人,或重新组织招标，以此类推。</w:t>
            </w:r>
          </w:p>
          <w:p w14:paraId="0189D723">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10.4 如果开标后至中标通知书发出前，第一中标候选人发生投标人须知 1.4.4（1）至（7）的情形及中标候选人信用等级被广东省交通运输厅直接降为 D 级的情形，则取消其中标资格，招标人按推荐中标候选人排名顺序依次确定中标人，或重新组织招标。</w:t>
            </w:r>
          </w:p>
          <w:p w14:paraId="38B425DC">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10.5 本招标文件中所有“类似工程”均指</w:t>
            </w:r>
            <w:r>
              <w:rPr>
                <w:rFonts w:hint="eastAsia" w:ascii="宋体" w:hAnsi="宋体" w:cs="宋体"/>
                <w:b/>
                <w:color w:val="auto"/>
                <w:sz w:val="21"/>
                <w:szCs w:val="21"/>
                <w:highlight w:val="none"/>
                <w:u w:val="single"/>
                <w:lang w:eastAsia="zh-CN"/>
              </w:rPr>
              <w:t>新建或改、扩建、路面改造</w:t>
            </w:r>
            <w:r>
              <w:rPr>
                <w:rFonts w:hint="eastAsia" w:ascii="宋体" w:hAnsi="宋体" w:cs="宋体"/>
                <w:b/>
                <w:color w:val="auto"/>
                <w:sz w:val="21"/>
                <w:szCs w:val="21"/>
                <w:highlight w:val="none"/>
                <w:u w:val="single"/>
              </w:rPr>
              <w:t>四级以上（含四级）</w:t>
            </w:r>
            <w:r>
              <w:rPr>
                <w:rFonts w:hint="eastAsia" w:ascii="宋体" w:hAnsi="宋体" w:cs="宋体"/>
                <w:color w:val="auto"/>
                <w:sz w:val="21"/>
                <w:szCs w:val="21"/>
                <w:highlight w:val="none"/>
              </w:rPr>
              <w:t>公路施工项目。在采用新建公路项目完工业绩时，对于同公路等级改、扩建中的新建桥梁或隧道工程业绩也应认可。</w:t>
            </w:r>
          </w:p>
          <w:p w14:paraId="3BF199A9">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10.6 有关业绩的说明</w:t>
            </w:r>
          </w:p>
          <w:p w14:paraId="787B9DEE">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10.6.1</w:t>
            </w:r>
          </w:p>
          <w:p w14:paraId="567E3EB5">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a、特大桥及大桥按国家最新颁布的标准进行划分；</w:t>
            </w:r>
          </w:p>
          <w:p w14:paraId="61004F78">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b、完成整座桥梁的半幅或整座桥梁其中的一部分工作内容达到特大桥或大桥对应技术标准的，按相应标段标准以座计算；</w:t>
            </w:r>
          </w:p>
          <w:p w14:paraId="72B86175">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c、同一投标人的单座桥梁仅能计一次，只完成整个工程部分分部工程不参与计算业绩。</w:t>
            </w:r>
          </w:p>
          <w:p w14:paraId="6ACC7624">
            <w:pPr>
              <w:pStyle w:val="57"/>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10.6.2</w:t>
            </w:r>
          </w:p>
          <w:p w14:paraId="12D7DDED">
            <w:pPr>
              <w:pStyle w:val="57"/>
              <w:numPr>
                <w:ilvl w:val="0"/>
                <w:numId w:val="7"/>
              </w:numPr>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特长隧道：单座隧道单洞（即左洞加右洞）总长大于 6000m 的，或完成单座隧道的一部分且该部分的单洞累计长度大于 6000m 的，均按 1 座计；完成单座特长隧道的一部分，该部分单洞累计长度大于 3000m 且不大于 6000m 的，按 0.5 座计，完成 N 座该类隧道按 N×0.5 座计；</w:t>
            </w:r>
          </w:p>
          <w:p w14:paraId="1A210E30">
            <w:pPr>
              <w:pStyle w:val="57"/>
              <w:numPr>
                <w:ilvl w:val="0"/>
                <w:numId w:val="7"/>
              </w:numPr>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长隧道：单座隧道单洞（即左洞加右洞）总长大于 2000 米且不大于 6000 米的，或完成单座隧道的一部分且该部分的单洞累计长度大于2000 米且不大于6000 米的，均按 1 座计；</w:t>
            </w:r>
          </w:p>
          <w:p w14:paraId="256F4B2E">
            <w:pPr>
              <w:pStyle w:val="57"/>
              <w:numPr>
                <w:ilvl w:val="0"/>
                <w:numId w:val="7"/>
              </w:numPr>
              <w:shd w:val="clear" w:fill="FFFFFF" w:themeFill="background1"/>
              <w:spacing w:line="380" w:lineRule="exact"/>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同一座隧道同时满足条件的，同一投标人只计算一次业绩；特长隧道可计为长隧道。</w:t>
            </w:r>
          </w:p>
          <w:p w14:paraId="0141D613">
            <w:pPr>
              <w:pStyle w:val="57"/>
              <w:shd w:val="clear" w:fill="FFFFFF" w:themeFill="background1"/>
              <w:spacing w:line="380" w:lineRule="exact"/>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10.7 招标文件中如无特别说明，业绩里程累计长度均不扣除桥隧等构造物长度。</w:t>
            </w:r>
          </w:p>
          <w:p w14:paraId="6B607E32">
            <w:pPr>
              <w:pStyle w:val="57"/>
              <w:shd w:val="clear" w:fill="FFFFFF" w:themeFill="background1"/>
              <w:spacing w:line="380" w:lineRule="exact"/>
              <w:ind w:firstLine="420"/>
              <w:jc w:val="left"/>
              <w:rPr>
                <w:rFonts w:ascii="宋体" w:hAnsi="宋体" w:cs="宋体"/>
                <w:color w:val="auto"/>
                <w:sz w:val="21"/>
                <w:szCs w:val="21"/>
                <w:highlight w:val="none"/>
              </w:rPr>
            </w:pPr>
            <w:r>
              <w:rPr>
                <w:rFonts w:hint="eastAsia" w:ascii="宋体" w:hAnsi="宋体" w:cs="宋体"/>
                <w:color w:val="auto"/>
                <w:sz w:val="21"/>
                <w:szCs w:val="21"/>
                <w:highlight w:val="none"/>
              </w:rPr>
              <w:t>10.8 若投标人在递交投标文件期间，出现采取不正当手段妨碍其他投标人投标的过激行为，或出现在开标会现场扰乱招投标市场秩序的行为，招标人有权将投标人此行为上报省级交通主管部门，作为不良记录纳入公路建设市场信用信息管理系统。</w:t>
            </w:r>
          </w:p>
        </w:tc>
      </w:tr>
      <w:tr w14:paraId="668D3F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48EDAB12">
            <w:pPr>
              <w:pStyle w:val="57"/>
              <w:shd w:val="clear" w:fill="FFFFFF" w:themeFill="background1"/>
              <w:spacing w:line="380" w:lineRule="exact"/>
              <w:rPr>
                <w:rFonts w:ascii="宋体" w:hAnsi="宋体" w:cs="宋体"/>
                <w:color w:val="auto"/>
                <w:sz w:val="21"/>
                <w:szCs w:val="21"/>
                <w:highlight w:val="none"/>
              </w:rPr>
            </w:pPr>
            <w:r>
              <w:rPr>
                <w:rFonts w:hint="eastAsia" w:ascii="宋体" w:hAnsi="宋体" w:cs="宋体"/>
                <w:color w:val="auto"/>
                <w:sz w:val="21"/>
                <w:szCs w:val="21"/>
                <w:highlight w:val="none"/>
              </w:rPr>
              <w:t>11</w:t>
            </w:r>
          </w:p>
        </w:tc>
        <w:tc>
          <w:tcPr>
            <w:tcW w:w="9259" w:type="dxa"/>
            <w:gridSpan w:val="2"/>
            <w:tcBorders>
              <w:top w:val="single" w:color="auto" w:sz="4" w:space="0"/>
              <w:left w:val="single" w:color="auto" w:sz="2" w:space="0"/>
              <w:bottom w:val="single" w:color="auto" w:sz="4" w:space="0"/>
              <w:right w:val="single" w:color="auto" w:sz="12" w:space="0"/>
            </w:tcBorders>
          </w:tcPr>
          <w:p w14:paraId="183FAD04">
            <w:pPr>
              <w:shd w:val="clear" w:fill="FFFFFF" w:themeFill="background1"/>
              <w:spacing w:line="380" w:lineRule="exact"/>
              <w:rPr>
                <w:rFonts w:ascii="宋体" w:hAnsi="宋体" w:cs="宋体"/>
                <w:b/>
                <w:color w:val="auto"/>
                <w:szCs w:val="21"/>
                <w:highlight w:val="none"/>
              </w:rPr>
            </w:pPr>
            <w:r>
              <w:rPr>
                <w:rFonts w:hint="eastAsia" w:ascii="宋体" w:hAnsi="宋体" w:cs="宋体"/>
                <w:b/>
                <w:color w:val="auto"/>
                <w:szCs w:val="21"/>
                <w:highlight w:val="none"/>
              </w:rPr>
              <w:t>投标人须知正文增加第11款内容：</w:t>
            </w:r>
          </w:p>
          <w:p w14:paraId="46A7D860">
            <w:pPr>
              <w:numPr>
                <w:ilvl w:val="0"/>
                <w:numId w:val="8"/>
              </w:numPr>
              <w:shd w:val="clear" w:fill="FFFFFF" w:themeFill="background1"/>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招标代理服务费等费用：</w:t>
            </w:r>
          </w:p>
          <w:p w14:paraId="7419A044">
            <w:pPr>
              <w:numPr>
                <w:ilvl w:val="0"/>
                <w:numId w:val="0"/>
              </w:numPr>
              <w:shd w:val="clear" w:fill="FFFFFF" w:themeFill="background1"/>
              <w:spacing w:line="380" w:lineRule="exact"/>
              <w:rPr>
                <w:rFonts w:ascii="宋体" w:hAnsi="宋体" w:cs="宋体"/>
                <w:color w:val="auto"/>
                <w:szCs w:val="21"/>
                <w:highlight w:val="none"/>
              </w:rPr>
            </w:pPr>
            <w:r>
              <w:rPr>
                <w:rFonts w:hint="eastAsia" w:ascii="宋体" w:hAnsi="宋体" w:cs="宋体"/>
                <w:color w:val="auto"/>
                <w:szCs w:val="21"/>
                <w:highlight w:val="none"/>
                <w:lang w:val="en-US" w:eastAsia="zh-CN"/>
              </w:rPr>
              <w:t>参照</w:t>
            </w:r>
            <w:r>
              <w:rPr>
                <w:rFonts w:hint="eastAsia" w:ascii="宋体" w:hAnsi="宋体" w:cs="宋体"/>
                <w:color w:val="auto"/>
                <w:szCs w:val="21"/>
                <w:highlight w:val="none"/>
                <w:lang w:val="zh-CN" w:eastAsia="zh-CN"/>
              </w:rPr>
              <w:t>《招标代理服务收费管理暂行办法》计价格[2002]1980号文</w:t>
            </w:r>
            <w:r>
              <w:rPr>
                <w:rFonts w:hint="eastAsia" w:ascii="宋体" w:hAnsi="宋体" w:cs="宋体"/>
                <w:color w:val="auto"/>
                <w:szCs w:val="21"/>
                <w:highlight w:val="none"/>
                <w:lang w:val="en-US" w:eastAsia="zh-CN"/>
              </w:rPr>
              <w:t>规定的“工程类”计费标准收取招标代理服务费，</w:t>
            </w:r>
            <w:r>
              <w:rPr>
                <w:rFonts w:hint="eastAsia" w:ascii="宋体" w:hAnsi="宋体" w:cs="宋体"/>
                <w:color w:val="auto"/>
                <w:szCs w:val="21"/>
                <w:highlight w:val="none"/>
                <w:lang w:val="zh-CN" w:eastAsia="zh-CN"/>
              </w:rPr>
              <w:t>招标代理服务费由中标人支付，专家评审费按照实际发生向中标人收取</w:t>
            </w:r>
            <w:r>
              <w:rPr>
                <w:rFonts w:hint="eastAsia" w:ascii="宋体" w:hAnsi="宋体" w:cs="宋体"/>
                <w:color w:val="auto"/>
                <w:szCs w:val="21"/>
                <w:highlight w:val="none"/>
              </w:rPr>
              <w:t>。</w:t>
            </w:r>
          </w:p>
        </w:tc>
      </w:tr>
      <w:tr w14:paraId="2C3DE8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68" w:type="dxa"/>
            <w:tcBorders>
              <w:top w:val="single" w:color="auto" w:sz="4" w:space="0"/>
              <w:left w:val="single" w:color="auto" w:sz="12" w:space="0"/>
              <w:bottom w:val="single" w:color="auto" w:sz="4" w:space="0"/>
              <w:right w:val="single" w:color="auto" w:sz="2" w:space="0"/>
            </w:tcBorders>
            <w:vAlign w:val="center"/>
          </w:tcPr>
          <w:p w14:paraId="123037FC">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w:t>
            </w:r>
          </w:p>
        </w:tc>
        <w:tc>
          <w:tcPr>
            <w:tcW w:w="9259" w:type="dxa"/>
            <w:gridSpan w:val="2"/>
            <w:tcBorders>
              <w:top w:val="single" w:color="auto" w:sz="4" w:space="0"/>
              <w:left w:val="single" w:color="auto" w:sz="2" w:space="0"/>
              <w:bottom w:val="single" w:color="auto" w:sz="4" w:space="0"/>
              <w:right w:val="single" w:color="auto" w:sz="12" w:space="0"/>
            </w:tcBorders>
            <w:vAlign w:val="center"/>
          </w:tcPr>
          <w:p w14:paraId="4FA7D7AD">
            <w:pPr>
              <w:shd w:val="clear" w:fill="FFFFFF" w:themeFill="background1"/>
              <w:spacing w:line="380" w:lineRule="exact"/>
              <w:rPr>
                <w:rFonts w:ascii="宋体" w:hAnsi="宋体" w:cs="宋体"/>
                <w:b/>
                <w:color w:val="auto"/>
                <w:szCs w:val="21"/>
                <w:highlight w:val="none"/>
              </w:rPr>
            </w:pPr>
            <w:r>
              <w:rPr>
                <w:rFonts w:hint="eastAsia" w:ascii="宋体" w:hAnsi="宋体" w:cs="宋体"/>
                <w:b/>
                <w:color w:val="auto"/>
                <w:szCs w:val="21"/>
                <w:highlight w:val="none"/>
              </w:rPr>
              <w:t>投标人须知正文增加第12款内容：</w:t>
            </w:r>
          </w:p>
          <w:p w14:paraId="11F2D7C2">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12电子投标及投标解密失败及突发情况的补救方案</w:t>
            </w:r>
          </w:p>
          <w:p w14:paraId="2E062BF9">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12.1按照交易平台关于全流程电子化项目的相关指南进行操作。详见全国公共资源交易平台（广东省·韶关市）发布的最新版操作指引。</w:t>
            </w:r>
          </w:p>
          <w:p w14:paraId="4E345C65">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12.2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54505671">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12.3补救方案</w:t>
            </w:r>
          </w:p>
          <w:p w14:paraId="65E37C2E">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（1）投标文件解密失败的补救方案：</w:t>
            </w:r>
          </w:p>
          <w:p w14:paraId="08C2B6A3">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在规定时间内，因投标人之外原因(指网络瘫痪、服务器损坏、交易平台故障短期无法恢复)等导致的电子投标文件解密失败，投标人应在规定的时限内按要求成功上传未加密的备用投标文件，继续开标程序。电子投标文件解密失败且未在规定的时限内按要求成功上传未加密的备用投标文件的，视为无效投标。</w:t>
            </w:r>
          </w:p>
          <w:p w14:paraId="56CF2909">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（2）评标时突发情况的补救方案</w:t>
            </w:r>
          </w:p>
          <w:p w14:paraId="7164E657">
            <w:pPr>
              <w:shd w:val="clear" w:fill="FFFFFF" w:themeFill="background1"/>
              <w:spacing w:line="38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tc>
      </w:tr>
      <w:tr w14:paraId="44A463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10227" w:type="dxa"/>
            <w:gridSpan w:val="3"/>
            <w:tcBorders>
              <w:top w:val="single" w:color="auto" w:sz="4" w:space="0"/>
              <w:left w:val="single" w:color="auto" w:sz="12" w:space="0"/>
              <w:bottom w:val="single" w:color="auto" w:sz="4" w:space="0"/>
              <w:right w:val="single" w:color="auto" w:sz="12" w:space="0"/>
            </w:tcBorders>
            <w:vAlign w:val="center"/>
          </w:tcPr>
          <w:p w14:paraId="38A3BC93">
            <w:pPr>
              <w:pStyle w:val="18"/>
              <w:shd w:val="clear" w:fill="FFFFFF" w:themeFill="background1"/>
              <w:spacing w:line="38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备注：“投标人须知”前附表是“投标人须知”正文内容的补充、细化和修改，投标人应结合“投标人须知”正文与“投标人须知”前附表两部分内容仔细阅读“投标人须知”。</w:t>
            </w:r>
          </w:p>
        </w:tc>
      </w:tr>
    </w:tbl>
    <w:p w14:paraId="2FB101AB">
      <w:pPr>
        <w:pStyle w:val="6"/>
        <w:shd w:val="clear" w:fill="FFFFFF" w:themeFill="background1"/>
        <w:spacing w:before="140" w:after="140" w:line="360" w:lineRule="auto"/>
        <w:jc w:val="center"/>
        <w:rPr>
          <w:rFonts w:ascii="宋体" w:hAnsi="宋体" w:cs="黑体"/>
          <w:bCs w:val="0"/>
          <w:color w:val="auto"/>
          <w:sz w:val="30"/>
          <w:szCs w:val="30"/>
          <w:highlight w:val="none"/>
        </w:rPr>
      </w:pPr>
      <w:bookmarkStart w:id="32" w:name="_Toc7714"/>
      <w:bookmarkStart w:id="33" w:name="_Toc43475663"/>
      <w:r>
        <w:rPr>
          <w:rFonts w:hint="eastAsia" w:ascii="宋体" w:hAnsi="宋体" w:cs="黑体"/>
          <w:bCs w:val="0"/>
          <w:color w:val="auto"/>
          <w:sz w:val="30"/>
          <w:szCs w:val="30"/>
          <w:highlight w:val="none"/>
        </w:rPr>
        <w:br w:type="page"/>
      </w:r>
    </w:p>
    <w:p w14:paraId="1069F49B">
      <w:pPr>
        <w:pStyle w:val="6"/>
        <w:shd w:val="clear" w:fill="FFFFFF" w:themeFill="background1"/>
        <w:spacing w:before="140" w:after="140" w:line="360" w:lineRule="auto"/>
        <w:jc w:val="center"/>
        <w:rPr>
          <w:rFonts w:ascii="宋体" w:hAnsi="宋体" w:cs="黑体"/>
          <w:bCs w:val="0"/>
          <w:color w:val="auto"/>
          <w:sz w:val="30"/>
          <w:szCs w:val="30"/>
          <w:highlight w:val="none"/>
        </w:rPr>
      </w:pPr>
    </w:p>
    <w:p w14:paraId="1C9AC3C0">
      <w:pPr>
        <w:pStyle w:val="6"/>
        <w:shd w:val="clear" w:fill="FFFFFF" w:themeFill="background1"/>
        <w:spacing w:before="140" w:after="140" w:line="360" w:lineRule="auto"/>
        <w:jc w:val="center"/>
        <w:rPr>
          <w:rFonts w:ascii="宋体" w:hAnsi="宋体" w:cs="黑体"/>
          <w:bCs w:val="0"/>
          <w:color w:val="auto"/>
          <w:sz w:val="30"/>
          <w:szCs w:val="30"/>
          <w:highlight w:val="none"/>
        </w:rPr>
      </w:pPr>
      <w:bookmarkStart w:id="34" w:name="_Toc20937"/>
      <w:r>
        <w:rPr>
          <w:rFonts w:hint="eastAsia" w:ascii="宋体" w:hAnsi="宋体" w:cs="黑体"/>
          <w:bCs w:val="0"/>
          <w:color w:val="auto"/>
          <w:sz w:val="30"/>
          <w:szCs w:val="30"/>
          <w:highlight w:val="none"/>
        </w:rPr>
        <w:t>附录1  资格审查条件（资质最低要求）</w:t>
      </w:r>
      <w:bookmarkEnd w:id="34"/>
    </w:p>
    <w:tbl>
      <w:tblPr>
        <w:tblStyle w:val="45"/>
        <w:tblW w:w="96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14B071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672" w:type="dxa"/>
            <w:vAlign w:val="center"/>
          </w:tcPr>
          <w:p w14:paraId="410263FF">
            <w:pPr>
              <w:pStyle w:val="18"/>
              <w:shd w:val="clear" w:fill="FFFFFF" w:themeFill="background1"/>
              <w:jc w:val="center"/>
              <w:rPr>
                <w:rFonts w:ascii="Calibri" w:hAnsi="Calibri"/>
                <w:color w:val="auto"/>
                <w:sz w:val="24"/>
                <w:highlight w:val="none"/>
              </w:rPr>
            </w:pPr>
            <w:r>
              <w:rPr>
                <w:rFonts w:hint="eastAsia" w:ascii="宋体" w:hAnsi="宋体"/>
                <w:color w:val="auto"/>
                <w:sz w:val="24"/>
                <w:highlight w:val="none"/>
              </w:rPr>
              <w:t>施工企业资质等级要求</w:t>
            </w:r>
          </w:p>
        </w:tc>
      </w:tr>
      <w:tr w14:paraId="072A3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9672" w:type="dxa"/>
            <w:vAlign w:val="center"/>
          </w:tcPr>
          <w:p w14:paraId="043BCCBD">
            <w:pPr>
              <w:pStyle w:val="18"/>
              <w:shd w:val="clear" w:fill="FFFFFF" w:themeFill="background1"/>
              <w:spacing w:line="360" w:lineRule="auto"/>
              <w:ind w:firstLine="480" w:firstLineChars="200"/>
              <w:rPr>
                <w:rFonts w:ascii="宋体" w:hAnsi="宋体"/>
                <w:color w:val="auto"/>
                <w:sz w:val="24"/>
                <w:highlight w:val="none"/>
              </w:rPr>
            </w:pPr>
            <w:r>
              <w:rPr>
                <w:rFonts w:hint="eastAsia" w:ascii="宋体" w:hAnsi="宋体"/>
                <w:color w:val="auto"/>
                <w:sz w:val="24"/>
                <w:highlight w:val="none"/>
              </w:rPr>
              <w:t>投标人须具备《建筑业企业资质标准》（建市[2014]159号）规定的公路工程施工总承包三级以上（含三级）资质。</w:t>
            </w:r>
          </w:p>
        </w:tc>
      </w:tr>
    </w:tbl>
    <w:p w14:paraId="2A523599">
      <w:pPr>
        <w:shd w:val="clear" w:fill="FFFFFF" w:themeFill="background1"/>
        <w:rPr>
          <w:color w:val="auto"/>
          <w:highlight w:val="none"/>
        </w:rPr>
      </w:pPr>
      <w:bookmarkStart w:id="35" w:name="_Toc451261208"/>
      <w:bookmarkStart w:id="36" w:name="_Toc18853"/>
      <w:bookmarkStart w:id="37" w:name="_Toc466575329"/>
      <w:bookmarkStart w:id="38" w:name="_Toc330406140"/>
      <w:bookmarkStart w:id="39" w:name="_Toc393546205"/>
      <w:bookmarkStart w:id="40" w:name="_Toc238804055"/>
      <w:r>
        <w:rPr>
          <w:color w:val="auto"/>
          <w:highlight w:val="none"/>
        </w:rPr>
        <w:t>注：投标人应根据投标文件第二章“投标人须知”第 3.5.1 项的要求附相关证明材料。</w:t>
      </w:r>
    </w:p>
    <w:p w14:paraId="5D3EBCFB">
      <w:pPr>
        <w:shd w:val="clear" w:fill="FFFFFF" w:themeFill="background1"/>
        <w:rPr>
          <w:color w:val="auto"/>
          <w:highlight w:val="none"/>
        </w:rPr>
      </w:pPr>
    </w:p>
    <w:p w14:paraId="1B6C5631">
      <w:pPr>
        <w:pStyle w:val="6"/>
        <w:shd w:val="clear" w:fill="FFFFFF" w:themeFill="background1"/>
        <w:spacing w:before="140" w:after="140" w:line="360" w:lineRule="auto"/>
        <w:jc w:val="center"/>
        <w:rPr>
          <w:rFonts w:ascii="宋体" w:hAnsi="宋体" w:cs="黑体"/>
          <w:bCs w:val="0"/>
          <w:color w:val="auto"/>
          <w:sz w:val="30"/>
          <w:szCs w:val="30"/>
          <w:highlight w:val="none"/>
        </w:rPr>
      </w:pPr>
      <w:bookmarkStart w:id="41" w:name="_Toc23973"/>
      <w:r>
        <w:rPr>
          <w:rFonts w:hint="eastAsia" w:ascii="宋体" w:hAnsi="宋体" w:cs="黑体"/>
          <w:bCs w:val="0"/>
          <w:color w:val="auto"/>
          <w:sz w:val="30"/>
          <w:szCs w:val="30"/>
          <w:highlight w:val="none"/>
        </w:rPr>
        <w:t>附录2  资格审查条件（财务最低要求）</w:t>
      </w:r>
      <w:bookmarkEnd w:id="35"/>
      <w:bookmarkEnd w:id="36"/>
      <w:bookmarkEnd w:id="37"/>
      <w:bookmarkEnd w:id="41"/>
    </w:p>
    <w:tbl>
      <w:tblPr>
        <w:tblStyle w:val="45"/>
        <w:tblW w:w="9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746"/>
      </w:tblGrid>
      <w:tr w14:paraId="6AFF7B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9746" w:type="dxa"/>
            <w:vAlign w:val="center"/>
          </w:tcPr>
          <w:p w14:paraId="6BD02D3F">
            <w:pPr>
              <w:pStyle w:val="18"/>
              <w:shd w:val="clear" w:fill="FFFFFF" w:themeFill="background1"/>
              <w:spacing w:line="360" w:lineRule="auto"/>
              <w:jc w:val="center"/>
              <w:rPr>
                <w:rFonts w:ascii="Calibri" w:hAnsi="Calibri"/>
                <w:color w:val="auto"/>
                <w:sz w:val="24"/>
                <w:highlight w:val="none"/>
              </w:rPr>
            </w:pPr>
            <w:r>
              <w:rPr>
                <w:rFonts w:hint="eastAsia" w:ascii="宋体" w:hAnsi="宋体"/>
                <w:color w:val="auto"/>
                <w:sz w:val="24"/>
                <w:highlight w:val="none"/>
              </w:rPr>
              <w:t>财 务 要 求</w:t>
            </w:r>
          </w:p>
        </w:tc>
      </w:tr>
      <w:tr w14:paraId="1BC46A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9746" w:type="dxa"/>
            <w:vAlign w:val="center"/>
          </w:tcPr>
          <w:p w14:paraId="737A72C1">
            <w:pPr>
              <w:pStyle w:val="18"/>
              <w:shd w:val="clear" w:fill="FFFFFF" w:themeFill="background1"/>
              <w:spacing w:line="360" w:lineRule="auto"/>
              <w:ind w:firstLine="480" w:firstLineChars="200"/>
              <w:rPr>
                <w:rFonts w:ascii="宋体" w:hAnsi="宋体"/>
                <w:color w:val="auto"/>
                <w:sz w:val="24"/>
                <w:highlight w:val="none"/>
              </w:rPr>
            </w:pPr>
            <w:r>
              <w:rPr>
                <w:rFonts w:ascii="宋体" w:hAnsi="宋体"/>
                <w:color w:val="auto"/>
                <w:sz w:val="24"/>
                <w:highlight w:val="none"/>
              </w:rPr>
              <w:t>1、企业净资产（总资产-总负债）不少于</w:t>
            </w:r>
            <w:r>
              <w:rPr>
                <w:rFonts w:hint="eastAsia" w:ascii="宋体" w:hAnsi="宋体"/>
                <w:color w:val="auto"/>
                <w:sz w:val="24"/>
                <w:highlight w:val="none"/>
              </w:rPr>
              <w:t>500</w:t>
            </w:r>
            <w:r>
              <w:rPr>
                <w:rFonts w:ascii="宋体" w:hAnsi="宋体"/>
                <w:color w:val="auto"/>
                <w:sz w:val="24"/>
                <w:highlight w:val="none"/>
              </w:rPr>
              <w:t xml:space="preserve">万元人民币； </w:t>
            </w:r>
          </w:p>
          <w:p w14:paraId="7744415D">
            <w:pPr>
              <w:pStyle w:val="18"/>
              <w:shd w:val="clear" w:fill="FFFFFF" w:themeFill="background1"/>
              <w:spacing w:line="360" w:lineRule="auto"/>
              <w:ind w:firstLine="480" w:firstLineChars="200"/>
              <w:rPr>
                <w:rFonts w:ascii="宋体" w:hAnsi="宋体"/>
                <w:color w:val="auto"/>
                <w:sz w:val="24"/>
                <w:highlight w:val="none"/>
              </w:rPr>
            </w:pPr>
            <w:r>
              <w:rPr>
                <w:rFonts w:ascii="宋体" w:hAnsi="宋体"/>
                <w:color w:val="auto"/>
                <w:sz w:val="24"/>
                <w:highlight w:val="none"/>
              </w:rPr>
              <w:t>2、营运资金（流动资产－流动负债）不少于</w:t>
            </w:r>
            <w:r>
              <w:rPr>
                <w:rFonts w:hint="eastAsia" w:ascii="宋体" w:hAnsi="宋体"/>
                <w:color w:val="auto"/>
                <w:sz w:val="24"/>
                <w:highlight w:val="none"/>
              </w:rPr>
              <w:t>500</w:t>
            </w:r>
            <w:r>
              <w:rPr>
                <w:rFonts w:ascii="宋体" w:hAnsi="宋体"/>
                <w:color w:val="auto"/>
                <w:sz w:val="24"/>
                <w:highlight w:val="none"/>
              </w:rPr>
              <w:t xml:space="preserve">万元人民币；  </w:t>
            </w:r>
          </w:p>
          <w:p w14:paraId="5DA8E6D8">
            <w:pPr>
              <w:pStyle w:val="18"/>
              <w:shd w:val="clear" w:fill="FFFFFF" w:themeFill="background1"/>
              <w:spacing w:line="360" w:lineRule="auto"/>
              <w:ind w:firstLine="480" w:firstLineChars="200"/>
              <w:rPr>
                <w:rFonts w:ascii="宋体" w:hAnsi="宋体"/>
                <w:color w:val="auto"/>
                <w:sz w:val="24"/>
                <w:highlight w:val="none"/>
              </w:rPr>
            </w:pPr>
            <w:r>
              <w:rPr>
                <w:rFonts w:ascii="宋体" w:hAnsi="宋体"/>
                <w:color w:val="auto"/>
                <w:sz w:val="24"/>
                <w:highlight w:val="none"/>
              </w:rPr>
              <w:t>3、</w:t>
            </w:r>
            <w:r>
              <w:rPr>
                <w:rFonts w:hint="eastAsia" w:ascii="宋体" w:hAnsi="宋体"/>
                <w:color w:val="auto"/>
                <w:kern w:val="0"/>
                <w:sz w:val="24"/>
                <w:highlight w:val="none"/>
              </w:rPr>
              <w:t>近三个年度的年平均营业总收入不少于</w:t>
            </w:r>
            <w:r>
              <w:rPr>
                <w:rFonts w:hint="eastAsia" w:ascii="宋体" w:hAnsi="宋体"/>
                <w:color w:val="auto"/>
                <w:sz w:val="24"/>
                <w:highlight w:val="none"/>
              </w:rPr>
              <w:t>500</w:t>
            </w:r>
            <w:r>
              <w:rPr>
                <w:rFonts w:hint="eastAsia" w:ascii="宋体" w:hAnsi="宋体"/>
                <w:color w:val="auto"/>
                <w:kern w:val="0"/>
                <w:sz w:val="24"/>
                <w:highlight w:val="none"/>
              </w:rPr>
              <w:t>万元人民币</w:t>
            </w:r>
            <w:r>
              <w:rPr>
                <w:rFonts w:hint="eastAsia" w:ascii="宋体" w:hAnsi="宋体"/>
                <w:color w:val="auto"/>
                <w:sz w:val="24"/>
                <w:highlight w:val="none"/>
              </w:rPr>
              <w:t>；</w:t>
            </w:r>
          </w:p>
          <w:p w14:paraId="4256DA9F">
            <w:pPr>
              <w:pStyle w:val="18"/>
              <w:shd w:val="clear" w:fill="FFFFFF" w:themeFill="background1"/>
              <w:spacing w:line="360" w:lineRule="auto"/>
              <w:ind w:firstLine="480" w:firstLineChars="200"/>
              <w:rPr>
                <w:rFonts w:ascii="宋体" w:hAnsi="宋体"/>
                <w:color w:val="auto"/>
                <w:sz w:val="24"/>
                <w:highlight w:val="none"/>
              </w:rPr>
            </w:pPr>
            <w:r>
              <w:rPr>
                <w:rFonts w:hint="eastAsia" w:ascii="宋体" w:hAnsi="宋体"/>
                <w:color w:val="auto"/>
                <w:sz w:val="24"/>
                <w:highlight w:val="none"/>
              </w:rPr>
              <w:t>4、近三个年度至少有2年盈利。</w:t>
            </w:r>
          </w:p>
        </w:tc>
      </w:tr>
      <w:bookmarkEnd w:id="38"/>
      <w:bookmarkEnd w:id="39"/>
      <w:bookmarkEnd w:id="40"/>
    </w:tbl>
    <w:p w14:paraId="17ED22E3">
      <w:pPr>
        <w:shd w:val="clear" w:fill="FFFFFF" w:themeFill="background1"/>
        <w:spacing w:line="360" w:lineRule="auto"/>
        <w:ind w:firstLine="420" w:firstLineChars="200"/>
        <w:rPr>
          <w:rFonts w:ascii="宋体" w:hAnsi="宋体"/>
          <w:color w:val="auto"/>
          <w:szCs w:val="21"/>
          <w:highlight w:val="none"/>
        </w:rPr>
      </w:pPr>
      <w:bookmarkStart w:id="42" w:name="_Toc18126"/>
      <w:r>
        <w:rPr>
          <w:rFonts w:hint="eastAsia" w:ascii="宋体" w:hAnsi="宋体"/>
          <w:color w:val="auto"/>
          <w:szCs w:val="21"/>
          <w:highlight w:val="none"/>
        </w:rPr>
        <w:t>注：1、企业净资产、营运资金是按交通运输部“全国公路建设市场监督管理系统”登记的最新年度（近三个年度的最后一年，下同）数据计算得出。近三个年度是指202</w:t>
      </w:r>
      <w:r>
        <w:rPr>
          <w:rFonts w:hint="eastAsia" w:ascii="宋体" w:hAnsi="宋体"/>
          <w:color w:val="auto"/>
          <w:szCs w:val="21"/>
          <w:highlight w:val="none"/>
          <w:lang w:val="en-US" w:eastAsia="zh-CN"/>
        </w:rPr>
        <w:t>2</w:t>
      </w:r>
      <w:r>
        <w:rPr>
          <w:rFonts w:hint="eastAsia" w:ascii="宋体" w:hAnsi="宋体"/>
          <w:color w:val="auto"/>
          <w:szCs w:val="21"/>
          <w:highlight w:val="none"/>
        </w:rPr>
        <w:t>年、202</w:t>
      </w:r>
      <w:r>
        <w:rPr>
          <w:rFonts w:hint="eastAsia" w:ascii="宋体" w:hAnsi="宋体"/>
          <w:color w:val="auto"/>
          <w:szCs w:val="21"/>
          <w:highlight w:val="none"/>
          <w:lang w:val="en-US" w:eastAsia="zh-CN"/>
        </w:rPr>
        <w:t>3</w:t>
      </w:r>
      <w:r>
        <w:rPr>
          <w:rFonts w:hint="eastAsia" w:ascii="宋体" w:hAnsi="宋体"/>
          <w:color w:val="auto"/>
          <w:szCs w:val="21"/>
          <w:highlight w:val="none"/>
        </w:rPr>
        <w:t>年、202</w:t>
      </w:r>
      <w:r>
        <w:rPr>
          <w:rFonts w:hint="eastAsia" w:ascii="宋体" w:hAnsi="宋体"/>
          <w:color w:val="auto"/>
          <w:szCs w:val="21"/>
          <w:highlight w:val="none"/>
          <w:lang w:val="en-US" w:eastAsia="zh-CN"/>
        </w:rPr>
        <w:t>4</w:t>
      </w:r>
      <w:r>
        <w:rPr>
          <w:rFonts w:hint="eastAsia" w:ascii="宋体" w:hAnsi="宋体"/>
          <w:color w:val="auto"/>
          <w:szCs w:val="21"/>
          <w:highlight w:val="none"/>
        </w:rPr>
        <w:t>年。</w:t>
      </w:r>
    </w:p>
    <w:p w14:paraId="666CDB9C">
      <w:pPr>
        <w:shd w:val="clear" w:fill="FFFFFF" w:themeFill="background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2、投标人应根据招标文件第二章“投标人须知”第 3.5.2 项的要求附相关证明材料。</w:t>
      </w:r>
    </w:p>
    <w:p w14:paraId="26906249">
      <w:pPr>
        <w:pStyle w:val="13"/>
        <w:shd w:val="clear" w:fill="FFFFFF" w:themeFill="background1"/>
        <w:rPr>
          <w:color w:val="auto"/>
          <w:highlight w:val="none"/>
        </w:rPr>
      </w:pPr>
    </w:p>
    <w:p w14:paraId="5C68E609">
      <w:pPr>
        <w:pStyle w:val="6"/>
        <w:shd w:val="clear" w:fill="FFFFFF" w:themeFill="background1"/>
        <w:spacing w:before="140" w:after="140" w:line="360" w:lineRule="auto"/>
        <w:jc w:val="center"/>
        <w:rPr>
          <w:rFonts w:ascii="宋体" w:hAnsi="宋体" w:cs="黑体"/>
          <w:bCs w:val="0"/>
          <w:color w:val="auto"/>
          <w:sz w:val="30"/>
          <w:szCs w:val="30"/>
          <w:highlight w:val="none"/>
        </w:rPr>
      </w:pPr>
      <w:bookmarkStart w:id="43" w:name="_Toc24636"/>
      <w:r>
        <w:rPr>
          <w:rFonts w:hint="eastAsia" w:ascii="宋体" w:hAnsi="宋体" w:cs="黑体"/>
          <w:bCs w:val="0"/>
          <w:color w:val="auto"/>
          <w:sz w:val="30"/>
          <w:szCs w:val="30"/>
          <w:highlight w:val="none"/>
        </w:rPr>
        <w:t>附录3  资格审查条件（业绩最低要求）</w:t>
      </w:r>
      <w:bookmarkEnd w:id="42"/>
      <w:bookmarkEnd w:id="43"/>
    </w:p>
    <w:tbl>
      <w:tblPr>
        <w:tblStyle w:val="45"/>
        <w:tblW w:w="96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610AB4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9672" w:type="dxa"/>
            <w:vAlign w:val="center"/>
          </w:tcPr>
          <w:p w14:paraId="495F1348">
            <w:pPr>
              <w:pStyle w:val="18"/>
              <w:shd w:val="clear" w:fill="FFFFFF" w:themeFill="background1"/>
              <w:spacing w:line="360" w:lineRule="auto"/>
              <w:jc w:val="center"/>
              <w:rPr>
                <w:rFonts w:ascii="Calibri" w:hAnsi="Calibri"/>
                <w:color w:val="auto"/>
                <w:sz w:val="24"/>
                <w:highlight w:val="none"/>
              </w:rPr>
            </w:pPr>
            <w:r>
              <w:rPr>
                <w:rFonts w:hint="eastAsia" w:ascii="宋体" w:hAnsi="宋体"/>
                <w:color w:val="auto"/>
                <w:sz w:val="24"/>
                <w:highlight w:val="none"/>
              </w:rPr>
              <w:t>业 绩 要 求</w:t>
            </w:r>
          </w:p>
        </w:tc>
      </w:tr>
      <w:tr w14:paraId="0B5BB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9672" w:type="dxa"/>
            <w:vAlign w:val="center"/>
          </w:tcPr>
          <w:p w14:paraId="0F4CC83D">
            <w:pPr>
              <w:widowControl/>
              <w:shd w:val="clear" w:fill="FFFFFF" w:themeFill="background1"/>
              <w:spacing w:line="360" w:lineRule="auto"/>
              <w:ind w:firstLine="480" w:firstLineChars="200"/>
              <w:textAlignment w:val="baseline"/>
              <w:rPr>
                <w:rStyle w:val="113"/>
                <w:rFonts w:ascii="宋体" w:hAnsi="宋体"/>
                <w:color w:val="auto"/>
                <w:sz w:val="24"/>
                <w:highlight w:val="none"/>
              </w:rPr>
            </w:pPr>
            <w:r>
              <w:rPr>
                <w:rStyle w:val="113"/>
                <w:rFonts w:ascii="宋体" w:hAnsi="宋体"/>
                <w:color w:val="auto"/>
                <w:sz w:val="24"/>
                <w:highlight w:val="none"/>
              </w:rPr>
              <w:t>近</w:t>
            </w:r>
            <w:r>
              <w:rPr>
                <w:rStyle w:val="113"/>
                <w:rFonts w:hint="eastAsia" w:ascii="宋体" w:hAnsi="宋体"/>
                <w:color w:val="auto"/>
                <w:sz w:val="24"/>
                <w:highlight w:val="none"/>
              </w:rPr>
              <w:t>五</w:t>
            </w:r>
            <w:r>
              <w:rPr>
                <w:rStyle w:val="113"/>
                <w:rFonts w:ascii="宋体" w:hAnsi="宋体"/>
                <w:color w:val="auto"/>
                <w:sz w:val="24"/>
                <w:highlight w:val="none"/>
              </w:rPr>
              <w:t>年</w:t>
            </w:r>
            <w:r>
              <w:rPr>
                <w:rStyle w:val="113"/>
                <w:rFonts w:hint="eastAsia" w:ascii="宋体" w:hAnsi="宋体"/>
                <w:color w:val="auto"/>
                <w:sz w:val="24"/>
                <w:highlight w:val="none"/>
              </w:rPr>
              <w:t>内，成功完成：</w:t>
            </w:r>
          </w:p>
          <w:p w14:paraId="3EEEB6B9">
            <w:pPr>
              <w:widowControl/>
              <w:shd w:val="clear" w:fill="FFFFFF" w:themeFill="background1"/>
              <w:spacing w:line="360" w:lineRule="auto"/>
              <w:ind w:firstLine="480" w:firstLineChars="200"/>
              <w:textAlignment w:val="baseline"/>
              <w:rPr>
                <w:rFonts w:ascii="宋体" w:hAnsi="宋体"/>
                <w:color w:val="auto"/>
                <w:kern w:val="0"/>
                <w:sz w:val="24"/>
                <w:highlight w:val="none"/>
              </w:rPr>
            </w:pPr>
            <w:r>
              <w:rPr>
                <w:rFonts w:hint="eastAsia" w:ascii="宋体" w:hAnsi="宋体" w:cs="宋体"/>
                <w:color w:val="auto"/>
                <w:kern w:val="0"/>
                <w:sz w:val="24"/>
                <w:highlight w:val="none"/>
                <w:lang w:bidi="ar"/>
              </w:rPr>
              <w:t>类似工程水泥混凝土（或沥青混凝土）路面工程至少</w:t>
            </w:r>
            <w:r>
              <w:rPr>
                <w:rFonts w:hint="eastAsia" w:ascii="宋体" w:hAnsi="宋体" w:cs="宋体"/>
                <w:color w:val="auto"/>
                <w:kern w:val="0"/>
                <w:sz w:val="24"/>
                <w:highlight w:val="none"/>
                <w:u w:val="single"/>
                <w:lang w:bidi="ar"/>
              </w:rPr>
              <w:t>1</w:t>
            </w:r>
            <w:r>
              <w:rPr>
                <w:rFonts w:hint="eastAsia" w:ascii="宋体" w:hAnsi="宋体" w:cs="宋体"/>
                <w:color w:val="auto"/>
                <w:kern w:val="0"/>
                <w:sz w:val="24"/>
                <w:highlight w:val="none"/>
                <w:lang w:bidi="ar"/>
              </w:rPr>
              <w:t>个标段</w:t>
            </w:r>
            <w:r>
              <w:rPr>
                <w:rStyle w:val="113"/>
                <w:rFonts w:hint="eastAsia" w:ascii="宋体" w:hAnsi="宋体"/>
                <w:color w:val="auto"/>
                <w:sz w:val="24"/>
                <w:highlight w:val="none"/>
              </w:rPr>
              <w:t>（其中有一个标段里程不少于</w:t>
            </w:r>
            <w:r>
              <w:rPr>
                <w:rStyle w:val="113"/>
                <w:rFonts w:hint="eastAsia" w:ascii="宋体" w:hAnsi="宋体"/>
                <w:color w:val="auto"/>
                <w:sz w:val="24"/>
                <w:highlight w:val="none"/>
                <w:u w:val="single"/>
              </w:rPr>
              <w:t xml:space="preserve"> </w:t>
            </w:r>
            <w:r>
              <w:rPr>
                <w:rFonts w:hint="eastAsia" w:ascii="宋体" w:hAnsi="宋体" w:cs="宋体"/>
                <w:bCs/>
                <w:color w:val="auto"/>
                <w:sz w:val="24"/>
                <w:highlight w:val="none"/>
                <w:u w:val="single"/>
                <w:lang w:eastAsia="zh-CN"/>
              </w:rPr>
              <w:t>3.340</w:t>
            </w:r>
            <w:r>
              <w:rPr>
                <w:rStyle w:val="113"/>
                <w:rFonts w:hint="eastAsia" w:ascii="宋体" w:hAnsi="宋体"/>
                <w:color w:val="auto"/>
                <w:sz w:val="24"/>
                <w:highlight w:val="none"/>
                <w:u w:val="single"/>
              </w:rPr>
              <w:t xml:space="preserve"> </w:t>
            </w:r>
            <w:r>
              <w:rPr>
                <w:rStyle w:val="113"/>
                <w:rFonts w:hint="eastAsia" w:ascii="宋体" w:hAnsi="宋体"/>
                <w:color w:val="auto"/>
                <w:sz w:val="24"/>
                <w:highlight w:val="none"/>
              </w:rPr>
              <w:t>km），且类似工程累计里程不少于</w:t>
            </w:r>
            <w:r>
              <w:rPr>
                <w:rStyle w:val="113"/>
                <w:rFonts w:hint="eastAsia" w:ascii="宋体" w:hAnsi="宋体"/>
                <w:color w:val="auto"/>
                <w:sz w:val="24"/>
                <w:highlight w:val="none"/>
                <w:u w:val="single"/>
              </w:rPr>
              <w:t xml:space="preserve"> </w:t>
            </w:r>
            <w:r>
              <w:rPr>
                <w:rFonts w:hint="eastAsia" w:ascii="宋体" w:hAnsi="宋体" w:cs="宋体"/>
                <w:bCs/>
                <w:color w:val="auto"/>
                <w:sz w:val="24"/>
                <w:highlight w:val="none"/>
                <w:u w:val="single"/>
                <w:lang w:eastAsia="zh-CN"/>
              </w:rPr>
              <w:t>3.340</w:t>
            </w:r>
            <w:r>
              <w:rPr>
                <w:rStyle w:val="113"/>
                <w:rFonts w:hint="eastAsia" w:ascii="宋体" w:hAnsi="宋体"/>
                <w:color w:val="auto"/>
                <w:sz w:val="24"/>
                <w:highlight w:val="none"/>
                <w:u w:val="single"/>
              </w:rPr>
              <w:t xml:space="preserve"> </w:t>
            </w:r>
            <w:r>
              <w:rPr>
                <w:rStyle w:val="113"/>
                <w:rFonts w:hint="eastAsia" w:ascii="宋体" w:hAnsi="宋体"/>
                <w:color w:val="auto"/>
                <w:sz w:val="24"/>
                <w:highlight w:val="none"/>
              </w:rPr>
              <w:t>km。</w:t>
            </w:r>
          </w:p>
        </w:tc>
      </w:tr>
    </w:tbl>
    <w:p w14:paraId="37C75972">
      <w:pPr>
        <w:shd w:val="clear" w:fill="FFFFFF" w:themeFill="background1"/>
        <w:spacing w:line="360" w:lineRule="auto"/>
        <w:ind w:left="105" w:hanging="105" w:hangingChars="50"/>
        <w:rPr>
          <w:rFonts w:ascii="宋体" w:hAnsi="宋体"/>
          <w:color w:val="auto"/>
          <w:szCs w:val="21"/>
          <w:highlight w:val="none"/>
        </w:rPr>
      </w:pPr>
      <w:r>
        <w:rPr>
          <w:rFonts w:hint="eastAsia" w:ascii="宋体" w:hAnsi="宋体"/>
          <w:color w:val="auto"/>
          <w:szCs w:val="21"/>
          <w:highlight w:val="none"/>
        </w:rPr>
        <w:t xml:space="preserve">注：1、本附录所要求的业绩仅限中华人民共和国境内业绩。 </w:t>
      </w:r>
    </w:p>
    <w:p w14:paraId="3BB333A9">
      <w:pPr>
        <w:shd w:val="clear" w:fill="FFFFFF" w:themeFill="background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2、投标人应根据招标文件第二章“投标人须知”第 3.5.3 项的要求附相关证明材料。</w:t>
      </w:r>
    </w:p>
    <w:p w14:paraId="392386AE">
      <w:pPr>
        <w:shd w:val="clear" w:fill="FFFFFF" w:themeFill="background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3、近五年是指：</w:t>
      </w:r>
      <w:r>
        <w:rPr>
          <w:rFonts w:hint="eastAsia" w:ascii="宋体" w:hAnsi="宋体"/>
          <w:color w:val="auto"/>
          <w:szCs w:val="21"/>
          <w:highlight w:val="none"/>
          <w:lang w:eastAsia="zh-CN"/>
        </w:rPr>
        <w:t>2020年1月1日</w:t>
      </w:r>
      <w:r>
        <w:rPr>
          <w:rFonts w:hint="eastAsia" w:ascii="宋体" w:hAnsi="宋体"/>
          <w:color w:val="auto"/>
          <w:szCs w:val="21"/>
          <w:highlight w:val="none"/>
        </w:rPr>
        <w:t>至投标文件递交截止之日止。</w:t>
      </w:r>
    </w:p>
    <w:p w14:paraId="28A7E22B">
      <w:pPr>
        <w:shd w:val="clear" w:fill="FFFFFF" w:themeFill="background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4、类似工程是指：指</w:t>
      </w:r>
      <w:r>
        <w:rPr>
          <w:rFonts w:hint="eastAsia" w:ascii="宋体" w:hAnsi="宋体"/>
          <w:color w:val="auto"/>
          <w:szCs w:val="21"/>
          <w:highlight w:val="none"/>
          <w:lang w:eastAsia="zh-CN"/>
        </w:rPr>
        <w:t>新建或改、扩建、路面改造</w:t>
      </w:r>
      <w:r>
        <w:rPr>
          <w:rFonts w:hint="eastAsia" w:ascii="宋体" w:hAnsi="宋体"/>
          <w:color w:val="auto"/>
          <w:szCs w:val="21"/>
          <w:highlight w:val="none"/>
        </w:rPr>
        <w:t>四级以上（含四级）公路施工项目。在采用新建的公路项目完工业绩时，对于同公路等级改、扩建中的新建桥梁或隧道工程业绩也应认可。</w:t>
      </w:r>
    </w:p>
    <w:p w14:paraId="7F62656B">
      <w:pPr>
        <w:pStyle w:val="18"/>
        <w:shd w:val="clear" w:fill="FFFFFF" w:themeFill="background1"/>
        <w:spacing w:line="360" w:lineRule="auto"/>
        <w:jc w:val="left"/>
        <w:rPr>
          <w:rFonts w:ascii="宋体" w:hAnsi="宋体" w:cs="宋体"/>
          <w:color w:val="auto"/>
          <w:kern w:val="0"/>
          <w:sz w:val="24"/>
          <w:highlight w:val="none"/>
        </w:rPr>
      </w:pPr>
    </w:p>
    <w:p w14:paraId="2EE5B208">
      <w:pPr>
        <w:shd w:val="clear" w:fill="FFFFFF" w:themeFill="background1"/>
        <w:rPr>
          <w:color w:val="auto"/>
          <w:highlight w:val="none"/>
        </w:rPr>
      </w:pPr>
      <w:bookmarkStart w:id="44" w:name="_Toc27756"/>
      <w:bookmarkStart w:id="45" w:name="_Toc451261211"/>
      <w:bookmarkStart w:id="46" w:name="_Toc466575333"/>
      <w:bookmarkStart w:id="47" w:name="_Toc25225"/>
    </w:p>
    <w:p w14:paraId="00FCE865">
      <w:pPr>
        <w:pStyle w:val="6"/>
        <w:shd w:val="clear" w:fill="FFFFFF" w:themeFill="background1"/>
        <w:jc w:val="center"/>
        <w:rPr>
          <w:color w:val="auto"/>
          <w:highlight w:val="none"/>
        </w:rPr>
      </w:pPr>
      <w:bookmarkStart w:id="48" w:name="_Toc933"/>
      <w:r>
        <w:rPr>
          <w:rFonts w:hint="eastAsia"/>
          <w:color w:val="auto"/>
          <w:highlight w:val="none"/>
        </w:rPr>
        <w:t>附录4  资格审查条件(信誉最低要求)</w:t>
      </w:r>
      <w:bookmarkEnd w:id="44"/>
      <w:bookmarkEnd w:id="48"/>
    </w:p>
    <w:tbl>
      <w:tblPr>
        <w:tblStyle w:val="45"/>
        <w:tblW w:w="92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39"/>
      </w:tblGrid>
      <w:tr w14:paraId="4EDA6A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9239" w:type="dxa"/>
            <w:vAlign w:val="center"/>
          </w:tcPr>
          <w:p w14:paraId="2A010AA2">
            <w:pPr>
              <w:shd w:val="clear" w:fill="FFFFFF" w:themeFill="background1"/>
              <w:jc w:val="center"/>
              <w:rPr>
                <w:rFonts w:ascii="宋体" w:hAnsi="宋体"/>
                <w:color w:val="auto"/>
                <w:sz w:val="24"/>
                <w:highlight w:val="none"/>
              </w:rPr>
            </w:pPr>
            <w:r>
              <w:rPr>
                <w:rFonts w:hint="eastAsia" w:ascii="宋体" w:hAnsi="宋体"/>
                <w:color w:val="auto"/>
                <w:sz w:val="24"/>
                <w:highlight w:val="none"/>
              </w:rPr>
              <w:t>信 誉 要 求</w:t>
            </w:r>
          </w:p>
        </w:tc>
      </w:tr>
      <w:tr w14:paraId="44009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3" w:hRule="atLeast"/>
          <w:jc w:val="center"/>
        </w:trPr>
        <w:tc>
          <w:tcPr>
            <w:tcW w:w="9239" w:type="dxa"/>
            <w:vAlign w:val="center"/>
          </w:tcPr>
          <w:p w14:paraId="1B5EDF1F">
            <w:pPr>
              <w:pStyle w:val="57"/>
              <w:shd w:val="clear" w:fill="FFFFFF" w:themeFill="background1"/>
              <w:spacing w:line="360" w:lineRule="auto"/>
              <w:ind w:firstLine="480"/>
              <w:jc w:val="both"/>
              <w:rPr>
                <w:rFonts w:ascii="宋体" w:hAnsi="宋体" w:cs="宋体"/>
                <w:color w:val="auto"/>
                <w:kern w:val="2"/>
                <w:highlight w:val="none"/>
              </w:rPr>
            </w:pPr>
            <w:r>
              <w:rPr>
                <w:rFonts w:hint="eastAsia" w:ascii="宋体" w:hAnsi="宋体" w:cs="宋体"/>
                <w:color w:val="auto"/>
                <w:kern w:val="2"/>
                <w:highlight w:val="none"/>
              </w:rPr>
              <w:t>在最新年度广东省公路工程从业单位（施工单位）信用评价（含无最新年度而上一年度有信用评价）中，信用等级未被评为 D 级；</w:t>
            </w:r>
          </w:p>
          <w:p w14:paraId="1A3C6CF5">
            <w:pPr>
              <w:pStyle w:val="57"/>
              <w:shd w:val="clear" w:fill="FFFFFF" w:themeFill="background1"/>
              <w:spacing w:line="360" w:lineRule="auto"/>
              <w:ind w:firstLine="480"/>
              <w:jc w:val="both"/>
              <w:rPr>
                <w:rFonts w:ascii="宋体" w:hAnsi="宋体"/>
                <w:color w:val="auto"/>
                <w:highlight w:val="none"/>
              </w:rPr>
            </w:pPr>
            <w:r>
              <w:rPr>
                <w:rFonts w:hint="eastAsia" w:ascii="宋体" w:hAnsi="宋体" w:cs="宋体"/>
                <w:color w:val="auto"/>
                <w:kern w:val="2"/>
                <w:highlight w:val="none"/>
              </w:rPr>
              <w:t>初次进入广东省的投标人，在最新年度的全国公路从业单位（施工单位）信用评价结果中未被评为 D 级。</w:t>
            </w:r>
          </w:p>
        </w:tc>
      </w:tr>
    </w:tbl>
    <w:p w14:paraId="1C59D65C">
      <w:pPr>
        <w:shd w:val="clear" w:fill="FFFFFF" w:themeFill="background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注：1、信用等级的确定原则遵循投标人须知前附表 10.2 款的规定。</w:t>
      </w:r>
    </w:p>
    <w:p w14:paraId="712483C0">
      <w:pPr>
        <w:shd w:val="clear" w:fill="FFFFFF" w:themeFill="background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2、投标人应根据第九章“投标文件格式”中“八、资格审查资料 (五) 投标人的信誉情况</w:t>
      </w:r>
    </w:p>
    <w:p w14:paraId="0574A130">
      <w:pPr>
        <w:shd w:val="clear" w:fill="FFFFFF" w:themeFill="background1"/>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表”填写情况说明。</w:t>
      </w:r>
    </w:p>
    <w:p w14:paraId="1BD024A1">
      <w:pPr>
        <w:pStyle w:val="6"/>
        <w:shd w:val="clear" w:fill="FFFFFF" w:themeFill="background1"/>
        <w:spacing w:before="140" w:after="140" w:line="360" w:lineRule="auto"/>
        <w:jc w:val="center"/>
        <w:rPr>
          <w:rFonts w:ascii="宋体" w:hAnsi="宋体" w:cs="黑体"/>
          <w:bCs w:val="0"/>
          <w:color w:val="auto"/>
          <w:sz w:val="30"/>
          <w:szCs w:val="30"/>
          <w:highlight w:val="none"/>
        </w:rPr>
      </w:pPr>
    </w:p>
    <w:p w14:paraId="37CCD3D4">
      <w:pPr>
        <w:pStyle w:val="6"/>
        <w:shd w:val="clear" w:fill="FFFFFF" w:themeFill="background1"/>
        <w:spacing w:before="140" w:after="140" w:line="360" w:lineRule="auto"/>
        <w:jc w:val="center"/>
        <w:rPr>
          <w:rFonts w:ascii="宋体" w:hAnsi="宋体" w:cs="黑体"/>
          <w:bCs w:val="0"/>
          <w:color w:val="auto"/>
          <w:sz w:val="30"/>
          <w:szCs w:val="30"/>
          <w:highlight w:val="none"/>
        </w:rPr>
      </w:pPr>
      <w:bookmarkStart w:id="49" w:name="_Toc32466"/>
      <w:r>
        <w:rPr>
          <w:rFonts w:hint="eastAsia" w:ascii="宋体" w:hAnsi="宋体" w:cs="黑体"/>
          <w:bCs w:val="0"/>
          <w:color w:val="auto"/>
          <w:sz w:val="30"/>
          <w:szCs w:val="30"/>
          <w:highlight w:val="none"/>
        </w:rPr>
        <w:t>附录5  资格审查条件(项目经理和项目总工最低要求)</w:t>
      </w:r>
      <w:bookmarkEnd w:id="45"/>
      <w:bookmarkEnd w:id="46"/>
      <w:bookmarkEnd w:id="47"/>
      <w:bookmarkEnd w:id="49"/>
    </w:p>
    <w:tbl>
      <w:tblPr>
        <w:tblStyle w:val="45"/>
        <w:tblW w:w="10092"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108" w:type="dxa"/>
          <w:bottom w:w="0" w:type="dxa"/>
          <w:right w:w="108" w:type="dxa"/>
        </w:tblCellMar>
      </w:tblPr>
      <w:tblGrid>
        <w:gridCol w:w="1184"/>
        <w:gridCol w:w="720"/>
        <w:gridCol w:w="6155"/>
        <w:gridCol w:w="2033"/>
      </w:tblGrid>
      <w:tr w14:paraId="6026F69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476" w:hRule="atLeast"/>
          <w:jc w:val="center"/>
        </w:trPr>
        <w:tc>
          <w:tcPr>
            <w:tcW w:w="1184" w:type="dxa"/>
            <w:tcBorders>
              <w:tl2br w:val="nil"/>
              <w:tr2bl w:val="nil"/>
            </w:tcBorders>
            <w:vAlign w:val="center"/>
          </w:tcPr>
          <w:p w14:paraId="624A05E9">
            <w:pPr>
              <w:shd w:val="clear" w:fill="FFFFFF" w:themeFill="background1"/>
              <w:spacing w:line="276" w:lineRule="auto"/>
              <w:jc w:val="center"/>
              <w:rPr>
                <w:rFonts w:ascii="Calibri" w:hAnsi="Calibri"/>
                <w:color w:val="auto"/>
                <w:sz w:val="24"/>
                <w:highlight w:val="none"/>
              </w:rPr>
            </w:pPr>
            <w:r>
              <w:rPr>
                <w:rFonts w:hint="eastAsia" w:ascii="宋体" w:hAnsi="宋体" w:cs="宋体"/>
                <w:color w:val="auto"/>
                <w:sz w:val="24"/>
                <w:highlight w:val="none"/>
              </w:rPr>
              <w:t>人  员</w:t>
            </w:r>
          </w:p>
        </w:tc>
        <w:tc>
          <w:tcPr>
            <w:tcW w:w="720" w:type="dxa"/>
            <w:tcBorders>
              <w:tl2br w:val="nil"/>
              <w:tr2bl w:val="nil"/>
            </w:tcBorders>
            <w:vAlign w:val="center"/>
          </w:tcPr>
          <w:p w14:paraId="416EE6A4">
            <w:pPr>
              <w:shd w:val="clear" w:fill="FFFFFF" w:themeFill="background1"/>
              <w:spacing w:line="276" w:lineRule="auto"/>
              <w:jc w:val="center"/>
              <w:rPr>
                <w:rFonts w:ascii="Calibri" w:hAnsi="Calibri"/>
                <w:color w:val="auto"/>
                <w:sz w:val="24"/>
                <w:highlight w:val="none"/>
              </w:rPr>
            </w:pPr>
            <w:r>
              <w:rPr>
                <w:rFonts w:hint="eastAsia" w:ascii="宋体" w:hAnsi="宋体" w:cs="宋体"/>
                <w:color w:val="auto"/>
                <w:sz w:val="24"/>
                <w:highlight w:val="none"/>
              </w:rPr>
              <w:t>数量</w:t>
            </w:r>
          </w:p>
        </w:tc>
        <w:tc>
          <w:tcPr>
            <w:tcW w:w="6155" w:type="dxa"/>
            <w:tcBorders>
              <w:tl2br w:val="nil"/>
              <w:tr2bl w:val="nil"/>
            </w:tcBorders>
            <w:vAlign w:val="center"/>
          </w:tcPr>
          <w:p w14:paraId="60BDF69C">
            <w:pPr>
              <w:shd w:val="clear" w:fill="FFFFFF" w:themeFill="background1"/>
              <w:spacing w:line="276" w:lineRule="auto"/>
              <w:jc w:val="center"/>
              <w:rPr>
                <w:rFonts w:ascii="Calibri" w:hAnsi="Calibri"/>
                <w:color w:val="auto"/>
                <w:sz w:val="24"/>
                <w:highlight w:val="none"/>
              </w:rPr>
            </w:pPr>
            <w:r>
              <w:rPr>
                <w:rFonts w:hint="eastAsia" w:ascii="宋体" w:hAnsi="宋体" w:cs="宋体"/>
                <w:color w:val="auto"/>
                <w:sz w:val="24"/>
                <w:highlight w:val="none"/>
              </w:rPr>
              <w:t>资 格 要 求</w:t>
            </w:r>
          </w:p>
        </w:tc>
        <w:tc>
          <w:tcPr>
            <w:tcW w:w="2033" w:type="dxa"/>
            <w:tcBorders>
              <w:tl2br w:val="nil"/>
              <w:tr2bl w:val="nil"/>
            </w:tcBorders>
            <w:vAlign w:val="center"/>
          </w:tcPr>
          <w:p w14:paraId="24168B34">
            <w:pPr>
              <w:shd w:val="clear" w:fill="FFFFFF" w:themeFill="background1"/>
              <w:spacing w:line="276" w:lineRule="auto"/>
              <w:jc w:val="center"/>
              <w:rPr>
                <w:rFonts w:ascii="Calibri" w:hAnsi="Calibri"/>
                <w:color w:val="auto"/>
                <w:sz w:val="24"/>
                <w:highlight w:val="none"/>
              </w:rPr>
            </w:pPr>
            <w:r>
              <w:rPr>
                <w:rFonts w:hint="eastAsia" w:ascii="宋体" w:hAnsi="宋体" w:cs="宋体"/>
                <w:color w:val="auto"/>
                <w:sz w:val="24"/>
                <w:highlight w:val="none"/>
              </w:rPr>
              <w:t>在 岗 要 求</w:t>
            </w:r>
          </w:p>
        </w:tc>
      </w:tr>
      <w:tr w14:paraId="559D03B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2303" w:hRule="atLeast"/>
          <w:jc w:val="center"/>
        </w:trPr>
        <w:tc>
          <w:tcPr>
            <w:tcW w:w="1184" w:type="dxa"/>
            <w:tcBorders>
              <w:tl2br w:val="nil"/>
              <w:tr2bl w:val="nil"/>
            </w:tcBorders>
            <w:vAlign w:val="center"/>
          </w:tcPr>
          <w:p w14:paraId="38748C2F">
            <w:pPr>
              <w:shd w:val="clear" w:fill="FFFFFF" w:themeFill="background1"/>
              <w:spacing w:line="360" w:lineRule="auto"/>
              <w:jc w:val="center"/>
              <w:rPr>
                <w:rFonts w:ascii="Calibri" w:hAnsi="Calibri"/>
                <w:color w:val="auto"/>
                <w:sz w:val="24"/>
                <w:highlight w:val="none"/>
              </w:rPr>
            </w:pPr>
            <w:r>
              <w:rPr>
                <w:rFonts w:hint="eastAsia" w:ascii="宋体" w:hAnsi="宋体" w:cs="宋体"/>
                <w:color w:val="auto"/>
                <w:sz w:val="24"/>
                <w:highlight w:val="none"/>
              </w:rPr>
              <w:t>项目经理</w:t>
            </w:r>
          </w:p>
        </w:tc>
        <w:tc>
          <w:tcPr>
            <w:tcW w:w="720" w:type="dxa"/>
            <w:tcBorders>
              <w:tl2br w:val="nil"/>
              <w:tr2bl w:val="nil"/>
            </w:tcBorders>
            <w:vAlign w:val="center"/>
          </w:tcPr>
          <w:p w14:paraId="3F35ED43">
            <w:pPr>
              <w:shd w:val="clear" w:fill="FFFFFF" w:themeFill="background1"/>
              <w:spacing w:line="360" w:lineRule="auto"/>
              <w:jc w:val="center"/>
              <w:rPr>
                <w:rFonts w:ascii="Calibri" w:hAnsi="Calibri"/>
                <w:color w:val="auto"/>
                <w:sz w:val="24"/>
                <w:highlight w:val="none"/>
              </w:rPr>
            </w:pPr>
            <w:r>
              <w:rPr>
                <w:rFonts w:hint="eastAsia" w:ascii="宋体" w:hAnsi="宋体" w:cs="宋体"/>
                <w:color w:val="auto"/>
                <w:sz w:val="24"/>
                <w:highlight w:val="none"/>
              </w:rPr>
              <w:t>1</w:t>
            </w:r>
          </w:p>
        </w:tc>
        <w:tc>
          <w:tcPr>
            <w:tcW w:w="6155" w:type="dxa"/>
            <w:tcBorders>
              <w:tl2br w:val="nil"/>
              <w:tr2bl w:val="nil"/>
            </w:tcBorders>
            <w:vAlign w:val="center"/>
          </w:tcPr>
          <w:p w14:paraId="713E0D48">
            <w:pPr>
              <w:shd w:val="clear" w:fill="FFFFFF" w:themeFill="background1"/>
              <w:spacing w:line="360" w:lineRule="auto"/>
              <w:ind w:right="6" w:rightChars="3"/>
              <w:rPr>
                <w:rFonts w:ascii="宋体" w:hAnsi="宋体"/>
                <w:color w:val="auto"/>
                <w:sz w:val="24"/>
                <w:highlight w:val="none"/>
              </w:rPr>
            </w:pPr>
            <w:r>
              <w:rPr>
                <w:rFonts w:hint="eastAsia" w:ascii="宋体" w:hAnsi="宋体" w:cs="宋体"/>
                <w:color w:val="auto"/>
                <w:sz w:val="24"/>
                <w:highlight w:val="none"/>
              </w:rPr>
              <w:t xml:space="preserve">    工程师</w:t>
            </w:r>
            <w:r>
              <w:rPr>
                <w:rFonts w:ascii="宋体" w:hAnsi="宋体" w:cs="宋体"/>
                <w:color w:val="auto"/>
                <w:sz w:val="24"/>
                <w:highlight w:val="none"/>
              </w:rPr>
              <w:t>或以上职称</w:t>
            </w:r>
            <w:r>
              <w:rPr>
                <w:rFonts w:hint="eastAsia" w:ascii="宋体" w:hAnsi="宋体" w:cs="宋体"/>
                <w:color w:val="auto"/>
                <w:sz w:val="24"/>
                <w:highlight w:val="none"/>
              </w:rPr>
              <w:t>，担任类似工程项目经理（或项目副经理或项目总工）岗位累计</w:t>
            </w:r>
            <w:r>
              <w:rPr>
                <w:rFonts w:hint="eastAsia" w:ascii="宋体" w:hAnsi="宋体" w:cs="宋体"/>
                <w:color w:val="auto"/>
                <w:sz w:val="24"/>
                <w:highlight w:val="none"/>
                <w:u w:val="single"/>
              </w:rPr>
              <w:t>3个月</w:t>
            </w:r>
            <w:r>
              <w:rPr>
                <w:rFonts w:hint="eastAsia" w:ascii="宋体" w:hAnsi="宋体" w:cs="宋体"/>
                <w:color w:val="auto"/>
                <w:sz w:val="24"/>
                <w:highlight w:val="none"/>
              </w:rPr>
              <w:t>，并持有住房和城乡建设部颁发的公路工程专业二级建造师注册证书，具有交通主管部门颁发的有效安全生产“三类人员”B类证书。</w:t>
            </w:r>
          </w:p>
        </w:tc>
        <w:tc>
          <w:tcPr>
            <w:tcW w:w="2033" w:type="dxa"/>
            <w:vMerge w:val="restart"/>
            <w:tcBorders>
              <w:tl2br w:val="nil"/>
              <w:tr2bl w:val="nil"/>
            </w:tcBorders>
            <w:vAlign w:val="center"/>
          </w:tcPr>
          <w:p w14:paraId="6047A55B">
            <w:pPr>
              <w:shd w:val="clear" w:fill="FFFFFF" w:themeFill="background1"/>
              <w:spacing w:line="360" w:lineRule="auto"/>
              <w:rPr>
                <w:rFonts w:ascii="宋体" w:hAnsi="宋体"/>
                <w:color w:val="auto"/>
                <w:sz w:val="24"/>
                <w:highlight w:val="none"/>
              </w:rPr>
            </w:pPr>
            <w:r>
              <w:rPr>
                <w:rFonts w:hint="eastAsia" w:ascii="宋体" w:hAnsi="宋体"/>
                <w:color w:val="auto"/>
                <w:sz w:val="24"/>
                <w:highlight w:val="none"/>
              </w:rPr>
              <w:t>无在岗项目（指目前未在其他项目上任职，或虽在其他项目上任职但本项目中标后能够从该项目撤离）。</w:t>
            </w:r>
          </w:p>
        </w:tc>
      </w:tr>
      <w:tr w14:paraId="6208EEF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108" w:type="dxa"/>
            <w:bottom w:w="0" w:type="dxa"/>
            <w:right w:w="108" w:type="dxa"/>
          </w:tblCellMar>
        </w:tblPrEx>
        <w:trPr>
          <w:trHeight w:val="1628" w:hRule="atLeast"/>
          <w:jc w:val="center"/>
        </w:trPr>
        <w:tc>
          <w:tcPr>
            <w:tcW w:w="1184" w:type="dxa"/>
            <w:tcBorders>
              <w:tl2br w:val="nil"/>
              <w:tr2bl w:val="nil"/>
            </w:tcBorders>
            <w:vAlign w:val="center"/>
          </w:tcPr>
          <w:p w14:paraId="5888B040">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项目总工</w:t>
            </w:r>
          </w:p>
        </w:tc>
        <w:tc>
          <w:tcPr>
            <w:tcW w:w="720" w:type="dxa"/>
            <w:tcBorders>
              <w:tl2br w:val="nil"/>
              <w:tr2bl w:val="nil"/>
            </w:tcBorders>
            <w:vAlign w:val="center"/>
          </w:tcPr>
          <w:p w14:paraId="75AFF97F">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6155" w:type="dxa"/>
            <w:tcBorders>
              <w:tl2br w:val="nil"/>
              <w:tr2bl w:val="nil"/>
            </w:tcBorders>
            <w:vAlign w:val="center"/>
          </w:tcPr>
          <w:p w14:paraId="70DB2CF7">
            <w:pPr>
              <w:shd w:val="clear" w:fill="FFFFFF" w:themeFill="background1"/>
              <w:spacing w:line="360" w:lineRule="auto"/>
              <w:ind w:firstLine="480" w:firstLineChars="200"/>
              <w:rPr>
                <w:rFonts w:ascii="Calibri" w:hAnsi="Calibri"/>
                <w:color w:val="auto"/>
                <w:sz w:val="24"/>
                <w:highlight w:val="none"/>
              </w:rPr>
            </w:pPr>
            <w:r>
              <w:rPr>
                <w:rFonts w:hint="eastAsia" w:ascii="宋体" w:hAnsi="宋体" w:cs="宋体"/>
                <w:color w:val="auto"/>
                <w:sz w:val="24"/>
                <w:highlight w:val="none"/>
              </w:rPr>
              <w:t>路桥相关专业工程师或以上职称，主管类似工程技术工作岗位累计</w:t>
            </w:r>
            <w:r>
              <w:rPr>
                <w:rFonts w:hint="eastAsia" w:ascii="宋体" w:hAnsi="宋体" w:cs="宋体"/>
                <w:color w:val="auto"/>
                <w:sz w:val="24"/>
                <w:highlight w:val="none"/>
                <w:u w:val="single"/>
              </w:rPr>
              <w:t>3个月</w:t>
            </w:r>
            <w:r>
              <w:rPr>
                <w:rFonts w:hint="eastAsia" w:ascii="宋体" w:hAnsi="宋体" w:cs="宋体"/>
                <w:color w:val="auto"/>
                <w:sz w:val="24"/>
                <w:highlight w:val="none"/>
              </w:rPr>
              <w:t>，具有交通主管部门颁发的有效安全生产“三类人员”B类证书。</w:t>
            </w:r>
          </w:p>
        </w:tc>
        <w:tc>
          <w:tcPr>
            <w:tcW w:w="2033" w:type="dxa"/>
            <w:vMerge w:val="continue"/>
            <w:tcBorders>
              <w:tl2br w:val="nil"/>
              <w:tr2bl w:val="nil"/>
            </w:tcBorders>
            <w:vAlign w:val="center"/>
          </w:tcPr>
          <w:p w14:paraId="2599FDD8">
            <w:pPr>
              <w:shd w:val="clear" w:fill="FFFFFF" w:themeFill="background1"/>
              <w:spacing w:line="360" w:lineRule="auto"/>
              <w:rPr>
                <w:rFonts w:ascii="Calibri" w:hAnsi="Calibri"/>
                <w:color w:val="auto"/>
                <w:sz w:val="24"/>
                <w:highlight w:val="none"/>
              </w:rPr>
            </w:pPr>
          </w:p>
        </w:tc>
      </w:tr>
    </w:tbl>
    <w:p w14:paraId="2E4AD710">
      <w:pPr>
        <w:shd w:val="clear" w:fill="FFFFFF" w:themeFill="background1"/>
        <w:spacing w:line="360" w:lineRule="auto"/>
        <w:rPr>
          <w:rFonts w:ascii="宋体" w:hAnsi="宋体"/>
          <w:color w:val="auto"/>
          <w:szCs w:val="21"/>
          <w:highlight w:val="none"/>
          <w:lang w:val="zh-CN"/>
        </w:rPr>
      </w:pPr>
      <w:r>
        <w:rPr>
          <w:rFonts w:hint="eastAsia" w:ascii="宋体" w:hAnsi="宋体"/>
          <w:color w:val="auto"/>
          <w:szCs w:val="21"/>
          <w:highlight w:val="none"/>
          <w:lang w:val="zh-CN"/>
        </w:rPr>
        <w:t>注：1．资格要求的人员建造师注册证书、安全生产“三类人员”B 类证书均应在投标人所在单位，否则视为无效。</w:t>
      </w:r>
    </w:p>
    <w:p w14:paraId="44CD111C">
      <w:pPr>
        <w:numPr>
          <w:ilvl w:val="0"/>
          <w:numId w:val="9"/>
        </w:numPr>
        <w:shd w:val="clear" w:fill="FFFFFF" w:themeFill="background1"/>
        <w:spacing w:line="360" w:lineRule="auto"/>
        <w:ind w:firstLine="420" w:firstLineChars="200"/>
        <w:rPr>
          <w:rFonts w:ascii="宋体" w:hAnsi="宋体"/>
          <w:color w:val="auto"/>
          <w:szCs w:val="21"/>
          <w:highlight w:val="none"/>
          <w:lang w:val="zh-CN"/>
        </w:rPr>
      </w:pPr>
      <w:r>
        <w:rPr>
          <w:rFonts w:hint="eastAsia" w:ascii="宋体" w:hAnsi="宋体"/>
          <w:color w:val="auto"/>
          <w:szCs w:val="21"/>
          <w:highlight w:val="none"/>
          <w:lang w:val="zh-CN"/>
        </w:rPr>
        <w:t>主管技术工作指：担任过项目经理、项目副经理、项目总工、项目副总工、质检负责人、工程部门负责人。担任类似工程项目经理（或项目副经理或项目总工）岗位经验累计时间、主管类似工程技术工作岗位经验累计时间统计至月，计算时尾数如不少于 15 天的按 1 个月计，不足 15 天部分不计。</w:t>
      </w:r>
    </w:p>
    <w:p w14:paraId="009A608A">
      <w:pPr>
        <w:numPr>
          <w:ilvl w:val="0"/>
          <w:numId w:val="9"/>
        </w:numPr>
        <w:shd w:val="clear" w:fill="FFFFFF" w:themeFill="background1"/>
        <w:spacing w:line="360" w:lineRule="auto"/>
        <w:ind w:firstLine="420" w:firstLineChars="200"/>
        <w:rPr>
          <w:rFonts w:ascii="宋体" w:hAnsi="宋体"/>
          <w:color w:val="auto"/>
          <w:szCs w:val="21"/>
          <w:highlight w:val="none"/>
          <w:lang w:val="zh-CN"/>
        </w:rPr>
      </w:pPr>
      <w:r>
        <w:rPr>
          <w:rFonts w:hint="eastAsia" w:ascii="宋体" w:hAnsi="宋体"/>
          <w:color w:val="auto"/>
          <w:szCs w:val="21"/>
          <w:highlight w:val="none"/>
          <w:lang w:val="zh-CN"/>
        </w:rPr>
        <w:t>投标人应根据招标文件第二章“投标人须知”第 3.5.5 项的要求附相关证明材料。</w:t>
      </w:r>
    </w:p>
    <w:p w14:paraId="15FEC45F">
      <w:pPr>
        <w:pStyle w:val="55"/>
        <w:shd w:val="clear" w:fill="FFFFFF" w:themeFill="background1"/>
        <w:rPr>
          <w:color w:val="auto"/>
          <w:highlight w:val="none"/>
        </w:rPr>
      </w:pPr>
    </w:p>
    <w:p w14:paraId="7D680963">
      <w:pPr>
        <w:pStyle w:val="6"/>
        <w:shd w:val="clear" w:fill="FFFFFF" w:themeFill="background1"/>
        <w:spacing w:before="140" w:after="140" w:line="360" w:lineRule="auto"/>
        <w:jc w:val="center"/>
        <w:rPr>
          <w:rFonts w:ascii="宋体" w:hAnsi="宋体" w:cs="黑体"/>
          <w:bCs w:val="0"/>
          <w:color w:val="auto"/>
          <w:sz w:val="30"/>
          <w:szCs w:val="30"/>
          <w:highlight w:val="none"/>
        </w:rPr>
      </w:pPr>
      <w:bookmarkStart w:id="50" w:name="_Toc26687"/>
      <w:bookmarkStart w:id="51" w:name="_Toc8287"/>
      <w:r>
        <w:rPr>
          <w:rFonts w:hint="eastAsia" w:ascii="宋体" w:hAnsi="宋体" w:cs="黑体"/>
          <w:bCs w:val="0"/>
          <w:color w:val="auto"/>
          <w:sz w:val="30"/>
          <w:szCs w:val="30"/>
          <w:highlight w:val="none"/>
        </w:rPr>
        <w:t>附录6  资格审查条件(</w:t>
      </w:r>
      <w:bookmarkStart w:id="52" w:name="OLE_LINK1"/>
      <w:r>
        <w:rPr>
          <w:rFonts w:hint="eastAsia" w:ascii="宋体" w:hAnsi="宋体" w:cs="黑体"/>
          <w:bCs w:val="0"/>
          <w:color w:val="auto"/>
          <w:sz w:val="30"/>
          <w:szCs w:val="30"/>
          <w:highlight w:val="none"/>
        </w:rPr>
        <w:t>其他管理人员和技术人员最低要求</w:t>
      </w:r>
      <w:bookmarkEnd w:id="52"/>
      <w:r>
        <w:rPr>
          <w:rFonts w:hint="eastAsia" w:ascii="宋体" w:hAnsi="宋体" w:cs="黑体"/>
          <w:bCs w:val="0"/>
          <w:color w:val="auto"/>
          <w:sz w:val="30"/>
          <w:szCs w:val="30"/>
          <w:highlight w:val="none"/>
        </w:rPr>
        <w:t>)</w:t>
      </w:r>
      <w:bookmarkEnd w:id="50"/>
      <w:bookmarkEnd w:id="51"/>
    </w:p>
    <w:tbl>
      <w:tblPr>
        <w:tblStyle w:val="45"/>
        <w:tblW w:w="985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76"/>
        <w:gridCol w:w="690"/>
        <w:gridCol w:w="7286"/>
      </w:tblGrid>
      <w:tr w14:paraId="2612A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8" w:hRule="exact"/>
          <w:jc w:val="center"/>
        </w:trPr>
        <w:tc>
          <w:tcPr>
            <w:tcW w:w="1876" w:type="dxa"/>
            <w:vAlign w:val="center"/>
          </w:tcPr>
          <w:p w14:paraId="669BC846">
            <w:pPr>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人  员</w:t>
            </w:r>
          </w:p>
        </w:tc>
        <w:tc>
          <w:tcPr>
            <w:tcW w:w="690" w:type="dxa"/>
            <w:vAlign w:val="center"/>
          </w:tcPr>
          <w:p w14:paraId="4EC06885">
            <w:pPr>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86" w:type="dxa"/>
            <w:vAlign w:val="center"/>
          </w:tcPr>
          <w:p w14:paraId="4AC9E7C5">
            <w:pPr>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资 格 要 求</w:t>
            </w:r>
          </w:p>
        </w:tc>
      </w:tr>
      <w:tr w14:paraId="003257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319BD097">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质检工程师</w:t>
            </w:r>
          </w:p>
        </w:tc>
        <w:tc>
          <w:tcPr>
            <w:tcW w:w="690" w:type="dxa"/>
            <w:vAlign w:val="center"/>
          </w:tcPr>
          <w:p w14:paraId="4FACC626">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7286" w:type="dxa"/>
            <w:vAlign w:val="center"/>
          </w:tcPr>
          <w:p w14:paraId="3ECB94FF">
            <w:pPr>
              <w:shd w:val="clear" w:fill="FFFFFF" w:themeFill="background1"/>
              <w:spacing w:line="320" w:lineRule="exact"/>
              <w:jc w:val="left"/>
              <w:rPr>
                <w:rFonts w:ascii="宋体" w:hAnsi="宋体" w:cs="宋体"/>
                <w:color w:val="auto"/>
                <w:sz w:val="24"/>
                <w:highlight w:val="none"/>
              </w:rPr>
            </w:pPr>
            <w:r>
              <w:rPr>
                <w:rFonts w:hint="eastAsia" w:ascii="宋体" w:hAnsi="宋体" w:cs="宋体"/>
                <w:color w:val="auto"/>
                <w:sz w:val="24"/>
                <w:highlight w:val="none"/>
              </w:rPr>
              <w:t>路桥相关专业工程师，累计 3 年从事类似工程经验。</w:t>
            </w:r>
          </w:p>
        </w:tc>
      </w:tr>
      <w:tr w14:paraId="102603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154B58D8">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道路工程师</w:t>
            </w:r>
          </w:p>
        </w:tc>
        <w:tc>
          <w:tcPr>
            <w:tcW w:w="690" w:type="dxa"/>
            <w:vAlign w:val="center"/>
          </w:tcPr>
          <w:p w14:paraId="68C2E380">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7286" w:type="dxa"/>
            <w:vAlign w:val="center"/>
          </w:tcPr>
          <w:p w14:paraId="58AFC743">
            <w:pPr>
              <w:shd w:val="clear" w:fill="FFFFFF" w:themeFill="background1"/>
              <w:spacing w:line="320" w:lineRule="exact"/>
              <w:rPr>
                <w:rFonts w:ascii="宋体" w:hAnsi="宋体" w:cs="宋体"/>
                <w:color w:val="auto"/>
                <w:sz w:val="24"/>
                <w:highlight w:val="none"/>
              </w:rPr>
            </w:pPr>
            <w:r>
              <w:rPr>
                <w:rFonts w:hint="eastAsia" w:ascii="宋体" w:hAnsi="宋体" w:cs="宋体"/>
                <w:color w:val="auto"/>
                <w:sz w:val="24"/>
                <w:highlight w:val="none"/>
              </w:rPr>
              <w:t>路桥相关专业工程师，累计 3 年从事类似工程经验。</w:t>
            </w:r>
          </w:p>
        </w:tc>
      </w:tr>
      <w:tr w14:paraId="404828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526E0F26">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测量工程师</w:t>
            </w:r>
          </w:p>
        </w:tc>
        <w:tc>
          <w:tcPr>
            <w:tcW w:w="690" w:type="dxa"/>
            <w:vAlign w:val="center"/>
          </w:tcPr>
          <w:p w14:paraId="050C621A">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7286" w:type="dxa"/>
            <w:vAlign w:val="center"/>
          </w:tcPr>
          <w:p w14:paraId="548A694C">
            <w:pPr>
              <w:shd w:val="clear" w:fill="FFFFFF" w:themeFill="background1"/>
              <w:spacing w:line="320" w:lineRule="exact"/>
              <w:jc w:val="left"/>
              <w:rPr>
                <w:rFonts w:ascii="宋体" w:hAnsi="宋体" w:cs="宋体"/>
                <w:bCs/>
                <w:color w:val="auto"/>
                <w:kern w:val="0"/>
                <w:sz w:val="24"/>
                <w:highlight w:val="none"/>
              </w:rPr>
            </w:pPr>
            <w:r>
              <w:rPr>
                <w:rFonts w:hint="eastAsia" w:ascii="宋体" w:hAnsi="宋体" w:cs="宋体"/>
                <w:color w:val="auto"/>
                <w:sz w:val="24"/>
                <w:highlight w:val="none"/>
              </w:rPr>
              <w:t>工程师，累计 3 年</w:t>
            </w:r>
            <w:r>
              <w:rPr>
                <w:rFonts w:hint="eastAsia" w:ascii="宋体" w:hAnsi="宋体" w:cs="宋体"/>
                <w:bCs/>
                <w:color w:val="auto"/>
                <w:kern w:val="0"/>
                <w:sz w:val="24"/>
                <w:highlight w:val="none"/>
              </w:rPr>
              <w:t>从事</w:t>
            </w:r>
            <w:r>
              <w:rPr>
                <w:rFonts w:hint="eastAsia" w:ascii="宋体" w:hAnsi="宋体" w:cs="宋体"/>
                <w:color w:val="auto"/>
                <w:sz w:val="24"/>
                <w:highlight w:val="none"/>
              </w:rPr>
              <w:t>类似工程经验。</w:t>
            </w:r>
          </w:p>
        </w:tc>
      </w:tr>
      <w:tr w14:paraId="4A7CE9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4ED7F030">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试验工程师</w:t>
            </w:r>
          </w:p>
        </w:tc>
        <w:tc>
          <w:tcPr>
            <w:tcW w:w="690" w:type="dxa"/>
            <w:vAlign w:val="center"/>
          </w:tcPr>
          <w:p w14:paraId="5D57E8F5">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7286" w:type="dxa"/>
            <w:vAlign w:val="center"/>
          </w:tcPr>
          <w:p w14:paraId="5F568A72">
            <w:pPr>
              <w:shd w:val="clear" w:fill="FFFFFF" w:themeFill="background1"/>
              <w:spacing w:line="320" w:lineRule="exact"/>
              <w:jc w:val="left"/>
              <w:rPr>
                <w:rFonts w:ascii="宋体" w:hAnsi="宋体" w:cs="宋体"/>
                <w:bCs/>
                <w:color w:val="auto"/>
                <w:kern w:val="0"/>
                <w:sz w:val="24"/>
                <w:highlight w:val="none"/>
              </w:rPr>
            </w:pPr>
            <w:r>
              <w:rPr>
                <w:rFonts w:ascii="宋体" w:hAnsi="宋体" w:cs="宋体"/>
                <w:bCs/>
                <w:color w:val="auto"/>
                <w:kern w:val="0"/>
                <w:sz w:val="24"/>
                <w:highlight w:val="none"/>
              </w:rPr>
              <w:t>持有行政主管部门核发的公路工程试验检测师资格证书或试验检测工程师资格证书，累计 3 年从事类似工程经验。</w:t>
            </w:r>
          </w:p>
        </w:tc>
      </w:tr>
      <w:tr w14:paraId="53BB8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5D9E7245">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财务负责人</w:t>
            </w:r>
          </w:p>
        </w:tc>
        <w:tc>
          <w:tcPr>
            <w:tcW w:w="690" w:type="dxa"/>
            <w:vAlign w:val="center"/>
          </w:tcPr>
          <w:p w14:paraId="3D035A37">
            <w:pPr>
              <w:shd w:val="clear" w:fill="FFFFFF" w:themeFill="background1"/>
              <w:spacing w:line="320" w:lineRule="exact"/>
              <w:jc w:val="center"/>
              <w:rPr>
                <w:rFonts w:ascii="宋体" w:hAnsi="宋体" w:cs="宋体"/>
                <w:bCs/>
                <w:color w:val="auto"/>
                <w:kern w:val="0"/>
                <w:sz w:val="24"/>
                <w:highlight w:val="none"/>
              </w:rPr>
            </w:pPr>
            <w:r>
              <w:rPr>
                <w:rFonts w:hint="eastAsia" w:ascii="宋体" w:hAnsi="宋体" w:cs="宋体"/>
                <w:color w:val="auto"/>
                <w:sz w:val="24"/>
                <w:highlight w:val="none"/>
              </w:rPr>
              <w:t>1</w:t>
            </w:r>
          </w:p>
        </w:tc>
        <w:tc>
          <w:tcPr>
            <w:tcW w:w="7286" w:type="dxa"/>
            <w:vAlign w:val="center"/>
          </w:tcPr>
          <w:p w14:paraId="1ECD8F3E">
            <w:pPr>
              <w:shd w:val="clear" w:fill="FFFFFF" w:themeFill="background1"/>
              <w:spacing w:line="320" w:lineRule="exact"/>
              <w:jc w:val="left"/>
              <w:rPr>
                <w:rFonts w:ascii="宋体" w:hAnsi="宋体" w:cs="宋体"/>
                <w:bCs/>
                <w:color w:val="auto"/>
                <w:kern w:val="0"/>
                <w:sz w:val="24"/>
                <w:highlight w:val="none"/>
              </w:rPr>
            </w:pPr>
            <w:r>
              <w:rPr>
                <w:rFonts w:hint="eastAsia" w:ascii="宋体" w:hAnsi="宋体" w:cs="宋体"/>
                <w:bCs/>
                <w:color w:val="auto"/>
                <w:kern w:val="0"/>
                <w:sz w:val="24"/>
                <w:highlight w:val="none"/>
              </w:rPr>
              <w:t>累计3年从事类似工程经验。</w:t>
            </w:r>
          </w:p>
        </w:tc>
      </w:tr>
      <w:tr w14:paraId="3209A1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321010B6">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专职安全生产管理人员</w:t>
            </w:r>
          </w:p>
        </w:tc>
        <w:tc>
          <w:tcPr>
            <w:tcW w:w="690" w:type="dxa"/>
            <w:vAlign w:val="center"/>
          </w:tcPr>
          <w:p w14:paraId="195D7C51">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7286" w:type="dxa"/>
            <w:vAlign w:val="center"/>
          </w:tcPr>
          <w:p w14:paraId="6773AE04">
            <w:pPr>
              <w:shd w:val="clear" w:fill="FFFFFF" w:themeFill="background1"/>
              <w:spacing w:line="320" w:lineRule="exact"/>
              <w:jc w:val="left"/>
              <w:rPr>
                <w:rFonts w:ascii="宋体" w:hAnsi="宋体" w:cs="宋体"/>
                <w:bCs/>
                <w:color w:val="auto"/>
                <w:kern w:val="0"/>
                <w:sz w:val="24"/>
                <w:highlight w:val="none"/>
              </w:rPr>
            </w:pPr>
            <w:r>
              <w:rPr>
                <w:rFonts w:hint="eastAsia" w:ascii="宋体" w:hAnsi="宋体" w:cs="宋体"/>
                <w:bCs/>
                <w:color w:val="auto"/>
                <w:kern w:val="0"/>
                <w:sz w:val="24"/>
                <w:highlight w:val="none"/>
              </w:rPr>
              <w:t>具有交通主管部门颁发的有效安全生产“三类人员” C 类证书，累计 3 年从事类似工程经验。</w:t>
            </w:r>
          </w:p>
        </w:tc>
      </w:tr>
      <w:tr w14:paraId="6C7D9C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1876" w:type="dxa"/>
            <w:vAlign w:val="center"/>
          </w:tcPr>
          <w:p w14:paraId="56BEBF63">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资料员</w:t>
            </w:r>
          </w:p>
        </w:tc>
        <w:tc>
          <w:tcPr>
            <w:tcW w:w="690" w:type="dxa"/>
            <w:vAlign w:val="center"/>
          </w:tcPr>
          <w:p w14:paraId="13EA567E">
            <w:pPr>
              <w:shd w:val="clear" w:fill="FFFFFF" w:themeFill="background1"/>
              <w:spacing w:line="32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7286" w:type="dxa"/>
            <w:vAlign w:val="center"/>
          </w:tcPr>
          <w:p w14:paraId="27937DD7">
            <w:pPr>
              <w:shd w:val="clear" w:fill="FFFFFF" w:themeFill="background1"/>
              <w:spacing w:line="320" w:lineRule="exact"/>
              <w:jc w:val="left"/>
              <w:rPr>
                <w:rFonts w:ascii="宋体" w:hAnsi="宋体" w:cs="宋体"/>
                <w:bCs/>
                <w:color w:val="auto"/>
                <w:kern w:val="0"/>
                <w:sz w:val="24"/>
                <w:highlight w:val="none"/>
              </w:rPr>
            </w:pPr>
            <w:r>
              <w:rPr>
                <w:rFonts w:hint="eastAsia" w:ascii="宋体" w:hAnsi="宋体" w:cs="宋体"/>
                <w:color w:val="auto"/>
                <w:sz w:val="24"/>
                <w:highlight w:val="none"/>
              </w:rPr>
              <w:t>资料员，累计 3 年从事类似工作经验。</w:t>
            </w:r>
          </w:p>
        </w:tc>
      </w:tr>
    </w:tbl>
    <w:p w14:paraId="734337C2">
      <w:pPr>
        <w:shd w:val="clear" w:fill="FFFFFF" w:themeFill="background1"/>
        <w:spacing w:line="360" w:lineRule="auto"/>
        <w:rPr>
          <w:color w:val="auto"/>
          <w:sz w:val="24"/>
          <w:highlight w:val="none"/>
        </w:rPr>
      </w:pPr>
      <w:r>
        <w:rPr>
          <w:rFonts w:hint="eastAsia"/>
          <w:color w:val="auto"/>
          <w:sz w:val="24"/>
          <w:highlight w:val="none"/>
        </w:rPr>
        <w:t>注：</w:t>
      </w:r>
    </w:p>
    <w:p w14:paraId="6886419A">
      <w:pPr>
        <w:shd w:val="clear" w:fill="FFFFFF" w:themeFill="background1"/>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    1、附录 6 所要求人员须按投标文件投标函的格式承诺，中标人在进场前向招标人提交实际投入的人员。</w:t>
      </w:r>
    </w:p>
    <w:p w14:paraId="43C72377">
      <w:pPr>
        <w:shd w:val="clear" w:fill="FFFFFF" w:themeFill="background1"/>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2、投标人中标后专职安全生产管理人员的配备应按照交通部《公路水运工程安全生产监督管理办法》的要求执行。招标人可根据项目的工期和进度，按规定设置最低的专职安全生产管理人员数量要求。</w:t>
      </w:r>
    </w:p>
    <w:p w14:paraId="6FFC1FEA">
      <w:pPr>
        <w:shd w:val="clear" w:fill="FFFFFF" w:themeFill="background1"/>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3、计划工程师的造价人员证书的等级结合项目属性按规定合理设定。</w:t>
      </w:r>
    </w:p>
    <w:p w14:paraId="49461F65">
      <w:pPr>
        <w:shd w:val="clear" w:fill="FFFFFF" w:themeFill="background1"/>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4、试验相关人员的配备应符合《广东省公路工程施工标准化指南》的要求。</w:t>
      </w:r>
    </w:p>
    <w:p w14:paraId="261114B7">
      <w:pPr>
        <w:pStyle w:val="55"/>
        <w:shd w:val="clear" w:fill="FFFFFF" w:themeFill="background1"/>
        <w:rPr>
          <w:rFonts w:ascii="宋体" w:hAnsi="宋体" w:cs="宋体"/>
          <w:color w:val="auto"/>
          <w:sz w:val="21"/>
          <w:szCs w:val="21"/>
          <w:highlight w:val="none"/>
        </w:rPr>
      </w:pPr>
    </w:p>
    <w:p w14:paraId="78DD3959">
      <w:pPr>
        <w:pStyle w:val="6"/>
        <w:shd w:val="clear" w:fill="FFFFFF" w:themeFill="background1"/>
        <w:jc w:val="center"/>
        <w:rPr>
          <w:rFonts w:ascii="宋体" w:hAnsi="宋体" w:cs="黑体"/>
          <w:color w:val="auto"/>
          <w:sz w:val="30"/>
          <w:szCs w:val="30"/>
          <w:highlight w:val="none"/>
        </w:rPr>
      </w:pPr>
    </w:p>
    <w:p w14:paraId="1E78F445">
      <w:pPr>
        <w:pStyle w:val="6"/>
        <w:shd w:val="clear" w:fill="FFFFFF" w:themeFill="background1"/>
        <w:jc w:val="center"/>
        <w:rPr>
          <w:rFonts w:ascii="宋体" w:hAnsi="宋体" w:cs="黑体"/>
          <w:color w:val="auto"/>
          <w:sz w:val="30"/>
          <w:szCs w:val="30"/>
          <w:highlight w:val="none"/>
        </w:rPr>
      </w:pPr>
      <w:r>
        <w:rPr>
          <w:rFonts w:hint="eastAsia" w:ascii="宋体" w:hAnsi="宋体" w:cs="黑体"/>
          <w:color w:val="auto"/>
          <w:sz w:val="30"/>
          <w:szCs w:val="30"/>
          <w:highlight w:val="none"/>
        </w:rPr>
        <w:br w:type="page"/>
      </w:r>
    </w:p>
    <w:p w14:paraId="579C2D4F">
      <w:pPr>
        <w:pStyle w:val="6"/>
        <w:shd w:val="clear" w:fill="FFFFFF" w:themeFill="background1"/>
        <w:jc w:val="center"/>
        <w:rPr>
          <w:rFonts w:ascii="宋体" w:hAnsi="宋体" w:cs="黑体"/>
          <w:color w:val="auto"/>
          <w:sz w:val="30"/>
          <w:szCs w:val="30"/>
          <w:highlight w:val="none"/>
        </w:rPr>
      </w:pPr>
      <w:bookmarkStart w:id="53" w:name="_Toc14728"/>
      <w:r>
        <w:rPr>
          <w:rFonts w:hint="eastAsia" w:ascii="宋体" w:hAnsi="宋体" w:cs="黑体"/>
          <w:color w:val="auto"/>
          <w:sz w:val="30"/>
          <w:szCs w:val="30"/>
          <w:highlight w:val="none"/>
        </w:rPr>
        <w:t>附录7  资格审查条件（主要设备最低要求）</w:t>
      </w:r>
      <w:bookmarkEnd w:id="53"/>
    </w:p>
    <w:tbl>
      <w:tblPr>
        <w:tblStyle w:val="45"/>
        <w:tblpPr w:leftFromText="180" w:rightFromText="180" w:vertAnchor="text" w:horzAnchor="page" w:tblpXSpec="center" w:tblpY="109"/>
        <w:tblOverlap w:val="never"/>
        <w:tblW w:w="8765" w:type="dxa"/>
        <w:tblInd w:w="0" w:type="dxa"/>
        <w:tblLayout w:type="fixed"/>
        <w:tblCellMar>
          <w:top w:w="0" w:type="dxa"/>
          <w:left w:w="0" w:type="dxa"/>
          <w:bottom w:w="0" w:type="dxa"/>
          <w:right w:w="0" w:type="dxa"/>
        </w:tblCellMar>
      </w:tblPr>
      <w:tblGrid>
        <w:gridCol w:w="772"/>
        <w:gridCol w:w="2736"/>
        <w:gridCol w:w="2972"/>
        <w:gridCol w:w="842"/>
        <w:gridCol w:w="1443"/>
      </w:tblGrid>
      <w:tr w14:paraId="6C17D1A9">
        <w:tblPrEx>
          <w:tblCellMar>
            <w:top w:w="0" w:type="dxa"/>
            <w:left w:w="0" w:type="dxa"/>
            <w:bottom w:w="0" w:type="dxa"/>
            <w:right w:w="0" w:type="dxa"/>
          </w:tblCellMar>
        </w:tblPrEx>
        <w:trPr>
          <w:trHeight w:val="565" w:hRule="exact"/>
        </w:trPr>
        <w:tc>
          <w:tcPr>
            <w:tcW w:w="772" w:type="dxa"/>
            <w:tcBorders>
              <w:top w:val="single" w:color="000000" w:sz="12" w:space="0"/>
              <w:left w:val="single" w:color="000000" w:sz="12" w:space="0"/>
              <w:bottom w:val="single" w:color="000000" w:sz="8" w:space="0"/>
              <w:right w:val="single" w:color="000000" w:sz="8" w:space="0"/>
            </w:tcBorders>
            <w:vAlign w:val="center"/>
          </w:tcPr>
          <w:p w14:paraId="4B988234">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736" w:type="dxa"/>
            <w:tcBorders>
              <w:top w:val="single" w:color="000000" w:sz="12" w:space="0"/>
              <w:left w:val="single" w:color="000000" w:sz="8" w:space="0"/>
              <w:bottom w:val="single" w:color="000000" w:sz="8" w:space="0"/>
              <w:right w:val="single" w:color="000000" w:sz="8" w:space="0"/>
            </w:tcBorders>
            <w:vAlign w:val="center"/>
          </w:tcPr>
          <w:p w14:paraId="4E47D549">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2972" w:type="dxa"/>
            <w:tcBorders>
              <w:top w:val="single" w:color="000000" w:sz="12" w:space="0"/>
              <w:left w:val="single" w:color="000000" w:sz="8" w:space="0"/>
              <w:bottom w:val="single" w:color="000000" w:sz="8" w:space="0"/>
              <w:right w:val="single" w:color="000000" w:sz="8" w:space="0"/>
            </w:tcBorders>
            <w:vAlign w:val="center"/>
          </w:tcPr>
          <w:p w14:paraId="3AC63083">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规格、功率及容量</w:t>
            </w:r>
          </w:p>
        </w:tc>
        <w:tc>
          <w:tcPr>
            <w:tcW w:w="842" w:type="dxa"/>
            <w:tcBorders>
              <w:top w:val="single" w:color="000000" w:sz="12" w:space="0"/>
              <w:left w:val="single" w:color="000000" w:sz="8" w:space="0"/>
              <w:bottom w:val="single" w:color="000000" w:sz="8" w:space="0"/>
              <w:right w:val="single" w:color="000000" w:sz="8" w:space="0"/>
            </w:tcBorders>
            <w:vAlign w:val="center"/>
          </w:tcPr>
          <w:p w14:paraId="15193003">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1443" w:type="dxa"/>
            <w:tcBorders>
              <w:top w:val="single" w:color="000000" w:sz="12" w:space="0"/>
              <w:left w:val="single" w:color="000000" w:sz="8" w:space="0"/>
              <w:bottom w:val="single" w:color="000000" w:sz="8" w:space="0"/>
              <w:right w:val="single" w:color="000000" w:sz="12" w:space="0"/>
            </w:tcBorders>
            <w:vAlign w:val="center"/>
          </w:tcPr>
          <w:p w14:paraId="7F6E3E1C">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最低数量</w:t>
            </w:r>
          </w:p>
        </w:tc>
      </w:tr>
      <w:tr w14:paraId="3BAD11DF">
        <w:tblPrEx>
          <w:tblCellMar>
            <w:top w:w="0" w:type="dxa"/>
            <w:left w:w="0" w:type="dxa"/>
            <w:bottom w:w="0" w:type="dxa"/>
            <w:right w:w="0" w:type="dxa"/>
          </w:tblCellMar>
        </w:tblPrEx>
        <w:trPr>
          <w:trHeight w:val="565"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37D3AFF">
            <w:pPr>
              <w:numPr>
                <w:ilvl w:val="0"/>
                <w:numId w:val="10"/>
              </w:numPr>
              <w:shd w:val="clear" w:fill="FFFFFF" w:themeFill="background1"/>
              <w:tabs>
                <w:tab w:val="left" w:pos="425"/>
              </w:tabs>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78F571">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振动压路机</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3FF6666">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≥18T</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37DDF5">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A2715DF">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r>
      <w:tr w14:paraId="39DADC56">
        <w:tblPrEx>
          <w:tblCellMar>
            <w:top w:w="0" w:type="dxa"/>
            <w:left w:w="0" w:type="dxa"/>
            <w:bottom w:w="0" w:type="dxa"/>
            <w:right w:w="0" w:type="dxa"/>
          </w:tblCellMar>
        </w:tblPrEx>
        <w:trPr>
          <w:trHeight w:val="486"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27C61CE">
            <w:pPr>
              <w:numPr>
                <w:ilvl w:val="0"/>
                <w:numId w:val="10"/>
              </w:numPr>
              <w:shd w:val="clear" w:fill="FFFFFF" w:themeFill="background1"/>
              <w:tabs>
                <w:tab w:val="left" w:pos="425"/>
              </w:tabs>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215E4B0">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双钢轮压路机</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6F6186">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≥10T</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A2558E">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666A60AA">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r>
      <w:tr w14:paraId="33EEA1DC">
        <w:tblPrEx>
          <w:tblCellMar>
            <w:top w:w="0" w:type="dxa"/>
            <w:left w:w="0" w:type="dxa"/>
            <w:bottom w:w="0" w:type="dxa"/>
            <w:right w:w="0" w:type="dxa"/>
          </w:tblCellMar>
        </w:tblPrEx>
        <w:trPr>
          <w:trHeight w:val="486"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FDC6DC5">
            <w:pPr>
              <w:numPr>
                <w:ilvl w:val="0"/>
                <w:numId w:val="10"/>
              </w:numPr>
              <w:shd w:val="clear" w:fill="FFFFFF" w:themeFill="background1"/>
              <w:tabs>
                <w:tab w:val="left" w:pos="425"/>
              </w:tabs>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D99C67">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胶轮压路机</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FB701A">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≥26T</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8CB8E4">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5ED2DFBB">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r>
      <w:tr w14:paraId="63E6C85B">
        <w:tblPrEx>
          <w:tblCellMar>
            <w:top w:w="0" w:type="dxa"/>
            <w:left w:w="0" w:type="dxa"/>
            <w:bottom w:w="0" w:type="dxa"/>
            <w:right w:w="0" w:type="dxa"/>
          </w:tblCellMar>
        </w:tblPrEx>
        <w:trPr>
          <w:trHeight w:val="565"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1C26B487">
            <w:pPr>
              <w:numPr>
                <w:ilvl w:val="0"/>
                <w:numId w:val="10"/>
              </w:num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068AC3">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装载机</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29E7DF">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≥2m³</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FDF54A0">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6FB24175">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r>
      <w:tr w14:paraId="5E7F541C">
        <w:tblPrEx>
          <w:tblCellMar>
            <w:top w:w="0" w:type="dxa"/>
            <w:left w:w="0" w:type="dxa"/>
            <w:bottom w:w="0" w:type="dxa"/>
            <w:right w:w="0" w:type="dxa"/>
          </w:tblCellMar>
        </w:tblPrEx>
        <w:trPr>
          <w:trHeight w:val="565"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3E773A6E">
            <w:pPr>
              <w:numPr>
                <w:ilvl w:val="0"/>
                <w:numId w:val="10"/>
              </w:num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DE7A4F">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挖掘机</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FE74CF">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≥1.0m³</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46ABDB">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79D839DB">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r>
      <w:tr w14:paraId="7AACD57C">
        <w:tblPrEx>
          <w:tblCellMar>
            <w:top w:w="0" w:type="dxa"/>
            <w:left w:w="0" w:type="dxa"/>
            <w:bottom w:w="0" w:type="dxa"/>
            <w:right w:w="0" w:type="dxa"/>
          </w:tblCellMar>
        </w:tblPrEx>
        <w:trPr>
          <w:trHeight w:val="565"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B16D31C">
            <w:pPr>
              <w:numPr>
                <w:ilvl w:val="0"/>
                <w:numId w:val="10"/>
              </w:num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A527AFB">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自卸汽车</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EA1D8C">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≥8t</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A1DDDC">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辆</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5C2EED14">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r>
      <w:tr w14:paraId="44DEF4A8">
        <w:tblPrEx>
          <w:tblCellMar>
            <w:top w:w="0" w:type="dxa"/>
            <w:left w:w="0" w:type="dxa"/>
            <w:bottom w:w="0" w:type="dxa"/>
            <w:right w:w="0" w:type="dxa"/>
          </w:tblCellMar>
        </w:tblPrEx>
        <w:trPr>
          <w:trHeight w:val="550"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750E317">
            <w:pPr>
              <w:numPr>
                <w:ilvl w:val="0"/>
                <w:numId w:val="10"/>
              </w:num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EB0A90">
            <w:pPr>
              <w:shd w:val="clear" w:fill="FFFFFF" w:themeFill="background1"/>
              <w:spacing w:line="360" w:lineRule="auto"/>
              <w:ind w:firstLine="240" w:firstLineChars="100"/>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洒水车</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F9D487">
            <w:pPr>
              <w:shd w:val="clear" w:fill="FFFFFF" w:themeFill="background1"/>
              <w:adjustRightInd w:val="0"/>
              <w:snapToGrid w:val="0"/>
              <w:jc w:val="center"/>
              <w:rPr>
                <w:rFonts w:ascii="宋体" w:hAnsi="宋体" w:cs="宋体" w:eastAsiaTheme="minorEastAsia"/>
                <w:color w:val="auto"/>
                <w:sz w:val="24"/>
                <w:highlight w:val="none"/>
              </w:rPr>
            </w:pPr>
            <w:r>
              <w:rPr>
                <w:rFonts w:hint="eastAsia" w:ascii="宋体" w:hAnsi="宋体" w:cs="宋体"/>
                <w:color w:val="auto"/>
                <w:sz w:val="24"/>
                <w:highlight w:val="none"/>
              </w:rPr>
              <w:t>≥10000L</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B53E40">
            <w:pPr>
              <w:shd w:val="clear" w:fill="FFFFFF" w:themeFill="background1"/>
              <w:adjustRightInd w:val="0"/>
              <w:snapToGrid w:val="0"/>
              <w:jc w:val="center"/>
              <w:rPr>
                <w:rFonts w:ascii="宋体" w:hAnsi="宋体" w:cs="宋体" w:eastAsiaTheme="minorEastAsia"/>
                <w:color w:val="auto"/>
                <w:sz w:val="24"/>
                <w:highlight w:val="none"/>
              </w:rPr>
            </w:pPr>
            <w:r>
              <w:rPr>
                <w:rFonts w:hint="eastAsia" w:ascii="宋体" w:hAnsi="宋体" w:cs="宋体"/>
                <w:color w:val="auto"/>
                <w:sz w:val="24"/>
                <w:highlight w:val="none"/>
              </w:rPr>
              <w:t>辆</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6E976E1">
            <w:pPr>
              <w:shd w:val="clear" w:fill="FFFFFF" w:themeFill="background1"/>
              <w:adjustRightInd w:val="0"/>
              <w:snapToGrid w:val="0"/>
              <w:jc w:val="center"/>
              <w:rPr>
                <w:rFonts w:ascii="宋体" w:hAnsi="宋体" w:cs="宋体" w:eastAsiaTheme="minorEastAsia"/>
                <w:color w:val="auto"/>
                <w:sz w:val="24"/>
                <w:highlight w:val="none"/>
              </w:rPr>
            </w:pPr>
            <w:r>
              <w:rPr>
                <w:rFonts w:hint="eastAsia" w:ascii="宋体" w:hAnsi="宋体" w:cs="宋体" w:eastAsiaTheme="minorEastAsia"/>
                <w:color w:val="auto"/>
                <w:sz w:val="24"/>
                <w:highlight w:val="none"/>
              </w:rPr>
              <w:t>1</w:t>
            </w:r>
          </w:p>
        </w:tc>
      </w:tr>
      <w:tr w14:paraId="4940BB33">
        <w:tblPrEx>
          <w:tblCellMar>
            <w:top w:w="0" w:type="dxa"/>
            <w:left w:w="0" w:type="dxa"/>
            <w:bottom w:w="0" w:type="dxa"/>
            <w:right w:w="0" w:type="dxa"/>
          </w:tblCellMar>
        </w:tblPrEx>
        <w:trPr>
          <w:trHeight w:val="568" w:hRule="atLeas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6806EA8E">
            <w:pPr>
              <w:numPr>
                <w:ilvl w:val="0"/>
                <w:numId w:val="10"/>
              </w:num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044CF3">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沥青混合料摊铺机</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87BBEF">
            <w:pPr>
              <w:shd w:val="clear" w:fill="FFFFFF" w:themeFill="background1"/>
              <w:adjustRightInd w:val="0"/>
              <w:snapToGrid w:val="0"/>
              <w:jc w:val="center"/>
              <w:rPr>
                <w:rFonts w:ascii="宋体" w:hAnsi="宋体" w:cs="宋体" w:eastAsiaTheme="minorEastAsia"/>
                <w:color w:val="auto"/>
                <w:sz w:val="24"/>
                <w:highlight w:val="none"/>
              </w:rPr>
            </w:pPr>
            <w:r>
              <w:rPr>
                <w:rFonts w:hint="eastAsia" w:ascii="宋体" w:hAnsi="宋体" w:cs="宋体"/>
                <w:color w:val="auto"/>
                <w:sz w:val="24"/>
                <w:highlight w:val="none"/>
              </w:rPr>
              <w:t>≥6m</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36CBF4">
            <w:pPr>
              <w:shd w:val="clear" w:fill="FFFFFF" w:themeFill="background1"/>
              <w:adjustRightInd w:val="0"/>
              <w:snapToGrid w:val="0"/>
              <w:jc w:val="center"/>
              <w:rPr>
                <w:rFonts w:ascii="宋体" w:hAnsi="宋体" w:cs="宋体"/>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738145C7">
            <w:pPr>
              <w:shd w:val="clear" w:fill="FFFFFF" w:themeFill="background1"/>
              <w:adjustRightInd w:val="0"/>
              <w:snapToGrid w:val="0"/>
              <w:jc w:val="center"/>
              <w:rPr>
                <w:rFonts w:ascii="宋体" w:hAnsi="宋体" w:cs="宋体" w:eastAsiaTheme="minorEastAsia"/>
                <w:color w:val="auto"/>
                <w:sz w:val="24"/>
                <w:highlight w:val="none"/>
              </w:rPr>
            </w:pPr>
            <w:r>
              <w:rPr>
                <w:rFonts w:hint="eastAsia" w:ascii="宋体" w:hAnsi="宋体" w:cs="宋体"/>
                <w:color w:val="auto"/>
                <w:sz w:val="24"/>
                <w:highlight w:val="none"/>
              </w:rPr>
              <w:t>1</w:t>
            </w:r>
          </w:p>
        </w:tc>
      </w:tr>
      <w:tr w14:paraId="3C4F247C">
        <w:tblPrEx>
          <w:tblCellMar>
            <w:top w:w="0" w:type="dxa"/>
            <w:left w:w="0" w:type="dxa"/>
            <w:bottom w:w="0" w:type="dxa"/>
            <w:right w:w="0" w:type="dxa"/>
          </w:tblCellMar>
        </w:tblPrEx>
        <w:trPr>
          <w:trHeight w:val="565" w:hRule="exact"/>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9E02002">
            <w:pPr>
              <w:numPr>
                <w:ilvl w:val="0"/>
                <w:numId w:val="10"/>
              </w:num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7335E1">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沥青洒布车</w:t>
            </w: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FBD3BB">
            <w:pPr>
              <w:shd w:val="clear" w:fill="FFFFFF" w:themeFill="background1"/>
              <w:spacing w:line="360" w:lineRule="auto"/>
              <w:jc w:val="center"/>
              <w:rPr>
                <w:rFonts w:ascii="宋体" w:hAnsi="宋体" w:cs="宋体" w:eastAsiaTheme="minorEastAsia"/>
                <w:color w:val="auto"/>
                <w:sz w:val="24"/>
                <w:highlight w:val="none"/>
              </w:rPr>
            </w:pPr>
            <w:r>
              <w:rPr>
                <w:rFonts w:hint="eastAsia" w:ascii="宋体" w:hAnsi="宋体" w:cs="宋体"/>
                <w:color w:val="auto"/>
                <w:sz w:val="24"/>
                <w:highlight w:val="none"/>
              </w:rPr>
              <w:t>≥8000L</w:t>
            </w: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3F3331F">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0905D8CD">
            <w:pPr>
              <w:shd w:val="clear" w:fill="FFFFFF" w:themeFill="background1"/>
              <w:spacing w:line="360" w:lineRule="auto"/>
              <w:jc w:val="center"/>
              <w:rPr>
                <w:rFonts w:ascii="宋体" w:hAnsi="宋体" w:cs="宋体" w:eastAsiaTheme="minorEastAsia"/>
                <w:color w:val="auto"/>
                <w:sz w:val="24"/>
                <w:highlight w:val="none"/>
              </w:rPr>
            </w:pPr>
            <w:r>
              <w:rPr>
                <w:rFonts w:hint="eastAsia" w:ascii="宋体" w:hAnsi="宋体" w:cs="宋体"/>
                <w:color w:val="auto"/>
                <w:sz w:val="24"/>
                <w:highlight w:val="none"/>
              </w:rPr>
              <w:t>1</w:t>
            </w:r>
          </w:p>
        </w:tc>
      </w:tr>
      <w:tr w14:paraId="6E39D504">
        <w:tblPrEx>
          <w:tblCellMar>
            <w:top w:w="0" w:type="dxa"/>
            <w:left w:w="0" w:type="dxa"/>
            <w:bottom w:w="0" w:type="dxa"/>
            <w:right w:w="0" w:type="dxa"/>
          </w:tblCellMar>
        </w:tblPrEx>
        <w:trPr>
          <w:trHeight w:val="565" w:hRule="exact"/>
        </w:trPr>
        <w:tc>
          <w:tcPr>
            <w:tcW w:w="772" w:type="dxa"/>
            <w:tcBorders>
              <w:top w:val="single" w:color="000000" w:sz="8" w:space="0"/>
              <w:left w:val="single" w:color="000000" w:sz="12" w:space="0"/>
              <w:bottom w:val="single" w:color="000000" w:sz="8" w:space="0"/>
              <w:right w:val="single" w:color="000000" w:sz="8" w:space="0"/>
            </w:tcBorders>
            <w:vAlign w:val="center"/>
          </w:tcPr>
          <w:p w14:paraId="09F36C3B">
            <w:pPr>
              <w:numPr>
                <w:ilvl w:val="0"/>
                <w:numId w:val="10"/>
              </w:num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vAlign w:val="center"/>
          </w:tcPr>
          <w:p w14:paraId="00EBA8C6">
            <w:pPr>
              <w:shd w:val="clear" w:fill="FFFFFF" w:themeFill="background1"/>
              <w:spacing w:line="360" w:lineRule="auto"/>
              <w:ind w:firstLine="240" w:firstLineChars="100"/>
              <w:rPr>
                <w:rFonts w:ascii="宋体" w:hAnsi="宋体" w:cs="宋体" w:eastAsiaTheme="minorEastAsia"/>
                <w:color w:val="auto"/>
                <w:sz w:val="24"/>
                <w:highlight w:val="none"/>
              </w:rPr>
            </w:pPr>
            <w:r>
              <w:rPr>
                <w:rFonts w:hint="eastAsia" w:ascii="宋体" w:hAnsi="宋体" w:cs="宋体"/>
                <w:color w:val="auto"/>
                <w:sz w:val="24"/>
                <w:highlight w:val="none"/>
              </w:rPr>
              <w:t>路面铣刨机</w:t>
            </w:r>
          </w:p>
        </w:tc>
        <w:tc>
          <w:tcPr>
            <w:tcW w:w="2972" w:type="dxa"/>
            <w:tcBorders>
              <w:top w:val="single" w:color="000000" w:sz="8" w:space="0"/>
              <w:left w:val="single" w:color="000000" w:sz="8" w:space="0"/>
              <w:bottom w:val="single" w:color="000000" w:sz="8" w:space="0"/>
              <w:right w:val="single" w:color="000000" w:sz="8" w:space="0"/>
            </w:tcBorders>
            <w:vAlign w:val="center"/>
          </w:tcPr>
          <w:p w14:paraId="1BF927D9">
            <w:pPr>
              <w:shd w:val="clear" w:fill="FFFFFF" w:themeFill="background1"/>
              <w:spacing w:line="360" w:lineRule="auto"/>
              <w:jc w:val="center"/>
              <w:rPr>
                <w:rFonts w:ascii="宋体" w:hAnsi="宋体" w:cs="宋体" w:eastAsiaTheme="minorEastAsia"/>
                <w:color w:val="auto"/>
                <w:sz w:val="24"/>
                <w:highlight w:val="none"/>
              </w:rPr>
            </w:pPr>
            <w:r>
              <w:rPr>
                <w:rFonts w:hint="eastAsia" w:ascii="宋体" w:hAnsi="宋体" w:cs="宋体"/>
                <w:color w:val="auto"/>
                <w:sz w:val="24"/>
                <w:highlight w:val="none"/>
              </w:rPr>
              <w:t>≥2000mm</w:t>
            </w:r>
          </w:p>
        </w:tc>
        <w:tc>
          <w:tcPr>
            <w:tcW w:w="842" w:type="dxa"/>
            <w:tcBorders>
              <w:top w:val="single" w:color="000000" w:sz="8" w:space="0"/>
              <w:left w:val="single" w:color="000000" w:sz="8" w:space="0"/>
              <w:bottom w:val="single" w:color="000000" w:sz="8" w:space="0"/>
              <w:right w:val="single" w:color="000000" w:sz="8" w:space="0"/>
            </w:tcBorders>
            <w:vAlign w:val="center"/>
          </w:tcPr>
          <w:p w14:paraId="4C738D4D">
            <w:pPr>
              <w:shd w:val="clear" w:fill="FFFFFF" w:themeFill="background1"/>
              <w:spacing w:line="360" w:lineRule="auto"/>
              <w:jc w:val="center"/>
              <w:rPr>
                <w:rFonts w:ascii="宋体" w:hAnsi="宋体" w:cs="宋体" w:eastAsiaTheme="minorEastAsia"/>
                <w:color w:val="auto"/>
                <w:sz w:val="24"/>
                <w:highlight w:val="none"/>
              </w:rPr>
            </w:pPr>
            <w:r>
              <w:rPr>
                <w:rFonts w:hint="eastAsia" w:ascii="宋体" w:hAnsi="宋体" w:cs="宋体"/>
                <w:color w:val="auto"/>
                <w:sz w:val="24"/>
                <w:highlight w:val="none"/>
              </w:rPr>
              <w:t>台</w:t>
            </w:r>
          </w:p>
        </w:tc>
        <w:tc>
          <w:tcPr>
            <w:tcW w:w="1443" w:type="dxa"/>
            <w:tcBorders>
              <w:top w:val="single" w:color="000000" w:sz="8" w:space="0"/>
              <w:left w:val="single" w:color="000000" w:sz="8" w:space="0"/>
              <w:bottom w:val="single" w:color="000000" w:sz="8" w:space="0"/>
              <w:right w:val="single" w:color="000000" w:sz="12" w:space="0"/>
            </w:tcBorders>
            <w:vAlign w:val="center"/>
          </w:tcPr>
          <w:p w14:paraId="4A240B90">
            <w:pPr>
              <w:shd w:val="clear" w:fill="FFFFFF" w:themeFill="background1"/>
              <w:spacing w:line="360" w:lineRule="auto"/>
              <w:jc w:val="center"/>
              <w:rPr>
                <w:rFonts w:ascii="宋体" w:hAnsi="宋体" w:cs="宋体" w:eastAsiaTheme="minorEastAsia"/>
                <w:color w:val="auto"/>
                <w:sz w:val="24"/>
                <w:highlight w:val="none"/>
              </w:rPr>
            </w:pPr>
            <w:r>
              <w:rPr>
                <w:rFonts w:hint="eastAsia" w:ascii="宋体" w:hAnsi="宋体" w:cs="宋体"/>
                <w:color w:val="auto"/>
                <w:sz w:val="24"/>
                <w:highlight w:val="none"/>
              </w:rPr>
              <w:t>1</w:t>
            </w:r>
          </w:p>
        </w:tc>
      </w:tr>
      <w:tr w14:paraId="43F7270F">
        <w:tblPrEx>
          <w:tblCellMar>
            <w:top w:w="0" w:type="dxa"/>
            <w:left w:w="0" w:type="dxa"/>
            <w:bottom w:w="0" w:type="dxa"/>
            <w:right w:w="0" w:type="dxa"/>
          </w:tblCellMar>
        </w:tblPrEx>
        <w:trPr>
          <w:trHeight w:val="565" w:hRule="exact"/>
        </w:trPr>
        <w:tc>
          <w:tcPr>
            <w:tcW w:w="772" w:type="dxa"/>
            <w:tcBorders>
              <w:top w:val="single" w:color="000000" w:sz="8" w:space="0"/>
              <w:left w:val="single" w:color="000000" w:sz="12" w:space="0"/>
              <w:bottom w:val="single" w:color="000000" w:sz="8" w:space="0"/>
              <w:right w:val="single" w:color="000000" w:sz="8" w:space="0"/>
            </w:tcBorders>
            <w:vAlign w:val="center"/>
          </w:tcPr>
          <w:p w14:paraId="2E312943">
            <w:pPr>
              <w:shd w:val="clear" w:fill="FFFFFF" w:themeFill="background1"/>
              <w:tabs>
                <w:tab w:val="left" w:pos="425"/>
              </w:tabs>
              <w:ind w:left="299"/>
              <w:rPr>
                <w:rFonts w:ascii="宋体" w:hAnsi="宋体" w:cs="宋体"/>
                <w:color w:val="auto"/>
                <w:sz w:val="24"/>
                <w:highlight w:val="none"/>
              </w:rPr>
            </w:pPr>
            <w:r>
              <w:rPr>
                <w:rFonts w:hint="eastAsia" w:ascii="宋体" w:hAnsi="宋体" w:cs="宋体"/>
                <w:color w:val="auto"/>
                <w:sz w:val="24"/>
                <w:highlight w:val="none"/>
              </w:rPr>
              <w:t>...</w:t>
            </w:r>
          </w:p>
        </w:tc>
        <w:tc>
          <w:tcPr>
            <w:tcW w:w="2736" w:type="dxa"/>
            <w:tcBorders>
              <w:top w:val="single" w:color="000000" w:sz="8" w:space="0"/>
              <w:left w:val="single" w:color="000000" w:sz="8" w:space="0"/>
              <w:bottom w:val="single" w:color="000000" w:sz="8" w:space="0"/>
              <w:right w:val="single" w:color="000000" w:sz="8" w:space="0"/>
            </w:tcBorders>
            <w:vAlign w:val="center"/>
          </w:tcPr>
          <w:p w14:paraId="27906843">
            <w:pPr>
              <w:shd w:val="clear" w:fill="FFFFFF" w:themeFill="background1"/>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w:t>
            </w:r>
          </w:p>
        </w:tc>
        <w:tc>
          <w:tcPr>
            <w:tcW w:w="2972" w:type="dxa"/>
            <w:tcBorders>
              <w:top w:val="single" w:color="000000" w:sz="8" w:space="0"/>
              <w:left w:val="single" w:color="000000" w:sz="8" w:space="0"/>
              <w:bottom w:val="single" w:color="000000" w:sz="8" w:space="0"/>
              <w:right w:val="single" w:color="000000" w:sz="8" w:space="0"/>
            </w:tcBorders>
            <w:vAlign w:val="center"/>
          </w:tcPr>
          <w:p w14:paraId="0426B5DE">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vAlign w:val="center"/>
          </w:tcPr>
          <w:p w14:paraId="29B233FA">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vAlign w:val="center"/>
          </w:tcPr>
          <w:p w14:paraId="281B4635">
            <w:pPr>
              <w:shd w:val="clear" w:fill="FFFFFF" w:themeFill="background1"/>
              <w:spacing w:line="360" w:lineRule="auto"/>
              <w:jc w:val="center"/>
              <w:rPr>
                <w:rFonts w:ascii="宋体" w:hAnsi="宋体" w:cs="宋体"/>
                <w:color w:val="auto"/>
                <w:sz w:val="24"/>
                <w:highlight w:val="none"/>
              </w:rPr>
            </w:pPr>
          </w:p>
        </w:tc>
      </w:tr>
    </w:tbl>
    <w:p w14:paraId="44DE7550">
      <w:pPr>
        <w:widowControl/>
        <w:shd w:val="clear" w:fill="FFFFFF" w:themeFill="background1"/>
        <w:jc w:val="left"/>
        <w:rPr>
          <w:rFonts w:ascii="宋体" w:hAnsi="宋体"/>
          <w:color w:val="auto"/>
          <w:sz w:val="24"/>
          <w:highlight w:val="none"/>
        </w:rPr>
      </w:pPr>
    </w:p>
    <w:p w14:paraId="5214F343">
      <w:pPr>
        <w:widowControl/>
        <w:shd w:val="clear" w:fill="FFFFFF" w:themeFill="background1"/>
        <w:jc w:val="left"/>
        <w:rPr>
          <w:rFonts w:ascii="宋体" w:hAnsi="宋体"/>
          <w:color w:val="auto"/>
          <w:sz w:val="24"/>
          <w:highlight w:val="none"/>
        </w:rPr>
      </w:pPr>
      <w:r>
        <w:rPr>
          <w:rFonts w:hint="eastAsia" w:ascii="宋体" w:hAnsi="宋体"/>
          <w:color w:val="auto"/>
          <w:sz w:val="24"/>
          <w:highlight w:val="none"/>
        </w:rPr>
        <w:t>注：</w:t>
      </w:r>
    </w:p>
    <w:p w14:paraId="45F6160B">
      <w:pPr>
        <w:shd w:val="clear" w:fill="FFFFFF" w:themeFill="background1"/>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1、投标人须按投标文件投标函的格式承诺。</w:t>
      </w:r>
    </w:p>
    <w:p w14:paraId="4CBB9E74">
      <w:pPr>
        <w:shd w:val="clear" w:fill="FFFFFF" w:themeFill="background1"/>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2、招标人有权根据标段的工程特点、工程量及工程进度情况要求增加或调整相应的施工设备。</w:t>
      </w:r>
    </w:p>
    <w:p w14:paraId="06282FA3">
      <w:pPr>
        <w:shd w:val="clear" w:fill="FFFFFF" w:themeFill="background1"/>
        <w:ind w:left="240"/>
        <w:rPr>
          <w:rFonts w:ascii="宋体" w:hAnsi="宋体"/>
          <w:color w:val="auto"/>
          <w:sz w:val="24"/>
          <w:highlight w:val="none"/>
        </w:rPr>
      </w:pPr>
      <w:r>
        <w:rPr>
          <w:rFonts w:hint="eastAsia" w:ascii="宋体" w:hAnsi="宋体"/>
          <w:color w:val="auto"/>
          <w:sz w:val="24"/>
          <w:highlight w:val="none"/>
        </w:rPr>
        <w:br w:type="page"/>
      </w:r>
    </w:p>
    <w:bookmarkEnd w:id="32"/>
    <w:bookmarkEnd w:id="33"/>
    <w:p w14:paraId="31D52753">
      <w:pPr>
        <w:pStyle w:val="69"/>
        <w:shd w:val="clear" w:fill="FFFFFF" w:themeFill="background1"/>
        <w:spacing w:before="156"/>
        <w:rPr>
          <w:color w:val="auto"/>
          <w:highlight w:val="none"/>
        </w:rPr>
      </w:pPr>
      <w:bookmarkStart w:id="54" w:name="_Toc2293"/>
      <w:bookmarkEnd w:id="54"/>
      <w:bookmarkStart w:id="55" w:name="_Toc43475670"/>
      <w:bookmarkEnd w:id="55"/>
      <w:bookmarkStart w:id="56" w:name="_Toc11325"/>
      <w:bookmarkEnd w:id="56"/>
      <w:r>
        <w:rPr>
          <w:rFonts w:hint="eastAsia"/>
          <w:color w:val="auto"/>
          <w:highlight w:val="none"/>
        </w:rPr>
        <w:t>总则</w:t>
      </w:r>
    </w:p>
    <w:p w14:paraId="62B0B742">
      <w:pPr>
        <w:pStyle w:val="71"/>
        <w:shd w:val="clear" w:fill="FFFFFF" w:themeFill="background1"/>
        <w:rPr>
          <w:color w:val="auto"/>
          <w:highlight w:val="none"/>
        </w:rPr>
      </w:pPr>
      <w:bookmarkStart w:id="57" w:name="_Toc4935"/>
      <w:bookmarkEnd w:id="57"/>
      <w:bookmarkStart w:id="58" w:name="_Toc43475671"/>
      <w:bookmarkEnd w:id="58"/>
      <w:bookmarkStart w:id="59" w:name="_Toc13126"/>
      <w:bookmarkEnd w:id="59"/>
      <w:r>
        <w:rPr>
          <w:rFonts w:hint="eastAsia"/>
          <w:color w:val="auto"/>
          <w:highlight w:val="none"/>
        </w:rPr>
        <w:t>项目概况</w:t>
      </w:r>
    </w:p>
    <w:p w14:paraId="023464C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1.1.1 根据《中华人民共和国招标投标法》《中华人民共和国招标投标法实施条例》《公路工程建设项目招标投标管理办法》等有关法律、法规和规章的规定，本招标项目已具备招标条件，现对本标段施工进行招标。</w:t>
      </w:r>
    </w:p>
    <w:p w14:paraId="7EC9958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1.1.2 本招标项目招标人：见投标人须知前附表。</w:t>
      </w:r>
    </w:p>
    <w:p w14:paraId="7BA4370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1.1.3 本标段招标代理机构：见投标人须知前附表。</w:t>
      </w:r>
    </w:p>
    <w:p w14:paraId="0D6EE9C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1.1.4 本招标项目名称：见投标人须知前附表。</w:t>
      </w:r>
    </w:p>
    <w:p w14:paraId="7DA2F4D2">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1.1.5 本标段建设地点：见投标人须知前附表。</w:t>
      </w:r>
    </w:p>
    <w:p w14:paraId="4931456C">
      <w:pPr>
        <w:pStyle w:val="71"/>
        <w:shd w:val="clear" w:fill="FFFFFF" w:themeFill="background1"/>
        <w:rPr>
          <w:color w:val="auto"/>
          <w:highlight w:val="none"/>
        </w:rPr>
      </w:pPr>
      <w:bookmarkStart w:id="60" w:name="_Toc31619"/>
      <w:bookmarkEnd w:id="60"/>
      <w:bookmarkStart w:id="61" w:name="_Toc43475672"/>
      <w:bookmarkEnd w:id="61"/>
      <w:bookmarkStart w:id="62" w:name="_Toc9325"/>
      <w:bookmarkEnd w:id="62"/>
      <w:r>
        <w:rPr>
          <w:rFonts w:hint="eastAsia"/>
          <w:color w:val="auto"/>
          <w:highlight w:val="none"/>
        </w:rPr>
        <w:t>招标项目的资金来源和落实情况</w:t>
      </w:r>
    </w:p>
    <w:p w14:paraId="3A29D84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1.2.1 资金来源及比例：见投标人须知前附表。</w:t>
      </w:r>
    </w:p>
    <w:p w14:paraId="2FBB4B5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1.2.2 资金落实情况：见投标人须知前附表。</w:t>
      </w:r>
    </w:p>
    <w:p w14:paraId="4A3B17B4">
      <w:pPr>
        <w:pStyle w:val="71"/>
        <w:shd w:val="clear" w:fill="FFFFFF" w:themeFill="background1"/>
        <w:rPr>
          <w:color w:val="auto"/>
          <w:highlight w:val="none"/>
        </w:rPr>
      </w:pPr>
      <w:bookmarkStart w:id="63" w:name="_Toc13421"/>
      <w:bookmarkEnd w:id="63"/>
      <w:bookmarkStart w:id="64" w:name="_Toc11165"/>
      <w:bookmarkEnd w:id="64"/>
      <w:bookmarkStart w:id="65" w:name="_Toc43475673"/>
      <w:bookmarkEnd w:id="65"/>
      <w:r>
        <w:rPr>
          <w:rFonts w:hint="eastAsia"/>
          <w:color w:val="auto"/>
          <w:highlight w:val="none"/>
        </w:rPr>
        <w:t>招标范围、计划工期、质量要求和安全目标</w:t>
      </w:r>
    </w:p>
    <w:p w14:paraId="0FB80CE9">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1.3.1 本标段的招标范围：见投标人须知前附表。</w:t>
      </w:r>
    </w:p>
    <w:p w14:paraId="711CF01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1.3.2 本标段的计划工期：见投标人须知前附表。</w:t>
      </w:r>
    </w:p>
    <w:p w14:paraId="122568B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1.3.3 本标段的质量要求：见投标人须知前附表。</w:t>
      </w:r>
    </w:p>
    <w:p w14:paraId="2B34472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1.3.4 本标段的安全</w:t>
      </w:r>
      <w:r>
        <w:rPr>
          <w:rFonts w:hint="eastAsia"/>
          <w:color w:val="auto"/>
          <w:highlight w:val="none"/>
        </w:rPr>
        <w:t>目标：</w:t>
      </w:r>
      <w:r>
        <w:rPr>
          <w:rFonts w:hint="eastAsia" w:ascii="宋体" w:hAnsi="宋体" w:cs="宋体"/>
          <w:color w:val="auto"/>
          <w:highlight w:val="none"/>
        </w:rPr>
        <w:t>见投标人须知前附表。</w:t>
      </w:r>
    </w:p>
    <w:p w14:paraId="3DCD26DC">
      <w:pPr>
        <w:pStyle w:val="71"/>
        <w:shd w:val="clear" w:fill="FFFFFF" w:themeFill="background1"/>
        <w:rPr>
          <w:color w:val="auto"/>
          <w:highlight w:val="none"/>
        </w:rPr>
      </w:pPr>
      <w:bookmarkStart w:id="66" w:name="_Toc24385"/>
      <w:bookmarkEnd w:id="66"/>
      <w:bookmarkStart w:id="67" w:name="_Toc32214"/>
      <w:bookmarkEnd w:id="67"/>
      <w:bookmarkStart w:id="68" w:name="_Toc43475674"/>
      <w:bookmarkEnd w:id="68"/>
      <w:r>
        <w:rPr>
          <w:rFonts w:hint="eastAsia"/>
          <w:color w:val="auto"/>
          <w:highlight w:val="none"/>
        </w:rPr>
        <w:t>投标人资格要求（适用于未进行资格预审的）</w:t>
      </w:r>
    </w:p>
    <w:p w14:paraId="5E64E1A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1.4.1 投标人应具备承担本标段施工的资质条件、能力和信誉。</w:t>
      </w:r>
    </w:p>
    <w:p w14:paraId="0AAD3BC9">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（1）资质要求：见投标人须知前附表；</w:t>
      </w:r>
    </w:p>
    <w:p w14:paraId="2CBF127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（2）财务要求：见投标人须知前附表；</w:t>
      </w:r>
    </w:p>
    <w:p w14:paraId="0122608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（3）业绩要求：见投标人须知前附表；</w:t>
      </w:r>
    </w:p>
    <w:p w14:paraId="035F4FD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（4）信誉要求：见投标人须知前附表；</w:t>
      </w:r>
    </w:p>
    <w:p w14:paraId="2E9E55B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（5）项目经理和项目总工资格：见投标人须知前附表；</w:t>
      </w:r>
    </w:p>
    <w:p w14:paraId="021E333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（6）其他要求：见投标人须知前附表。</w:t>
      </w:r>
    </w:p>
    <w:p w14:paraId="7B6C2104">
      <w:pPr>
        <w:pStyle w:val="59"/>
        <w:shd w:val="clear" w:fill="FFFFFF" w:themeFill="background1"/>
        <w:spacing w:line="360" w:lineRule="auto"/>
        <w:ind w:firstLine="480" w:firstLineChars="200"/>
        <w:rPr>
          <w:rFonts w:ascii="宋体" w:hAnsi="宋体" w:cs="宋体"/>
          <w:color w:val="auto"/>
          <w:highlight w:val="none"/>
        </w:rPr>
      </w:pPr>
      <w:r>
        <w:rPr>
          <w:color w:val="auto"/>
          <w:highlight w:val="none"/>
        </w:rPr>
        <w:t>需要提交的相关</w:t>
      </w:r>
      <w:r>
        <w:rPr>
          <w:rFonts w:hint="eastAsia" w:ascii="宋体" w:hAnsi="宋体" w:cs="宋体"/>
          <w:color w:val="auto"/>
          <w:highlight w:val="none"/>
        </w:rPr>
        <w:t>证明</w:t>
      </w:r>
      <w:r>
        <w:rPr>
          <w:color w:val="auto"/>
          <w:highlight w:val="none"/>
        </w:rPr>
        <w:t>材料见本章第</w:t>
      </w:r>
      <w:r>
        <w:rPr>
          <w:rFonts w:eastAsia="Times New Roman"/>
          <w:color w:val="auto"/>
          <w:highlight w:val="none"/>
        </w:rPr>
        <w:t xml:space="preserve">3.5 </w:t>
      </w:r>
      <w:r>
        <w:rPr>
          <w:color w:val="auto"/>
          <w:highlight w:val="none"/>
        </w:rPr>
        <w:t>款的规定</w:t>
      </w:r>
      <w:r>
        <w:rPr>
          <w:rFonts w:hint="eastAsia"/>
          <w:color w:val="auto"/>
          <w:highlight w:val="none"/>
        </w:rPr>
        <w:t>。</w:t>
      </w:r>
    </w:p>
    <w:p w14:paraId="14FF06C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1.4.2 投标人须知前附表规定接受联合体投标的，联合体除应符合本章第 1.4.1项和投标人须知前附表的要求外，还应遵守以下规定：</w:t>
      </w:r>
    </w:p>
    <w:p w14:paraId="2C981D4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（1）联合体各方应按招标文件提供的格式签订联合体协议书，明确联合体牵头人和各方权利义务，并承诺就中标项目向招标人承担连带责任；</w:t>
      </w:r>
    </w:p>
    <w:p w14:paraId="7ED90D1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（2）由同一专业的单位组成的联合体，按照资质等级较低的单位确定资质等级；</w:t>
      </w:r>
    </w:p>
    <w:p w14:paraId="7ED3244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（3）联合体各方不得再以自己名义单独或参加其他联合体在同一标段中投标；</w:t>
      </w:r>
    </w:p>
    <w:p w14:paraId="4A14ABC8">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D86597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（5）尽管委任了联合体牵头人，但联合体各成员在投标、签订合同与履行合同过程中，仍负有连带的和各自的法律责任。</w:t>
      </w:r>
    </w:p>
    <w:p w14:paraId="1C81F328">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 xml:space="preserve">    1.4.3 投标人（包括联合体各成员）不得与本标段相关单位存在下列关联关系：</w:t>
      </w:r>
    </w:p>
    <w:p w14:paraId="271C89E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（1）为招标人不具有独立法人资格的附属机构（单位）；</w:t>
      </w:r>
    </w:p>
    <w:p w14:paraId="21640052">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（2）与招标人存在利害关系且可能影响招标公正性；</w:t>
      </w:r>
    </w:p>
    <w:p w14:paraId="7A8D299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（3）与本标段的其他投标人同为一个单位负责人；</w:t>
      </w:r>
    </w:p>
    <w:p w14:paraId="5B8F4B19">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（4）与本标段的其他投标人存在控股、管理关系；</w:t>
      </w:r>
    </w:p>
    <w:p w14:paraId="512B9294">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（5）为本标段前期准备提供设计或咨询服务的法人或其任何附属机构（单位）；</w:t>
      </w:r>
    </w:p>
    <w:p w14:paraId="2B07158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（6）为本标段的监理人；</w:t>
      </w:r>
    </w:p>
    <w:p w14:paraId="3582664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（7）为本标段的代建人；</w:t>
      </w:r>
    </w:p>
    <w:p w14:paraId="2C36304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（8）为本标段的招标代理机构；</w:t>
      </w:r>
    </w:p>
    <w:p w14:paraId="6EA5777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（9）与本标段的监理人或代建人或招标代理机构同为一个法定代表人；</w:t>
      </w:r>
    </w:p>
    <w:p w14:paraId="0873319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（10）与本标段的监理人或代建人或招标代理机构存在控股或参股关系；</w:t>
      </w:r>
    </w:p>
    <w:p w14:paraId="6CDBFDB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（11）法律法规或投标人须知前附表规定的其他情形。</w:t>
      </w:r>
    </w:p>
    <w:p w14:paraId="42B8514A">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 xml:space="preserve">    1.4.4 投标人（包括联合体各成员）不得存在下列不良状况或不良信用记录：</w:t>
      </w:r>
    </w:p>
    <w:p w14:paraId="160C346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（1）被省级及以上交通运输主管部门取消招标项目所在地的投标资格且处于有效期内；</w:t>
      </w:r>
    </w:p>
    <w:p w14:paraId="36303A9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（2）被责令停业，暂扣或吊销执照，或吊销资质证书；</w:t>
      </w:r>
    </w:p>
    <w:p w14:paraId="47805C9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（3）进入清算程序，或被宣告破产，或其他丧失履约能力的情形；</w:t>
      </w:r>
    </w:p>
    <w:p w14:paraId="14459478">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（4）在国家企业信用信息公示系统（http://www.gsxt.gov.cn/）中被列入严重违法失信企业名单；</w:t>
      </w:r>
    </w:p>
    <w:p w14:paraId="534A6C4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（5）在“信用中国”网站（http://www.creditchina.gov.cn/）中被列入失信被执行人名单；</w:t>
      </w:r>
    </w:p>
    <w:p w14:paraId="1788242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（6）投标人或其法定代表人、拟委任的项目经理在近三年内有行贿犯罪行为的（行贿犯罪行为的认定以检察机关职务犯罪预防部门出具的查询结果为准）；</w:t>
      </w:r>
    </w:p>
    <w:p w14:paraId="51866C3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（7）法律法规或投标人须知前附表规定的其他情形。</w:t>
      </w:r>
    </w:p>
    <w:p w14:paraId="268D63D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1.4.5 投标人（包括联合体各成员）应进入交通运输部“全国公路建设市场监督管理系统（https://hwdms.mot.gov.cn/BMWebSite/）”中的公路工程施工资质企业名录，且投标人名称和资质与该名录中的相应企业名称和资质完全一致。投标人不满足本项规定条件的，将被否决投标。</w:t>
      </w:r>
    </w:p>
    <w:p w14:paraId="18BC9202">
      <w:pPr>
        <w:pStyle w:val="71"/>
        <w:shd w:val="clear" w:fill="FFFFFF" w:themeFill="background1"/>
        <w:rPr>
          <w:color w:val="auto"/>
          <w:highlight w:val="none"/>
        </w:rPr>
      </w:pPr>
      <w:bookmarkStart w:id="69" w:name="_Toc18622"/>
      <w:bookmarkEnd w:id="69"/>
      <w:bookmarkStart w:id="70" w:name="_Toc32451"/>
      <w:bookmarkEnd w:id="70"/>
      <w:bookmarkStart w:id="71" w:name="_Toc43475675"/>
      <w:bookmarkEnd w:id="71"/>
      <w:r>
        <w:rPr>
          <w:rFonts w:hint="eastAsia"/>
          <w:color w:val="auto"/>
          <w:highlight w:val="none"/>
        </w:rPr>
        <w:t>费用承担</w:t>
      </w:r>
    </w:p>
    <w:p w14:paraId="18660B3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投标人准备和参加投标活动发生的费用自理。</w:t>
      </w:r>
    </w:p>
    <w:p w14:paraId="70231C39">
      <w:pPr>
        <w:pStyle w:val="71"/>
        <w:shd w:val="clear" w:fill="FFFFFF" w:themeFill="background1"/>
        <w:rPr>
          <w:color w:val="auto"/>
          <w:highlight w:val="none"/>
        </w:rPr>
      </w:pPr>
      <w:bookmarkStart w:id="72" w:name="_Toc7728"/>
      <w:bookmarkEnd w:id="72"/>
      <w:bookmarkStart w:id="73" w:name="_Toc30845"/>
      <w:bookmarkEnd w:id="73"/>
      <w:bookmarkStart w:id="74" w:name="_Toc43475676"/>
      <w:bookmarkEnd w:id="74"/>
      <w:r>
        <w:rPr>
          <w:rFonts w:hint="eastAsia"/>
          <w:color w:val="auto"/>
          <w:highlight w:val="none"/>
        </w:rPr>
        <w:t>保密</w:t>
      </w:r>
    </w:p>
    <w:p w14:paraId="64FA0338">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参与招标投标活动的各方应对招标文件和投标文件中的商业和技术等秘密保密， 否则应承担相应的法律责任。</w:t>
      </w:r>
    </w:p>
    <w:p w14:paraId="516D3B8A">
      <w:pPr>
        <w:pStyle w:val="71"/>
        <w:shd w:val="clear" w:fill="FFFFFF" w:themeFill="background1"/>
        <w:rPr>
          <w:color w:val="auto"/>
          <w:highlight w:val="none"/>
        </w:rPr>
      </w:pPr>
      <w:bookmarkStart w:id="75" w:name="_Toc30800"/>
      <w:bookmarkEnd w:id="75"/>
      <w:bookmarkStart w:id="76" w:name="_Toc27711"/>
      <w:bookmarkEnd w:id="76"/>
      <w:bookmarkStart w:id="77" w:name="_Toc43475677"/>
      <w:bookmarkEnd w:id="77"/>
      <w:r>
        <w:rPr>
          <w:rFonts w:hint="eastAsia"/>
          <w:color w:val="auto"/>
          <w:highlight w:val="none"/>
        </w:rPr>
        <w:t>语言文字</w:t>
      </w:r>
    </w:p>
    <w:p w14:paraId="1E04CDA4">
      <w:pPr>
        <w:pStyle w:val="59"/>
        <w:shd w:val="clear" w:fill="FFFFFF" w:themeFill="background1"/>
        <w:spacing w:line="360" w:lineRule="auto"/>
        <w:ind w:firstLine="480" w:firstLineChars="200"/>
        <w:rPr>
          <w:rFonts w:ascii="宋体" w:hAnsi="宋体" w:cs="宋体"/>
          <w:color w:val="auto"/>
          <w:highlight w:val="none"/>
        </w:rPr>
      </w:pPr>
      <w:r>
        <w:rPr>
          <w:color w:val="auto"/>
          <w:highlight w:val="none"/>
        </w:rPr>
        <w:t>招标投标文件使用的语言文字为中文。专用术语使用外文的，应附有中文注释</w:t>
      </w:r>
      <w:r>
        <w:rPr>
          <w:rFonts w:hint="eastAsia" w:ascii="宋体" w:hAnsi="宋体" w:cs="宋体"/>
          <w:color w:val="auto"/>
          <w:highlight w:val="none"/>
        </w:rPr>
        <w:t>。</w:t>
      </w:r>
    </w:p>
    <w:p w14:paraId="1A9ABCFE">
      <w:pPr>
        <w:pStyle w:val="71"/>
        <w:shd w:val="clear" w:fill="FFFFFF" w:themeFill="background1"/>
        <w:rPr>
          <w:color w:val="auto"/>
          <w:highlight w:val="none"/>
        </w:rPr>
      </w:pPr>
      <w:bookmarkStart w:id="78" w:name="_Toc19030"/>
      <w:bookmarkEnd w:id="78"/>
      <w:bookmarkStart w:id="79" w:name="_Toc43475678"/>
      <w:bookmarkEnd w:id="79"/>
      <w:bookmarkStart w:id="80" w:name="_Toc19075"/>
      <w:bookmarkEnd w:id="80"/>
      <w:r>
        <w:rPr>
          <w:rFonts w:hint="eastAsia"/>
          <w:color w:val="auto"/>
          <w:highlight w:val="none"/>
        </w:rPr>
        <w:t>计量单位</w:t>
      </w:r>
    </w:p>
    <w:p w14:paraId="77761FA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所有计量均采用中华人民共和国法定计量单位。</w:t>
      </w:r>
    </w:p>
    <w:p w14:paraId="06E42F15">
      <w:pPr>
        <w:pStyle w:val="71"/>
        <w:shd w:val="clear" w:fill="FFFFFF" w:themeFill="background1"/>
        <w:rPr>
          <w:color w:val="auto"/>
          <w:highlight w:val="none"/>
        </w:rPr>
      </w:pPr>
      <w:bookmarkStart w:id="81" w:name="_Toc43475679"/>
      <w:bookmarkEnd w:id="81"/>
      <w:bookmarkStart w:id="82" w:name="_Toc9140"/>
      <w:bookmarkEnd w:id="82"/>
      <w:bookmarkStart w:id="83" w:name="_Toc11791"/>
      <w:bookmarkEnd w:id="83"/>
      <w:r>
        <w:rPr>
          <w:rFonts w:hint="eastAsia"/>
          <w:color w:val="auto"/>
          <w:highlight w:val="none"/>
        </w:rPr>
        <w:t>踏勘现场</w:t>
      </w:r>
    </w:p>
    <w:p w14:paraId="1F58BEC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1.9.1 第一章“招标公告”或“投标邀请书”规定组织踏勘现场的，招标人按规定的时间、地点组织投标人踏勘项目现场。部分投标人未按时参加踏勘现场的，不影响踏勘现场的正常进行。招标人不得组织单个或部分投标人踏勘项目现场。</w:t>
      </w:r>
    </w:p>
    <w:p w14:paraId="5150677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1.9.2 投标人踏勘现场发生的费用自理。</w:t>
      </w:r>
    </w:p>
    <w:p w14:paraId="7A67A8F2">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1.9.3 除招标人的原因外，投标人自行负责在踏勘现场中所发生的人员伤亡和财产损失。</w:t>
      </w:r>
    </w:p>
    <w:p w14:paraId="6074F74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1.9.4 招标人在踏勘现场中介绍的工程场地和相关的周边环境情况，供投标人在编制投标文件时参考，招标人不对投标人据此作出的判断和决策负责。</w:t>
      </w:r>
    </w:p>
    <w:p w14:paraId="374D2DF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1.9.5 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w:t>
      </w:r>
    </w:p>
    <w:p w14:paraId="637EF4E4">
      <w:pPr>
        <w:pStyle w:val="71"/>
        <w:shd w:val="clear" w:fill="FFFFFF" w:themeFill="background1"/>
        <w:rPr>
          <w:color w:val="auto"/>
          <w:highlight w:val="none"/>
        </w:rPr>
      </w:pPr>
      <w:bookmarkStart w:id="84" w:name="_Toc16718"/>
      <w:bookmarkEnd w:id="84"/>
      <w:bookmarkStart w:id="85" w:name="_Toc43475680"/>
      <w:bookmarkEnd w:id="85"/>
      <w:bookmarkStart w:id="86" w:name="_Toc7547"/>
      <w:bookmarkEnd w:id="86"/>
      <w:r>
        <w:rPr>
          <w:rFonts w:hint="eastAsia"/>
          <w:color w:val="auto"/>
          <w:highlight w:val="none"/>
        </w:rPr>
        <w:t>投标预备会</w:t>
      </w:r>
    </w:p>
    <w:p w14:paraId="2A2B373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1.10.1 第一章“招标公告”或“投标邀请书”规定召开投标预备会的，招标人按规定的时间和地点召开投标预备会，澄清投标人提出的问题。</w:t>
      </w:r>
    </w:p>
    <w:p w14:paraId="6ED3798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1.10.2 投标人应按投标人须知前附表规定的时间和形式将提出的问题送达招标人，以便招标人在会议期间澄清。</w:t>
      </w:r>
    </w:p>
    <w:p w14:paraId="14DFF1A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1.10.3 投标预备会后，招标人将对投标人所提问题的澄清，以本章第 2.2 款规定的形式通知所有购买招标文件的投标人。该澄清内容为招标文件的组成部分。</w:t>
      </w:r>
    </w:p>
    <w:p w14:paraId="0A992465">
      <w:pPr>
        <w:pStyle w:val="71"/>
        <w:shd w:val="clear" w:fill="FFFFFF" w:themeFill="background1"/>
        <w:rPr>
          <w:color w:val="auto"/>
          <w:highlight w:val="none"/>
        </w:rPr>
      </w:pPr>
      <w:bookmarkStart w:id="87" w:name="_Toc25367"/>
      <w:bookmarkEnd w:id="87"/>
      <w:bookmarkStart w:id="88" w:name="_Toc43475681"/>
      <w:bookmarkEnd w:id="88"/>
      <w:bookmarkStart w:id="89" w:name="_Toc496"/>
      <w:bookmarkEnd w:id="89"/>
      <w:r>
        <w:rPr>
          <w:rFonts w:hint="eastAsia"/>
          <w:color w:val="auto"/>
          <w:highlight w:val="none"/>
        </w:rPr>
        <w:t>分包</w:t>
      </w:r>
    </w:p>
    <w:p w14:paraId="55ED025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1.11.1投标人拟在中标后将中标项目的部分非主体、非关键性工作进行分包的， 应符合以下规定：</w:t>
      </w:r>
    </w:p>
    <w:p w14:paraId="12232AB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（1）分包内容要求：允许分包的工程范围仅限于非关键性工程或适合专业化队伍施工的专项工程。招标人允许分包或不允许分包的专项工程（如有）应在投标人须知前附表中载明。</w:t>
      </w:r>
    </w:p>
    <w:p w14:paraId="46B510C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（2）接受分包的第三人资格要求：分包人的资格能力应与其分包工程的标准和规模相适应，且具备投标人须知前附表中规定的资格条件。</w:t>
      </w:r>
    </w:p>
    <w:p w14:paraId="0F981E5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（3）其他要求：投标人如有分包计划，应按第九章“投标文件格式”的要求填写“拟分包项目情况表”，明确拟分包的工程及规模，且投标人中标后的分包应满足合同条款第4.3 款的相关要求。</w:t>
      </w:r>
    </w:p>
    <w:p w14:paraId="410D943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1.11.2中标人不得向他人转让中标项目，接受分包的人不得再次分包。中标人应就分包项目向招标人负责，接受分包的人就分包项目承担连带责任。</w:t>
      </w:r>
    </w:p>
    <w:p w14:paraId="1E73A31E">
      <w:pPr>
        <w:pStyle w:val="71"/>
        <w:shd w:val="clear" w:fill="FFFFFF" w:themeFill="background1"/>
        <w:rPr>
          <w:color w:val="auto"/>
          <w:highlight w:val="none"/>
        </w:rPr>
      </w:pPr>
      <w:bookmarkStart w:id="90" w:name="_Toc27550"/>
      <w:bookmarkEnd w:id="90"/>
      <w:bookmarkStart w:id="91" w:name="_Toc43475682"/>
      <w:bookmarkEnd w:id="91"/>
      <w:bookmarkStart w:id="92" w:name="_Toc29923"/>
      <w:bookmarkEnd w:id="92"/>
      <w:r>
        <w:rPr>
          <w:rFonts w:hint="eastAsia"/>
          <w:color w:val="auto"/>
          <w:highlight w:val="none"/>
        </w:rPr>
        <w:t>响应和偏差</w:t>
      </w:r>
    </w:p>
    <w:p w14:paraId="078AFCB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1.12.1投标文件偏离招标文件某些要求，视为投标文件存在偏差。偏差包括重大偏差和细微偏差。</w:t>
      </w:r>
    </w:p>
    <w:p w14:paraId="2E5AC93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1.12.2投标文件应对招标文件的实质性要求和条件作出满足性或更有利于招标人的响应，否则，视为投标文件存在重大偏差，投标人的投标将被否决。</w:t>
      </w:r>
    </w:p>
    <w:p w14:paraId="23A79D0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投标文件存在第三章“评标办法”中所列任一否决投标情形的，均属于存在重大偏差。</w:t>
      </w:r>
    </w:p>
    <w:p w14:paraId="62F77122">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1.12.3投标文件中的下列偏差为细微偏差：</w:t>
      </w:r>
    </w:p>
    <w:p w14:paraId="283F608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在按照第三章“评标办法”的规定对投标价进行算术性错误修正及其他错误修正后，最终投标报价未超过最高投标限价（如有）的情况下，出现第三章“评标办法”规定的算术性错误和投标报价的其他错误；</w:t>
      </w:r>
    </w:p>
    <w:p w14:paraId="4D48B32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（2）施工组织设计（含关键工程技术方案）和项目管理机构不够完善；</w:t>
      </w:r>
    </w:p>
    <w:p w14:paraId="7AAC6AB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（3）投标文件页码不连续、采用活页夹装订、个别文字有遗漏错误等不影响投标文件实质性内容的偏差。</w:t>
      </w:r>
    </w:p>
    <w:p w14:paraId="47D445A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1.12.4评标委员会对投标文件中的细微偏差按如下规定处理：</w:t>
      </w:r>
    </w:p>
    <w:p w14:paraId="1334D0D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（1）对于本章第 1.12.3 项（1）目所述的细微偏差，按照第三章“评标办法”的规定予以修正并要求投标人进行澄清；</w:t>
      </w:r>
    </w:p>
    <w:p w14:paraId="42571584">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（2）对于本章第 1.12.3 项（2）目所述的细微偏差，如果采用合理低价法或经评审的最低投标价法评标，应要求投标人对细微偏差进行澄清，只有投标人的澄清文件被评标委员会接受，投标人才能参加评标价的最终评比。如果采用技术评分最低标价法或综合评分法评标，可在相关评分因素的评分中酌情扣分；</w:t>
      </w:r>
    </w:p>
    <w:p w14:paraId="6C0A844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（3）对于本章第 1.12.3 项（3）目所述的细微偏差，可要求投标人对细微偏差进行澄清。</w:t>
      </w:r>
    </w:p>
    <w:p w14:paraId="03C4C81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1.12.5投标人应根据招标文件的要求提供施工组织设计等内容以对招标文件作出响应。</w:t>
      </w:r>
    </w:p>
    <w:p w14:paraId="4C71EED0">
      <w:pPr>
        <w:pStyle w:val="69"/>
        <w:shd w:val="clear" w:fill="FFFFFF" w:themeFill="background1"/>
        <w:spacing w:before="156"/>
        <w:rPr>
          <w:color w:val="auto"/>
          <w:highlight w:val="none"/>
        </w:rPr>
      </w:pPr>
      <w:bookmarkStart w:id="93" w:name="_Toc18201"/>
      <w:bookmarkEnd w:id="93"/>
      <w:bookmarkStart w:id="94" w:name="_Toc43475683"/>
      <w:bookmarkEnd w:id="94"/>
      <w:bookmarkStart w:id="95" w:name="_Toc14851"/>
      <w:bookmarkEnd w:id="95"/>
      <w:r>
        <w:rPr>
          <w:rFonts w:hint="eastAsia"/>
          <w:color w:val="auto"/>
          <w:highlight w:val="none"/>
        </w:rPr>
        <w:t>招标文件</w:t>
      </w:r>
    </w:p>
    <w:p w14:paraId="32B72955">
      <w:pPr>
        <w:pStyle w:val="71"/>
        <w:shd w:val="clear" w:fill="FFFFFF" w:themeFill="background1"/>
        <w:rPr>
          <w:color w:val="auto"/>
          <w:highlight w:val="none"/>
        </w:rPr>
      </w:pPr>
      <w:bookmarkStart w:id="96" w:name="_Toc21484"/>
      <w:bookmarkEnd w:id="96"/>
      <w:bookmarkStart w:id="97" w:name="_Toc22888"/>
      <w:bookmarkEnd w:id="97"/>
      <w:bookmarkStart w:id="98" w:name="_Toc43475684"/>
      <w:bookmarkEnd w:id="98"/>
      <w:r>
        <w:rPr>
          <w:rFonts w:hint="eastAsia"/>
          <w:color w:val="auto"/>
          <w:highlight w:val="none"/>
        </w:rPr>
        <w:t>招标文件的组成</w:t>
      </w:r>
    </w:p>
    <w:p w14:paraId="61F6D793">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本招标文件包括：</w:t>
      </w:r>
    </w:p>
    <w:p w14:paraId="7AE07080">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（1）招标公告（或投标邀请书）；</w:t>
      </w:r>
    </w:p>
    <w:p w14:paraId="158DDECD">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（2）投标人须知；</w:t>
      </w:r>
    </w:p>
    <w:p w14:paraId="5DD1DD8B">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（3）评标办法；</w:t>
      </w:r>
    </w:p>
    <w:p w14:paraId="72A464D0">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（4）合同条款及格式；</w:t>
      </w:r>
    </w:p>
    <w:p w14:paraId="62B00BF5">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（5）工程量清单；</w:t>
      </w:r>
    </w:p>
    <w:p w14:paraId="7E0D178F">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（6）图纸；</w:t>
      </w:r>
    </w:p>
    <w:p w14:paraId="493C3EF5">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（7）技术规范；</w:t>
      </w:r>
    </w:p>
    <w:p w14:paraId="63E81FF1">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（8）工程量清单计量规则；</w:t>
      </w:r>
    </w:p>
    <w:p w14:paraId="2CCE1BB1">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（9）投标文件格式；</w:t>
      </w:r>
    </w:p>
    <w:p w14:paraId="48C231E2">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（10）投标人须知前附表规定的其他资料。</w:t>
      </w:r>
    </w:p>
    <w:p w14:paraId="6E89B66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根据本章第 1.10 款、第 2.2 款和第 2.3 款对招标文件所作的澄清、修改，构成招标文件的组成部分。</w:t>
      </w:r>
    </w:p>
    <w:p w14:paraId="4493B0C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当招标文件、招标文件的澄清或修改等在同一内容的表述上不一致时，以最后发出的书面文件为准。</w:t>
      </w:r>
    </w:p>
    <w:p w14:paraId="5D874A3B">
      <w:pPr>
        <w:pStyle w:val="71"/>
        <w:shd w:val="clear" w:fill="FFFFFF" w:themeFill="background1"/>
        <w:rPr>
          <w:color w:val="auto"/>
          <w:highlight w:val="none"/>
        </w:rPr>
      </w:pPr>
      <w:bookmarkStart w:id="99" w:name="_Toc43475685"/>
      <w:bookmarkEnd w:id="99"/>
      <w:bookmarkStart w:id="100" w:name="_Toc26732"/>
      <w:bookmarkEnd w:id="100"/>
      <w:bookmarkStart w:id="101" w:name="_Toc16577"/>
      <w:bookmarkEnd w:id="101"/>
      <w:r>
        <w:rPr>
          <w:rFonts w:hint="eastAsia"/>
          <w:color w:val="auto"/>
          <w:highlight w:val="none"/>
        </w:rPr>
        <w:t>招标文件的澄清</w:t>
      </w:r>
    </w:p>
    <w:p w14:paraId="07E034A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2.2.1投标人应仔细阅读和检查招标文件的全部内容。如发现缺页或附件不全， 应及时向招标人提出，以便补齐。如有疑问，应按投标人须知前附表规定的时间和形式将提出的问题送达招标人，要求招标人对招标文件予以澄清。</w:t>
      </w:r>
    </w:p>
    <w:p w14:paraId="5F62074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2.2.2招标文件的澄清以投标人须知前附表规定的形式发给所有购买招标文件的投标人，但不指明澄清问题的来源。澄清发出的时间距本章第 4.2.1 项规定的投标截止时间不足 15 日，且澄清内容可能影响投标文件编制的，将相应延长投标截止时间。</w:t>
      </w:r>
    </w:p>
    <w:p w14:paraId="6BB713F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2.2.3投标人在收到澄清后，应按投标人须知前附表规定的时间和形式通知招标人，确认已收到该澄清。</w:t>
      </w:r>
    </w:p>
    <w:p w14:paraId="3CE10A0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2.2.4除非招标人认为确有必要答复，否则，招标人有权拒绝回复投标人在本章第 2.2.1 项规定的时间后提出的任何澄清要求。</w:t>
      </w:r>
    </w:p>
    <w:p w14:paraId="58E4B62B">
      <w:pPr>
        <w:pStyle w:val="71"/>
        <w:shd w:val="clear" w:fill="FFFFFF" w:themeFill="background1"/>
        <w:rPr>
          <w:color w:val="auto"/>
          <w:highlight w:val="none"/>
        </w:rPr>
      </w:pPr>
      <w:bookmarkStart w:id="102" w:name="_Toc10051"/>
      <w:bookmarkEnd w:id="102"/>
      <w:bookmarkStart w:id="103" w:name="_Toc3321"/>
      <w:bookmarkEnd w:id="103"/>
      <w:bookmarkStart w:id="104" w:name="_Toc43475686"/>
      <w:bookmarkEnd w:id="104"/>
      <w:r>
        <w:rPr>
          <w:rFonts w:hint="eastAsia"/>
          <w:color w:val="auto"/>
          <w:highlight w:val="none"/>
        </w:rPr>
        <w:t>招标文件的修改</w:t>
      </w:r>
    </w:p>
    <w:p w14:paraId="7558A72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2.3.1招标人以投标人须知前附表规定的形式修改招标文件，并通知所有已购买招标文件的投标人。修改招标文件的时间距本章第 4.2.1 项规定的投标截止时间不足15日，且修改内容可能影响投标文件编制的，将相应延长投标截止时间。</w:t>
      </w:r>
    </w:p>
    <w:p w14:paraId="451C806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2.3.2投标人收到修改内容后，应按投标人须知前附表规定的时间和形式通知招标人，确认已收到该修改。</w:t>
      </w:r>
    </w:p>
    <w:p w14:paraId="3754ED2F">
      <w:pPr>
        <w:pStyle w:val="71"/>
        <w:shd w:val="clear" w:fill="FFFFFF" w:themeFill="background1"/>
        <w:rPr>
          <w:color w:val="auto"/>
          <w:highlight w:val="none"/>
        </w:rPr>
      </w:pPr>
      <w:bookmarkStart w:id="105" w:name="_Toc43475687"/>
      <w:bookmarkEnd w:id="105"/>
      <w:bookmarkStart w:id="106" w:name="_Toc5802"/>
      <w:bookmarkEnd w:id="106"/>
      <w:bookmarkStart w:id="107" w:name="_Toc54"/>
      <w:bookmarkEnd w:id="107"/>
      <w:r>
        <w:rPr>
          <w:rFonts w:hint="eastAsia"/>
          <w:color w:val="auto"/>
          <w:highlight w:val="none"/>
        </w:rPr>
        <w:t>招标文件的异议</w:t>
      </w:r>
    </w:p>
    <w:p w14:paraId="06A94EB5">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投标人或其他利害关系人对招标文件有异议的，应在投标截止时间 10 日前以书面形式提出。招标人将在收到异议之日起 3 日内作出答复；作出答复前，将暂停招标投标活动。</w:t>
      </w:r>
    </w:p>
    <w:p w14:paraId="48A19A73">
      <w:pPr>
        <w:pStyle w:val="69"/>
        <w:shd w:val="clear" w:fill="FFFFFF" w:themeFill="background1"/>
        <w:spacing w:before="156"/>
        <w:rPr>
          <w:color w:val="auto"/>
          <w:highlight w:val="none"/>
        </w:rPr>
      </w:pPr>
      <w:bookmarkStart w:id="108" w:name="_Toc8676"/>
      <w:bookmarkEnd w:id="108"/>
      <w:bookmarkStart w:id="109" w:name="_Toc17093"/>
      <w:bookmarkEnd w:id="109"/>
      <w:bookmarkStart w:id="110" w:name="_Toc43475688"/>
      <w:bookmarkEnd w:id="110"/>
      <w:r>
        <w:rPr>
          <w:rFonts w:hint="eastAsia"/>
          <w:color w:val="auto"/>
          <w:highlight w:val="none"/>
        </w:rPr>
        <w:t>投标文件</w:t>
      </w:r>
    </w:p>
    <w:p w14:paraId="42E7C8B2">
      <w:pPr>
        <w:pStyle w:val="71"/>
        <w:shd w:val="clear" w:fill="FFFFFF" w:themeFill="background1"/>
        <w:rPr>
          <w:color w:val="auto"/>
          <w:highlight w:val="none"/>
        </w:rPr>
      </w:pPr>
      <w:bookmarkStart w:id="111" w:name="_Toc27990"/>
      <w:bookmarkEnd w:id="111"/>
      <w:bookmarkStart w:id="112" w:name="_Toc43475689"/>
      <w:bookmarkEnd w:id="112"/>
      <w:bookmarkStart w:id="113" w:name="_Toc10611"/>
      <w:bookmarkEnd w:id="113"/>
      <w:r>
        <w:rPr>
          <w:rFonts w:hint="eastAsia"/>
          <w:color w:val="auto"/>
          <w:highlight w:val="none"/>
        </w:rPr>
        <w:t>投标文件的组成</w:t>
      </w:r>
    </w:p>
    <w:p w14:paraId="78F7D27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根据投标人须知前附表规定的不同形式，投标文件的组成应满足相应条款要求。</w:t>
      </w:r>
    </w:p>
    <w:p w14:paraId="7EF00098">
      <w:pPr>
        <w:shd w:val="clear" w:fill="FFFFFF" w:themeFill="background1"/>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若采用双信封形式，第 3.1.1 项采用以下条款：</w:t>
      </w:r>
    </w:p>
    <w:p w14:paraId="07317AC9">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3.1.1投标文件应包括下列内容：</w:t>
      </w:r>
    </w:p>
    <w:p w14:paraId="3071A1CD">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第一个信封（商务及技术文件）：</w:t>
      </w:r>
    </w:p>
    <w:p w14:paraId="350851E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（1）投标函及投标函附录；</w:t>
      </w:r>
    </w:p>
    <w:p w14:paraId="6460F8A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（2）授权委托书或法定代表人身份证明；</w:t>
      </w:r>
    </w:p>
    <w:p w14:paraId="2E39996E">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（3）联合体协议书；</w:t>
      </w:r>
    </w:p>
    <w:p w14:paraId="5B1A6DFF">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（4）投标保证金；</w:t>
      </w:r>
    </w:p>
    <w:p w14:paraId="1F533350">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（5）施工组织设计；</w:t>
      </w:r>
    </w:p>
    <w:p w14:paraId="2AE8BBD7">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（6）项目管理机构；</w:t>
      </w:r>
    </w:p>
    <w:p w14:paraId="03EBB55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（7）拟分包项目情况表；</w:t>
      </w:r>
    </w:p>
    <w:p w14:paraId="1F213FBC">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（8）资格审查资料；</w:t>
      </w:r>
    </w:p>
    <w:p w14:paraId="4FBD4BF6">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（9）投标人须知前附表规定的其他资料。</w:t>
      </w:r>
    </w:p>
    <w:p w14:paraId="44DFBA2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第二个信封（报价文件）：</w:t>
      </w:r>
    </w:p>
    <w:p w14:paraId="515AB73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（1）调价函及调价后的工程量清单；</w:t>
      </w:r>
    </w:p>
    <w:p w14:paraId="47EA83CB">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（2）投标函；</w:t>
      </w:r>
    </w:p>
    <w:p w14:paraId="1CCD54C3">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（3）已标价工程量清单；</w:t>
      </w:r>
    </w:p>
    <w:p w14:paraId="66B9C265">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（4）合同用款估算表。</w:t>
      </w:r>
    </w:p>
    <w:p w14:paraId="3460172B">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投标人在评标过程中作出的符合法律法规和招标文件规定的澄清确认，构成投标文件的组成部分。</w:t>
      </w:r>
    </w:p>
    <w:p w14:paraId="502776E1">
      <w:pPr>
        <w:shd w:val="clear" w:fill="FFFFFF" w:themeFill="background1"/>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若采用单信封形式，第 3.1.1 项采用以下条款：</w:t>
      </w:r>
    </w:p>
    <w:p w14:paraId="1BD7C138">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3.1.1  投标文件应包括下列内容：</w:t>
      </w:r>
    </w:p>
    <w:p w14:paraId="6DEB88F0">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（1）投标函及投标函附录；</w:t>
      </w:r>
    </w:p>
    <w:p w14:paraId="637A68A0">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（2）授权委托书或法定代表人身份证明；</w:t>
      </w:r>
    </w:p>
    <w:p w14:paraId="0F615F0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（3）联合体协议书；</w:t>
      </w:r>
    </w:p>
    <w:p w14:paraId="31714F3D">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（4）投标保证金；</w:t>
      </w:r>
    </w:p>
    <w:p w14:paraId="030569FD">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（5）已标价工程量清单；</w:t>
      </w:r>
    </w:p>
    <w:p w14:paraId="1C62F006">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（6）施工组织设计；</w:t>
      </w:r>
    </w:p>
    <w:p w14:paraId="3A3CCA6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（7）项目管理机构；</w:t>
      </w:r>
    </w:p>
    <w:p w14:paraId="536C89D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（8）拟分包项目情况表；</w:t>
      </w:r>
    </w:p>
    <w:p w14:paraId="381BE4CB">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（9）资格审查资料；</w:t>
      </w:r>
    </w:p>
    <w:p w14:paraId="37C34ACE">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（10）调价函及调价后的工程量清单（如有）；</w:t>
      </w:r>
    </w:p>
    <w:p w14:paraId="53C9BADF">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（11）投标人须知前附表规定的其他资料。</w:t>
      </w:r>
    </w:p>
    <w:p w14:paraId="0A109648">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投标人在评标过程中作出的符合法律法规和招标文件规定的澄清确认，构成投标文件的组成部分。</w:t>
      </w:r>
    </w:p>
    <w:p w14:paraId="1A713FDD">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3.1.2投标人须知前附表规定不接受联合体投标的，或投标人没有组成联合体的，投标文件不包括本章第 3.1.1（3）目所指的联合体协议书。</w:t>
      </w:r>
    </w:p>
    <w:p w14:paraId="30DBC6E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3.1.3 投标人须知前附表未要求提交投标保证金的，投标文件不包括本章第 3.1.1（4）目所指的投标保证金。</w:t>
      </w:r>
    </w:p>
    <w:p w14:paraId="59202B25">
      <w:pPr>
        <w:pStyle w:val="71"/>
        <w:shd w:val="clear" w:fill="FFFFFF" w:themeFill="background1"/>
        <w:rPr>
          <w:color w:val="auto"/>
          <w:highlight w:val="none"/>
        </w:rPr>
      </w:pPr>
      <w:bookmarkStart w:id="114" w:name="_Toc5966"/>
      <w:bookmarkEnd w:id="114"/>
      <w:bookmarkStart w:id="115" w:name="_Toc43475690"/>
      <w:bookmarkEnd w:id="115"/>
      <w:bookmarkStart w:id="116" w:name="_Toc8391"/>
      <w:bookmarkEnd w:id="116"/>
      <w:r>
        <w:rPr>
          <w:rFonts w:hint="eastAsia"/>
          <w:color w:val="auto"/>
          <w:highlight w:val="none"/>
        </w:rPr>
        <w:t>投标报价</w:t>
      </w:r>
    </w:p>
    <w:p w14:paraId="3448F200">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3.2.1投标报价应包括国家规定的增值税税金，除投标人须知前附表另有规定外， 增值税税金按一般计税方法计算。投标人应按第九章“投标文件格式”的要求在投标函中进行报价并填写工程量清单相应表格。</w:t>
      </w:r>
    </w:p>
    <w:p w14:paraId="340E5198">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工程量清单的填写分下列两种方式。投标人应按投标人须知前附表规定的方式填写工程量清单。</w:t>
      </w:r>
    </w:p>
    <w:p w14:paraId="7C38DC6E">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（1）本项目招标采用工程量固化清单，招标人在出售招标文件的同时向投标人提供工程量固化清单电子文件（光盘或 U 盘），或将工程量固化清单电子文件上传至投标人须知前附表载明的网站供投标人自行下载。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w:t>
      </w:r>
    </w:p>
    <w:p w14:paraId="57E37CC7">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投标人必须严格遵循工程量固化清单电子文件中的数据、格式及运算定义，并将已填写完毕的投标工程量清单电子文件单独拷入招标人提供的光盘（或 U 盘）中密封在投标文件内一并交回。严禁投标人修改工程量固化清单电子文件中的数据、格式及运算定义。</w:t>
      </w:r>
    </w:p>
    <w:p w14:paraId="176A773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投标人根据招标人提供的工程量固化清单电子文件填报完成并打印的投标工程量清单中的投标报价和投标函大写金额报价应一致，如果报价金额出现差异，其投标将被否决。</w:t>
      </w:r>
    </w:p>
    <w:p w14:paraId="21E95C9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招标由招标人提供书面工程量清单，由投标人按照招标人提供的工程量清单填写本合同各工程子目的单价、合价和总额价。评标委员会将按照第三章“评标办法”的规定对投标价进行算术性错误修正及其他错误修正。</w:t>
      </w:r>
    </w:p>
    <w:p w14:paraId="49030F2E">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3.2.2投标人应充分了解本项目的总体情况以及影响投标报价的其他要素。</w:t>
      </w:r>
    </w:p>
    <w:p w14:paraId="65AF4DF9">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3.2.3本项目的报价方式见投标人须知前附表。投标人在投标截止时间前修改投标函中的投标总报价，应同时修改投标文件“已标价工程量清单”中的相应报价。此修改须符合本章第 4.3 款的有关要求。</w:t>
      </w:r>
    </w:p>
    <w:p w14:paraId="59BF1290">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3.2.4投标人如果发现工程量清单中的数量与图纸中数量不一致时，应立即通知招标人核查，除非招标人以书面方式予以更正，否则，应以工程量清单中列出的数量为准。</w:t>
      </w:r>
    </w:p>
    <w:p w14:paraId="1DFFFB84">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3.2.5投标人应根据《公路水运工程安全生产监督管理办法》，在投标总价中计入安全生产费用，安全生产费用应符合合同条款第 9.2.5 项的规定。工程量清单第 100 章内列有上述安全生产费的支付子目，由投标人按招标文件的规定填写总额价。</w:t>
      </w:r>
    </w:p>
    <w:p w14:paraId="65A2F654">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3.2.6除投标人须知前附表另有规定外，招标人不接受调价函。若招标人接受调价函，则应在招标文件中给出调价函的格式。投标人若有调价函则应遵循如下规定：</w:t>
      </w:r>
    </w:p>
    <w:p w14:paraId="1DC8040D">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（1）调价函必须采用招标文件规定的格式；调价函应说明调价后的最终报价，并以最终报价为准，而且投标人只能有一次调价的机会；</w:t>
      </w:r>
    </w:p>
    <w:p w14:paraId="117B1445">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（2）工程量清单中招标人指定的报价不允许调价；</w:t>
      </w:r>
    </w:p>
    <w:p w14:paraId="3047E9BF">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（3）调价函必须附有调价后的工程量清单；调价函必须粘贴或机械装订在投标文件正本首页，与投标文件一起密封提交。</w:t>
      </w:r>
    </w:p>
    <w:p w14:paraId="6345611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投标人未提交调价后的工程量清单，或调价函未装在投标文件正本首页，调价函均视为无效，仍以原报价作为最终报价。若投标人提交的调价函多于一个，或对不允许调价的内容进行了调价，或调价函有附加条件，其投标将被否决。</w:t>
      </w:r>
    </w:p>
    <w:p w14:paraId="0029788D">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（4）若招标人接受调价函，投标人调价后的工程量清单和有效调价函的大写金额报价应保持一致，如果报价金额出现差异，则以有效调价函的大写金额报价为准。</w:t>
      </w:r>
    </w:p>
    <w:p w14:paraId="4F2973B0">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3.2.7在合同实施期间，投标人填写的单价、合价和总额价是否由于物价波动进行价格调整按照合同条款第 16.1 款的规定处理。如果按照合同条款第 16.1.1 项的规定采用价格调整公式进行价格调整，由招标人根据项目实际情况测算确定价格调整公式中的变值权重范围，并在投标函附录价格指数和权重表中约定范围；投标人在此范围内填写各可调因子的权重，合同实施期间将按此权重进行调价。</w:t>
      </w:r>
    </w:p>
    <w:p w14:paraId="3DA5218C">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3.2.8招标人设有最高投标限价的，投标人的投标报价不得超过最高投标限价， 最高投标限价在投标人须知前附表中载明。</w:t>
      </w:r>
    </w:p>
    <w:p w14:paraId="46F5AB69">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3.2.9投标报价的其他要求见投标人须知前附表。</w:t>
      </w:r>
    </w:p>
    <w:p w14:paraId="4CD50A84">
      <w:pPr>
        <w:pStyle w:val="71"/>
        <w:shd w:val="clear" w:fill="FFFFFF" w:themeFill="background1"/>
        <w:rPr>
          <w:color w:val="auto"/>
          <w:highlight w:val="none"/>
        </w:rPr>
      </w:pPr>
      <w:bookmarkStart w:id="117" w:name="_Toc43475691"/>
      <w:bookmarkEnd w:id="117"/>
      <w:bookmarkStart w:id="118" w:name="_Toc21854"/>
      <w:bookmarkEnd w:id="118"/>
      <w:bookmarkStart w:id="119" w:name="_Toc14703"/>
      <w:bookmarkEnd w:id="119"/>
      <w:r>
        <w:rPr>
          <w:rFonts w:hint="eastAsia"/>
          <w:color w:val="auto"/>
          <w:highlight w:val="none"/>
        </w:rPr>
        <w:t>投标有效期</w:t>
      </w:r>
    </w:p>
    <w:p w14:paraId="7E6538EE">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3.3.1除投标人须知前附表另有规定外，投标有效期为 90 日。</w:t>
      </w:r>
    </w:p>
    <w:p w14:paraId="46FC1C95">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3.3.2在投标有效期内，投标人撤销投标文件的，应承担招标文件和法律规定的责任。</w:t>
      </w:r>
    </w:p>
    <w:p w14:paraId="022D176B">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07350A5A">
      <w:pPr>
        <w:pStyle w:val="71"/>
        <w:shd w:val="clear" w:fill="FFFFFF" w:themeFill="background1"/>
        <w:rPr>
          <w:color w:val="auto"/>
          <w:highlight w:val="none"/>
        </w:rPr>
      </w:pPr>
      <w:bookmarkStart w:id="120" w:name="_Toc25629"/>
      <w:bookmarkEnd w:id="120"/>
      <w:bookmarkStart w:id="121" w:name="_Toc20948"/>
      <w:bookmarkEnd w:id="121"/>
      <w:bookmarkStart w:id="122" w:name="_Toc43475692"/>
      <w:bookmarkEnd w:id="122"/>
      <w:r>
        <w:rPr>
          <w:rFonts w:hint="eastAsia"/>
          <w:color w:val="auto"/>
          <w:highlight w:val="none"/>
        </w:rPr>
        <w:t>投标保证金</w:t>
      </w:r>
    </w:p>
    <w:p w14:paraId="3F629C5B">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3.4.1投标人在递交投标文件的同时，应按投标人须知前附表规定的金额和第九章“投标文件格式”规定的投标保证金格式递交投标保证金，并作为其投标文件的组成部分。联合体投标的，其投标保证金由牵头人递交，并应符合投标人须知前附表的规定。</w:t>
      </w:r>
    </w:p>
    <w:p w14:paraId="18B52C6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投标保证金应采用现金、支票、银行保函或招标人在投标人须知前附表规定的其他形式。</w:t>
      </w:r>
    </w:p>
    <w:p w14:paraId="250F0D75">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（1）若采用现金或支票，投标人应在递交投标文件截止时间之前，将投标保证金由投标人的基本账户转入招标人指定账户，否则视为投标保证金无效。招标人指定的开户银行及账号见投标人须知前附表。</w:t>
      </w:r>
    </w:p>
    <w:p w14:paraId="77457C8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（2）若采用银行保函，则应由符合投标人须知前附表规定级别的银行开具，并采用招标文件提供的格式。银行保函复印件装订在投标文件内，原件应在递交投标文件截止时间之前单独密封递交给招标人。</w:t>
      </w:r>
    </w:p>
    <w:p w14:paraId="3291E64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无论采取何种形式的投标保证金，投标保证金有效期均应与投标有效期一致。招标人如果按本章第 3.3.3 项的规定延长了投标有效期，则投标保证金的有效期也相应延长。</w:t>
      </w:r>
    </w:p>
    <w:p w14:paraId="07762027">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3.4.2投标人不按本章第 3.4.1 项要求提交投标保证金的，评标委员会将否决其投标。</w:t>
      </w:r>
    </w:p>
    <w:p w14:paraId="3C4F7328">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3.4.3招标人最迟将在中标通知书发出后 5 日内向中标候选人以外的其他投标人退还投标保证金，与中标人签订合同后 5 日内向中标人和其他中标候选人退还投标保证金。投标保证金以现金或支票形式递交的，招标人应同时退还投标保证金的银行同期活期存款利息，且退还至投标人的基本账户。</w:t>
      </w:r>
    </w:p>
    <w:p w14:paraId="7382DCC0">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利息计算原则见投标人须知前附表。</w:t>
      </w:r>
    </w:p>
    <w:p w14:paraId="48F3C02B">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3.4.4有下列情形之一的，投标保证金将不予退还：</w:t>
      </w:r>
    </w:p>
    <w:p w14:paraId="3A8BA87C">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（1）投标人在投标有效期内撤销投标文件；</w:t>
      </w:r>
    </w:p>
    <w:p w14:paraId="1A18AF53">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（2）中标人在收到中标通知书后，无正当理由不与招标人订立合同，在签订合同时向招标人提出附加条件，或不按照招标文件要求提交履约保证金；</w:t>
      </w:r>
    </w:p>
    <w:p w14:paraId="53802B68">
      <w:pPr>
        <w:shd w:val="clear" w:fill="FFFFFF" w:themeFill="background1"/>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（3）发生投标人须知前附表规定的其他可以不予退还投标保证金的情形。</w:t>
      </w:r>
    </w:p>
    <w:p w14:paraId="64EB840D">
      <w:pPr>
        <w:pStyle w:val="71"/>
        <w:shd w:val="clear" w:fill="FFFFFF" w:themeFill="background1"/>
        <w:spacing w:line="480" w:lineRule="exact"/>
        <w:rPr>
          <w:color w:val="auto"/>
          <w:highlight w:val="none"/>
        </w:rPr>
      </w:pPr>
      <w:bookmarkStart w:id="123" w:name="_Toc43475693"/>
      <w:bookmarkEnd w:id="123"/>
      <w:bookmarkStart w:id="124" w:name="_Toc4081"/>
      <w:bookmarkEnd w:id="124"/>
      <w:bookmarkStart w:id="125" w:name="_Toc7507"/>
      <w:bookmarkEnd w:id="125"/>
      <w:r>
        <w:rPr>
          <w:rFonts w:hint="eastAsia"/>
          <w:color w:val="auto"/>
          <w:highlight w:val="none"/>
        </w:rPr>
        <w:t>资格审查资料（适用于未进行资格预审的）</w:t>
      </w:r>
    </w:p>
    <w:p w14:paraId="063259DA">
      <w:pPr>
        <w:shd w:val="clear" w:fill="FFFFFF" w:themeFill="background1"/>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除投标人须知前附表另有规定外，投标人应按下列规定提供资格审查资料，以证明其满足本章第 1.4 款规定的资质、财务、业绩、信誉等要求。</w:t>
      </w:r>
    </w:p>
    <w:p w14:paraId="4F3CE568">
      <w:pPr>
        <w:shd w:val="clear" w:fill="FFFFFF" w:themeFill="background1"/>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3.5.1“投标人基本情况表”应附企业法人营业执照副本和组织机构代码证副本（按照“三证合一”或“五证合一”登记制度进行登记的，可仅提供营业执照副本，下同）、施工资质证书副本、安全生产许可证副本、基本账户开户许可证的复印件，投标人在交通运输部“全国公路建设市场监督管理系统”公路工程施工资质企业名录中的网页截图复印件，以及投标人在国家企业信用信息公示系统中基础信息（体现股东及出资详细信息）的网页截图或由法定的社会验资机构出具的验资报告或注册地工商部门出具的股东出资情况证明复印件。</w:t>
      </w:r>
    </w:p>
    <w:p w14:paraId="3FE80105">
      <w:pPr>
        <w:shd w:val="clear" w:fill="FFFFFF" w:themeFill="background1"/>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企业法人营业执照副本和组织机构代码证副本、施工资质证书副本、安全生产许可证副本、基本账户开户许可证的复印件应提供全本（证书封面、封底、空白页除外），应包括投标人名称、投标人其他相关信息、颁发机构名称、投标人信息变更情况等关键页在内，并逐页加盖投标人单位章。</w:t>
      </w:r>
    </w:p>
    <w:p w14:paraId="1DA0F641">
      <w:pPr>
        <w:shd w:val="clear" w:fill="FFFFFF" w:themeFill="background1"/>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3.5.2“财务状况表”应附经会计师事务所或审计机构审计的财务会计报表，包括资产负债表、现金流量表、利润表和财务情况说明书的复印件，具体年份要求见投标人须知前附表。投标人的成立时间少于投标人须知前附表规定年份的，应提供成立以来的财务状况表。</w:t>
      </w:r>
    </w:p>
    <w:p w14:paraId="46EB2E14">
      <w:pPr>
        <w:shd w:val="clear" w:fill="FFFFFF" w:themeFill="background1"/>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3.5.3“近年完成的类似项目”应是已列入交通运输主管部门“公路建设市场信用信息管理系统”并公开的主包已建业绩或分包已建业绩，具体时间要求见投标人须知前附表。</w:t>
      </w:r>
    </w:p>
    <w:p w14:paraId="43D17F6B">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“近年完成的类似项目情况表”应附在交通运输部“全国公路建设市场监督管理系统”（网址：</w:t>
      </w:r>
      <w:r>
        <w:rPr>
          <w:color w:val="auto"/>
          <w:highlight w:val="none"/>
        </w:rPr>
        <w:fldChar w:fldCharType="begin"/>
      </w:r>
      <w:r>
        <w:rPr>
          <w:color w:val="auto"/>
          <w:highlight w:val="none"/>
        </w:rPr>
        <w:instrText xml:space="preserve"> HYPERLINK "http://glxy.mot.gov.cn/BM/）中查询到的企业" </w:instrText>
      </w:r>
      <w:r>
        <w:rPr>
          <w:color w:val="auto"/>
          <w:highlight w:val="none"/>
        </w:rPr>
        <w:fldChar w:fldCharType="separate"/>
      </w:r>
      <w:r>
        <w:rPr>
          <w:rFonts w:hint="eastAsia"/>
          <w:color w:val="auto"/>
          <w:highlight w:val="none"/>
        </w:rPr>
        <w:t>https://hwdms.mot.gov.cn/BMWebSite/</w:t>
      </w:r>
      <w:r>
        <w:rPr>
          <w:rStyle w:val="52"/>
          <w:rFonts w:hint="eastAsia" w:ascii="宋体" w:hAnsi="宋体" w:cs="宋体"/>
          <w:color w:val="auto"/>
          <w:sz w:val="24"/>
          <w:szCs w:val="24"/>
          <w:highlight w:val="none"/>
        </w:rPr>
        <w:t>）中查询到的企业“业绩信息”相关项目网页截图复印件，即包括“项目名称”“标段类型”“合同价”“主要工程量”“项目主要管理人员”等栏目在内的项目详细信息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w:t>
      </w:r>
      <w:r>
        <w:rPr>
          <w:rStyle w:val="52"/>
          <w:rFonts w:hint="eastAsia" w:ascii="宋体" w:hAnsi="宋体" w:cs="宋体"/>
          <w:color w:val="auto"/>
          <w:sz w:val="24"/>
          <w:szCs w:val="24"/>
          <w:highlight w:val="none"/>
        </w:rPr>
        <w:fldChar w:fldCharType="end"/>
      </w:r>
    </w:p>
    <w:p w14:paraId="50A2721C">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如投标人未提供相关项目网页截图复印件或相关项目网页截图的信息无法证实投标人满足招标文件规定的资格审查条件（业绩最低要求），则该项目业绩不予认定。</w:t>
      </w:r>
    </w:p>
    <w:p w14:paraId="3FBCFE7F">
      <w:pPr>
        <w:shd w:val="clear" w:fill="FFFFFF" w:themeFill="background1"/>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3.5.4“投标人的信誉情况表”应附投标人在国家企业信用信息公示系统中未被列入严重违法失信企业名单、在“信用中国”网站中未被列入失信被执行人名单的网页截图复印件。</w:t>
      </w:r>
    </w:p>
    <w:p w14:paraId="23BCF3F3">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3.5.5“拟委任的项目经理和项目总工资历表”应附项目经理和项目总工的身份证、职称资格证书以及资格审查条件所要求的其他相关证书（如建造师注册证书、安全生产考核合格证书等）的复印件，建造师注册证书、安全生产考核合格证书在政府相关部门网站上公开信息的网页截图复印件，以及投标人所属社保机构出具的拟委任的项目经理和项目总工的社保缴费证明或其他能够证明拟委任的项目经理和项目总工参加社保的有效证明材料复印件。</w:t>
      </w:r>
    </w:p>
    <w:p w14:paraId="50B04FEA">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拟委任的项目经理和项目总工资历表”还应附交通运输部“全国公路建设市场监督管理系统”中载明的、能够证明项目经理和项目总工具有相关业绩的网页截图复印件。在交通运输部“全国公路建设市场监督管理系统”中无法查询，但可在省级交通运输主管部门“公路建设市场信用信息管理系统”中查询的，应附省级交通运输主管部门“公路建设市场信用信息管理系统”中查询到的网页截图复印件。除网页截图复印件外，投标人无须再提供任何业绩证明材料。如投标人未提供相关业绩网页截图复印件或相关业绩网页截图的信息无法证实投标人满足招标文件规定的资格审查条件（项目经理或项目总工最低要求），则该业绩不予认定。</w:t>
      </w:r>
    </w:p>
    <w:p w14:paraId="1E6AB5EA">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3.5.6“拟委任的其他管理和技术人员汇总表”（如有）应填报满足投标人须知前附表附录 6 规定的其他人员的相关信息。                                           </w:t>
      </w:r>
    </w:p>
    <w:p w14:paraId="5F09CB72">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3.5.7“拟投入本标段的主要施工机械表”“拟配备本标段的主要材料试验、测量、质检仪器设备表”（如有）应填报满足投标人须知前附表附录 7 规定的机械设备和试验检测设备。</w:t>
      </w:r>
    </w:p>
    <w:p w14:paraId="1A6E2AC4">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3.5.8投标人须知前附表规定接受联合体投标的，本章第 3.5.1 项至第 3.5.7 项规定的表格和资料应包括联合体各方相关情况。</w:t>
      </w:r>
    </w:p>
    <w:p w14:paraId="49435EAB">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3.5.9除合同条款约定的特殊情形外，投标人在投标文件中填报的项目经理和项目总工不允许更换。</w:t>
      </w:r>
    </w:p>
    <w:p w14:paraId="4455BA35">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3.5.10投标人在投标文件中填报的资质、业绩、主要人员资历和目前在岗情况、信用等级等信息，应与其在交通运输主管部门“公路建设市场信用信息管理系统”上填报并发布的相关信息一致。投标人应根据本单位实际情况及时完成相关信息的申报、录入和动态更新，并对相关信息的真实性、完整性和准确性负责。</w:t>
      </w:r>
    </w:p>
    <w:p w14:paraId="3E582A1E">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3.5.11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10％签约合同价的金额作为违约金。同时招标人将投标人上述弄虚作假行为上报省级交通运输主管部门，作为不良记录纳入公路建设市场信用信息管理系统。</w:t>
      </w:r>
    </w:p>
    <w:p w14:paraId="78ABAD6F">
      <w:pPr>
        <w:pStyle w:val="71"/>
        <w:shd w:val="clear" w:fill="FFFFFF" w:themeFill="background1"/>
        <w:spacing w:line="499" w:lineRule="exact"/>
        <w:rPr>
          <w:color w:val="auto"/>
          <w:highlight w:val="none"/>
        </w:rPr>
      </w:pPr>
      <w:bookmarkStart w:id="126" w:name="_Toc16547"/>
      <w:bookmarkEnd w:id="126"/>
      <w:bookmarkStart w:id="127" w:name="_Toc43475694"/>
      <w:bookmarkEnd w:id="127"/>
      <w:bookmarkStart w:id="128" w:name="_Toc29836"/>
      <w:bookmarkEnd w:id="128"/>
      <w:r>
        <w:rPr>
          <w:rFonts w:hint="eastAsia"/>
          <w:color w:val="auto"/>
          <w:highlight w:val="none"/>
        </w:rPr>
        <w:t>备选投标方案</w:t>
      </w:r>
    </w:p>
    <w:p w14:paraId="5269ED5C">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3.6.1除投标人须知前附表规定允许外，投标人不得递交备选投标方案，否则其投标将被否决。</w:t>
      </w:r>
    </w:p>
    <w:p w14:paraId="4CC87305">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14:paraId="7EEE3EB9">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3.6.3投标人提供两个或两个以上投标报价，或在投标文件中提供一个报价，但同时提供两个或两个以上施工组织设计的，视为提供备选方案。</w:t>
      </w:r>
    </w:p>
    <w:p w14:paraId="4D693CD2">
      <w:pPr>
        <w:pStyle w:val="71"/>
        <w:shd w:val="clear" w:fill="FFFFFF" w:themeFill="background1"/>
        <w:spacing w:line="499" w:lineRule="exact"/>
        <w:rPr>
          <w:color w:val="auto"/>
          <w:highlight w:val="none"/>
        </w:rPr>
      </w:pPr>
      <w:bookmarkStart w:id="129" w:name="_Toc14793"/>
      <w:bookmarkEnd w:id="129"/>
      <w:bookmarkStart w:id="130" w:name="_Toc32152"/>
      <w:bookmarkEnd w:id="130"/>
      <w:bookmarkStart w:id="131" w:name="_Toc43475695"/>
      <w:bookmarkEnd w:id="131"/>
      <w:r>
        <w:rPr>
          <w:rFonts w:hint="eastAsia"/>
          <w:color w:val="auto"/>
          <w:highlight w:val="none"/>
        </w:rPr>
        <w:t>投标文件的编制</w:t>
      </w:r>
    </w:p>
    <w:p w14:paraId="2558DB3D">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3.7.1投标文件应按第九章“投标文件格式”进行编写，如有必要，可以增加附页， 作为投标文件的组成部分。其中，投标函附录在满足招标文件实质性要求的基础上， 可以提出比招标文件要求更有利于招标人的承诺。</w:t>
      </w:r>
    </w:p>
    <w:p w14:paraId="256F8F16">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3.7.2投标文件应对招标文件有关工期、投标有效期、质量要求、安全目标、技术标准和要求、招标范围等实质性内容作出响应。</w:t>
      </w:r>
    </w:p>
    <w:p w14:paraId="6889B4E1">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3.7.3投标文件应用不褪色的材料书写或打印。投标文件格式中明确要求投标人法定代表人或其委托代理人签字之处，必须由相关人员亲笔签名，不得使用印章、签名章或其他电子制版签名代替；明确要求投标人加盖单位章之处，必须加盖单位章。其中，投标函、调价函及对投标文件的澄清和说明应加盖投标人单位章，或由投标人的法定代表人或其委托代理人签字。</w:t>
      </w:r>
    </w:p>
    <w:p w14:paraId="6648E73A">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如果投标文件由委托代理人签署，则投标人须提交授权委托书，授权委托书应按第九章“投标文件格式”的要求出具，并由法定代表人和委托代理人亲笔签名，不得使用印章、签名章或其他电子制版签名代替。</w:t>
      </w:r>
    </w:p>
    <w:p w14:paraId="3DCC87C7">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如果由投标人的法定代表人亲自签署投标文件，则投标人须提交法定代表人身份证明，身份证明应符合第九章“投标文件格式”的要求。</w:t>
      </w:r>
    </w:p>
    <w:p w14:paraId="3FADB515">
      <w:pPr>
        <w:shd w:val="clear" w:fill="FFFFFF" w:themeFill="background1"/>
        <w:adjustRightInd w:val="0"/>
        <w:snapToGrid w:val="0"/>
        <w:spacing w:line="499"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以联合体形式参与投标的，投标文件由联合体牵头人的法定代表人或其委托代理人按上述规定签署并加盖联合体牵头人单位章。法定代表人授权委托书或法定代表人身份证明须由</w:t>
      </w:r>
    </w:p>
    <w:p w14:paraId="5499CF89">
      <w:pPr>
        <w:shd w:val="clear" w:fill="FFFFFF" w:themeFill="background1"/>
        <w:adjustRightInd w:val="0"/>
        <w:snapToGrid w:val="0"/>
        <w:spacing w:line="499" w:lineRule="exact"/>
        <w:rPr>
          <w:rFonts w:ascii="宋体" w:hAnsi="宋体" w:cs="宋体"/>
          <w:color w:val="auto"/>
          <w:sz w:val="24"/>
          <w:highlight w:val="none"/>
        </w:rPr>
      </w:pPr>
      <w:r>
        <w:rPr>
          <w:rFonts w:hint="eastAsia" w:ascii="宋体" w:hAnsi="宋体" w:cs="宋体"/>
          <w:color w:val="auto"/>
          <w:sz w:val="24"/>
          <w:highlight w:val="none"/>
        </w:rPr>
        <w:t>联合体牵头人按上述规定出具。</w:t>
      </w:r>
    </w:p>
    <w:p w14:paraId="34D6D909">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投标文件应尽量避免涂改、行间插字或删除。如果出现上述情况，改动之处应由投标人的法定代表人或其授权的代理人签字或盖单位章。</w:t>
      </w:r>
    </w:p>
    <w:p w14:paraId="0FCF743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3.7.4投标文件正本一份,副本份数见投标人须知前附表。正本和副本的封面右上角上应清楚地标记“正本”或“副本”字样。投标人应根据投标人须知前附表要求提供电子版文件。当副本和正本不一致或电子版文件和纸质正本文件不一致时，以纸质正本文件为准。</w:t>
      </w:r>
    </w:p>
    <w:p w14:paraId="7A3E41A3">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3.7.5投标文件的正本与副本应分别装订成册（A4纸幅），编制目录并逐页标注连续页码。投标文件不得采用活页夹装订，否则，招标人对由于投标文件装订松散而造成的丢失或其他后果不承担任何责任。装订的其他要求见投标人须知前附表。</w:t>
      </w:r>
    </w:p>
    <w:p w14:paraId="63A2898C">
      <w:pPr>
        <w:pStyle w:val="69"/>
        <w:shd w:val="clear" w:fill="FFFFFF" w:themeFill="background1"/>
        <w:spacing w:before="156"/>
        <w:rPr>
          <w:color w:val="auto"/>
          <w:highlight w:val="none"/>
        </w:rPr>
      </w:pPr>
      <w:bookmarkStart w:id="132" w:name="_Toc30022"/>
      <w:bookmarkEnd w:id="132"/>
      <w:bookmarkStart w:id="133" w:name="_Toc43475696"/>
      <w:bookmarkEnd w:id="133"/>
      <w:bookmarkStart w:id="134" w:name="_Toc17102"/>
      <w:bookmarkEnd w:id="134"/>
      <w:r>
        <w:rPr>
          <w:rFonts w:hint="eastAsia"/>
          <w:color w:val="auto"/>
          <w:highlight w:val="none"/>
        </w:rPr>
        <w:t>投标</w:t>
      </w:r>
    </w:p>
    <w:p w14:paraId="276FEA58">
      <w:pPr>
        <w:pStyle w:val="71"/>
        <w:shd w:val="clear" w:fill="FFFFFF" w:themeFill="background1"/>
        <w:rPr>
          <w:color w:val="auto"/>
          <w:highlight w:val="none"/>
        </w:rPr>
      </w:pPr>
      <w:bookmarkStart w:id="135" w:name="_Toc43475697"/>
      <w:bookmarkEnd w:id="135"/>
      <w:bookmarkStart w:id="136" w:name="_Toc7543"/>
      <w:bookmarkEnd w:id="136"/>
      <w:bookmarkStart w:id="137" w:name="_Toc846"/>
      <w:bookmarkEnd w:id="137"/>
      <w:r>
        <w:rPr>
          <w:rFonts w:hint="eastAsia"/>
          <w:color w:val="auto"/>
          <w:highlight w:val="none"/>
        </w:rPr>
        <w:t>投标文件的密封和标识</w:t>
      </w:r>
    </w:p>
    <w:p w14:paraId="5E5F4A03">
      <w:pPr>
        <w:pStyle w:val="59"/>
        <w:shd w:val="clear" w:fill="FFFFFF" w:themeFill="background1"/>
        <w:spacing w:line="360" w:lineRule="auto"/>
        <w:rPr>
          <w:rFonts w:ascii="宋体" w:hAnsi="宋体" w:cs="宋体"/>
          <w:b/>
          <w:bCs/>
          <w:color w:val="auto"/>
          <w:highlight w:val="none"/>
        </w:rPr>
      </w:pPr>
      <w:r>
        <w:rPr>
          <w:rFonts w:hint="eastAsia" w:ascii="宋体" w:hAnsi="宋体" w:cs="宋体"/>
          <w:b/>
          <w:bCs/>
          <w:color w:val="auto"/>
          <w:highlight w:val="none"/>
        </w:rPr>
        <w:t>若采用双信封形式，第 4.1.1 项和第 4.1.2 项采用以下条款：</w:t>
      </w:r>
    </w:p>
    <w:p w14:paraId="736D2C65">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4.1.1投标文件应采用双信封形式密封。投标文件第一个信封（商务及技术文件） 以及第二个信封（报价文件）应单独密封包装。商务及技术文件的正本与副本应统一密封在一个封套中。报价文件的正本与副本、投标文件电子版文件（如需要）以及填写完毕的工程量固化清单电子文件（如采用工程量固化清单形式）应统一密封在另一个封套中。封套应加贴封条，并在封套的封口处加盖投标人单位章或由投标人的法定代表人或其委托代理人签字。</w:t>
      </w:r>
    </w:p>
    <w:p w14:paraId="6829834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采用银行保函形式提交投标保证金的，银行保函原件应密封在单独的封套中。</w:t>
      </w:r>
    </w:p>
    <w:p w14:paraId="65DB07A7">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4.1.2投标文件第一个信封（商务及技术文件）、第二个信封（报价文件）以及银行保函封套上应写明的内容见投标人须知前附表。</w:t>
      </w:r>
    </w:p>
    <w:p w14:paraId="03EE7BBF">
      <w:pPr>
        <w:pStyle w:val="59"/>
        <w:shd w:val="clear" w:fill="FFFFFF" w:themeFill="background1"/>
        <w:spacing w:line="360" w:lineRule="auto"/>
        <w:rPr>
          <w:rFonts w:ascii="宋体" w:hAnsi="宋体" w:cs="宋体"/>
          <w:b/>
          <w:bCs/>
          <w:color w:val="auto"/>
          <w:highlight w:val="none"/>
        </w:rPr>
      </w:pPr>
      <w:r>
        <w:rPr>
          <w:rFonts w:hint="eastAsia" w:ascii="宋体" w:hAnsi="宋体" w:cs="宋体"/>
          <w:b/>
          <w:bCs/>
          <w:color w:val="auto"/>
          <w:highlight w:val="none"/>
        </w:rPr>
        <w:t>若采用单信封形式，第 4.1.1 项和第 4.1.2 项采用以下条款：</w:t>
      </w:r>
    </w:p>
    <w:p w14:paraId="0D59BBCB">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4.1.1投标文件应采用单信封形式密封。投标文件的正本与副本、投标文件电子版文件（如需要）以及填写完毕的工程量固化清单电子文件（如采用工程量固化清单形式）应统一密封在一个封套中。封套应加贴封条，并在封套的封口处加盖投标人单位章或由投标人的法定代表人或其委托代理人签字。</w:t>
      </w:r>
    </w:p>
    <w:p w14:paraId="6543F612">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采用银行保函形式提交投标保证金的，银行保函原件应密封在单独的封套中。</w:t>
      </w:r>
    </w:p>
    <w:p w14:paraId="3CEEC923">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4.1.2投标文件以及银行保函封套上应写明的内容见投标人须知前附表。</w:t>
      </w:r>
    </w:p>
    <w:p w14:paraId="6210117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4.1.3未按本章第 4.1.1 项要求密封的投标文件，招标人将予以拒收。</w:t>
      </w:r>
    </w:p>
    <w:p w14:paraId="7FEDB8F7">
      <w:pPr>
        <w:pStyle w:val="71"/>
        <w:shd w:val="clear" w:fill="FFFFFF" w:themeFill="background1"/>
        <w:rPr>
          <w:color w:val="auto"/>
          <w:highlight w:val="none"/>
        </w:rPr>
      </w:pPr>
      <w:bookmarkStart w:id="138" w:name="_Toc26267"/>
      <w:bookmarkEnd w:id="138"/>
      <w:bookmarkStart w:id="139" w:name="_Toc43475698"/>
      <w:bookmarkEnd w:id="139"/>
      <w:bookmarkStart w:id="140" w:name="_Toc15836"/>
      <w:bookmarkEnd w:id="140"/>
      <w:r>
        <w:rPr>
          <w:rFonts w:hint="eastAsia"/>
          <w:color w:val="auto"/>
          <w:highlight w:val="none"/>
        </w:rPr>
        <w:t>投标文件的递交</w:t>
      </w:r>
    </w:p>
    <w:p w14:paraId="173FCB34">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4.2.1投标人应在第一章“招标公告”或“投标邀请书”规定的投标截止时间前递交投标文件。</w:t>
      </w:r>
    </w:p>
    <w:p w14:paraId="47EDBE91">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4.2.2投标人递交投标文件的地点：见第一章“招标公告”或“投标邀请书”。</w:t>
      </w:r>
    </w:p>
    <w:p w14:paraId="7719B7D5">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4.2.3除投标人须知前附表另有规定外，投标人所递交的投标文件不予退还。投标人少于 3 个的，投标文件当场退还给投标人。</w:t>
      </w:r>
    </w:p>
    <w:p w14:paraId="03BBCABF">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4.2.4招标人收到投标文件后，向投标人出具签收凭证。</w:t>
      </w:r>
    </w:p>
    <w:p w14:paraId="55AB0FDF">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4.2.5逾期送达的或未送达指定地点的投标文件，招标人将予以拒收。</w:t>
      </w:r>
    </w:p>
    <w:p w14:paraId="0DF84F6D">
      <w:pPr>
        <w:pStyle w:val="71"/>
        <w:shd w:val="clear" w:fill="FFFFFF" w:themeFill="background1"/>
        <w:rPr>
          <w:color w:val="auto"/>
          <w:highlight w:val="none"/>
        </w:rPr>
      </w:pPr>
      <w:bookmarkStart w:id="141" w:name="_Toc43475699"/>
      <w:bookmarkEnd w:id="141"/>
      <w:bookmarkStart w:id="142" w:name="_Toc4348"/>
      <w:bookmarkEnd w:id="142"/>
      <w:bookmarkStart w:id="143" w:name="_Toc21683"/>
      <w:bookmarkEnd w:id="143"/>
      <w:r>
        <w:rPr>
          <w:rFonts w:hint="eastAsia"/>
          <w:color w:val="auto"/>
          <w:highlight w:val="none"/>
        </w:rPr>
        <w:t>投标文件的修改与撤回</w:t>
      </w:r>
    </w:p>
    <w:p w14:paraId="70D51A68">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4.3.1在本章第 4.2.1 项规定的投标截止时间前，投标人可以修改或撤回已递交的投标文件，但应以书面形式通知招标人。</w:t>
      </w:r>
    </w:p>
    <w:p w14:paraId="6AE7F4A9">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4.3.2投标人修改或撤回已递交投标文件的书面通知应按照本章第3.7.3 项的要求签字或盖章。招标人收到书面通知后，向投标人出具签收凭证。</w:t>
      </w:r>
    </w:p>
    <w:p w14:paraId="253CCEFF">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4.3.3投标人撤回投标文件的，招标人自收到投标人书面撤回通知之日起 5 日内退还已收取的投标保证金。</w:t>
      </w:r>
    </w:p>
    <w:p w14:paraId="7BFB34DA">
      <w:pPr>
        <w:shd w:val="clear" w:fill="FFFFFF" w:themeFill="background1"/>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4.3.4修改的内容为投标文件的组成部分。修改的投标文件应按照本章第 3 条、第 4 条的规定进行编制、密封、标记和递交，并标明“修改”字样。</w:t>
      </w:r>
    </w:p>
    <w:p w14:paraId="451EF20C">
      <w:pPr>
        <w:pStyle w:val="69"/>
        <w:shd w:val="clear" w:fill="FFFFFF" w:themeFill="background1"/>
        <w:spacing w:before="156"/>
        <w:rPr>
          <w:color w:val="auto"/>
          <w:highlight w:val="none"/>
        </w:rPr>
      </w:pPr>
      <w:bookmarkStart w:id="144" w:name="_Toc19606"/>
      <w:bookmarkEnd w:id="144"/>
      <w:bookmarkStart w:id="145" w:name="_Toc43475700"/>
      <w:bookmarkEnd w:id="145"/>
      <w:bookmarkStart w:id="146" w:name="_Toc24477"/>
      <w:bookmarkEnd w:id="146"/>
      <w:r>
        <w:rPr>
          <w:rFonts w:hint="eastAsia"/>
          <w:color w:val="auto"/>
          <w:highlight w:val="none"/>
        </w:rPr>
        <w:t>开标</w:t>
      </w:r>
    </w:p>
    <w:p w14:paraId="71BB0EC8">
      <w:pPr>
        <w:pStyle w:val="18"/>
        <w:shd w:val="clear" w:fill="FFFFFF" w:themeFill="background1"/>
        <w:spacing w:before="1"/>
        <w:rPr>
          <w:rFonts w:ascii="宋体" w:hAnsi="宋体" w:cs="宋体"/>
          <w:b/>
          <w:bCs/>
          <w:color w:val="auto"/>
          <w:sz w:val="24"/>
          <w:highlight w:val="none"/>
        </w:rPr>
      </w:pPr>
      <w:r>
        <w:rPr>
          <w:rFonts w:hint="eastAsia" w:ascii="宋体" w:hAnsi="宋体" w:cs="宋体"/>
          <w:b/>
          <w:bCs/>
          <w:color w:val="auto"/>
          <w:sz w:val="24"/>
          <w:highlight w:val="none"/>
        </w:rPr>
        <w:t>若采用双信封形式，第 5.1 款采用以下条款：</w:t>
      </w:r>
    </w:p>
    <w:p w14:paraId="1D56FFC7">
      <w:pPr>
        <w:pStyle w:val="71"/>
        <w:numPr>
          <w:ilvl w:val="0"/>
          <w:numId w:val="0"/>
        </w:numPr>
        <w:shd w:val="clear" w:fill="FFFFFF" w:themeFill="background1"/>
        <w:spacing w:line="360" w:lineRule="auto"/>
        <w:rPr>
          <w:color w:val="auto"/>
          <w:highlight w:val="none"/>
        </w:rPr>
      </w:pPr>
      <w:bookmarkStart w:id="147" w:name="_bookmark61"/>
      <w:bookmarkEnd w:id="147"/>
      <w:bookmarkStart w:id="148" w:name="_Toc16362"/>
      <w:bookmarkEnd w:id="148"/>
      <w:bookmarkStart w:id="149" w:name="_Toc43475701"/>
      <w:bookmarkEnd w:id="149"/>
      <w:bookmarkStart w:id="150" w:name="_Toc11481"/>
      <w:bookmarkEnd w:id="150"/>
      <w:r>
        <w:rPr>
          <w:rFonts w:hint="eastAsia"/>
          <w:color w:val="auto"/>
          <w:highlight w:val="none"/>
        </w:rPr>
        <w:t>5.1 开标时间和地点</w:t>
      </w:r>
    </w:p>
    <w:p w14:paraId="5F34008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招标人在本章第 4.2.1 项规定的投标截止时间（开标时间）和投标人须知前附表</w:t>
      </w:r>
      <w:r>
        <w:rPr>
          <w:rFonts w:hint="eastAsia" w:ascii="宋体" w:hAnsi="宋体" w:cs="宋体"/>
          <w:color w:val="auto"/>
          <w:spacing w:val="-2"/>
          <w:highlight w:val="none"/>
        </w:rPr>
        <w:t>规定的地点对</w:t>
      </w:r>
      <w:r>
        <w:rPr>
          <w:rFonts w:hint="eastAsia" w:ascii="宋体" w:hAnsi="宋体" w:cs="宋体"/>
          <w:color w:val="auto"/>
          <w:highlight w:val="none"/>
        </w:rPr>
        <w:t>收到</w:t>
      </w:r>
      <w:r>
        <w:rPr>
          <w:rFonts w:hint="eastAsia" w:ascii="宋体" w:hAnsi="宋体" w:cs="宋体"/>
          <w:color w:val="auto"/>
          <w:spacing w:val="-2"/>
          <w:highlight w:val="none"/>
        </w:rPr>
        <w:t>的投标文件</w:t>
      </w:r>
      <w:r>
        <w:rPr>
          <w:rFonts w:hint="eastAsia" w:ascii="宋体" w:hAnsi="宋体" w:cs="宋体"/>
          <w:color w:val="auto"/>
          <w:highlight w:val="none"/>
        </w:rPr>
        <w:t>第一</w:t>
      </w:r>
      <w:r>
        <w:rPr>
          <w:rFonts w:hint="eastAsia" w:ascii="宋体" w:hAnsi="宋体" w:cs="宋体"/>
          <w:color w:val="auto"/>
          <w:spacing w:val="-2"/>
          <w:highlight w:val="none"/>
        </w:rPr>
        <w:t>个信封</w:t>
      </w:r>
      <w:r>
        <w:rPr>
          <w:rFonts w:hint="eastAsia" w:ascii="宋体" w:hAnsi="宋体" w:cs="宋体"/>
          <w:color w:val="auto"/>
          <w:highlight w:val="none"/>
        </w:rPr>
        <w:t>（商务及技术文件</w:t>
      </w:r>
      <w:r>
        <w:rPr>
          <w:rFonts w:hint="eastAsia" w:ascii="宋体" w:hAnsi="宋体" w:cs="宋体"/>
          <w:color w:val="auto"/>
          <w:spacing w:val="-32"/>
          <w:highlight w:val="none"/>
        </w:rPr>
        <w:t>）</w:t>
      </w:r>
      <w:r>
        <w:rPr>
          <w:rFonts w:hint="eastAsia" w:ascii="宋体" w:hAnsi="宋体" w:cs="宋体"/>
          <w:color w:val="auto"/>
          <w:spacing w:val="-6"/>
          <w:highlight w:val="none"/>
        </w:rPr>
        <w:t>公开开标，并邀请所有投标人的法定代表人或其委托代理人准时</w:t>
      </w:r>
      <w:r>
        <w:rPr>
          <w:rFonts w:hint="eastAsia" w:ascii="宋体" w:hAnsi="宋体" w:cs="宋体"/>
          <w:color w:val="auto"/>
          <w:highlight w:val="none"/>
        </w:rPr>
        <w:t>参加</w:t>
      </w:r>
      <w:r>
        <w:rPr>
          <w:rFonts w:hint="eastAsia" w:ascii="宋体" w:hAnsi="宋体" w:cs="宋体"/>
          <w:color w:val="auto"/>
          <w:spacing w:val="-6"/>
          <w:highlight w:val="none"/>
        </w:rPr>
        <w:t>。</w:t>
      </w:r>
    </w:p>
    <w:p w14:paraId="57B81DE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招标人在投标人须知前附表规定的时间和地点对投标文件第二个信封（报价文件）公开开标，并邀请所有投标人的法定代表人或其委托代理人准时参加。</w:t>
      </w:r>
    </w:p>
    <w:p w14:paraId="75DCDC8A">
      <w:pPr>
        <w:pStyle w:val="59"/>
        <w:shd w:val="clear" w:fill="FFFFFF" w:themeFill="background1"/>
        <w:spacing w:line="360" w:lineRule="auto"/>
        <w:ind w:firstLine="464" w:firstLineChars="200"/>
        <w:rPr>
          <w:rFonts w:ascii="宋体" w:hAnsi="宋体" w:cs="宋体"/>
          <w:color w:val="auto"/>
          <w:highlight w:val="none"/>
        </w:rPr>
      </w:pPr>
      <w:r>
        <w:rPr>
          <w:rFonts w:hint="eastAsia" w:ascii="宋体" w:hAnsi="宋体" w:cs="宋体"/>
          <w:color w:val="auto"/>
          <w:spacing w:val="-4"/>
          <w:highlight w:val="none"/>
        </w:rPr>
        <w:t>投标人若未派</w:t>
      </w:r>
      <w:r>
        <w:rPr>
          <w:rFonts w:hint="eastAsia" w:ascii="宋体" w:hAnsi="宋体" w:cs="宋体"/>
          <w:color w:val="auto"/>
          <w:highlight w:val="none"/>
        </w:rPr>
        <w:t>法定代表人</w:t>
      </w:r>
      <w:r>
        <w:rPr>
          <w:rFonts w:hint="eastAsia" w:ascii="宋体" w:hAnsi="宋体" w:cs="宋体"/>
          <w:color w:val="auto"/>
          <w:spacing w:val="-4"/>
          <w:highlight w:val="none"/>
        </w:rPr>
        <w:t>或委托代理人出席开标活动，视为该投标人默认开标结果。</w:t>
      </w:r>
    </w:p>
    <w:p w14:paraId="7EFEF9D3">
      <w:pPr>
        <w:shd w:val="clear" w:fill="FFFFFF" w:themeFill="background1"/>
        <w:adjustRightInd w:val="0"/>
        <w:snapToGrid w:val="0"/>
        <w:spacing w:line="360" w:lineRule="auto"/>
        <w:ind w:firstLine="482" w:firstLineChars="200"/>
        <w:rPr>
          <w:rFonts w:ascii="宋体" w:hAnsi="宋体" w:cs="宋体"/>
          <w:b/>
          <w:bCs/>
          <w:color w:val="auto"/>
          <w:sz w:val="24"/>
          <w:highlight w:val="none"/>
        </w:rPr>
      </w:pPr>
    </w:p>
    <w:p w14:paraId="6F5A7C99">
      <w:pPr>
        <w:shd w:val="clear" w:fill="FFFFFF" w:themeFill="background1"/>
        <w:adjustRightInd w:val="0"/>
        <w:snapToGrid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若采用单信封形式，第 5.1 款采用以下条款：</w:t>
      </w:r>
    </w:p>
    <w:p w14:paraId="01D9BB5D">
      <w:pPr>
        <w:pStyle w:val="71"/>
        <w:numPr>
          <w:ilvl w:val="0"/>
          <w:numId w:val="0"/>
        </w:numPr>
        <w:shd w:val="clear" w:fill="FFFFFF" w:themeFill="background1"/>
        <w:spacing w:line="360" w:lineRule="auto"/>
        <w:rPr>
          <w:color w:val="auto"/>
          <w:highlight w:val="none"/>
        </w:rPr>
      </w:pPr>
      <w:bookmarkStart w:id="151" w:name="_Toc25702"/>
      <w:bookmarkEnd w:id="151"/>
      <w:bookmarkStart w:id="152" w:name="_bookmark62"/>
      <w:bookmarkEnd w:id="152"/>
      <w:bookmarkStart w:id="153" w:name="_Toc29307"/>
      <w:bookmarkEnd w:id="153"/>
      <w:bookmarkStart w:id="154" w:name="_Toc43475702"/>
      <w:bookmarkEnd w:id="154"/>
      <w:r>
        <w:rPr>
          <w:rFonts w:hint="eastAsia"/>
          <w:color w:val="auto"/>
          <w:highlight w:val="none"/>
        </w:rPr>
        <w:t>5.1 开标时间和地点</w:t>
      </w:r>
    </w:p>
    <w:p w14:paraId="562A976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招标人在本章第 4.2.1 项规定的投标截止时间（开标时间）和投标人须知前附表规定的地点公开开标，并邀请所有投标人的法定代表人或其委托代理人准时参加。</w:t>
      </w:r>
    </w:p>
    <w:p w14:paraId="1A2802A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投标人若未派法定代表人</w:t>
      </w:r>
      <w:r>
        <w:rPr>
          <w:rFonts w:hint="eastAsia" w:ascii="宋体" w:hAnsi="宋体" w:cs="宋体"/>
          <w:color w:val="auto"/>
          <w:spacing w:val="-4"/>
          <w:highlight w:val="none"/>
        </w:rPr>
        <w:t>或委托代理人出席开标活动，视为该投标人默认开标结果。</w:t>
      </w:r>
    </w:p>
    <w:p w14:paraId="17F0B838">
      <w:pPr>
        <w:shd w:val="clear" w:fill="FFFFFF" w:themeFill="background1"/>
        <w:adjustRightInd w:val="0"/>
        <w:snapToGrid w:val="0"/>
        <w:spacing w:line="360" w:lineRule="auto"/>
        <w:ind w:firstLine="482" w:firstLineChars="200"/>
        <w:rPr>
          <w:rFonts w:ascii="宋体" w:hAnsi="宋体" w:cs="宋体"/>
          <w:b/>
          <w:bCs/>
          <w:color w:val="auto"/>
          <w:sz w:val="24"/>
          <w:highlight w:val="none"/>
        </w:rPr>
      </w:pPr>
    </w:p>
    <w:p w14:paraId="049634B5">
      <w:pPr>
        <w:shd w:val="clear" w:fill="FFFFFF" w:themeFill="background1"/>
        <w:adjustRightInd w:val="0"/>
        <w:snapToGrid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若采用双信封形式，第 5.2 款采用以下条款：</w:t>
      </w:r>
    </w:p>
    <w:p w14:paraId="01272130">
      <w:pPr>
        <w:pStyle w:val="71"/>
        <w:numPr>
          <w:ilvl w:val="0"/>
          <w:numId w:val="0"/>
        </w:numPr>
        <w:shd w:val="clear" w:fill="FFFFFF" w:themeFill="background1"/>
        <w:spacing w:line="360" w:lineRule="auto"/>
        <w:rPr>
          <w:rFonts w:ascii="宋体" w:hAnsi="宋体" w:cs="宋体"/>
          <w:color w:val="auto"/>
          <w:highlight w:val="none"/>
        </w:rPr>
      </w:pPr>
      <w:bookmarkStart w:id="155" w:name="_bookmark63"/>
      <w:bookmarkEnd w:id="155"/>
      <w:bookmarkStart w:id="156" w:name="_Toc3383"/>
      <w:bookmarkEnd w:id="156"/>
      <w:bookmarkStart w:id="157" w:name="_Toc20358"/>
      <w:bookmarkEnd w:id="157"/>
      <w:bookmarkStart w:id="158" w:name="_Toc43475703"/>
      <w:bookmarkEnd w:id="158"/>
      <w:r>
        <w:rPr>
          <w:rFonts w:hint="eastAsia" w:ascii="宋体" w:hAnsi="宋体" w:cs="宋体"/>
          <w:color w:val="auto"/>
          <w:highlight w:val="none"/>
        </w:rPr>
        <w:t>5.2 开标程序</w:t>
      </w:r>
    </w:p>
    <w:p w14:paraId="0C4F5EF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5.2.1 主持人按下列程序对投标文件第一个信封（商务及技术文件）进行开标：</w:t>
      </w:r>
    </w:p>
    <w:p w14:paraId="271AE92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（1）宣布开标纪律；</w:t>
      </w:r>
    </w:p>
    <w:p w14:paraId="665D217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（2）公布在投标截止时间前递交投标文件的投标人数量；</w:t>
      </w:r>
    </w:p>
    <w:p w14:paraId="51DD760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（3）宣布开标人、唱标人、记录人等有关人员姓名；</w:t>
      </w:r>
    </w:p>
    <w:p w14:paraId="486097D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（4）按照投标人须知前附表规定由投标人推选的代表检查投标文件的密封情况；</w:t>
      </w:r>
    </w:p>
    <w:p w14:paraId="7E8E1F8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（5）按照投标人须知前附表规定的开标顺序当众开标，公布标段名称、投标人名称、投标保证金的递交情况、工期及其他内容，并记录在案；</w:t>
      </w:r>
    </w:p>
    <w:p w14:paraId="10129632">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（6）投标人代表、招标人代表、记录人等有关人员在开标记录上签字确认；</w:t>
      </w:r>
    </w:p>
    <w:p w14:paraId="20970B6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（7）开标结束。</w:t>
      </w:r>
    </w:p>
    <w:p w14:paraId="2E2C744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5.2.2 在投标文件第一个信封（商务及技术文件）开标现场，投标文件第二个信封（报价文件）不予开封，由招标人密封保存。</w:t>
      </w:r>
    </w:p>
    <w:p w14:paraId="466EADF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5.2.3 招标人将按照本章第 5.1 款规定的时间和地点对投标文件第二个信封（报价文件）进行开标。主持人按下列程序进行开标：</w:t>
      </w:r>
    </w:p>
    <w:p w14:paraId="510C138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（1）宣布开标纪律；</w:t>
      </w:r>
    </w:p>
    <w:p w14:paraId="4341EA3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（2）当众拆开投标文件第一个信封（商务及技术文件）评审结果的密封袋，宣布通过投标文件第一个信封（商务及技术文件）评审的投标人名单；</w:t>
      </w:r>
    </w:p>
    <w:p w14:paraId="012DA31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（3）宣布开标人、唱标人、记录人等有关人员姓名；</w:t>
      </w:r>
    </w:p>
    <w:p w14:paraId="775DB42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（4）按照投标人须知前附表规定由投标人推选的代表检查投标文件的密封情况；</w:t>
      </w:r>
    </w:p>
    <w:p w14:paraId="2F63215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按照投标人须知前附表规定的开标顺序当众开标，开标人只拆封通过投标文件第一个信封（商务及技术文件）评审的投标文件第二个信封（报价文件），公布标段名称、投标人名称、投标报价及其他内容，并记录在案；</w:t>
      </w:r>
    </w:p>
    <w:p w14:paraId="0D4FF21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（6）计算并宣布评标基准价；</w:t>
      </w:r>
    </w:p>
    <w:p w14:paraId="705FC02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（7）将未通过投标文件第一个信封（商务及技术文件）评审的投标文件第二个信封（报价文件）退还给投标人；</w:t>
      </w:r>
    </w:p>
    <w:p w14:paraId="02636E6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（8）投标人代表、招标人代表、记录人等有关人员在开标记录上签字确认；</w:t>
      </w:r>
    </w:p>
    <w:p w14:paraId="1DCBB06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（9）开标结束。</w:t>
      </w:r>
    </w:p>
    <w:p w14:paraId="3F583FC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5.2.4 若采用合理低价法或综合评分法，在投标文件第二个信封（报价文件）开标现场，招标人将按第三章“评标办法”规定的原则计算并宣布评标基准价。若招标人发现投标文件出现以下任一情况，其投标报价将不再参加评标基准价的计算：</w:t>
      </w:r>
    </w:p>
    <w:p w14:paraId="4ABD77E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（1）未在投标函上填写投标总价；</w:t>
      </w:r>
    </w:p>
    <w:p w14:paraId="291B0F2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（2）投标报价或调价函中的报价超出招标人公布的最高投标限价（如有）；</w:t>
      </w:r>
    </w:p>
    <w:p w14:paraId="787D5AE2">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（3）投标报价或调价函中报价的大写金额无法确定具体数值；</w:t>
      </w:r>
    </w:p>
    <w:p w14:paraId="11C5399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（4）投标函上填写的标段号与投标文件封套上标记的标段号不一致。</w:t>
      </w:r>
    </w:p>
    <w:p w14:paraId="25D608D9">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14:paraId="49B5E9F4">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 xml:space="preserve">5.2.5 在投标文件第一个信封（商务及技术文件）或第二个信封（报价文件）开标过程中，若招标人宣读的内容与投标文件不符，投标人有权在开标现场提出疑问， </w:t>
      </w:r>
      <w:r>
        <w:rPr>
          <w:rFonts w:hint="eastAsia" w:ascii="宋体" w:hAnsi="宋体" w:cs="宋体"/>
          <w:color w:val="auto"/>
          <w:spacing w:val="-7"/>
          <w:highlight w:val="none"/>
        </w:rPr>
        <w:t>经招标人当场核查确认之后，可</w:t>
      </w:r>
      <w:r>
        <w:rPr>
          <w:rFonts w:hint="eastAsia" w:ascii="宋体" w:hAnsi="宋体" w:cs="宋体"/>
          <w:color w:val="auto"/>
          <w:highlight w:val="none"/>
        </w:rPr>
        <w:t>重新</w:t>
      </w:r>
      <w:r>
        <w:rPr>
          <w:rFonts w:hint="eastAsia" w:ascii="宋体" w:hAnsi="宋体" w:cs="宋体"/>
          <w:color w:val="auto"/>
          <w:spacing w:val="-7"/>
          <w:highlight w:val="none"/>
        </w:rPr>
        <w:t>宣读其投标文件。若投标人现场未提出疑问，则</w:t>
      </w:r>
      <w:r>
        <w:rPr>
          <w:rFonts w:hint="eastAsia" w:ascii="宋体" w:hAnsi="宋体" w:cs="宋体"/>
          <w:color w:val="auto"/>
          <w:highlight w:val="none"/>
        </w:rPr>
        <w:t>认为投标人已确认招标人宣读的内容。</w:t>
      </w:r>
    </w:p>
    <w:p w14:paraId="7DC37DC8">
      <w:pPr>
        <w:pStyle w:val="18"/>
        <w:shd w:val="clear" w:fill="FFFFFF" w:themeFill="background1"/>
        <w:spacing w:line="307" w:lineRule="exact"/>
        <w:ind w:left="849"/>
        <w:rPr>
          <w:rFonts w:ascii="宋体" w:hAnsi="宋体" w:cs="宋体"/>
          <w:b/>
          <w:bCs/>
          <w:color w:val="auto"/>
          <w:sz w:val="24"/>
          <w:highlight w:val="none"/>
        </w:rPr>
      </w:pPr>
    </w:p>
    <w:p w14:paraId="1DD2FF9E">
      <w:pPr>
        <w:pStyle w:val="18"/>
        <w:shd w:val="clear" w:fill="FFFFFF" w:themeFill="background1"/>
        <w:spacing w:line="307" w:lineRule="exact"/>
        <w:rPr>
          <w:rFonts w:ascii="宋体" w:hAnsi="宋体" w:cs="宋体"/>
          <w:b/>
          <w:bCs/>
          <w:color w:val="auto"/>
          <w:sz w:val="24"/>
          <w:highlight w:val="none"/>
        </w:rPr>
      </w:pPr>
      <w:r>
        <w:rPr>
          <w:rFonts w:hint="eastAsia" w:ascii="宋体" w:hAnsi="宋体" w:cs="宋体"/>
          <w:b/>
          <w:bCs/>
          <w:color w:val="auto"/>
          <w:sz w:val="24"/>
          <w:highlight w:val="none"/>
        </w:rPr>
        <w:t>若采用单信封形式，第 5.2 款采用以下条款：</w:t>
      </w:r>
    </w:p>
    <w:p w14:paraId="46A9D8B5">
      <w:pPr>
        <w:pStyle w:val="71"/>
        <w:numPr>
          <w:ilvl w:val="0"/>
          <w:numId w:val="0"/>
        </w:numPr>
        <w:shd w:val="clear" w:fill="FFFFFF" w:themeFill="background1"/>
        <w:spacing w:line="360" w:lineRule="auto"/>
        <w:rPr>
          <w:rFonts w:ascii="宋体" w:hAnsi="宋体" w:cs="宋体"/>
          <w:color w:val="auto"/>
          <w:highlight w:val="none"/>
        </w:rPr>
      </w:pPr>
      <w:bookmarkStart w:id="159" w:name="_bookmark64"/>
      <w:bookmarkEnd w:id="159"/>
      <w:bookmarkStart w:id="160" w:name="_Toc19648"/>
      <w:bookmarkEnd w:id="160"/>
      <w:bookmarkStart w:id="161" w:name="_Toc43475704"/>
      <w:bookmarkEnd w:id="161"/>
      <w:bookmarkStart w:id="162" w:name="_Toc23268"/>
      <w:bookmarkEnd w:id="162"/>
      <w:r>
        <w:rPr>
          <w:rFonts w:hint="eastAsia" w:ascii="宋体" w:hAnsi="宋体" w:cs="宋体"/>
          <w:color w:val="auto"/>
          <w:highlight w:val="none"/>
        </w:rPr>
        <w:t>5.2 开标程序</w:t>
      </w:r>
    </w:p>
    <w:p w14:paraId="3A3BAB5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5.2.1 主持人按下列程序进行开标：</w:t>
      </w:r>
    </w:p>
    <w:p w14:paraId="2561E14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（1）宣布开标纪律；</w:t>
      </w:r>
    </w:p>
    <w:p w14:paraId="4EB9879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（2）公布在投标截止时间前递交投标文件的投标人数量；</w:t>
      </w:r>
    </w:p>
    <w:p w14:paraId="504A5F7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（3）宣布开标人、唱标人、记录人等有关人员姓名；</w:t>
      </w:r>
    </w:p>
    <w:p w14:paraId="36E3C372">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（4）按照投标人须知前附表规定由投标人推选的代表检查投标文件的密封情况；</w:t>
      </w:r>
    </w:p>
    <w:p w14:paraId="5ACFE07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（5）按照投标人须知前附表规定的开标顺序当众开标，公布标段名称、投标人名称、投标保证金的递交情况、投标报价、工期及其他内容，并记录在案；</w:t>
      </w:r>
    </w:p>
    <w:p w14:paraId="414BEB6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（6）计算并宣布评标基准价；</w:t>
      </w:r>
    </w:p>
    <w:p w14:paraId="1A0F626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（7）投标人代表、招标人代表、记录人等有关人员在开标记录上签字确认；</w:t>
      </w:r>
    </w:p>
    <w:p w14:paraId="0F191DF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（8）开标结束。</w:t>
      </w:r>
    </w:p>
    <w:p w14:paraId="1124159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5.2.2 若采用合理低价法或综合评分法，在开标现场，招标人将按第三章“评标办法”规定的原则计算并宣布评标基准价。若招标人发现投标文件出现以下任一情况， 其投标报价将不再参加评标基准价的计算：</w:t>
      </w:r>
    </w:p>
    <w:p w14:paraId="0762662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（1）未在投标函上填写投标总价；</w:t>
      </w:r>
    </w:p>
    <w:p w14:paraId="5E006E63">
      <w:pPr>
        <w:pStyle w:val="59"/>
        <w:shd w:val="clear" w:fill="FFFFFF" w:themeFill="background1"/>
        <w:spacing w:line="360" w:lineRule="auto"/>
        <w:ind w:firstLine="476" w:firstLineChars="200"/>
        <w:rPr>
          <w:rFonts w:ascii="宋体" w:hAnsi="宋体" w:cs="宋体"/>
          <w:color w:val="auto"/>
          <w:highlight w:val="none"/>
        </w:rPr>
      </w:pPr>
      <w:r>
        <w:rPr>
          <w:rFonts w:hint="eastAsia" w:ascii="宋体" w:hAnsi="宋体" w:cs="宋体"/>
          <w:color w:val="auto"/>
          <w:spacing w:val="-1"/>
          <w:highlight w:val="none"/>
        </w:rPr>
        <w:t>（</w:t>
      </w:r>
      <w:r>
        <w:rPr>
          <w:rFonts w:hint="eastAsia" w:ascii="宋体" w:hAnsi="宋体" w:cs="宋体"/>
          <w:color w:val="auto"/>
          <w:highlight w:val="none"/>
        </w:rPr>
        <w:t>2）投标报价或调价函中的报价超出招标人公布的最高投标限价（如有</w:t>
      </w:r>
      <w:r>
        <w:rPr>
          <w:rFonts w:hint="eastAsia" w:ascii="宋体" w:hAnsi="宋体" w:cs="宋体"/>
          <w:color w:val="auto"/>
          <w:spacing w:val="-120"/>
          <w:highlight w:val="none"/>
        </w:rPr>
        <w:t>）</w:t>
      </w:r>
      <w:r>
        <w:rPr>
          <w:rFonts w:hint="eastAsia" w:ascii="宋体" w:hAnsi="宋体" w:cs="宋体"/>
          <w:color w:val="auto"/>
          <w:highlight w:val="none"/>
        </w:rPr>
        <w:t>；</w:t>
      </w:r>
    </w:p>
    <w:p w14:paraId="0EAFD5A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（3）投标报价或调价函中报价的大写金额无法确定具体数值；</w:t>
      </w:r>
    </w:p>
    <w:p w14:paraId="0321D30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（4）投标函上填写的标段号与投标文件封套上标记的标段号不一致。</w:t>
      </w:r>
    </w:p>
    <w:p w14:paraId="0B92B330">
      <w:pPr>
        <w:pStyle w:val="59"/>
        <w:shd w:val="clear" w:fill="FFFFFF" w:themeFill="background1"/>
        <w:spacing w:line="360" w:lineRule="auto"/>
        <w:ind w:firstLine="460" w:firstLineChars="200"/>
        <w:rPr>
          <w:rFonts w:ascii="宋体" w:hAnsi="宋体" w:cs="宋体"/>
          <w:color w:val="auto"/>
          <w:highlight w:val="none"/>
        </w:rPr>
      </w:pPr>
      <w:r>
        <w:rPr>
          <w:rFonts w:hint="eastAsia" w:ascii="宋体" w:hAnsi="宋体" w:cs="宋体"/>
          <w:color w:val="auto"/>
          <w:spacing w:val="-5"/>
          <w:highlight w:val="none"/>
        </w:rPr>
        <w:t>如果投标人认为某一标段的评标基准价计算有误，有权在开标现场提出，经招标</w:t>
      </w:r>
      <w:r>
        <w:rPr>
          <w:rFonts w:hint="eastAsia" w:ascii="宋体" w:hAnsi="宋体" w:cs="宋体"/>
          <w:color w:val="auto"/>
          <w:spacing w:val="-12"/>
          <w:highlight w:val="none"/>
        </w:rPr>
        <w:t>人当场核实确认之后，可</w:t>
      </w:r>
      <w:r>
        <w:rPr>
          <w:rFonts w:hint="eastAsia" w:ascii="宋体" w:hAnsi="宋体" w:cs="宋体"/>
          <w:color w:val="auto"/>
          <w:highlight w:val="none"/>
        </w:rPr>
        <w:t>重新</w:t>
      </w:r>
      <w:r>
        <w:rPr>
          <w:rFonts w:hint="eastAsia" w:ascii="宋体" w:hAnsi="宋体" w:cs="宋体"/>
          <w:color w:val="auto"/>
          <w:spacing w:val="-12"/>
          <w:highlight w:val="none"/>
        </w:rPr>
        <w:t>宣布评标基准价。开标现场宣布的评标基准价除计算有误经评标委员会修正外，在整个评标期间保持不变，不随任何因素发生变化。</w:t>
      </w:r>
    </w:p>
    <w:p w14:paraId="62C8799F">
      <w:pPr>
        <w:pStyle w:val="59"/>
        <w:shd w:val="clear" w:fill="FFFFFF" w:themeFill="background1"/>
        <w:spacing w:line="360" w:lineRule="auto"/>
        <w:ind w:firstLine="480" w:firstLineChars="200"/>
        <w:rPr>
          <w:color w:val="auto"/>
          <w:highlight w:val="none"/>
        </w:rPr>
      </w:pPr>
      <w:r>
        <w:rPr>
          <w:rFonts w:hint="eastAsia" w:ascii="宋体" w:hAnsi="宋体" w:cs="宋体"/>
          <w:color w:val="auto"/>
          <w:highlight w:val="none"/>
        </w:rPr>
        <w:t>5.2.3 若</w:t>
      </w:r>
      <w:r>
        <w:rPr>
          <w:color w:val="auto"/>
          <w:highlight w:val="none"/>
        </w:rPr>
        <w:t>招标人宣读的内容与投标文件不符，投标人有权在开标现场提出疑问，</w:t>
      </w:r>
      <w:r>
        <w:rPr>
          <w:color w:val="auto"/>
          <w:spacing w:val="-7"/>
          <w:highlight w:val="none"/>
        </w:rPr>
        <w:t>经招标人当场核查确认之后，可重新宣读其投标文件。若投标人现场未提出疑问，则</w:t>
      </w:r>
      <w:r>
        <w:rPr>
          <w:color w:val="auto"/>
          <w:highlight w:val="none"/>
        </w:rPr>
        <w:t>认为投标人已确认招标人宣读的内容。</w:t>
      </w:r>
    </w:p>
    <w:p w14:paraId="643E668E">
      <w:pPr>
        <w:pStyle w:val="59"/>
        <w:shd w:val="clear" w:fill="FFFFFF" w:themeFill="background1"/>
        <w:spacing w:line="360" w:lineRule="auto"/>
        <w:ind w:firstLine="482" w:firstLineChars="200"/>
        <w:rPr>
          <w:color w:val="auto"/>
          <w:highlight w:val="none"/>
        </w:rPr>
      </w:pPr>
      <w:r>
        <w:rPr>
          <w:rFonts w:hint="eastAsia" w:ascii="宋体" w:hAnsi="宋体" w:cs="宋体"/>
          <w:b/>
          <w:color w:val="auto"/>
          <w:highlight w:val="none"/>
        </w:rPr>
        <w:t>5.3 开标异议</w:t>
      </w:r>
    </w:p>
    <w:p w14:paraId="2CB7C5D8">
      <w:pPr>
        <w:pStyle w:val="59"/>
        <w:shd w:val="clear" w:fill="FFFFFF" w:themeFill="background1"/>
        <w:spacing w:line="360" w:lineRule="auto"/>
        <w:ind w:firstLine="480" w:firstLineChars="200"/>
        <w:rPr>
          <w:color w:val="auto"/>
          <w:highlight w:val="none"/>
        </w:rPr>
      </w:pPr>
      <w:r>
        <w:rPr>
          <w:rFonts w:hint="eastAsia"/>
          <w:color w:val="auto"/>
          <w:highlight w:val="none"/>
        </w:rPr>
        <w:t>投标人对开标有异议的，应在开标现场提出，招标人当场作出答复，并制作记录，有异议的投标人代表、招标人代表、记录人等有关人员在记录上签字确认。</w:t>
      </w:r>
    </w:p>
    <w:p w14:paraId="7863A9E7">
      <w:pPr>
        <w:pStyle w:val="69"/>
        <w:shd w:val="clear" w:fill="FFFFFF" w:themeFill="background1"/>
        <w:spacing w:before="156"/>
        <w:rPr>
          <w:color w:val="auto"/>
          <w:highlight w:val="none"/>
        </w:rPr>
      </w:pPr>
      <w:bookmarkStart w:id="163" w:name="_Toc32113"/>
      <w:bookmarkEnd w:id="163"/>
      <w:bookmarkStart w:id="164" w:name="_Toc14516"/>
      <w:bookmarkEnd w:id="164"/>
      <w:bookmarkStart w:id="165" w:name="_Toc43475705"/>
      <w:bookmarkEnd w:id="165"/>
      <w:r>
        <w:rPr>
          <w:rFonts w:hint="eastAsia"/>
          <w:color w:val="auto"/>
          <w:highlight w:val="none"/>
        </w:rPr>
        <w:t>评标</w:t>
      </w:r>
    </w:p>
    <w:p w14:paraId="5232ECAC">
      <w:pPr>
        <w:pStyle w:val="71"/>
        <w:numPr>
          <w:ilvl w:val="0"/>
          <w:numId w:val="0"/>
        </w:numPr>
        <w:shd w:val="clear" w:fill="FFFFFF" w:themeFill="background1"/>
        <w:spacing w:line="360" w:lineRule="auto"/>
        <w:rPr>
          <w:rFonts w:ascii="宋体" w:hAnsi="宋体" w:cs="宋体"/>
          <w:color w:val="auto"/>
          <w:highlight w:val="none"/>
        </w:rPr>
      </w:pPr>
      <w:bookmarkStart w:id="166" w:name="_Toc494"/>
      <w:bookmarkEnd w:id="166"/>
      <w:bookmarkStart w:id="167" w:name="_Toc43475706"/>
      <w:bookmarkEnd w:id="167"/>
      <w:bookmarkStart w:id="168" w:name="_Toc11570"/>
      <w:bookmarkEnd w:id="168"/>
      <w:r>
        <w:rPr>
          <w:rFonts w:hint="eastAsia" w:ascii="宋体" w:hAnsi="宋体" w:cs="宋体"/>
          <w:color w:val="auto"/>
          <w:highlight w:val="none"/>
        </w:rPr>
        <w:t>6.1 评标委员会</w:t>
      </w:r>
    </w:p>
    <w:p w14:paraId="4ABE5BE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6.1.1 评标由招标人依法组建的评标委员会负责。评标委员会由招标人或其委托的招标代理机构熟悉相关业务的代表，以及有关技术、经济等方面专家组成。评标委员会成员人数以及技术、经济等方面专家的确定方式见投标人须知前附表。</w:t>
      </w:r>
    </w:p>
    <w:p w14:paraId="285611B9">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6.1.2 评标委员会成员有下列情形之一的，应当回避：</w:t>
      </w:r>
    </w:p>
    <w:p w14:paraId="58CEE41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（1）为负责招标项目监督管理的交通运输主管部门的工作人员；</w:t>
      </w:r>
    </w:p>
    <w:p w14:paraId="056E7439">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（2）与投标人法定代表人或其委托代理人有近亲属关系；</w:t>
      </w:r>
    </w:p>
    <w:p w14:paraId="588F9E0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（3）为投标人的工作人员或退休人员；</w:t>
      </w:r>
    </w:p>
    <w:p w14:paraId="2DE3B25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（4）与投标人有其他利害关系，可能影响评标活动公正性；</w:t>
      </w:r>
    </w:p>
    <w:p w14:paraId="2B4D003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（5）在与招标投标有关的活动中有过违法违规行为、曾受过行政处罚或刑事处罚。</w:t>
      </w:r>
    </w:p>
    <w:p w14:paraId="731FCC8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6.1.3评标过程中，评标委员会成员有回避事由、擅离职守或因健康等原因不能继续评标的，招标人有权更换。被更换的评标委员会成员作出的评审结论无效，由更换后的评标委员会成员重新进行评审。</w:t>
      </w:r>
    </w:p>
    <w:p w14:paraId="2D58D7FF">
      <w:pPr>
        <w:pStyle w:val="71"/>
        <w:numPr>
          <w:ilvl w:val="0"/>
          <w:numId w:val="0"/>
        </w:numPr>
        <w:shd w:val="clear" w:fill="FFFFFF" w:themeFill="background1"/>
        <w:spacing w:line="360" w:lineRule="auto"/>
        <w:rPr>
          <w:rFonts w:ascii="宋体" w:hAnsi="宋体" w:cs="宋体"/>
          <w:color w:val="auto"/>
          <w:highlight w:val="none"/>
        </w:rPr>
      </w:pPr>
      <w:bookmarkStart w:id="169" w:name="_Toc43475707"/>
      <w:bookmarkEnd w:id="169"/>
      <w:bookmarkStart w:id="170" w:name="_Toc16027"/>
      <w:bookmarkEnd w:id="170"/>
      <w:bookmarkStart w:id="171" w:name="_Toc16826"/>
      <w:bookmarkEnd w:id="171"/>
      <w:r>
        <w:rPr>
          <w:rFonts w:hint="eastAsia" w:ascii="宋体" w:hAnsi="宋体" w:cs="宋体"/>
          <w:color w:val="auto"/>
          <w:highlight w:val="none"/>
        </w:rPr>
        <w:t>6.2 评标原则</w:t>
      </w:r>
    </w:p>
    <w:p w14:paraId="464FDB1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评标活动遵循公平、公正、科学和择优的原则。</w:t>
      </w:r>
    </w:p>
    <w:p w14:paraId="5EA738B1">
      <w:pPr>
        <w:pStyle w:val="71"/>
        <w:numPr>
          <w:ilvl w:val="0"/>
          <w:numId w:val="0"/>
        </w:numPr>
        <w:shd w:val="clear" w:fill="FFFFFF" w:themeFill="background1"/>
        <w:spacing w:line="360" w:lineRule="auto"/>
        <w:rPr>
          <w:rFonts w:ascii="宋体" w:hAnsi="宋体" w:cs="宋体"/>
          <w:color w:val="auto"/>
          <w:highlight w:val="none"/>
        </w:rPr>
      </w:pPr>
      <w:bookmarkStart w:id="172" w:name="_Toc13218"/>
      <w:bookmarkEnd w:id="172"/>
      <w:bookmarkStart w:id="173" w:name="_Toc10176"/>
      <w:bookmarkEnd w:id="173"/>
      <w:bookmarkStart w:id="174" w:name="_Toc43475708"/>
      <w:bookmarkEnd w:id="174"/>
      <w:r>
        <w:rPr>
          <w:rFonts w:hint="eastAsia" w:ascii="宋体" w:hAnsi="宋体" w:cs="宋体"/>
          <w:color w:val="auto"/>
          <w:highlight w:val="none"/>
        </w:rPr>
        <w:t>6.3 评标</w:t>
      </w:r>
    </w:p>
    <w:p w14:paraId="372AF7B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6.3.1评标委员会按照第三章“评标办法”规定的方法、评审因素、标准和程序对投标文件进行评审。第三章“评标办法”没有规定的方法、评审因素和标准，不作为评标依据。</w:t>
      </w:r>
    </w:p>
    <w:p w14:paraId="0A163B6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6.3.2评标完成后，评标委员会应向招标人提交书面评标报告和中标候选人名单。评标委员会推荐中标候选人的人数见投标人须知前附表。</w:t>
      </w:r>
    </w:p>
    <w:p w14:paraId="5D5750D0">
      <w:pPr>
        <w:pStyle w:val="69"/>
        <w:shd w:val="clear" w:fill="FFFFFF" w:themeFill="background1"/>
        <w:spacing w:before="156"/>
        <w:rPr>
          <w:color w:val="auto"/>
          <w:highlight w:val="none"/>
        </w:rPr>
      </w:pPr>
      <w:bookmarkStart w:id="175" w:name="_Toc43475709"/>
      <w:bookmarkEnd w:id="175"/>
      <w:bookmarkStart w:id="176" w:name="_Toc7643"/>
      <w:bookmarkEnd w:id="176"/>
      <w:bookmarkStart w:id="177" w:name="_Toc14072"/>
      <w:bookmarkEnd w:id="177"/>
      <w:r>
        <w:rPr>
          <w:rFonts w:hint="eastAsia"/>
          <w:color w:val="auto"/>
          <w:highlight w:val="none"/>
        </w:rPr>
        <w:t>合同授予</w:t>
      </w:r>
    </w:p>
    <w:p w14:paraId="100D39CE">
      <w:pPr>
        <w:pStyle w:val="71"/>
        <w:numPr>
          <w:ilvl w:val="0"/>
          <w:numId w:val="0"/>
        </w:numPr>
        <w:shd w:val="clear" w:fill="FFFFFF" w:themeFill="background1"/>
        <w:spacing w:line="360" w:lineRule="auto"/>
        <w:rPr>
          <w:rFonts w:ascii="宋体" w:hAnsi="宋体" w:cs="宋体"/>
          <w:color w:val="auto"/>
          <w:highlight w:val="none"/>
        </w:rPr>
      </w:pPr>
      <w:bookmarkStart w:id="178" w:name="_Toc43475710"/>
      <w:bookmarkEnd w:id="178"/>
      <w:bookmarkStart w:id="179" w:name="_Toc11047"/>
      <w:bookmarkEnd w:id="179"/>
      <w:bookmarkStart w:id="180" w:name="_Toc14770"/>
      <w:bookmarkEnd w:id="180"/>
      <w:r>
        <w:rPr>
          <w:rFonts w:hint="eastAsia" w:ascii="宋体" w:hAnsi="宋体" w:cs="宋体"/>
          <w:color w:val="auto"/>
          <w:highlight w:val="none"/>
        </w:rPr>
        <w:t>7.1中标候选人公示</w:t>
      </w:r>
    </w:p>
    <w:p w14:paraId="57AEEB1A">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招标人在收到评标报告之日起 3 日内，按照投标人须知前附表规定的公示媒介和期限公示中标候选人，公示期不得少于 3 日，公示内容包括：</w:t>
      </w:r>
    </w:p>
    <w:p w14:paraId="211F88D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（1）中标候选人排序、名称、投标报价，对工程质量要求、安全目标和工期的响应情况；</w:t>
      </w:r>
    </w:p>
    <w:p w14:paraId="32EF746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（2）中标候选人在投标文件中承诺的项目经理和项目总工姓名、个人业绩、相关证书名称和编号；</w:t>
      </w:r>
    </w:p>
    <w:p w14:paraId="30595D0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（3）中标候选人在投标文件中填报的项目业绩；</w:t>
      </w:r>
    </w:p>
    <w:p w14:paraId="7539521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（4）被否决投标的投标人名称、否决依据和原因；</w:t>
      </w:r>
    </w:p>
    <w:p w14:paraId="05E1AC7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（5）提出异议的渠道和方式；</w:t>
      </w:r>
    </w:p>
    <w:p w14:paraId="72836A5B">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（6）投标人须知前附表规定公示的其他内容。</w:t>
      </w:r>
    </w:p>
    <w:p w14:paraId="61216841">
      <w:pPr>
        <w:pStyle w:val="71"/>
        <w:numPr>
          <w:ilvl w:val="0"/>
          <w:numId w:val="0"/>
        </w:numPr>
        <w:shd w:val="clear" w:fill="FFFFFF" w:themeFill="background1"/>
        <w:spacing w:line="360" w:lineRule="auto"/>
        <w:rPr>
          <w:rFonts w:ascii="宋体" w:hAnsi="宋体" w:cs="宋体"/>
          <w:color w:val="auto"/>
          <w:highlight w:val="none"/>
        </w:rPr>
      </w:pPr>
      <w:bookmarkStart w:id="181" w:name="_Toc9144"/>
      <w:bookmarkEnd w:id="181"/>
      <w:bookmarkStart w:id="182" w:name="_Toc43475711"/>
      <w:bookmarkEnd w:id="182"/>
      <w:bookmarkStart w:id="183" w:name="_Toc18347"/>
      <w:bookmarkEnd w:id="183"/>
      <w:r>
        <w:rPr>
          <w:rFonts w:hint="eastAsia" w:ascii="宋体" w:hAnsi="宋体" w:cs="宋体"/>
          <w:color w:val="auto"/>
          <w:highlight w:val="none"/>
        </w:rPr>
        <w:t>7.2评标结果异议</w:t>
      </w:r>
    </w:p>
    <w:p w14:paraId="3F7A17F5">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投标人或其他利害关系人对依法必须进行招标的项目的评标结果有异议的，应在中标候选人公示期间提出。招标人将在收到异议之日起 3 日内作出答复；作出答复前， 将暂停招标投标活动。</w:t>
      </w:r>
    </w:p>
    <w:p w14:paraId="4C9D9ECE">
      <w:pPr>
        <w:pStyle w:val="71"/>
        <w:numPr>
          <w:ilvl w:val="0"/>
          <w:numId w:val="0"/>
        </w:numPr>
        <w:shd w:val="clear" w:fill="FFFFFF" w:themeFill="background1"/>
        <w:spacing w:line="360" w:lineRule="auto"/>
        <w:rPr>
          <w:rFonts w:ascii="宋体" w:hAnsi="宋体" w:cs="宋体"/>
          <w:color w:val="auto"/>
          <w:highlight w:val="none"/>
        </w:rPr>
      </w:pPr>
      <w:bookmarkStart w:id="184" w:name="_Toc43475712"/>
      <w:bookmarkEnd w:id="184"/>
      <w:bookmarkStart w:id="185" w:name="_Toc2966"/>
      <w:bookmarkEnd w:id="185"/>
      <w:bookmarkStart w:id="186" w:name="_Toc9592"/>
      <w:bookmarkEnd w:id="186"/>
      <w:r>
        <w:rPr>
          <w:rFonts w:hint="eastAsia" w:ascii="宋体" w:hAnsi="宋体" w:cs="宋体"/>
          <w:color w:val="auto"/>
          <w:highlight w:val="none"/>
        </w:rPr>
        <w:t>7.3中标候选人履约能力审查</w:t>
      </w:r>
    </w:p>
    <w:p w14:paraId="000C185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中标候选人的经营、财务状况发生较大变化或存在违法行为，招标人认为可能影响其履约能力的，将在发出中标通知书前提请原评标委员会按照招标文件规定的标准和方法进行审查确认。</w:t>
      </w:r>
    </w:p>
    <w:p w14:paraId="488EACD5">
      <w:pPr>
        <w:pStyle w:val="71"/>
        <w:numPr>
          <w:ilvl w:val="0"/>
          <w:numId w:val="0"/>
        </w:numPr>
        <w:shd w:val="clear" w:fill="FFFFFF" w:themeFill="background1"/>
        <w:spacing w:line="360" w:lineRule="auto"/>
        <w:rPr>
          <w:rFonts w:ascii="宋体" w:hAnsi="宋体" w:cs="宋体"/>
          <w:color w:val="auto"/>
          <w:highlight w:val="none"/>
        </w:rPr>
      </w:pPr>
      <w:bookmarkStart w:id="187" w:name="_Toc12376"/>
      <w:bookmarkEnd w:id="187"/>
      <w:bookmarkStart w:id="188" w:name="_Toc11384"/>
      <w:bookmarkEnd w:id="188"/>
      <w:bookmarkStart w:id="189" w:name="_Toc43475713"/>
      <w:bookmarkEnd w:id="189"/>
      <w:r>
        <w:rPr>
          <w:rFonts w:hint="eastAsia" w:ascii="宋体" w:hAnsi="宋体" w:cs="宋体"/>
          <w:color w:val="auto"/>
          <w:highlight w:val="none"/>
        </w:rPr>
        <w:t>7.4定标</w:t>
      </w:r>
    </w:p>
    <w:p w14:paraId="30E6DC2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按照投标人须知前附表的规定，招标人或招标人授权的评标委员会依法确定中标人。</w:t>
      </w:r>
    </w:p>
    <w:p w14:paraId="6369CF22">
      <w:pPr>
        <w:pStyle w:val="71"/>
        <w:numPr>
          <w:ilvl w:val="0"/>
          <w:numId w:val="0"/>
        </w:numPr>
        <w:shd w:val="clear" w:fill="FFFFFF" w:themeFill="background1"/>
        <w:spacing w:line="360" w:lineRule="auto"/>
        <w:rPr>
          <w:rFonts w:ascii="宋体" w:hAnsi="宋体" w:cs="宋体"/>
          <w:color w:val="auto"/>
          <w:highlight w:val="none"/>
        </w:rPr>
      </w:pPr>
      <w:bookmarkStart w:id="190" w:name="_Toc12433"/>
      <w:bookmarkEnd w:id="190"/>
      <w:bookmarkStart w:id="191" w:name="_Toc6352"/>
      <w:bookmarkEnd w:id="191"/>
      <w:bookmarkStart w:id="192" w:name="_Toc43475714"/>
      <w:bookmarkEnd w:id="192"/>
      <w:r>
        <w:rPr>
          <w:rFonts w:hint="eastAsia" w:ascii="宋体" w:hAnsi="宋体" w:cs="宋体"/>
          <w:color w:val="auto"/>
          <w:highlight w:val="none"/>
        </w:rPr>
        <w:t>7.5中标通知</w:t>
      </w:r>
    </w:p>
    <w:p w14:paraId="0520F61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在本章第 3.3 款规定的投标有效期内，招标人以投标人须知前附表规定的形式向中标人发出中标通知书，同时将中标结果通知未中标的投标人。</w:t>
      </w:r>
    </w:p>
    <w:p w14:paraId="6F09AE5F">
      <w:pPr>
        <w:pStyle w:val="71"/>
        <w:numPr>
          <w:ilvl w:val="0"/>
          <w:numId w:val="0"/>
        </w:numPr>
        <w:shd w:val="clear" w:fill="FFFFFF" w:themeFill="background1"/>
        <w:spacing w:line="360" w:lineRule="auto"/>
        <w:rPr>
          <w:rFonts w:ascii="宋体" w:hAnsi="宋体" w:cs="宋体"/>
          <w:color w:val="auto"/>
          <w:highlight w:val="none"/>
        </w:rPr>
      </w:pPr>
      <w:bookmarkStart w:id="193" w:name="_Toc43475715"/>
      <w:bookmarkEnd w:id="193"/>
      <w:bookmarkStart w:id="194" w:name="_Toc7550"/>
      <w:bookmarkEnd w:id="194"/>
      <w:bookmarkStart w:id="195" w:name="_Toc25675"/>
      <w:bookmarkEnd w:id="195"/>
      <w:r>
        <w:rPr>
          <w:rFonts w:hint="eastAsia" w:ascii="宋体" w:hAnsi="宋体" w:cs="宋体"/>
          <w:color w:val="auto"/>
          <w:highlight w:val="none"/>
        </w:rPr>
        <w:t>7.6中标结果公告</w:t>
      </w:r>
    </w:p>
    <w:p w14:paraId="0A050E30">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招标人在确定中标人之日起 3 日内，按照投标人须知前附表规定的公告媒介和期限公告中标结果，公告期不得少于 3 日。公告内容包括中标人名称、中标价。</w:t>
      </w:r>
    </w:p>
    <w:p w14:paraId="4751F003">
      <w:pPr>
        <w:pStyle w:val="71"/>
        <w:numPr>
          <w:ilvl w:val="0"/>
          <w:numId w:val="0"/>
        </w:numPr>
        <w:shd w:val="clear" w:fill="FFFFFF" w:themeFill="background1"/>
        <w:spacing w:line="360" w:lineRule="auto"/>
        <w:rPr>
          <w:rFonts w:ascii="宋体" w:hAnsi="宋体" w:cs="宋体"/>
          <w:color w:val="auto"/>
          <w:highlight w:val="none"/>
        </w:rPr>
      </w:pPr>
      <w:bookmarkStart w:id="196" w:name="_Toc10013"/>
      <w:bookmarkEnd w:id="196"/>
      <w:bookmarkStart w:id="197" w:name="_Toc43475716"/>
      <w:bookmarkEnd w:id="197"/>
      <w:bookmarkStart w:id="198" w:name="_Toc20034"/>
      <w:bookmarkEnd w:id="198"/>
      <w:r>
        <w:rPr>
          <w:rFonts w:hint="eastAsia" w:ascii="宋体" w:hAnsi="宋体" w:cs="宋体"/>
          <w:color w:val="auto"/>
          <w:highlight w:val="none"/>
        </w:rPr>
        <w:t>7.7履约保证金</w:t>
      </w:r>
    </w:p>
    <w:p w14:paraId="22CE30BD">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7.7.1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10%。联合体中标的，其履约保证金以联合体各方或联合体中牵头人的名义提交。</w:t>
      </w:r>
    </w:p>
    <w:p w14:paraId="4D14A55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采用银行保函时，应由符合投标人须知前附表规定级别的银行开具，所需的费用由中标人承担，中标人应保证银行保函有效。</w:t>
      </w:r>
    </w:p>
    <w:p w14:paraId="220ACEB1">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7.7.2中标人不能按本章第 7.7.1 项要求提交履约保证金的，视为放弃中标，其投标保证金不予退还，给招标人造成的损失超过投标保证金数额的，中标人还应对超过部分予以赔偿。</w:t>
      </w:r>
    </w:p>
    <w:p w14:paraId="4FE9EA47">
      <w:pPr>
        <w:pStyle w:val="71"/>
        <w:numPr>
          <w:ilvl w:val="0"/>
          <w:numId w:val="0"/>
        </w:numPr>
        <w:shd w:val="clear" w:fill="FFFFFF" w:themeFill="background1"/>
        <w:spacing w:line="360" w:lineRule="auto"/>
        <w:rPr>
          <w:rFonts w:ascii="宋体" w:hAnsi="宋体" w:cs="宋体"/>
          <w:color w:val="auto"/>
          <w:highlight w:val="none"/>
        </w:rPr>
      </w:pPr>
      <w:bookmarkStart w:id="199" w:name="_Toc4886"/>
      <w:bookmarkEnd w:id="199"/>
      <w:bookmarkStart w:id="200" w:name="_Toc43475717"/>
      <w:bookmarkEnd w:id="200"/>
      <w:bookmarkStart w:id="201" w:name="_Toc27583"/>
      <w:bookmarkEnd w:id="201"/>
      <w:r>
        <w:rPr>
          <w:rFonts w:hint="eastAsia" w:ascii="宋体" w:hAnsi="宋体" w:cs="宋体"/>
          <w:color w:val="auto"/>
          <w:highlight w:val="none"/>
        </w:rPr>
        <w:t>7.8签订合同</w:t>
      </w:r>
    </w:p>
    <w:p w14:paraId="522F8626">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7.8.1招标人和中标人应在中标通知书发出之日起 30 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w:t>
      </w:r>
    </w:p>
    <w:p w14:paraId="2B9D717E">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7.8.2发出中标通知书后，招标人无正当理由拒签合同，或在签订合同时向中标人提出附加条件的，招标人向中标人退还投标保证金；给中标人造成损失的，还应赔偿损失。</w:t>
      </w:r>
    </w:p>
    <w:p w14:paraId="162A951F">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7.8.3签约合同价的确定原则如下：</w:t>
      </w:r>
    </w:p>
    <w:p w14:paraId="199C6FD3">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（1）按照评标办法规定对投标报价进行修正后，若修正后的最终投标报价小于开标时的投标函大写金额报价，则签订合同时以修正后的最终投标报价为准；</w:t>
      </w:r>
    </w:p>
    <w:p w14:paraId="2A2304C7">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（2）按照评标办法规定对投标报价进行修正后，若修正后的最终投标报价大于开标时的投标函大写金额报价，则签订合同时以开标时的投标函大写金额报价为准，同时按比例修正相应子目的单价或合价。</w:t>
      </w:r>
    </w:p>
    <w:p w14:paraId="2364A288">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7.8.4联合体中标的，联合体各方应共同与招标人签订合同，就中标项目向招标人承担连带责任。</w:t>
      </w:r>
    </w:p>
    <w:p w14:paraId="0FB9764C">
      <w:pPr>
        <w:pStyle w:val="59"/>
        <w:shd w:val="clear" w:fill="FFFFFF" w:themeFill="background1"/>
        <w:spacing w:line="360" w:lineRule="auto"/>
        <w:ind w:firstLine="480" w:firstLineChars="200"/>
        <w:rPr>
          <w:rFonts w:ascii="宋体" w:hAnsi="宋体" w:cs="宋体"/>
          <w:color w:val="auto"/>
          <w:highlight w:val="none"/>
        </w:rPr>
      </w:pPr>
      <w:r>
        <w:rPr>
          <w:rFonts w:hint="eastAsia" w:ascii="宋体" w:hAnsi="宋体" w:cs="宋体"/>
          <w:color w:val="auto"/>
          <w:highlight w:val="none"/>
        </w:rPr>
        <w:t>7.8.5招标人和中标人在签订合同协议书的同时，须按照本招标文件规定的格式和要求签订廉政合同及安全生产合同，明确双方在廉政建设和安全生产方面的权利和义务以及应承担的违约责任。</w:t>
      </w:r>
    </w:p>
    <w:p w14:paraId="423D40A6">
      <w:pPr>
        <w:pStyle w:val="69"/>
        <w:shd w:val="clear" w:fill="FFFFFF" w:themeFill="background1"/>
        <w:spacing w:before="156"/>
        <w:rPr>
          <w:color w:val="auto"/>
          <w:highlight w:val="none"/>
        </w:rPr>
      </w:pPr>
      <w:bookmarkStart w:id="202" w:name="_Toc1683"/>
      <w:bookmarkEnd w:id="202"/>
      <w:bookmarkStart w:id="203" w:name="_Toc43475718"/>
      <w:bookmarkEnd w:id="203"/>
      <w:bookmarkStart w:id="204" w:name="_Toc32608"/>
      <w:bookmarkEnd w:id="204"/>
      <w:r>
        <w:rPr>
          <w:rFonts w:hint="eastAsia"/>
          <w:color w:val="auto"/>
          <w:highlight w:val="none"/>
        </w:rPr>
        <w:t>纪律和监督</w:t>
      </w:r>
    </w:p>
    <w:p w14:paraId="4979649F">
      <w:pPr>
        <w:pStyle w:val="71"/>
        <w:numPr>
          <w:ilvl w:val="0"/>
          <w:numId w:val="0"/>
        </w:numPr>
        <w:shd w:val="clear" w:fill="FFFFFF" w:themeFill="background1"/>
        <w:spacing w:line="360" w:lineRule="auto"/>
        <w:rPr>
          <w:rFonts w:ascii="宋体" w:hAnsi="宋体" w:cs="宋体"/>
          <w:color w:val="auto"/>
          <w:highlight w:val="none"/>
        </w:rPr>
      </w:pPr>
      <w:bookmarkStart w:id="205" w:name="_Toc43475719"/>
      <w:bookmarkEnd w:id="205"/>
      <w:bookmarkStart w:id="206" w:name="_Toc18388"/>
      <w:bookmarkEnd w:id="206"/>
      <w:bookmarkStart w:id="207" w:name="_Toc19942"/>
      <w:bookmarkEnd w:id="207"/>
      <w:r>
        <w:rPr>
          <w:rFonts w:hint="eastAsia" w:ascii="宋体" w:hAnsi="宋体" w:cs="宋体"/>
          <w:color w:val="auto"/>
          <w:highlight w:val="none"/>
        </w:rPr>
        <w:t>8.1对招标人的纪律要求</w:t>
      </w:r>
    </w:p>
    <w:p w14:paraId="45FFC501">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招标人不得泄露招标投标活动中应保密的情况和资料，不得与投标人串通损害国家利益、社会公共利益或他人合法权益。</w:t>
      </w:r>
    </w:p>
    <w:p w14:paraId="2754FC82">
      <w:pPr>
        <w:pStyle w:val="71"/>
        <w:numPr>
          <w:ilvl w:val="0"/>
          <w:numId w:val="0"/>
        </w:numPr>
        <w:shd w:val="clear" w:fill="FFFFFF" w:themeFill="background1"/>
        <w:spacing w:line="360" w:lineRule="auto"/>
        <w:rPr>
          <w:rFonts w:ascii="宋体" w:hAnsi="宋体" w:cs="宋体"/>
          <w:color w:val="auto"/>
          <w:highlight w:val="none"/>
        </w:rPr>
      </w:pPr>
      <w:bookmarkStart w:id="208" w:name="_Toc11030"/>
      <w:bookmarkEnd w:id="208"/>
      <w:bookmarkStart w:id="209" w:name="_Toc43475720"/>
      <w:bookmarkEnd w:id="209"/>
      <w:bookmarkStart w:id="210" w:name="_Toc7432"/>
      <w:bookmarkEnd w:id="210"/>
      <w:r>
        <w:rPr>
          <w:rFonts w:hint="eastAsia" w:ascii="宋体" w:hAnsi="宋体" w:cs="宋体"/>
          <w:color w:val="auto"/>
          <w:highlight w:val="none"/>
        </w:rPr>
        <w:t>8.2对投标人的纪律要求</w:t>
      </w:r>
    </w:p>
    <w:p w14:paraId="1A38C278">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投标人不得相互串通投标或与招标人串通投标，不得向招标人或评标委员会成员行贿谋取中标，不得以他人名义投标或以其他方式弄虚作假骗取中标；投标人不得以任何方式干扰、影响评标工作。</w:t>
      </w:r>
    </w:p>
    <w:p w14:paraId="4EDABD55">
      <w:pPr>
        <w:pStyle w:val="71"/>
        <w:numPr>
          <w:ilvl w:val="0"/>
          <w:numId w:val="0"/>
        </w:numPr>
        <w:shd w:val="clear" w:fill="FFFFFF" w:themeFill="background1"/>
        <w:spacing w:line="360" w:lineRule="auto"/>
        <w:rPr>
          <w:rFonts w:ascii="宋体" w:hAnsi="宋体" w:cs="宋体"/>
          <w:color w:val="auto"/>
          <w:highlight w:val="none"/>
        </w:rPr>
      </w:pPr>
      <w:bookmarkStart w:id="211" w:name="_Toc23985"/>
      <w:bookmarkEnd w:id="211"/>
      <w:bookmarkStart w:id="212" w:name="_Toc43475721"/>
      <w:bookmarkEnd w:id="212"/>
      <w:bookmarkStart w:id="213" w:name="_Toc15026"/>
      <w:bookmarkEnd w:id="213"/>
      <w:r>
        <w:rPr>
          <w:rFonts w:hint="eastAsia" w:ascii="宋体" w:hAnsi="宋体" w:cs="宋体"/>
          <w:color w:val="auto"/>
          <w:highlight w:val="none"/>
        </w:rPr>
        <w:t>8.3对评标委员会成员的纪律要求</w:t>
      </w:r>
    </w:p>
    <w:p w14:paraId="3BE4D333">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41BC0CBC">
      <w:pPr>
        <w:pStyle w:val="71"/>
        <w:numPr>
          <w:ilvl w:val="0"/>
          <w:numId w:val="0"/>
        </w:numPr>
        <w:shd w:val="clear" w:fill="FFFFFF" w:themeFill="background1"/>
        <w:spacing w:line="360" w:lineRule="auto"/>
        <w:rPr>
          <w:rFonts w:ascii="宋体" w:hAnsi="宋体" w:cs="宋体"/>
          <w:color w:val="auto"/>
          <w:highlight w:val="none"/>
        </w:rPr>
      </w:pPr>
      <w:bookmarkStart w:id="214" w:name="_Toc31858"/>
      <w:bookmarkEnd w:id="214"/>
      <w:bookmarkStart w:id="215" w:name="_Toc43475722"/>
      <w:bookmarkEnd w:id="215"/>
      <w:bookmarkStart w:id="216" w:name="_Toc20211"/>
      <w:bookmarkEnd w:id="216"/>
      <w:r>
        <w:rPr>
          <w:rFonts w:hint="eastAsia" w:ascii="宋体" w:hAnsi="宋体" w:cs="宋体"/>
          <w:color w:val="auto"/>
          <w:highlight w:val="none"/>
        </w:rPr>
        <w:t>8.4对与评标活动有关的工作人员的纪律要求</w:t>
      </w:r>
    </w:p>
    <w:p w14:paraId="0837EF07">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3C24D185">
      <w:pPr>
        <w:pStyle w:val="71"/>
        <w:numPr>
          <w:ilvl w:val="0"/>
          <w:numId w:val="0"/>
        </w:numPr>
        <w:shd w:val="clear" w:fill="FFFFFF" w:themeFill="background1"/>
        <w:spacing w:line="360" w:lineRule="auto"/>
        <w:rPr>
          <w:rFonts w:ascii="宋体" w:hAnsi="宋体" w:cs="宋体"/>
          <w:color w:val="auto"/>
          <w:highlight w:val="none"/>
        </w:rPr>
      </w:pPr>
      <w:bookmarkStart w:id="217" w:name="_Toc22887"/>
      <w:bookmarkEnd w:id="217"/>
      <w:bookmarkStart w:id="218" w:name="_Toc24359"/>
      <w:bookmarkEnd w:id="218"/>
      <w:bookmarkStart w:id="219" w:name="_Toc43475723"/>
      <w:bookmarkEnd w:id="219"/>
      <w:r>
        <w:rPr>
          <w:rFonts w:hint="eastAsia" w:ascii="宋体" w:hAnsi="宋体" w:cs="宋体"/>
          <w:color w:val="auto"/>
          <w:highlight w:val="none"/>
        </w:rPr>
        <w:t>8.5投诉</w:t>
      </w:r>
    </w:p>
    <w:p w14:paraId="72650B8D">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8.5.1投标人或其他利害关系人认为招标投标活动不符合法律、行政法规规定的， 可以自知道或应当知道之日起 10 日内向有关行政监督部门投诉。投诉应有明确的请求和必要的证明材料。</w:t>
      </w:r>
    </w:p>
    <w:p w14:paraId="5048193D">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监督部门的联系方式见投标人须知前附表。</w:t>
      </w:r>
    </w:p>
    <w:p w14:paraId="1EA66356">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8.5.2投标人或其他利害关系人对招标文件、开标和评标结果提出投诉的，应按照本章第 2.4 款、第 5.3 款和第 7.2 款的规定先向招标人提出异议。异议答复期间不计算在第 8.5.1 项规定的期限内。</w:t>
      </w:r>
    </w:p>
    <w:p w14:paraId="08EF8EE0">
      <w:pPr>
        <w:pStyle w:val="69"/>
        <w:shd w:val="clear" w:fill="FFFFFF" w:themeFill="background1"/>
        <w:spacing w:before="156"/>
        <w:rPr>
          <w:color w:val="auto"/>
          <w:highlight w:val="none"/>
        </w:rPr>
      </w:pPr>
      <w:bookmarkStart w:id="220" w:name="_Toc43475724"/>
      <w:bookmarkEnd w:id="220"/>
      <w:bookmarkStart w:id="221" w:name="_Toc16397"/>
      <w:bookmarkEnd w:id="221"/>
      <w:bookmarkStart w:id="222" w:name="_Toc18834"/>
      <w:bookmarkEnd w:id="222"/>
      <w:r>
        <w:rPr>
          <w:rFonts w:hint="eastAsia"/>
          <w:color w:val="auto"/>
          <w:highlight w:val="none"/>
        </w:rPr>
        <w:t>是否采用电子招标投标</w:t>
      </w:r>
    </w:p>
    <w:p w14:paraId="6D97FBBA">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本招标项目是否采用电子招标投标方式，见投标人须知前附表。</w:t>
      </w:r>
    </w:p>
    <w:p w14:paraId="76146FC3">
      <w:pPr>
        <w:pStyle w:val="69"/>
        <w:shd w:val="clear" w:fill="FFFFFF" w:themeFill="background1"/>
        <w:spacing w:before="156"/>
        <w:rPr>
          <w:rFonts w:ascii="宋体" w:hAnsi="宋体" w:cs="宋体"/>
          <w:color w:val="auto"/>
          <w:highlight w:val="none"/>
        </w:rPr>
      </w:pPr>
      <w:bookmarkStart w:id="223" w:name="_Toc29544"/>
      <w:bookmarkEnd w:id="223"/>
      <w:bookmarkStart w:id="224" w:name="_Toc22521"/>
      <w:bookmarkEnd w:id="224"/>
      <w:bookmarkStart w:id="225" w:name="_Toc43475725"/>
      <w:bookmarkEnd w:id="225"/>
      <w:r>
        <w:rPr>
          <w:rFonts w:hint="eastAsia" w:ascii="宋体" w:hAnsi="宋体" w:cs="宋体"/>
          <w:color w:val="auto"/>
          <w:highlight w:val="none"/>
        </w:rPr>
        <w:t>需要补充的其他内容</w:t>
      </w:r>
    </w:p>
    <w:p w14:paraId="3CC29788">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10.1自购买招标文件之日起，投标人应保证其提供的联系方式（电话、传真、电子邮件）一直有效，以便及时收到招标人发出的函件(招标文件的澄清、修改等)， 并应及时向招标人反馈信息，否则招标人不承担由此引起的一切后果。</w:t>
      </w:r>
    </w:p>
    <w:p w14:paraId="175E06E7">
      <w:pPr>
        <w:pStyle w:val="58"/>
        <w:shd w:val="clear" w:fill="FFFFFF" w:themeFill="background1"/>
        <w:spacing w:line="360" w:lineRule="auto"/>
        <w:ind w:firstLine="0" w:firstLineChars="0"/>
        <w:rPr>
          <w:rFonts w:ascii="宋体" w:hAnsi="宋体" w:cs="宋体"/>
          <w:color w:val="auto"/>
          <w:highlight w:val="none"/>
        </w:rPr>
      </w:pPr>
      <w:r>
        <w:rPr>
          <w:rFonts w:hint="eastAsia" w:ascii="宋体" w:hAnsi="宋体" w:cs="宋体"/>
          <w:color w:val="auto"/>
          <w:highlight w:val="none"/>
        </w:rPr>
        <w:t>需要补充的其他内容：见投标人须知前附表。</w:t>
      </w:r>
    </w:p>
    <w:p w14:paraId="6B8ED34A">
      <w:pPr>
        <w:pStyle w:val="58"/>
        <w:shd w:val="clear" w:fill="FFFFFF" w:themeFill="background1"/>
        <w:spacing w:line="360" w:lineRule="auto"/>
        <w:ind w:firstLine="0" w:firstLineChars="0"/>
        <w:rPr>
          <w:rFonts w:ascii="宋体" w:hAnsi="宋体" w:cs="宋体"/>
          <w:color w:val="auto"/>
          <w:highlight w:val="none"/>
        </w:rPr>
      </w:pPr>
    </w:p>
    <w:p w14:paraId="4FC70637">
      <w:pPr>
        <w:pStyle w:val="58"/>
        <w:shd w:val="clear" w:fill="FFFFFF" w:themeFill="background1"/>
        <w:rPr>
          <w:rFonts w:ascii="宋体" w:hAnsi="宋体" w:cs="宋体"/>
          <w:color w:val="auto"/>
          <w:highlight w:val="none"/>
        </w:rPr>
      </w:pPr>
    </w:p>
    <w:p w14:paraId="6860D352">
      <w:pPr>
        <w:pStyle w:val="58"/>
        <w:shd w:val="clear" w:fill="FFFFFF" w:themeFill="background1"/>
        <w:ind w:firstLine="0" w:firstLineChars="0"/>
        <w:rPr>
          <w:rFonts w:ascii="宋体" w:hAnsi="宋体" w:cs="宋体"/>
          <w:color w:val="auto"/>
          <w:highlight w:val="none"/>
        </w:rPr>
        <w:sectPr>
          <w:pgSz w:w="11906" w:h="16838"/>
          <w:pgMar w:top="1134" w:right="1134" w:bottom="1134" w:left="1134" w:header="851" w:footer="992" w:gutter="0"/>
          <w:cols w:space="720" w:num="1"/>
          <w:docGrid w:type="lines" w:linePitch="312" w:charSpace="0"/>
        </w:sectPr>
      </w:pPr>
    </w:p>
    <w:p w14:paraId="7D064A8B">
      <w:pPr>
        <w:pStyle w:val="69"/>
        <w:numPr>
          <w:ilvl w:val="1"/>
          <w:numId w:val="0"/>
        </w:numPr>
        <w:shd w:val="clear" w:fill="FFFFFF" w:themeFill="background1"/>
        <w:spacing w:before="156" w:line="360" w:lineRule="auto"/>
        <w:outlineLvl w:val="2"/>
        <w:rPr>
          <w:rFonts w:ascii="宋体" w:hAnsi="宋体" w:cs="宋体"/>
          <w:color w:val="auto"/>
          <w:highlight w:val="none"/>
        </w:rPr>
      </w:pPr>
      <w:bookmarkStart w:id="226" w:name="_Toc19478"/>
      <w:bookmarkEnd w:id="226"/>
      <w:bookmarkStart w:id="227" w:name="_Toc8014"/>
      <w:bookmarkEnd w:id="227"/>
      <w:bookmarkStart w:id="228" w:name="_Toc43475726"/>
      <w:bookmarkEnd w:id="228"/>
      <w:r>
        <w:rPr>
          <w:rFonts w:hint="eastAsia" w:ascii="宋体" w:hAnsi="宋体" w:cs="宋体"/>
          <w:color w:val="auto"/>
          <w:highlight w:val="none"/>
        </w:rPr>
        <w:t>附件一：开标记录表</w:t>
      </w:r>
    </w:p>
    <w:p w14:paraId="083707E0">
      <w:pPr>
        <w:pStyle w:val="58"/>
        <w:shd w:val="clear" w:fill="FFFFFF" w:themeFill="background1"/>
        <w:spacing w:line="360" w:lineRule="auto"/>
        <w:ind w:firstLine="602"/>
        <w:jc w:val="center"/>
        <w:rPr>
          <w:rFonts w:ascii="宋体" w:hAnsi="宋体" w:cs="宋体"/>
          <w:b/>
          <w:bCs/>
          <w:color w:val="auto"/>
          <w:sz w:val="30"/>
          <w:szCs w:val="30"/>
          <w:highlight w:val="none"/>
        </w:rPr>
      </w:pPr>
      <w:r>
        <w:rPr>
          <w:rFonts w:hint="eastAsia" w:ascii="宋体" w:hAnsi="宋体" w:cs="宋体"/>
          <w:b/>
          <w:bCs/>
          <w:color w:val="auto"/>
          <w:sz w:val="30"/>
          <w:szCs w:val="30"/>
          <w:highlight w:val="none"/>
          <w:u w:val="single"/>
        </w:rPr>
        <w:t xml:space="preserve">（项目名称） </w:t>
      </w:r>
      <w:r>
        <w:rPr>
          <w:rFonts w:hint="eastAsia" w:ascii="宋体" w:hAnsi="宋体" w:cs="宋体"/>
          <w:b/>
          <w:bCs/>
          <w:color w:val="auto"/>
          <w:sz w:val="30"/>
          <w:szCs w:val="30"/>
          <w:highlight w:val="none"/>
        </w:rPr>
        <w:t>第一个信封（商务及技术文件）</w:t>
      </w:r>
    </w:p>
    <w:p w14:paraId="6FAFCE61">
      <w:pPr>
        <w:pStyle w:val="58"/>
        <w:shd w:val="clear" w:fill="FFFFFF" w:themeFill="background1"/>
        <w:spacing w:line="360" w:lineRule="auto"/>
        <w:ind w:firstLine="602"/>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开标记录表</w:t>
      </w:r>
    </w:p>
    <w:p w14:paraId="1E76E5F6">
      <w:pPr>
        <w:pStyle w:val="58"/>
        <w:shd w:val="clear" w:fill="FFFFFF" w:themeFill="background1"/>
        <w:spacing w:line="360" w:lineRule="auto"/>
        <w:ind w:firstLine="0" w:firstLineChars="0"/>
        <w:jc w:val="right"/>
        <w:rPr>
          <w:rFonts w:ascii="宋体" w:hAnsi="宋体" w:cs="宋体"/>
          <w:color w:val="auto"/>
          <w:highlight w:val="none"/>
        </w:rPr>
      </w:pPr>
      <w:r>
        <w:rPr>
          <w:rFonts w:hint="eastAsia" w:ascii="宋体" w:hAnsi="宋体" w:cs="宋体"/>
          <w:color w:val="auto"/>
          <w:highlight w:val="none"/>
        </w:rPr>
        <w:t>开标时间：年＿月＿日＿时＿分</w:t>
      </w:r>
    </w:p>
    <w:tbl>
      <w:tblPr>
        <w:tblStyle w:val="45"/>
        <w:tblpPr w:leftFromText="180" w:rightFromText="180" w:vertAnchor="text" w:tblpXSpec="center" w:tblpY="1"/>
        <w:tblOverlap w:val="never"/>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439"/>
        <w:gridCol w:w="1641"/>
        <w:gridCol w:w="1971"/>
        <w:gridCol w:w="986"/>
        <w:gridCol w:w="841"/>
        <w:gridCol w:w="1241"/>
        <w:gridCol w:w="1241"/>
      </w:tblGrid>
      <w:tr w14:paraId="5A94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23A2996B">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序号</w:t>
            </w:r>
          </w:p>
        </w:tc>
        <w:tc>
          <w:tcPr>
            <w:tcW w:w="1439" w:type="dxa"/>
            <w:vAlign w:val="center"/>
          </w:tcPr>
          <w:p w14:paraId="15A82E39">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投标人</w:t>
            </w:r>
          </w:p>
        </w:tc>
        <w:tc>
          <w:tcPr>
            <w:tcW w:w="1641" w:type="dxa"/>
            <w:vAlign w:val="center"/>
          </w:tcPr>
          <w:p w14:paraId="0E226E2C">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密封情况</w:t>
            </w:r>
          </w:p>
        </w:tc>
        <w:tc>
          <w:tcPr>
            <w:tcW w:w="1971" w:type="dxa"/>
            <w:vAlign w:val="center"/>
          </w:tcPr>
          <w:p w14:paraId="15564904">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投标保证金</w:t>
            </w:r>
          </w:p>
          <w:p w14:paraId="3DFEF425">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递交情况</w:t>
            </w:r>
          </w:p>
        </w:tc>
        <w:tc>
          <w:tcPr>
            <w:tcW w:w="986" w:type="dxa"/>
            <w:vAlign w:val="center"/>
          </w:tcPr>
          <w:p w14:paraId="3A4F9E6B">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质量</w:t>
            </w:r>
          </w:p>
          <w:p w14:paraId="44464AE0">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目标</w:t>
            </w:r>
          </w:p>
        </w:tc>
        <w:tc>
          <w:tcPr>
            <w:tcW w:w="841" w:type="dxa"/>
            <w:vAlign w:val="center"/>
          </w:tcPr>
          <w:p w14:paraId="7D38B6E5">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工期</w:t>
            </w:r>
          </w:p>
        </w:tc>
        <w:tc>
          <w:tcPr>
            <w:tcW w:w="1241" w:type="dxa"/>
            <w:vAlign w:val="center"/>
          </w:tcPr>
          <w:p w14:paraId="35894C77">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备注</w:t>
            </w:r>
          </w:p>
        </w:tc>
        <w:tc>
          <w:tcPr>
            <w:tcW w:w="1241" w:type="dxa"/>
          </w:tcPr>
          <w:p w14:paraId="6F996344">
            <w:pPr>
              <w:pStyle w:val="80"/>
              <w:shd w:val="clear" w:fill="FFFFFF" w:themeFill="background1"/>
              <w:rPr>
                <w:rFonts w:ascii="Calibri" w:hAnsi="Calibri"/>
                <w:color w:val="auto"/>
                <w:sz w:val="20"/>
                <w:highlight w:val="none"/>
              </w:rPr>
            </w:pPr>
          </w:p>
          <w:p w14:paraId="11914474">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投标人代表签名</w:t>
            </w:r>
          </w:p>
        </w:tc>
      </w:tr>
      <w:tr w14:paraId="470F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0C768B91">
            <w:pPr>
              <w:pStyle w:val="58"/>
              <w:shd w:val="clear" w:fill="FFFFFF" w:themeFill="background1"/>
              <w:spacing w:line="360" w:lineRule="auto"/>
              <w:ind w:firstLine="0" w:firstLineChars="0"/>
              <w:jc w:val="center"/>
              <w:rPr>
                <w:rFonts w:ascii="宋体" w:hAnsi="宋体" w:cs="宋体"/>
                <w:color w:val="auto"/>
                <w:highlight w:val="none"/>
              </w:rPr>
            </w:pPr>
          </w:p>
        </w:tc>
        <w:tc>
          <w:tcPr>
            <w:tcW w:w="1439" w:type="dxa"/>
            <w:vAlign w:val="center"/>
          </w:tcPr>
          <w:p w14:paraId="2747C0AD">
            <w:pPr>
              <w:pStyle w:val="58"/>
              <w:shd w:val="clear" w:fill="FFFFFF" w:themeFill="background1"/>
              <w:spacing w:line="360" w:lineRule="auto"/>
              <w:ind w:firstLine="0" w:firstLineChars="0"/>
              <w:jc w:val="center"/>
              <w:rPr>
                <w:rFonts w:ascii="宋体" w:hAnsi="宋体" w:cs="宋体"/>
                <w:color w:val="auto"/>
                <w:highlight w:val="none"/>
              </w:rPr>
            </w:pPr>
          </w:p>
        </w:tc>
        <w:tc>
          <w:tcPr>
            <w:tcW w:w="1641" w:type="dxa"/>
            <w:vAlign w:val="center"/>
          </w:tcPr>
          <w:p w14:paraId="0E387CB6">
            <w:pPr>
              <w:pStyle w:val="58"/>
              <w:shd w:val="clear" w:fill="FFFFFF" w:themeFill="background1"/>
              <w:spacing w:line="360" w:lineRule="auto"/>
              <w:ind w:firstLine="0" w:firstLineChars="0"/>
              <w:jc w:val="center"/>
              <w:rPr>
                <w:rFonts w:ascii="宋体" w:hAnsi="宋体" w:cs="宋体"/>
                <w:color w:val="auto"/>
                <w:highlight w:val="none"/>
              </w:rPr>
            </w:pPr>
          </w:p>
        </w:tc>
        <w:tc>
          <w:tcPr>
            <w:tcW w:w="1971" w:type="dxa"/>
            <w:vAlign w:val="center"/>
          </w:tcPr>
          <w:p w14:paraId="70EAD30F">
            <w:pPr>
              <w:pStyle w:val="58"/>
              <w:shd w:val="clear" w:fill="FFFFFF" w:themeFill="background1"/>
              <w:spacing w:line="360" w:lineRule="auto"/>
              <w:ind w:firstLine="0" w:firstLineChars="0"/>
              <w:jc w:val="center"/>
              <w:rPr>
                <w:rFonts w:ascii="宋体" w:hAnsi="宋体" w:cs="宋体"/>
                <w:color w:val="auto"/>
                <w:highlight w:val="none"/>
              </w:rPr>
            </w:pPr>
          </w:p>
        </w:tc>
        <w:tc>
          <w:tcPr>
            <w:tcW w:w="986" w:type="dxa"/>
            <w:vAlign w:val="center"/>
          </w:tcPr>
          <w:p w14:paraId="2726B04B">
            <w:pPr>
              <w:pStyle w:val="58"/>
              <w:shd w:val="clear" w:fill="FFFFFF" w:themeFill="background1"/>
              <w:spacing w:line="360" w:lineRule="auto"/>
              <w:ind w:firstLine="0" w:firstLineChars="0"/>
              <w:jc w:val="center"/>
              <w:rPr>
                <w:rFonts w:ascii="宋体" w:hAnsi="宋体" w:cs="宋体"/>
                <w:color w:val="auto"/>
                <w:highlight w:val="none"/>
              </w:rPr>
            </w:pPr>
          </w:p>
        </w:tc>
        <w:tc>
          <w:tcPr>
            <w:tcW w:w="841" w:type="dxa"/>
            <w:vAlign w:val="center"/>
          </w:tcPr>
          <w:p w14:paraId="4C0536A6">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5213E48D">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69A04909">
            <w:pPr>
              <w:pStyle w:val="58"/>
              <w:shd w:val="clear" w:fill="FFFFFF" w:themeFill="background1"/>
              <w:spacing w:line="360" w:lineRule="auto"/>
              <w:ind w:firstLine="0" w:firstLineChars="0"/>
              <w:jc w:val="center"/>
              <w:rPr>
                <w:rFonts w:ascii="宋体" w:hAnsi="宋体" w:cs="宋体"/>
                <w:color w:val="auto"/>
                <w:highlight w:val="none"/>
              </w:rPr>
            </w:pPr>
          </w:p>
        </w:tc>
      </w:tr>
      <w:tr w14:paraId="4877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0E63CDCF">
            <w:pPr>
              <w:pStyle w:val="58"/>
              <w:shd w:val="clear" w:fill="FFFFFF" w:themeFill="background1"/>
              <w:spacing w:line="360" w:lineRule="auto"/>
              <w:ind w:firstLine="0" w:firstLineChars="0"/>
              <w:jc w:val="center"/>
              <w:rPr>
                <w:rFonts w:ascii="宋体" w:hAnsi="宋体" w:cs="宋体"/>
                <w:color w:val="auto"/>
                <w:highlight w:val="none"/>
              </w:rPr>
            </w:pPr>
          </w:p>
        </w:tc>
        <w:tc>
          <w:tcPr>
            <w:tcW w:w="1439" w:type="dxa"/>
            <w:vAlign w:val="center"/>
          </w:tcPr>
          <w:p w14:paraId="4F8BDB56">
            <w:pPr>
              <w:pStyle w:val="58"/>
              <w:shd w:val="clear" w:fill="FFFFFF" w:themeFill="background1"/>
              <w:spacing w:line="360" w:lineRule="auto"/>
              <w:ind w:firstLine="0" w:firstLineChars="0"/>
              <w:jc w:val="center"/>
              <w:rPr>
                <w:rFonts w:ascii="宋体" w:hAnsi="宋体" w:cs="宋体"/>
                <w:color w:val="auto"/>
                <w:highlight w:val="none"/>
              </w:rPr>
            </w:pPr>
          </w:p>
        </w:tc>
        <w:tc>
          <w:tcPr>
            <w:tcW w:w="1641" w:type="dxa"/>
            <w:vAlign w:val="center"/>
          </w:tcPr>
          <w:p w14:paraId="2178F1D5">
            <w:pPr>
              <w:pStyle w:val="58"/>
              <w:shd w:val="clear" w:fill="FFFFFF" w:themeFill="background1"/>
              <w:spacing w:line="360" w:lineRule="auto"/>
              <w:ind w:firstLine="0" w:firstLineChars="0"/>
              <w:jc w:val="center"/>
              <w:rPr>
                <w:rFonts w:ascii="宋体" w:hAnsi="宋体" w:cs="宋体"/>
                <w:color w:val="auto"/>
                <w:highlight w:val="none"/>
              </w:rPr>
            </w:pPr>
          </w:p>
        </w:tc>
        <w:tc>
          <w:tcPr>
            <w:tcW w:w="1971" w:type="dxa"/>
            <w:vAlign w:val="center"/>
          </w:tcPr>
          <w:p w14:paraId="4FAF2159">
            <w:pPr>
              <w:pStyle w:val="58"/>
              <w:shd w:val="clear" w:fill="FFFFFF" w:themeFill="background1"/>
              <w:spacing w:line="360" w:lineRule="auto"/>
              <w:ind w:firstLine="0" w:firstLineChars="0"/>
              <w:jc w:val="center"/>
              <w:rPr>
                <w:rFonts w:ascii="宋体" w:hAnsi="宋体" w:cs="宋体"/>
                <w:color w:val="auto"/>
                <w:highlight w:val="none"/>
              </w:rPr>
            </w:pPr>
          </w:p>
        </w:tc>
        <w:tc>
          <w:tcPr>
            <w:tcW w:w="986" w:type="dxa"/>
            <w:vAlign w:val="center"/>
          </w:tcPr>
          <w:p w14:paraId="75F5C4C1">
            <w:pPr>
              <w:pStyle w:val="58"/>
              <w:shd w:val="clear" w:fill="FFFFFF" w:themeFill="background1"/>
              <w:spacing w:line="360" w:lineRule="auto"/>
              <w:ind w:firstLine="0" w:firstLineChars="0"/>
              <w:jc w:val="center"/>
              <w:rPr>
                <w:rFonts w:ascii="宋体" w:hAnsi="宋体" w:cs="宋体"/>
                <w:color w:val="auto"/>
                <w:highlight w:val="none"/>
              </w:rPr>
            </w:pPr>
          </w:p>
        </w:tc>
        <w:tc>
          <w:tcPr>
            <w:tcW w:w="841" w:type="dxa"/>
            <w:vAlign w:val="center"/>
          </w:tcPr>
          <w:p w14:paraId="3E588376">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4791E158">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4580824E">
            <w:pPr>
              <w:pStyle w:val="58"/>
              <w:shd w:val="clear" w:fill="FFFFFF" w:themeFill="background1"/>
              <w:spacing w:line="360" w:lineRule="auto"/>
              <w:ind w:firstLine="0" w:firstLineChars="0"/>
              <w:jc w:val="center"/>
              <w:rPr>
                <w:rFonts w:ascii="宋体" w:hAnsi="宋体" w:cs="宋体"/>
                <w:color w:val="auto"/>
                <w:highlight w:val="none"/>
              </w:rPr>
            </w:pPr>
          </w:p>
        </w:tc>
      </w:tr>
      <w:tr w14:paraId="33B6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1C5B8D23">
            <w:pPr>
              <w:pStyle w:val="58"/>
              <w:shd w:val="clear" w:fill="FFFFFF" w:themeFill="background1"/>
              <w:spacing w:line="360" w:lineRule="auto"/>
              <w:ind w:firstLine="0" w:firstLineChars="0"/>
              <w:jc w:val="center"/>
              <w:rPr>
                <w:rFonts w:ascii="宋体" w:hAnsi="宋体" w:cs="宋体"/>
                <w:color w:val="auto"/>
                <w:highlight w:val="none"/>
              </w:rPr>
            </w:pPr>
          </w:p>
        </w:tc>
        <w:tc>
          <w:tcPr>
            <w:tcW w:w="1439" w:type="dxa"/>
            <w:vAlign w:val="center"/>
          </w:tcPr>
          <w:p w14:paraId="13C5B992">
            <w:pPr>
              <w:pStyle w:val="58"/>
              <w:shd w:val="clear" w:fill="FFFFFF" w:themeFill="background1"/>
              <w:spacing w:line="360" w:lineRule="auto"/>
              <w:ind w:firstLine="0" w:firstLineChars="0"/>
              <w:jc w:val="center"/>
              <w:rPr>
                <w:rFonts w:ascii="宋体" w:hAnsi="宋体" w:cs="宋体"/>
                <w:color w:val="auto"/>
                <w:highlight w:val="none"/>
              </w:rPr>
            </w:pPr>
          </w:p>
        </w:tc>
        <w:tc>
          <w:tcPr>
            <w:tcW w:w="1641" w:type="dxa"/>
            <w:vAlign w:val="center"/>
          </w:tcPr>
          <w:p w14:paraId="660675AD">
            <w:pPr>
              <w:pStyle w:val="58"/>
              <w:shd w:val="clear" w:fill="FFFFFF" w:themeFill="background1"/>
              <w:spacing w:line="360" w:lineRule="auto"/>
              <w:ind w:firstLine="0" w:firstLineChars="0"/>
              <w:jc w:val="center"/>
              <w:rPr>
                <w:rFonts w:ascii="宋体" w:hAnsi="宋体" w:cs="宋体"/>
                <w:color w:val="auto"/>
                <w:highlight w:val="none"/>
              </w:rPr>
            </w:pPr>
          </w:p>
        </w:tc>
        <w:tc>
          <w:tcPr>
            <w:tcW w:w="1971" w:type="dxa"/>
            <w:vAlign w:val="center"/>
          </w:tcPr>
          <w:p w14:paraId="53791CDD">
            <w:pPr>
              <w:pStyle w:val="58"/>
              <w:shd w:val="clear" w:fill="FFFFFF" w:themeFill="background1"/>
              <w:spacing w:line="360" w:lineRule="auto"/>
              <w:ind w:firstLine="0" w:firstLineChars="0"/>
              <w:jc w:val="center"/>
              <w:rPr>
                <w:rFonts w:ascii="宋体" w:hAnsi="宋体" w:cs="宋体"/>
                <w:color w:val="auto"/>
                <w:highlight w:val="none"/>
              </w:rPr>
            </w:pPr>
          </w:p>
        </w:tc>
        <w:tc>
          <w:tcPr>
            <w:tcW w:w="986" w:type="dxa"/>
            <w:vAlign w:val="center"/>
          </w:tcPr>
          <w:p w14:paraId="40B11D65">
            <w:pPr>
              <w:pStyle w:val="58"/>
              <w:shd w:val="clear" w:fill="FFFFFF" w:themeFill="background1"/>
              <w:spacing w:line="360" w:lineRule="auto"/>
              <w:ind w:firstLine="0" w:firstLineChars="0"/>
              <w:jc w:val="center"/>
              <w:rPr>
                <w:rFonts w:ascii="宋体" w:hAnsi="宋体" w:cs="宋体"/>
                <w:color w:val="auto"/>
                <w:highlight w:val="none"/>
              </w:rPr>
            </w:pPr>
          </w:p>
        </w:tc>
        <w:tc>
          <w:tcPr>
            <w:tcW w:w="841" w:type="dxa"/>
            <w:vAlign w:val="center"/>
          </w:tcPr>
          <w:p w14:paraId="0E3AF48C">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19841700">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32B1E23F">
            <w:pPr>
              <w:pStyle w:val="58"/>
              <w:shd w:val="clear" w:fill="FFFFFF" w:themeFill="background1"/>
              <w:spacing w:line="360" w:lineRule="auto"/>
              <w:ind w:firstLine="0" w:firstLineChars="0"/>
              <w:jc w:val="center"/>
              <w:rPr>
                <w:rFonts w:ascii="宋体" w:hAnsi="宋体" w:cs="宋体"/>
                <w:color w:val="auto"/>
                <w:highlight w:val="none"/>
              </w:rPr>
            </w:pPr>
          </w:p>
        </w:tc>
      </w:tr>
      <w:tr w14:paraId="20461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94" w:type="dxa"/>
            <w:vAlign w:val="center"/>
          </w:tcPr>
          <w:p w14:paraId="6E91CCED">
            <w:pPr>
              <w:pStyle w:val="58"/>
              <w:shd w:val="clear" w:fill="FFFFFF" w:themeFill="background1"/>
              <w:spacing w:line="360" w:lineRule="auto"/>
              <w:ind w:firstLine="0" w:firstLineChars="0"/>
              <w:jc w:val="center"/>
              <w:rPr>
                <w:rFonts w:ascii="宋体" w:hAnsi="宋体" w:cs="宋体"/>
                <w:color w:val="auto"/>
                <w:highlight w:val="none"/>
              </w:rPr>
            </w:pPr>
          </w:p>
        </w:tc>
        <w:tc>
          <w:tcPr>
            <w:tcW w:w="1439" w:type="dxa"/>
            <w:vAlign w:val="center"/>
          </w:tcPr>
          <w:p w14:paraId="187F1B8F">
            <w:pPr>
              <w:pStyle w:val="58"/>
              <w:shd w:val="clear" w:fill="FFFFFF" w:themeFill="background1"/>
              <w:spacing w:line="360" w:lineRule="auto"/>
              <w:ind w:firstLine="0" w:firstLineChars="0"/>
              <w:jc w:val="center"/>
              <w:rPr>
                <w:rFonts w:ascii="宋体" w:hAnsi="宋体" w:cs="宋体"/>
                <w:color w:val="auto"/>
                <w:highlight w:val="none"/>
              </w:rPr>
            </w:pPr>
          </w:p>
        </w:tc>
        <w:tc>
          <w:tcPr>
            <w:tcW w:w="1641" w:type="dxa"/>
            <w:vAlign w:val="center"/>
          </w:tcPr>
          <w:p w14:paraId="7E76242F">
            <w:pPr>
              <w:pStyle w:val="58"/>
              <w:shd w:val="clear" w:fill="FFFFFF" w:themeFill="background1"/>
              <w:spacing w:line="360" w:lineRule="auto"/>
              <w:ind w:firstLine="0" w:firstLineChars="0"/>
              <w:jc w:val="center"/>
              <w:rPr>
                <w:rFonts w:ascii="宋体" w:hAnsi="宋体" w:cs="宋体"/>
                <w:color w:val="auto"/>
                <w:highlight w:val="none"/>
              </w:rPr>
            </w:pPr>
          </w:p>
        </w:tc>
        <w:tc>
          <w:tcPr>
            <w:tcW w:w="1971" w:type="dxa"/>
            <w:vAlign w:val="center"/>
          </w:tcPr>
          <w:p w14:paraId="0CB3877B">
            <w:pPr>
              <w:pStyle w:val="58"/>
              <w:shd w:val="clear" w:fill="FFFFFF" w:themeFill="background1"/>
              <w:spacing w:line="360" w:lineRule="auto"/>
              <w:ind w:firstLine="0" w:firstLineChars="0"/>
              <w:jc w:val="center"/>
              <w:rPr>
                <w:rFonts w:ascii="宋体" w:hAnsi="宋体" w:cs="宋体"/>
                <w:color w:val="auto"/>
                <w:highlight w:val="none"/>
              </w:rPr>
            </w:pPr>
          </w:p>
        </w:tc>
        <w:tc>
          <w:tcPr>
            <w:tcW w:w="986" w:type="dxa"/>
            <w:vAlign w:val="center"/>
          </w:tcPr>
          <w:p w14:paraId="1AED47D4">
            <w:pPr>
              <w:pStyle w:val="58"/>
              <w:shd w:val="clear" w:fill="FFFFFF" w:themeFill="background1"/>
              <w:spacing w:line="360" w:lineRule="auto"/>
              <w:ind w:firstLine="0" w:firstLineChars="0"/>
              <w:jc w:val="center"/>
              <w:rPr>
                <w:rFonts w:ascii="宋体" w:hAnsi="宋体" w:cs="宋体"/>
                <w:color w:val="auto"/>
                <w:highlight w:val="none"/>
              </w:rPr>
            </w:pPr>
          </w:p>
        </w:tc>
        <w:tc>
          <w:tcPr>
            <w:tcW w:w="841" w:type="dxa"/>
            <w:vAlign w:val="center"/>
          </w:tcPr>
          <w:p w14:paraId="110E739B">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1C1C6348">
            <w:pPr>
              <w:pStyle w:val="58"/>
              <w:shd w:val="clear" w:fill="FFFFFF" w:themeFill="background1"/>
              <w:spacing w:line="360" w:lineRule="auto"/>
              <w:ind w:firstLine="0" w:firstLineChars="0"/>
              <w:jc w:val="center"/>
              <w:rPr>
                <w:rFonts w:ascii="宋体" w:hAnsi="宋体" w:cs="宋体"/>
                <w:color w:val="auto"/>
                <w:highlight w:val="none"/>
              </w:rPr>
            </w:pPr>
          </w:p>
        </w:tc>
        <w:tc>
          <w:tcPr>
            <w:tcW w:w="1241" w:type="dxa"/>
            <w:vAlign w:val="center"/>
          </w:tcPr>
          <w:p w14:paraId="1B67B104">
            <w:pPr>
              <w:pStyle w:val="58"/>
              <w:shd w:val="clear" w:fill="FFFFFF" w:themeFill="background1"/>
              <w:spacing w:line="360" w:lineRule="auto"/>
              <w:ind w:firstLine="0" w:firstLineChars="0"/>
              <w:jc w:val="center"/>
              <w:rPr>
                <w:rFonts w:ascii="宋体" w:hAnsi="宋体" w:cs="宋体"/>
                <w:color w:val="auto"/>
                <w:highlight w:val="none"/>
              </w:rPr>
            </w:pPr>
          </w:p>
        </w:tc>
      </w:tr>
    </w:tbl>
    <w:p w14:paraId="56ECD725">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 xml:space="preserve">招标人代表：                        记录人： </w:t>
      </w:r>
    </w:p>
    <w:p w14:paraId="54C87B7D">
      <w:pPr>
        <w:pStyle w:val="58"/>
        <w:shd w:val="clear" w:fill="FFFFFF" w:themeFill="background1"/>
        <w:spacing w:line="360" w:lineRule="auto"/>
        <w:ind w:firstLine="7920" w:firstLineChars="3300"/>
        <w:rPr>
          <w:rFonts w:ascii="宋体" w:hAnsi="宋体" w:cs="宋体"/>
          <w:color w:val="auto"/>
          <w:highlight w:val="none"/>
        </w:rPr>
      </w:pPr>
      <w:r>
        <w:rPr>
          <w:rFonts w:hint="eastAsia" w:ascii="宋体" w:hAnsi="宋体" w:cs="宋体"/>
          <w:color w:val="auto"/>
          <w:highlight w:val="none"/>
        </w:rPr>
        <w:t>年   月  日</w:t>
      </w:r>
    </w:p>
    <w:p w14:paraId="23DE72CE">
      <w:pPr>
        <w:pStyle w:val="58"/>
        <w:shd w:val="clear" w:fill="FFFFFF" w:themeFill="background1"/>
        <w:spacing w:line="360" w:lineRule="auto"/>
        <w:ind w:firstLine="602"/>
        <w:jc w:val="center"/>
        <w:rPr>
          <w:rFonts w:ascii="宋体" w:hAnsi="宋体" w:cs="宋体"/>
          <w:b/>
          <w:bCs/>
          <w:color w:val="auto"/>
          <w:sz w:val="30"/>
          <w:szCs w:val="30"/>
          <w:highlight w:val="none"/>
        </w:rPr>
      </w:pPr>
      <w:r>
        <w:rPr>
          <w:rFonts w:hint="eastAsia" w:ascii="宋体" w:hAnsi="宋体" w:cs="宋体"/>
          <w:b/>
          <w:bCs/>
          <w:color w:val="auto"/>
          <w:sz w:val="30"/>
          <w:szCs w:val="30"/>
          <w:highlight w:val="none"/>
          <w:u w:val="single"/>
        </w:rPr>
        <w:t xml:space="preserve">（项目名称） </w:t>
      </w:r>
      <w:r>
        <w:rPr>
          <w:rFonts w:hint="eastAsia" w:ascii="宋体" w:hAnsi="宋体" w:cs="宋体"/>
          <w:b/>
          <w:bCs/>
          <w:color w:val="auto"/>
          <w:sz w:val="30"/>
          <w:szCs w:val="30"/>
          <w:highlight w:val="none"/>
        </w:rPr>
        <w:t>第二个信封（报价文件）</w:t>
      </w:r>
    </w:p>
    <w:p w14:paraId="529FD7FD">
      <w:pPr>
        <w:pStyle w:val="58"/>
        <w:shd w:val="clear" w:fill="FFFFFF" w:themeFill="background1"/>
        <w:spacing w:line="360" w:lineRule="auto"/>
        <w:ind w:firstLine="602"/>
        <w:jc w:val="center"/>
        <w:rPr>
          <w:rFonts w:ascii="宋体" w:hAnsi="宋体" w:cs="宋体"/>
          <w:b/>
          <w:bCs/>
          <w:color w:val="auto"/>
          <w:sz w:val="30"/>
          <w:szCs w:val="30"/>
          <w:highlight w:val="none"/>
        </w:rPr>
      </w:pPr>
      <w:r>
        <w:rPr>
          <w:rFonts w:hint="eastAsia" w:ascii="宋体" w:hAnsi="宋体" w:cs="宋体"/>
          <w:b/>
          <w:bCs/>
          <w:color w:val="auto"/>
          <w:sz w:val="30"/>
          <w:szCs w:val="30"/>
          <w:highlight w:val="none"/>
          <w:u w:val="single"/>
        </w:rPr>
        <w:t>开标记录表</w:t>
      </w:r>
    </w:p>
    <w:p w14:paraId="03A44698">
      <w:pPr>
        <w:pStyle w:val="58"/>
        <w:shd w:val="clear" w:fill="FFFFFF" w:themeFill="background1"/>
        <w:spacing w:line="360" w:lineRule="auto"/>
        <w:ind w:firstLine="0" w:firstLineChars="0"/>
        <w:jc w:val="right"/>
        <w:rPr>
          <w:rFonts w:ascii="宋体" w:hAnsi="宋体" w:cs="宋体"/>
          <w:color w:val="auto"/>
          <w:highlight w:val="none"/>
        </w:rPr>
      </w:pPr>
      <w:r>
        <w:rPr>
          <w:rFonts w:hint="eastAsia" w:ascii="宋体" w:hAnsi="宋体" w:cs="宋体"/>
          <w:color w:val="auto"/>
          <w:highlight w:val="none"/>
        </w:rPr>
        <w:t>开标时间：年＿月＿日＿时＿分</w:t>
      </w:r>
    </w:p>
    <w:tbl>
      <w:tblPr>
        <w:tblStyle w:val="45"/>
        <w:tblpPr w:leftFromText="180" w:rightFromText="180" w:vertAnchor="text" w:tblpXSpec="center" w:tblpY="1"/>
        <w:tblOverlap w:val="never"/>
        <w:tblW w:w="9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22"/>
        <w:gridCol w:w="1800"/>
        <w:gridCol w:w="2155"/>
        <w:gridCol w:w="1796"/>
        <w:gridCol w:w="803"/>
        <w:gridCol w:w="1193"/>
      </w:tblGrid>
      <w:tr w14:paraId="0104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6314DF8F">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序号</w:t>
            </w:r>
          </w:p>
        </w:tc>
        <w:tc>
          <w:tcPr>
            <w:tcW w:w="1422" w:type="dxa"/>
            <w:vAlign w:val="center"/>
          </w:tcPr>
          <w:p w14:paraId="356D3F37">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投标人</w:t>
            </w:r>
          </w:p>
        </w:tc>
        <w:tc>
          <w:tcPr>
            <w:tcW w:w="1800" w:type="dxa"/>
            <w:vAlign w:val="center"/>
          </w:tcPr>
          <w:p w14:paraId="2F15F3DC">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密封情况</w:t>
            </w:r>
          </w:p>
        </w:tc>
        <w:tc>
          <w:tcPr>
            <w:tcW w:w="2155" w:type="dxa"/>
            <w:vAlign w:val="center"/>
          </w:tcPr>
          <w:p w14:paraId="34777F1E">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投标报价（元）</w:t>
            </w:r>
          </w:p>
        </w:tc>
        <w:tc>
          <w:tcPr>
            <w:tcW w:w="1796" w:type="dxa"/>
            <w:vAlign w:val="center"/>
          </w:tcPr>
          <w:p w14:paraId="2DE53A3E">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是否超过最高投标限价</w:t>
            </w:r>
          </w:p>
        </w:tc>
        <w:tc>
          <w:tcPr>
            <w:tcW w:w="803" w:type="dxa"/>
            <w:vAlign w:val="center"/>
          </w:tcPr>
          <w:p w14:paraId="1B5F432E">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备注</w:t>
            </w:r>
          </w:p>
        </w:tc>
        <w:tc>
          <w:tcPr>
            <w:tcW w:w="1193" w:type="dxa"/>
            <w:vAlign w:val="center"/>
          </w:tcPr>
          <w:p w14:paraId="11D133EB">
            <w:pPr>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投标人代表签名</w:t>
            </w:r>
          </w:p>
        </w:tc>
      </w:tr>
      <w:tr w14:paraId="730F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6D4FE064">
            <w:pPr>
              <w:pStyle w:val="58"/>
              <w:shd w:val="clear" w:fill="FFFFFF" w:themeFill="background1"/>
              <w:spacing w:line="360" w:lineRule="auto"/>
              <w:ind w:firstLine="0" w:firstLineChars="0"/>
              <w:jc w:val="center"/>
              <w:rPr>
                <w:rFonts w:ascii="宋体" w:hAnsi="宋体" w:cs="宋体"/>
                <w:color w:val="auto"/>
                <w:highlight w:val="none"/>
              </w:rPr>
            </w:pPr>
          </w:p>
        </w:tc>
        <w:tc>
          <w:tcPr>
            <w:tcW w:w="1422" w:type="dxa"/>
            <w:vAlign w:val="center"/>
          </w:tcPr>
          <w:p w14:paraId="764D5140">
            <w:pPr>
              <w:pStyle w:val="58"/>
              <w:shd w:val="clear" w:fill="FFFFFF" w:themeFill="background1"/>
              <w:spacing w:line="360" w:lineRule="auto"/>
              <w:ind w:firstLine="0" w:firstLineChars="0"/>
              <w:jc w:val="center"/>
              <w:rPr>
                <w:rFonts w:ascii="宋体" w:hAnsi="宋体" w:cs="宋体"/>
                <w:color w:val="auto"/>
                <w:highlight w:val="none"/>
              </w:rPr>
            </w:pPr>
          </w:p>
        </w:tc>
        <w:tc>
          <w:tcPr>
            <w:tcW w:w="1800" w:type="dxa"/>
            <w:vAlign w:val="center"/>
          </w:tcPr>
          <w:p w14:paraId="31988AAB">
            <w:pPr>
              <w:pStyle w:val="58"/>
              <w:shd w:val="clear" w:fill="FFFFFF" w:themeFill="background1"/>
              <w:spacing w:line="360" w:lineRule="auto"/>
              <w:ind w:firstLine="0" w:firstLineChars="0"/>
              <w:jc w:val="center"/>
              <w:rPr>
                <w:rFonts w:ascii="宋体" w:hAnsi="宋体" w:cs="宋体"/>
                <w:color w:val="auto"/>
                <w:highlight w:val="none"/>
              </w:rPr>
            </w:pPr>
          </w:p>
        </w:tc>
        <w:tc>
          <w:tcPr>
            <w:tcW w:w="2155" w:type="dxa"/>
            <w:vAlign w:val="center"/>
          </w:tcPr>
          <w:p w14:paraId="07C89805">
            <w:pPr>
              <w:pStyle w:val="58"/>
              <w:shd w:val="clear" w:fill="FFFFFF" w:themeFill="background1"/>
              <w:spacing w:line="360" w:lineRule="auto"/>
              <w:ind w:firstLine="0" w:firstLineChars="0"/>
              <w:jc w:val="center"/>
              <w:rPr>
                <w:rFonts w:ascii="宋体" w:hAnsi="宋体" w:cs="宋体"/>
                <w:color w:val="auto"/>
                <w:highlight w:val="none"/>
              </w:rPr>
            </w:pPr>
          </w:p>
        </w:tc>
        <w:tc>
          <w:tcPr>
            <w:tcW w:w="1796" w:type="dxa"/>
            <w:vAlign w:val="center"/>
          </w:tcPr>
          <w:p w14:paraId="3026B85C">
            <w:pPr>
              <w:pStyle w:val="58"/>
              <w:shd w:val="clear" w:fill="FFFFFF" w:themeFill="background1"/>
              <w:spacing w:line="360" w:lineRule="auto"/>
              <w:ind w:firstLine="0" w:firstLineChars="0"/>
              <w:jc w:val="center"/>
              <w:rPr>
                <w:rFonts w:ascii="宋体" w:hAnsi="宋体" w:cs="宋体"/>
                <w:color w:val="auto"/>
                <w:highlight w:val="none"/>
              </w:rPr>
            </w:pPr>
          </w:p>
        </w:tc>
        <w:tc>
          <w:tcPr>
            <w:tcW w:w="803" w:type="dxa"/>
            <w:vAlign w:val="center"/>
          </w:tcPr>
          <w:p w14:paraId="50EED148">
            <w:pPr>
              <w:pStyle w:val="58"/>
              <w:shd w:val="clear" w:fill="FFFFFF" w:themeFill="background1"/>
              <w:spacing w:line="360" w:lineRule="auto"/>
              <w:ind w:firstLine="0" w:firstLineChars="0"/>
              <w:jc w:val="center"/>
              <w:rPr>
                <w:rFonts w:ascii="宋体" w:hAnsi="宋体" w:cs="宋体"/>
                <w:color w:val="auto"/>
                <w:highlight w:val="none"/>
              </w:rPr>
            </w:pPr>
          </w:p>
        </w:tc>
        <w:tc>
          <w:tcPr>
            <w:tcW w:w="1193" w:type="dxa"/>
            <w:vAlign w:val="center"/>
          </w:tcPr>
          <w:p w14:paraId="6D76B522">
            <w:pPr>
              <w:pStyle w:val="58"/>
              <w:shd w:val="clear" w:fill="FFFFFF" w:themeFill="background1"/>
              <w:spacing w:line="360" w:lineRule="auto"/>
              <w:ind w:firstLine="0" w:firstLineChars="0"/>
              <w:jc w:val="center"/>
              <w:rPr>
                <w:rFonts w:ascii="宋体" w:hAnsi="宋体" w:cs="宋体"/>
                <w:color w:val="auto"/>
                <w:highlight w:val="none"/>
              </w:rPr>
            </w:pPr>
          </w:p>
        </w:tc>
      </w:tr>
      <w:tr w14:paraId="7885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34017A7D">
            <w:pPr>
              <w:pStyle w:val="58"/>
              <w:shd w:val="clear" w:fill="FFFFFF" w:themeFill="background1"/>
              <w:spacing w:line="360" w:lineRule="auto"/>
              <w:ind w:firstLine="0" w:firstLineChars="0"/>
              <w:jc w:val="center"/>
              <w:rPr>
                <w:rFonts w:ascii="宋体" w:hAnsi="宋体" w:cs="宋体"/>
                <w:color w:val="auto"/>
                <w:highlight w:val="none"/>
              </w:rPr>
            </w:pPr>
          </w:p>
        </w:tc>
        <w:tc>
          <w:tcPr>
            <w:tcW w:w="1422" w:type="dxa"/>
            <w:vAlign w:val="center"/>
          </w:tcPr>
          <w:p w14:paraId="1395F7D6">
            <w:pPr>
              <w:pStyle w:val="58"/>
              <w:shd w:val="clear" w:fill="FFFFFF" w:themeFill="background1"/>
              <w:spacing w:line="360" w:lineRule="auto"/>
              <w:ind w:firstLine="0" w:firstLineChars="0"/>
              <w:jc w:val="center"/>
              <w:rPr>
                <w:rFonts w:ascii="宋体" w:hAnsi="宋体" w:cs="宋体"/>
                <w:color w:val="auto"/>
                <w:highlight w:val="none"/>
              </w:rPr>
            </w:pPr>
          </w:p>
        </w:tc>
        <w:tc>
          <w:tcPr>
            <w:tcW w:w="1800" w:type="dxa"/>
            <w:vAlign w:val="center"/>
          </w:tcPr>
          <w:p w14:paraId="1236F93D">
            <w:pPr>
              <w:pStyle w:val="58"/>
              <w:shd w:val="clear" w:fill="FFFFFF" w:themeFill="background1"/>
              <w:spacing w:line="360" w:lineRule="auto"/>
              <w:ind w:firstLine="0" w:firstLineChars="0"/>
              <w:jc w:val="center"/>
              <w:rPr>
                <w:rFonts w:ascii="宋体" w:hAnsi="宋体" w:cs="宋体"/>
                <w:color w:val="auto"/>
                <w:highlight w:val="none"/>
              </w:rPr>
            </w:pPr>
          </w:p>
        </w:tc>
        <w:tc>
          <w:tcPr>
            <w:tcW w:w="2155" w:type="dxa"/>
            <w:vAlign w:val="center"/>
          </w:tcPr>
          <w:p w14:paraId="7F804EC3">
            <w:pPr>
              <w:pStyle w:val="58"/>
              <w:shd w:val="clear" w:fill="FFFFFF" w:themeFill="background1"/>
              <w:spacing w:line="360" w:lineRule="auto"/>
              <w:ind w:firstLine="0" w:firstLineChars="0"/>
              <w:jc w:val="center"/>
              <w:rPr>
                <w:rFonts w:ascii="宋体" w:hAnsi="宋体" w:cs="宋体"/>
                <w:color w:val="auto"/>
                <w:highlight w:val="none"/>
              </w:rPr>
            </w:pPr>
          </w:p>
        </w:tc>
        <w:tc>
          <w:tcPr>
            <w:tcW w:w="1796" w:type="dxa"/>
            <w:vAlign w:val="center"/>
          </w:tcPr>
          <w:p w14:paraId="70D97A60">
            <w:pPr>
              <w:pStyle w:val="58"/>
              <w:shd w:val="clear" w:fill="FFFFFF" w:themeFill="background1"/>
              <w:spacing w:line="360" w:lineRule="auto"/>
              <w:ind w:firstLine="0" w:firstLineChars="0"/>
              <w:jc w:val="center"/>
              <w:rPr>
                <w:rFonts w:ascii="宋体" w:hAnsi="宋体" w:cs="宋体"/>
                <w:color w:val="auto"/>
                <w:highlight w:val="none"/>
              </w:rPr>
            </w:pPr>
          </w:p>
        </w:tc>
        <w:tc>
          <w:tcPr>
            <w:tcW w:w="803" w:type="dxa"/>
            <w:vAlign w:val="center"/>
          </w:tcPr>
          <w:p w14:paraId="7334E406">
            <w:pPr>
              <w:pStyle w:val="58"/>
              <w:shd w:val="clear" w:fill="FFFFFF" w:themeFill="background1"/>
              <w:spacing w:line="360" w:lineRule="auto"/>
              <w:ind w:firstLine="0" w:firstLineChars="0"/>
              <w:jc w:val="center"/>
              <w:rPr>
                <w:rFonts w:ascii="宋体" w:hAnsi="宋体" w:cs="宋体"/>
                <w:color w:val="auto"/>
                <w:highlight w:val="none"/>
              </w:rPr>
            </w:pPr>
          </w:p>
        </w:tc>
        <w:tc>
          <w:tcPr>
            <w:tcW w:w="1193" w:type="dxa"/>
            <w:vAlign w:val="center"/>
          </w:tcPr>
          <w:p w14:paraId="7784522D">
            <w:pPr>
              <w:pStyle w:val="58"/>
              <w:shd w:val="clear" w:fill="FFFFFF" w:themeFill="background1"/>
              <w:spacing w:line="360" w:lineRule="auto"/>
              <w:ind w:firstLine="0" w:firstLineChars="0"/>
              <w:jc w:val="center"/>
              <w:rPr>
                <w:rFonts w:ascii="宋体" w:hAnsi="宋体" w:cs="宋体"/>
                <w:color w:val="auto"/>
                <w:highlight w:val="none"/>
              </w:rPr>
            </w:pPr>
          </w:p>
        </w:tc>
      </w:tr>
      <w:tr w14:paraId="3D6F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129C8BE1">
            <w:pPr>
              <w:pStyle w:val="58"/>
              <w:shd w:val="clear" w:fill="FFFFFF" w:themeFill="background1"/>
              <w:spacing w:line="360" w:lineRule="auto"/>
              <w:ind w:firstLine="0" w:firstLineChars="0"/>
              <w:jc w:val="center"/>
              <w:rPr>
                <w:rFonts w:ascii="宋体" w:hAnsi="宋体" w:cs="宋体"/>
                <w:color w:val="auto"/>
                <w:highlight w:val="none"/>
              </w:rPr>
            </w:pPr>
          </w:p>
        </w:tc>
        <w:tc>
          <w:tcPr>
            <w:tcW w:w="1422" w:type="dxa"/>
            <w:vAlign w:val="center"/>
          </w:tcPr>
          <w:p w14:paraId="3A0AA403">
            <w:pPr>
              <w:pStyle w:val="58"/>
              <w:shd w:val="clear" w:fill="FFFFFF" w:themeFill="background1"/>
              <w:spacing w:line="360" w:lineRule="auto"/>
              <w:ind w:firstLine="0" w:firstLineChars="0"/>
              <w:jc w:val="center"/>
              <w:rPr>
                <w:rFonts w:ascii="宋体" w:hAnsi="宋体" w:cs="宋体"/>
                <w:color w:val="auto"/>
                <w:highlight w:val="none"/>
              </w:rPr>
            </w:pPr>
          </w:p>
        </w:tc>
        <w:tc>
          <w:tcPr>
            <w:tcW w:w="1800" w:type="dxa"/>
            <w:vAlign w:val="center"/>
          </w:tcPr>
          <w:p w14:paraId="7B62B221">
            <w:pPr>
              <w:pStyle w:val="58"/>
              <w:shd w:val="clear" w:fill="FFFFFF" w:themeFill="background1"/>
              <w:spacing w:line="360" w:lineRule="auto"/>
              <w:ind w:firstLine="0" w:firstLineChars="0"/>
              <w:jc w:val="center"/>
              <w:rPr>
                <w:rFonts w:ascii="宋体" w:hAnsi="宋体" w:cs="宋体"/>
                <w:color w:val="auto"/>
                <w:highlight w:val="none"/>
              </w:rPr>
            </w:pPr>
          </w:p>
        </w:tc>
        <w:tc>
          <w:tcPr>
            <w:tcW w:w="2155" w:type="dxa"/>
            <w:vAlign w:val="center"/>
          </w:tcPr>
          <w:p w14:paraId="2A6A6D25">
            <w:pPr>
              <w:pStyle w:val="58"/>
              <w:shd w:val="clear" w:fill="FFFFFF" w:themeFill="background1"/>
              <w:spacing w:line="360" w:lineRule="auto"/>
              <w:ind w:firstLine="0" w:firstLineChars="0"/>
              <w:jc w:val="center"/>
              <w:rPr>
                <w:rFonts w:ascii="宋体" w:hAnsi="宋体" w:cs="宋体"/>
                <w:color w:val="auto"/>
                <w:highlight w:val="none"/>
              </w:rPr>
            </w:pPr>
          </w:p>
        </w:tc>
        <w:tc>
          <w:tcPr>
            <w:tcW w:w="1796" w:type="dxa"/>
            <w:vAlign w:val="center"/>
          </w:tcPr>
          <w:p w14:paraId="3BB8841E">
            <w:pPr>
              <w:pStyle w:val="58"/>
              <w:shd w:val="clear" w:fill="FFFFFF" w:themeFill="background1"/>
              <w:spacing w:line="360" w:lineRule="auto"/>
              <w:ind w:firstLine="0" w:firstLineChars="0"/>
              <w:jc w:val="center"/>
              <w:rPr>
                <w:rFonts w:ascii="宋体" w:hAnsi="宋体" w:cs="宋体"/>
                <w:color w:val="auto"/>
                <w:highlight w:val="none"/>
              </w:rPr>
            </w:pPr>
          </w:p>
        </w:tc>
        <w:tc>
          <w:tcPr>
            <w:tcW w:w="803" w:type="dxa"/>
            <w:vAlign w:val="center"/>
          </w:tcPr>
          <w:p w14:paraId="73A21683">
            <w:pPr>
              <w:pStyle w:val="58"/>
              <w:shd w:val="clear" w:fill="FFFFFF" w:themeFill="background1"/>
              <w:spacing w:line="360" w:lineRule="auto"/>
              <w:ind w:firstLine="0" w:firstLineChars="0"/>
              <w:jc w:val="center"/>
              <w:rPr>
                <w:rFonts w:ascii="宋体" w:hAnsi="宋体" w:cs="宋体"/>
                <w:color w:val="auto"/>
                <w:highlight w:val="none"/>
              </w:rPr>
            </w:pPr>
          </w:p>
        </w:tc>
        <w:tc>
          <w:tcPr>
            <w:tcW w:w="1193" w:type="dxa"/>
            <w:vAlign w:val="center"/>
          </w:tcPr>
          <w:p w14:paraId="0DAFDF55">
            <w:pPr>
              <w:pStyle w:val="58"/>
              <w:shd w:val="clear" w:fill="FFFFFF" w:themeFill="background1"/>
              <w:spacing w:line="360" w:lineRule="auto"/>
              <w:ind w:firstLine="0" w:firstLineChars="0"/>
              <w:jc w:val="center"/>
              <w:rPr>
                <w:rFonts w:ascii="宋体" w:hAnsi="宋体" w:cs="宋体"/>
                <w:color w:val="auto"/>
                <w:highlight w:val="none"/>
              </w:rPr>
            </w:pPr>
          </w:p>
        </w:tc>
      </w:tr>
      <w:tr w14:paraId="0DA9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90" w:type="dxa"/>
            <w:vAlign w:val="center"/>
          </w:tcPr>
          <w:p w14:paraId="4BF010F3">
            <w:pPr>
              <w:pStyle w:val="58"/>
              <w:shd w:val="clear" w:fill="FFFFFF" w:themeFill="background1"/>
              <w:spacing w:line="360" w:lineRule="auto"/>
              <w:ind w:firstLine="0" w:firstLineChars="0"/>
              <w:jc w:val="center"/>
              <w:rPr>
                <w:rFonts w:ascii="宋体" w:hAnsi="宋体" w:cs="宋体"/>
                <w:color w:val="auto"/>
                <w:highlight w:val="none"/>
              </w:rPr>
            </w:pPr>
          </w:p>
        </w:tc>
        <w:tc>
          <w:tcPr>
            <w:tcW w:w="1422" w:type="dxa"/>
            <w:vAlign w:val="center"/>
          </w:tcPr>
          <w:p w14:paraId="03FA7771">
            <w:pPr>
              <w:pStyle w:val="58"/>
              <w:shd w:val="clear" w:fill="FFFFFF" w:themeFill="background1"/>
              <w:spacing w:line="360" w:lineRule="auto"/>
              <w:ind w:firstLine="0" w:firstLineChars="0"/>
              <w:jc w:val="center"/>
              <w:rPr>
                <w:rFonts w:ascii="宋体" w:hAnsi="宋体" w:cs="宋体"/>
                <w:color w:val="auto"/>
                <w:highlight w:val="none"/>
              </w:rPr>
            </w:pPr>
          </w:p>
        </w:tc>
        <w:tc>
          <w:tcPr>
            <w:tcW w:w="1800" w:type="dxa"/>
            <w:vAlign w:val="center"/>
          </w:tcPr>
          <w:p w14:paraId="401AF5A5">
            <w:pPr>
              <w:pStyle w:val="58"/>
              <w:shd w:val="clear" w:fill="FFFFFF" w:themeFill="background1"/>
              <w:spacing w:line="360" w:lineRule="auto"/>
              <w:ind w:firstLine="0" w:firstLineChars="0"/>
              <w:jc w:val="center"/>
              <w:rPr>
                <w:rFonts w:ascii="宋体" w:hAnsi="宋体" w:cs="宋体"/>
                <w:color w:val="auto"/>
                <w:highlight w:val="none"/>
              </w:rPr>
            </w:pPr>
          </w:p>
        </w:tc>
        <w:tc>
          <w:tcPr>
            <w:tcW w:w="2155" w:type="dxa"/>
            <w:vAlign w:val="center"/>
          </w:tcPr>
          <w:p w14:paraId="110AE9B8">
            <w:pPr>
              <w:pStyle w:val="58"/>
              <w:shd w:val="clear" w:fill="FFFFFF" w:themeFill="background1"/>
              <w:spacing w:line="360" w:lineRule="auto"/>
              <w:ind w:firstLine="0" w:firstLineChars="0"/>
              <w:jc w:val="center"/>
              <w:rPr>
                <w:rFonts w:ascii="宋体" w:hAnsi="宋体" w:cs="宋体"/>
                <w:color w:val="auto"/>
                <w:highlight w:val="none"/>
              </w:rPr>
            </w:pPr>
          </w:p>
        </w:tc>
        <w:tc>
          <w:tcPr>
            <w:tcW w:w="1796" w:type="dxa"/>
            <w:vAlign w:val="center"/>
          </w:tcPr>
          <w:p w14:paraId="353A6EAA">
            <w:pPr>
              <w:pStyle w:val="58"/>
              <w:shd w:val="clear" w:fill="FFFFFF" w:themeFill="background1"/>
              <w:spacing w:line="360" w:lineRule="auto"/>
              <w:ind w:firstLine="0" w:firstLineChars="0"/>
              <w:jc w:val="center"/>
              <w:rPr>
                <w:rFonts w:ascii="宋体" w:hAnsi="宋体" w:cs="宋体"/>
                <w:color w:val="auto"/>
                <w:highlight w:val="none"/>
              </w:rPr>
            </w:pPr>
          </w:p>
        </w:tc>
        <w:tc>
          <w:tcPr>
            <w:tcW w:w="803" w:type="dxa"/>
            <w:vAlign w:val="center"/>
          </w:tcPr>
          <w:p w14:paraId="1AE8AD80">
            <w:pPr>
              <w:pStyle w:val="58"/>
              <w:shd w:val="clear" w:fill="FFFFFF" w:themeFill="background1"/>
              <w:spacing w:line="360" w:lineRule="auto"/>
              <w:ind w:firstLine="0" w:firstLineChars="0"/>
              <w:jc w:val="center"/>
              <w:rPr>
                <w:rFonts w:ascii="宋体" w:hAnsi="宋体" w:cs="宋体"/>
                <w:color w:val="auto"/>
                <w:highlight w:val="none"/>
              </w:rPr>
            </w:pPr>
          </w:p>
        </w:tc>
        <w:tc>
          <w:tcPr>
            <w:tcW w:w="1193" w:type="dxa"/>
            <w:vAlign w:val="center"/>
          </w:tcPr>
          <w:p w14:paraId="23F02D90">
            <w:pPr>
              <w:pStyle w:val="58"/>
              <w:shd w:val="clear" w:fill="FFFFFF" w:themeFill="background1"/>
              <w:spacing w:line="360" w:lineRule="auto"/>
              <w:ind w:firstLine="0" w:firstLineChars="0"/>
              <w:jc w:val="center"/>
              <w:rPr>
                <w:rFonts w:ascii="宋体" w:hAnsi="宋体" w:cs="宋体"/>
                <w:color w:val="auto"/>
                <w:highlight w:val="none"/>
              </w:rPr>
            </w:pPr>
          </w:p>
        </w:tc>
      </w:tr>
      <w:tr w14:paraId="54A8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912" w:type="dxa"/>
            <w:gridSpan w:val="3"/>
            <w:vAlign w:val="center"/>
          </w:tcPr>
          <w:p w14:paraId="34F4B77F">
            <w:pPr>
              <w:pStyle w:val="58"/>
              <w:shd w:val="clear" w:fill="FFFFFF" w:themeFill="background1"/>
              <w:spacing w:line="360" w:lineRule="auto"/>
              <w:ind w:firstLine="0" w:firstLineChars="0"/>
              <w:rPr>
                <w:rFonts w:ascii="宋体" w:hAnsi="宋体" w:cs="宋体"/>
                <w:color w:val="auto"/>
                <w:highlight w:val="none"/>
              </w:rPr>
            </w:pPr>
            <w:r>
              <w:rPr>
                <w:rFonts w:hint="eastAsia" w:ascii="宋体" w:hAnsi="宋体" w:cs="宋体"/>
                <w:color w:val="auto"/>
                <w:highlight w:val="none"/>
              </w:rPr>
              <w:t>招标人编制的最高投标限价（如有）</w:t>
            </w:r>
          </w:p>
        </w:tc>
        <w:tc>
          <w:tcPr>
            <w:tcW w:w="5947" w:type="dxa"/>
            <w:gridSpan w:val="4"/>
            <w:vAlign w:val="center"/>
          </w:tcPr>
          <w:p w14:paraId="11EE9FDD">
            <w:pPr>
              <w:pStyle w:val="58"/>
              <w:shd w:val="clear" w:fill="FFFFFF" w:themeFill="background1"/>
              <w:spacing w:line="360" w:lineRule="auto"/>
              <w:ind w:firstLine="0" w:firstLineChars="0"/>
              <w:rPr>
                <w:rFonts w:ascii="宋体" w:hAnsi="宋体" w:cs="宋体"/>
                <w:color w:val="auto"/>
                <w:highlight w:val="none"/>
              </w:rPr>
            </w:pPr>
          </w:p>
        </w:tc>
      </w:tr>
    </w:tbl>
    <w:p w14:paraId="285C96AD">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 xml:space="preserve">招标人代表：                      记录人：             </w:t>
      </w:r>
    </w:p>
    <w:p w14:paraId="4860071F">
      <w:pPr>
        <w:pStyle w:val="58"/>
        <w:shd w:val="clear" w:fill="FFFFFF" w:themeFill="background1"/>
        <w:spacing w:line="360" w:lineRule="auto"/>
        <w:ind w:firstLine="7920" w:firstLineChars="3300"/>
        <w:rPr>
          <w:rFonts w:ascii="宋体" w:hAnsi="宋体" w:cs="宋体"/>
          <w:color w:val="auto"/>
          <w:highlight w:val="none"/>
        </w:rPr>
      </w:pPr>
      <w:r>
        <w:rPr>
          <w:rFonts w:hint="eastAsia" w:ascii="宋体" w:hAnsi="宋体" w:cs="宋体"/>
          <w:color w:val="auto"/>
          <w:highlight w:val="none"/>
        </w:rPr>
        <w:t>年   月  日</w:t>
      </w:r>
    </w:p>
    <w:p w14:paraId="02A1F0BD">
      <w:pPr>
        <w:pStyle w:val="69"/>
        <w:numPr>
          <w:ilvl w:val="1"/>
          <w:numId w:val="0"/>
        </w:numPr>
        <w:shd w:val="clear" w:fill="FFFFFF" w:themeFill="background1"/>
        <w:spacing w:before="156" w:line="360" w:lineRule="auto"/>
        <w:outlineLvl w:val="2"/>
        <w:rPr>
          <w:rFonts w:ascii="宋体" w:hAnsi="宋体" w:cs="宋体"/>
          <w:color w:val="auto"/>
          <w:highlight w:val="none"/>
        </w:rPr>
      </w:pPr>
      <w:bookmarkStart w:id="229" w:name="_Toc19245"/>
      <w:bookmarkEnd w:id="229"/>
      <w:bookmarkStart w:id="230" w:name="_Toc1011"/>
      <w:bookmarkEnd w:id="230"/>
      <w:bookmarkStart w:id="231" w:name="_Toc43475727"/>
      <w:bookmarkEnd w:id="231"/>
      <w:r>
        <w:rPr>
          <w:rFonts w:hint="eastAsia" w:ascii="宋体" w:hAnsi="宋体" w:cs="宋体"/>
          <w:color w:val="auto"/>
          <w:highlight w:val="none"/>
        </w:rPr>
        <w:t>附件二：问题澄清通知</w:t>
      </w:r>
    </w:p>
    <w:p w14:paraId="7BC4D6D5">
      <w:pPr>
        <w:pStyle w:val="58"/>
        <w:shd w:val="clear" w:fill="FFFFFF" w:themeFill="background1"/>
        <w:spacing w:line="360" w:lineRule="auto"/>
        <w:ind w:firstLine="600"/>
        <w:jc w:val="center"/>
        <w:rPr>
          <w:rFonts w:ascii="宋体" w:hAnsi="宋体" w:cs="宋体"/>
          <w:color w:val="auto"/>
          <w:sz w:val="30"/>
          <w:szCs w:val="30"/>
          <w:highlight w:val="none"/>
        </w:rPr>
      </w:pPr>
      <w:r>
        <w:rPr>
          <w:rFonts w:hint="eastAsia" w:ascii="宋体" w:hAnsi="宋体" w:cs="宋体"/>
          <w:color w:val="auto"/>
          <w:sz w:val="30"/>
          <w:szCs w:val="30"/>
          <w:highlight w:val="none"/>
        </w:rPr>
        <w:t>问题澄清通知</w:t>
      </w:r>
    </w:p>
    <w:p w14:paraId="6A495DC6">
      <w:pPr>
        <w:pStyle w:val="58"/>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（编号：）</w:t>
      </w:r>
    </w:p>
    <w:p w14:paraId="40309AA1">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（投标人名称）：</w:t>
      </w:r>
    </w:p>
    <w:p w14:paraId="5127189F">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u w:val="single"/>
        </w:rPr>
        <w:t xml:space="preserve">（项目名称） </w:t>
      </w:r>
      <w:r>
        <w:rPr>
          <w:rFonts w:hint="eastAsia" w:ascii="宋体" w:hAnsi="宋体" w:cs="宋体"/>
          <w:color w:val="auto"/>
          <w:highlight w:val="none"/>
        </w:rPr>
        <w:t>招标的评标委员会，对你方的投标文件进行了仔细的审查，现需你方对下列问题以书面形式予以澄清</w:t>
      </w:r>
      <w:r>
        <w:rPr>
          <w:color w:val="auto"/>
          <w:highlight w:val="none"/>
        </w:rPr>
        <w:t>或说明</w:t>
      </w:r>
      <w:r>
        <w:rPr>
          <w:rFonts w:hint="eastAsia" w:ascii="宋体" w:hAnsi="宋体" w:cs="宋体"/>
          <w:color w:val="auto"/>
          <w:highlight w:val="none"/>
        </w:rPr>
        <w:t>：</w:t>
      </w:r>
    </w:p>
    <w:p w14:paraId="51422EEC">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1.</w:t>
      </w:r>
    </w:p>
    <w:p w14:paraId="02B25955">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2.</w:t>
      </w:r>
    </w:p>
    <w:p w14:paraId="6D6B893A">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w:t>
      </w:r>
    </w:p>
    <w:p w14:paraId="30B6F086">
      <w:pPr>
        <w:pStyle w:val="58"/>
        <w:shd w:val="clear" w:fill="FFFFFF" w:themeFill="background1"/>
        <w:spacing w:line="360" w:lineRule="auto"/>
        <w:rPr>
          <w:rFonts w:ascii="宋体" w:hAnsi="宋体" w:cs="宋体"/>
          <w:color w:val="auto"/>
          <w:highlight w:val="none"/>
          <w:u w:val="single"/>
        </w:rPr>
      </w:pPr>
      <w:r>
        <w:rPr>
          <w:rFonts w:hint="eastAsia" w:ascii="宋体" w:hAnsi="宋体" w:cs="宋体"/>
          <w:color w:val="auto"/>
          <w:highlight w:val="none"/>
        </w:rPr>
        <w:t>请将上述问题的澄清</w:t>
      </w:r>
      <w:r>
        <w:rPr>
          <w:color w:val="auto"/>
          <w:highlight w:val="none"/>
        </w:rPr>
        <w:t>或说明</w:t>
      </w:r>
      <w:r>
        <w:rPr>
          <w:rFonts w:hint="eastAsia" w:ascii="宋体" w:hAnsi="宋体" w:cs="宋体"/>
          <w:color w:val="auto"/>
          <w:highlight w:val="none"/>
        </w:rPr>
        <w:t>于年   月   日时前递交至（详细地址）或传真至（传真号码）</w:t>
      </w:r>
      <w:r>
        <w:rPr>
          <w:color w:val="auto"/>
          <w:highlight w:val="none"/>
        </w:rPr>
        <w:t>或通过下载招标文件的电子招标交易平台上传</w:t>
      </w:r>
      <w:r>
        <w:rPr>
          <w:rFonts w:hint="eastAsia"/>
          <w:color w:val="auto"/>
          <w:spacing w:val="-108"/>
          <w:highlight w:val="none"/>
        </w:rPr>
        <w:t>。</w:t>
      </w:r>
      <w:r>
        <w:rPr>
          <w:rFonts w:hint="eastAsia" w:ascii="宋体" w:hAnsi="宋体" w:cs="宋体"/>
          <w:color w:val="auto"/>
          <w:highlight w:val="none"/>
        </w:rPr>
        <w:t>采用传真方式的，应在年   月   日时分前将原件递交至</w:t>
      </w:r>
      <w:r>
        <w:rPr>
          <w:rFonts w:hint="eastAsia" w:ascii="宋体" w:hAnsi="宋体" w:cs="宋体"/>
          <w:color w:val="auto"/>
          <w:highlight w:val="none"/>
          <w:u w:val="single"/>
        </w:rPr>
        <w:t xml:space="preserve"> （详细地址）。</w:t>
      </w:r>
    </w:p>
    <w:p w14:paraId="6F0555EB">
      <w:pPr>
        <w:pStyle w:val="58"/>
        <w:shd w:val="clear" w:fill="FFFFFF" w:themeFill="background1"/>
        <w:spacing w:line="360" w:lineRule="auto"/>
        <w:rPr>
          <w:rFonts w:ascii="宋体" w:hAnsi="宋体" w:cs="宋体"/>
          <w:color w:val="auto"/>
          <w:highlight w:val="none"/>
        </w:rPr>
      </w:pPr>
    </w:p>
    <w:p w14:paraId="530531D2">
      <w:pPr>
        <w:pStyle w:val="59"/>
        <w:shd w:val="clear" w:fill="FFFFFF" w:themeFill="background1"/>
        <w:spacing w:line="360" w:lineRule="auto"/>
        <w:jc w:val="right"/>
        <w:rPr>
          <w:rFonts w:ascii="宋体" w:hAnsi="宋体" w:cs="宋体"/>
          <w:color w:val="auto"/>
          <w:highlight w:val="none"/>
        </w:rPr>
      </w:pPr>
      <w:r>
        <w:rPr>
          <w:rFonts w:hint="eastAsia" w:ascii="宋体" w:hAnsi="宋体" w:cs="宋体"/>
          <w:color w:val="auto"/>
          <w:highlight w:val="none"/>
        </w:rPr>
        <w:t xml:space="preserve">评标委员会授权的招标人或招标代理机构： </w:t>
      </w:r>
      <w:r>
        <w:rPr>
          <w:rFonts w:hint="eastAsia" w:ascii="宋体" w:hAnsi="宋体" w:cs="宋体"/>
          <w:color w:val="auto"/>
          <w:highlight w:val="none"/>
        </w:rPr>
        <w:tab/>
      </w:r>
      <w:r>
        <w:rPr>
          <w:rFonts w:hint="eastAsia" w:ascii="宋体" w:hAnsi="宋体" w:cs="宋体"/>
          <w:color w:val="auto"/>
          <w:highlight w:val="none"/>
        </w:rPr>
        <w:t>（签字或盖单位章）</w:t>
      </w:r>
    </w:p>
    <w:p w14:paraId="5CBBB31B">
      <w:pPr>
        <w:pStyle w:val="59"/>
        <w:shd w:val="clear" w:fill="FFFFFF" w:themeFill="background1"/>
        <w:spacing w:line="360" w:lineRule="auto"/>
        <w:ind w:left="4536" w:leftChars="2160" w:firstLine="1200" w:firstLineChars="500"/>
        <w:rPr>
          <w:rFonts w:ascii="宋体" w:hAnsi="宋体" w:cs="宋体"/>
          <w:color w:val="auto"/>
          <w:highlight w:val="none"/>
        </w:rPr>
      </w:pPr>
      <w:r>
        <w:rPr>
          <w:rFonts w:hint="eastAsia" w:ascii="宋体" w:hAnsi="宋体" w:cs="宋体"/>
          <w:color w:val="auto"/>
          <w:highlight w:val="none"/>
        </w:rPr>
        <w:t>年   月  日</w:t>
      </w:r>
    </w:p>
    <w:p w14:paraId="2359C16A">
      <w:pPr>
        <w:pStyle w:val="59"/>
        <w:shd w:val="clear" w:fill="FFFFFF" w:themeFill="background1"/>
        <w:ind w:left="4536" w:leftChars="2160" w:firstLine="1200" w:firstLineChars="500"/>
        <w:rPr>
          <w:rFonts w:ascii="宋体" w:hAnsi="宋体" w:cs="宋体"/>
          <w:color w:val="auto"/>
          <w:highlight w:val="none"/>
        </w:rPr>
      </w:pPr>
    </w:p>
    <w:p w14:paraId="69CAD7F7">
      <w:pPr>
        <w:pStyle w:val="69"/>
        <w:numPr>
          <w:ilvl w:val="1"/>
          <w:numId w:val="0"/>
        </w:numPr>
        <w:shd w:val="clear" w:fill="FFFFFF" w:themeFill="background1"/>
        <w:spacing w:before="156" w:line="360" w:lineRule="auto"/>
        <w:outlineLvl w:val="2"/>
        <w:rPr>
          <w:rFonts w:ascii="宋体" w:hAnsi="宋体" w:cs="宋体"/>
          <w:color w:val="auto"/>
          <w:highlight w:val="none"/>
        </w:rPr>
      </w:pPr>
      <w:bookmarkStart w:id="232" w:name="_Toc43475728"/>
      <w:bookmarkEnd w:id="232"/>
      <w:bookmarkStart w:id="233" w:name="_Toc20337"/>
      <w:bookmarkEnd w:id="233"/>
      <w:bookmarkStart w:id="234" w:name="_Toc11846"/>
      <w:bookmarkEnd w:id="234"/>
      <w:r>
        <w:rPr>
          <w:rFonts w:hint="eastAsia" w:ascii="宋体" w:hAnsi="宋体" w:cs="宋体"/>
          <w:color w:val="auto"/>
          <w:highlight w:val="none"/>
        </w:rPr>
        <w:t>附件三：问题的澄清</w:t>
      </w:r>
    </w:p>
    <w:p w14:paraId="0C78B62A">
      <w:pPr>
        <w:pStyle w:val="58"/>
        <w:shd w:val="clear" w:fill="FFFFFF" w:themeFill="background1"/>
        <w:spacing w:line="360" w:lineRule="auto"/>
        <w:ind w:firstLine="600"/>
        <w:jc w:val="center"/>
        <w:rPr>
          <w:rFonts w:ascii="宋体" w:hAnsi="宋体" w:cs="宋体"/>
          <w:color w:val="auto"/>
          <w:sz w:val="30"/>
          <w:szCs w:val="30"/>
          <w:highlight w:val="none"/>
        </w:rPr>
      </w:pPr>
      <w:r>
        <w:rPr>
          <w:rFonts w:hint="eastAsia" w:ascii="宋体" w:hAnsi="宋体" w:cs="宋体"/>
          <w:color w:val="auto"/>
          <w:sz w:val="30"/>
          <w:szCs w:val="30"/>
          <w:highlight w:val="none"/>
        </w:rPr>
        <w:t>问题的澄清</w:t>
      </w:r>
    </w:p>
    <w:p w14:paraId="444D7E1B">
      <w:pPr>
        <w:pStyle w:val="58"/>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（编号：）</w:t>
      </w:r>
    </w:p>
    <w:p w14:paraId="644B8EA2">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（项目名称） 招标评标委员会：</w:t>
      </w:r>
    </w:p>
    <w:p w14:paraId="79FEA41A">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问题澄清通知（编号：）已收悉，现澄清、说明如下：</w:t>
      </w:r>
    </w:p>
    <w:p w14:paraId="77976BFE">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1.</w:t>
      </w:r>
    </w:p>
    <w:p w14:paraId="032FC536">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2.</w:t>
      </w:r>
    </w:p>
    <w:p w14:paraId="7266BC33">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w:t>
      </w:r>
    </w:p>
    <w:p w14:paraId="0706414B">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上述问题澄清或说明，不改变我方投标文件的实质性内容，构成我方投标文件的组成部分。</w:t>
      </w:r>
    </w:p>
    <w:p w14:paraId="2821C841">
      <w:pPr>
        <w:pStyle w:val="58"/>
        <w:shd w:val="clear" w:fill="FFFFFF" w:themeFill="background1"/>
        <w:spacing w:line="360" w:lineRule="auto"/>
        <w:ind w:left="4536" w:leftChars="2160" w:firstLine="0" w:firstLineChars="0"/>
        <w:rPr>
          <w:rFonts w:ascii="宋体" w:hAnsi="宋体" w:cs="宋体"/>
          <w:color w:val="auto"/>
          <w:highlight w:val="none"/>
        </w:rPr>
      </w:pPr>
      <w:r>
        <w:rPr>
          <w:rFonts w:hint="eastAsia" w:ascii="宋体" w:hAnsi="宋体" w:cs="宋体"/>
          <w:color w:val="auto"/>
          <w:highlight w:val="none"/>
        </w:rPr>
        <w:t>投标人：（盖单位章）</w:t>
      </w:r>
    </w:p>
    <w:p w14:paraId="45CA0E1D">
      <w:pPr>
        <w:pStyle w:val="58"/>
        <w:shd w:val="clear" w:fill="FFFFFF" w:themeFill="background1"/>
        <w:spacing w:line="360" w:lineRule="auto"/>
        <w:ind w:left="4536" w:leftChars="2160" w:firstLine="0" w:firstLineChars="0"/>
        <w:rPr>
          <w:rFonts w:ascii="宋体" w:hAnsi="宋体" w:cs="宋体"/>
          <w:color w:val="auto"/>
          <w:highlight w:val="none"/>
        </w:rPr>
      </w:pPr>
      <w:r>
        <w:rPr>
          <w:rFonts w:hint="eastAsia" w:ascii="宋体" w:hAnsi="宋体" w:cs="宋体"/>
          <w:color w:val="auto"/>
          <w:highlight w:val="none"/>
        </w:rPr>
        <w:t>法定代表人或其委托代理人：（签字）</w:t>
      </w:r>
    </w:p>
    <w:p w14:paraId="6D92D2E1">
      <w:pPr>
        <w:pStyle w:val="58"/>
        <w:shd w:val="clear" w:fill="FFFFFF" w:themeFill="background1"/>
        <w:spacing w:line="360" w:lineRule="auto"/>
        <w:ind w:left="4536" w:leftChars="2160" w:firstLine="1440" w:firstLineChars="600"/>
        <w:rPr>
          <w:rFonts w:ascii="宋体" w:hAnsi="宋体" w:cs="宋体"/>
          <w:color w:val="auto"/>
          <w:highlight w:val="none"/>
        </w:rPr>
      </w:pPr>
      <w:r>
        <w:rPr>
          <w:rFonts w:hint="eastAsia" w:ascii="宋体" w:hAnsi="宋体" w:cs="宋体"/>
          <w:color w:val="auto"/>
          <w:highlight w:val="none"/>
        </w:rPr>
        <w:t>年  月  日</w:t>
      </w:r>
    </w:p>
    <w:p w14:paraId="7BD4F191">
      <w:pPr>
        <w:pStyle w:val="69"/>
        <w:numPr>
          <w:ilvl w:val="1"/>
          <w:numId w:val="0"/>
        </w:numPr>
        <w:shd w:val="clear" w:fill="FFFFFF" w:themeFill="background1"/>
        <w:spacing w:before="156" w:line="360" w:lineRule="auto"/>
        <w:outlineLvl w:val="2"/>
        <w:rPr>
          <w:rFonts w:ascii="宋体" w:hAnsi="宋体" w:cs="宋体"/>
          <w:color w:val="auto"/>
          <w:highlight w:val="none"/>
        </w:rPr>
      </w:pPr>
      <w:bookmarkStart w:id="235" w:name="_Toc43475729"/>
      <w:bookmarkEnd w:id="235"/>
      <w:bookmarkStart w:id="236" w:name="_Toc10043"/>
      <w:bookmarkEnd w:id="236"/>
      <w:bookmarkStart w:id="237" w:name="_Toc19958"/>
      <w:bookmarkEnd w:id="237"/>
      <w:r>
        <w:rPr>
          <w:rFonts w:hint="eastAsia" w:ascii="宋体" w:hAnsi="宋体" w:cs="宋体"/>
          <w:color w:val="auto"/>
          <w:highlight w:val="none"/>
        </w:rPr>
        <w:t>附件四：中标通知书</w:t>
      </w:r>
    </w:p>
    <w:p w14:paraId="6252E99C">
      <w:pPr>
        <w:pStyle w:val="58"/>
        <w:shd w:val="clear" w:fill="FFFFFF" w:themeFill="background1"/>
        <w:spacing w:line="360" w:lineRule="auto"/>
        <w:ind w:firstLine="600"/>
        <w:jc w:val="center"/>
        <w:rPr>
          <w:rFonts w:ascii="宋体" w:hAnsi="宋体" w:cs="宋体"/>
          <w:color w:val="auto"/>
          <w:highlight w:val="none"/>
        </w:rPr>
      </w:pPr>
      <w:r>
        <w:rPr>
          <w:rFonts w:hint="eastAsia" w:ascii="宋体" w:hAnsi="宋体" w:cs="宋体"/>
          <w:color w:val="auto"/>
          <w:sz w:val="30"/>
          <w:szCs w:val="30"/>
          <w:highlight w:val="none"/>
        </w:rPr>
        <w:t>中标通知书</w:t>
      </w:r>
    </w:p>
    <w:p w14:paraId="243B55EA">
      <w:pPr>
        <w:pStyle w:val="58"/>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（按</w:t>
      </w:r>
      <w:r>
        <w:rPr>
          <w:rFonts w:hint="eastAsia" w:ascii="宋体" w:hAnsi="宋体" w:cs="宋体"/>
          <w:color w:val="auto"/>
          <w:highlight w:val="none"/>
          <w:u w:val="single"/>
        </w:rPr>
        <w:t xml:space="preserve"> 韶关市公共资源交易中心 </w:t>
      </w:r>
      <w:r>
        <w:rPr>
          <w:rFonts w:hint="eastAsia" w:ascii="宋体" w:hAnsi="宋体" w:cs="宋体"/>
          <w:color w:val="auto"/>
          <w:highlight w:val="none"/>
        </w:rPr>
        <w:t>提供的中标通知书格式）</w:t>
      </w:r>
    </w:p>
    <w:p w14:paraId="69EFF750">
      <w:pPr>
        <w:pStyle w:val="59"/>
        <w:shd w:val="clear" w:fill="FFFFFF" w:themeFill="background1"/>
        <w:spacing w:line="360" w:lineRule="auto"/>
        <w:ind w:left="4536" w:leftChars="2160" w:firstLine="1200" w:firstLineChars="500"/>
        <w:rPr>
          <w:rFonts w:ascii="宋体" w:hAnsi="宋体" w:cs="宋体"/>
          <w:color w:val="auto"/>
          <w:highlight w:val="none"/>
        </w:rPr>
      </w:pPr>
    </w:p>
    <w:p w14:paraId="535623A3">
      <w:pPr>
        <w:pStyle w:val="69"/>
        <w:numPr>
          <w:ilvl w:val="1"/>
          <w:numId w:val="0"/>
        </w:numPr>
        <w:shd w:val="clear" w:fill="FFFFFF" w:themeFill="background1"/>
        <w:spacing w:before="156" w:line="360" w:lineRule="auto"/>
        <w:outlineLvl w:val="2"/>
        <w:rPr>
          <w:rFonts w:ascii="宋体" w:hAnsi="宋体" w:cs="宋体"/>
          <w:color w:val="auto"/>
          <w:highlight w:val="none"/>
        </w:rPr>
      </w:pPr>
      <w:bookmarkStart w:id="238" w:name="_Toc43475730"/>
      <w:bookmarkEnd w:id="238"/>
      <w:bookmarkStart w:id="239" w:name="_Toc23714"/>
      <w:bookmarkEnd w:id="239"/>
      <w:bookmarkStart w:id="240" w:name="_Toc30346"/>
      <w:bookmarkEnd w:id="240"/>
      <w:r>
        <w:rPr>
          <w:rFonts w:hint="eastAsia" w:ascii="宋体" w:hAnsi="宋体" w:cs="宋体"/>
          <w:color w:val="auto"/>
          <w:highlight w:val="none"/>
        </w:rPr>
        <w:t>附件五：中标结果通知书</w:t>
      </w:r>
    </w:p>
    <w:p w14:paraId="2B3CFECA">
      <w:pPr>
        <w:pStyle w:val="58"/>
        <w:shd w:val="clear" w:fill="FFFFFF" w:themeFill="background1"/>
        <w:spacing w:line="360" w:lineRule="auto"/>
        <w:ind w:firstLine="600"/>
        <w:jc w:val="center"/>
        <w:rPr>
          <w:rFonts w:ascii="宋体" w:hAnsi="宋体" w:cs="宋体"/>
          <w:color w:val="auto"/>
          <w:sz w:val="30"/>
          <w:szCs w:val="30"/>
          <w:highlight w:val="none"/>
        </w:rPr>
      </w:pPr>
      <w:r>
        <w:rPr>
          <w:rFonts w:hint="eastAsia" w:ascii="宋体" w:hAnsi="宋体" w:cs="宋体"/>
          <w:color w:val="auto"/>
          <w:sz w:val="30"/>
          <w:szCs w:val="30"/>
          <w:highlight w:val="none"/>
        </w:rPr>
        <w:t>中标结果通知书</w:t>
      </w:r>
    </w:p>
    <w:p w14:paraId="1FC292EE">
      <w:pPr>
        <w:pStyle w:val="58"/>
        <w:shd w:val="clear" w:fill="FFFFFF" w:themeFill="background1"/>
        <w:spacing w:line="360" w:lineRule="auto"/>
        <w:ind w:firstLine="600"/>
        <w:jc w:val="center"/>
        <w:rPr>
          <w:rFonts w:ascii="宋体" w:hAnsi="宋体" w:cs="宋体"/>
          <w:color w:val="auto"/>
          <w:sz w:val="30"/>
          <w:szCs w:val="30"/>
          <w:highlight w:val="none"/>
        </w:rPr>
      </w:pPr>
    </w:p>
    <w:p w14:paraId="16700A72">
      <w:pPr>
        <w:pStyle w:val="58"/>
        <w:shd w:val="clear" w:fill="FFFFFF" w:themeFill="background1"/>
        <w:spacing w:line="360" w:lineRule="auto"/>
        <w:jc w:val="center"/>
        <w:rPr>
          <w:rFonts w:ascii="宋体" w:hAnsi="宋体" w:cs="宋体"/>
          <w:color w:val="auto"/>
          <w:highlight w:val="none"/>
        </w:rPr>
      </w:pPr>
      <w:r>
        <w:rPr>
          <w:rFonts w:hint="eastAsia" w:ascii="宋体" w:hAnsi="宋体" w:cs="宋体"/>
          <w:color w:val="auto"/>
          <w:highlight w:val="none"/>
        </w:rPr>
        <w:t>（按</w:t>
      </w:r>
      <w:r>
        <w:rPr>
          <w:rFonts w:hint="eastAsia" w:ascii="宋体" w:hAnsi="宋体" w:cs="宋体"/>
          <w:color w:val="auto"/>
          <w:highlight w:val="none"/>
          <w:u w:val="single"/>
        </w:rPr>
        <w:t xml:space="preserve"> 韶关市公共资源交易中心 </w:t>
      </w:r>
      <w:r>
        <w:rPr>
          <w:rFonts w:hint="eastAsia" w:ascii="宋体" w:hAnsi="宋体" w:cs="宋体"/>
          <w:color w:val="auto"/>
          <w:highlight w:val="none"/>
        </w:rPr>
        <w:t>提供的中标结果通知书格式）</w:t>
      </w:r>
    </w:p>
    <w:p w14:paraId="0D301910">
      <w:pPr>
        <w:pStyle w:val="58"/>
        <w:shd w:val="clear" w:fill="FFFFFF" w:themeFill="background1"/>
        <w:spacing w:line="360" w:lineRule="auto"/>
        <w:ind w:left="4536" w:leftChars="2160" w:firstLine="960" w:firstLineChars="400"/>
        <w:rPr>
          <w:rFonts w:ascii="宋体" w:hAnsi="宋体" w:cs="宋体"/>
          <w:color w:val="auto"/>
          <w:highlight w:val="none"/>
        </w:rPr>
      </w:pPr>
    </w:p>
    <w:p w14:paraId="2AA301D9">
      <w:pPr>
        <w:pStyle w:val="58"/>
        <w:shd w:val="clear" w:fill="FFFFFF" w:themeFill="background1"/>
        <w:spacing w:line="360" w:lineRule="auto"/>
        <w:ind w:left="4536" w:leftChars="2160" w:firstLine="960" w:firstLineChars="400"/>
        <w:rPr>
          <w:rFonts w:ascii="宋体" w:hAnsi="宋体" w:cs="宋体"/>
          <w:color w:val="auto"/>
          <w:highlight w:val="none"/>
        </w:rPr>
      </w:pPr>
    </w:p>
    <w:p w14:paraId="03AB8FA2">
      <w:pPr>
        <w:pStyle w:val="58"/>
        <w:shd w:val="clear" w:fill="FFFFFF" w:themeFill="background1"/>
        <w:spacing w:line="360" w:lineRule="auto"/>
        <w:ind w:left="4536" w:leftChars="2160" w:firstLine="960" w:firstLineChars="400"/>
        <w:rPr>
          <w:rFonts w:ascii="宋体" w:hAnsi="宋体" w:cs="宋体"/>
          <w:color w:val="auto"/>
          <w:highlight w:val="none"/>
        </w:rPr>
      </w:pPr>
    </w:p>
    <w:p w14:paraId="4138A2A8">
      <w:pPr>
        <w:pStyle w:val="69"/>
        <w:numPr>
          <w:ilvl w:val="1"/>
          <w:numId w:val="0"/>
        </w:numPr>
        <w:shd w:val="clear" w:fill="FFFFFF" w:themeFill="background1"/>
        <w:spacing w:before="156" w:line="360" w:lineRule="auto"/>
        <w:outlineLvl w:val="2"/>
        <w:rPr>
          <w:rFonts w:ascii="宋体" w:hAnsi="宋体" w:cs="宋体"/>
          <w:color w:val="auto"/>
          <w:highlight w:val="none"/>
        </w:rPr>
      </w:pPr>
      <w:bookmarkStart w:id="241" w:name="_Toc43475731"/>
      <w:bookmarkEnd w:id="241"/>
      <w:bookmarkStart w:id="242" w:name="_Toc19033"/>
      <w:bookmarkEnd w:id="242"/>
      <w:bookmarkStart w:id="243" w:name="_Toc14151"/>
      <w:bookmarkEnd w:id="243"/>
      <w:r>
        <w:rPr>
          <w:rFonts w:hint="eastAsia" w:ascii="宋体" w:hAnsi="宋体" w:cs="宋体"/>
          <w:color w:val="auto"/>
          <w:highlight w:val="none"/>
        </w:rPr>
        <w:t>附表六：确认通知</w:t>
      </w:r>
    </w:p>
    <w:p w14:paraId="3992B41B">
      <w:pPr>
        <w:pStyle w:val="58"/>
        <w:shd w:val="clear" w:fill="FFFFFF" w:themeFill="background1"/>
        <w:spacing w:line="360" w:lineRule="auto"/>
        <w:ind w:firstLine="600"/>
        <w:jc w:val="center"/>
        <w:rPr>
          <w:rFonts w:ascii="宋体" w:hAnsi="宋体" w:cs="宋体"/>
          <w:color w:val="auto"/>
          <w:sz w:val="30"/>
          <w:szCs w:val="30"/>
          <w:highlight w:val="none"/>
        </w:rPr>
      </w:pPr>
      <w:r>
        <w:rPr>
          <w:rFonts w:hint="eastAsia" w:ascii="宋体" w:hAnsi="宋体" w:cs="宋体"/>
          <w:color w:val="auto"/>
          <w:sz w:val="30"/>
          <w:szCs w:val="30"/>
          <w:highlight w:val="none"/>
        </w:rPr>
        <w:t>确认通知</w:t>
      </w:r>
    </w:p>
    <w:p w14:paraId="71D4901C">
      <w:pPr>
        <w:pStyle w:val="59"/>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u w:val="single"/>
        </w:rPr>
        <w:t xml:space="preserve">        （招标人名称）</w:t>
      </w:r>
      <w:r>
        <w:rPr>
          <w:rFonts w:hint="eastAsia" w:ascii="宋体" w:hAnsi="宋体" w:cs="宋体"/>
          <w:color w:val="auto"/>
          <w:highlight w:val="none"/>
        </w:rPr>
        <w:t>：</w:t>
      </w:r>
    </w:p>
    <w:p w14:paraId="5D3FA176">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我方与年   月   日发出的</w:t>
      </w:r>
      <w:r>
        <w:rPr>
          <w:rFonts w:hint="eastAsia" w:ascii="宋体" w:hAnsi="宋体" w:cs="宋体"/>
          <w:color w:val="auto"/>
          <w:highlight w:val="none"/>
          <w:u w:val="single"/>
        </w:rPr>
        <w:t xml:space="preserve">    （项目名称）</w:t>
      </w:r>
      <w:r>
        <w:rPr>
          <w:rFonts w:hint="eastAsia" w:ascii="宋体" w:hAnsi="宋体" w:cs="宋体"/>
          <w:color w:val="auto"/>
          <w:highlight w:val="none"/>
        </w:rPr>
        <w:t>招标关于招标文件澄清/修改的通知（第号补遗书，正文共页），我方已于年   月   日收到。</w:t>
      </w:r>
    </w:p>
    <w:p w14:paraId="575DC53A">
      <w:pPr>
        <w:pStyle w:val="58"/>
        <w:shd w:val="clear" w:fill="FFFFFF" w:themeFill="background1"/>
        <w:spacing w:line="360" w:lineRule="auto"/>
        <w:rPr>
          <w:rFonts w:ascii="宋体" w:hAnsi="宋体" w:cs="宋体"/>
          <w:color w:val="auto"/>
          <w:highlight w:val="none"/>
        </w:rPr>
      </w:pPr>
      <w:r>
        <w:rPr>
          <w:rFonts w:hint="eastAsia" w:ascii="宋体" w:hAnsi="宋体" w:cs="宋体"/>
          <w:color w:val="auto"/>
          <w:highlight w:val="none"/>
        </w:rPr>
        <w:t>特此确认。</w:t>
      </w:r>
    </w:p>
    <w:p w14:paraId="530402F1">
      <w:pPr>
        <w:pStyle w:val="58"/>
        <w:shd w:val="clear" w:fill="FFFFFF" w:themeFill="background1"/>
        <w:spacing w:line="360" w:lineRule="auto"/>
        <w:ind w:left="4536" w:leftChars="2160" w:firstLine="0" w:firstLineChars="0"/>
        <w:rPr>
          <w:rFonts w:ascii="宋体" w:hAnsi="宋体" w:cs="宋体"/>
          <w:color w:val="auto"/>
          <w:highlight w:val="none"/>
        </w:rPr>
      </w:pPr>
      <w:r>
        <w:rPr>
          <w:rFonts w:hint="eastAsia" w:ascii="宋体" w:hAnsi="宋体" w:cs="宋体"/>
          <w:color w:val="auto"/>
          <w:highlight w:val="none"/>
        </w:rPr>
        <w:t>投标人：（盖单位章）</w:t>
      </w:r>
    </w:p>
    <w:p w14:paraId="4C36816C">
      <w:pPr>
        <w:pStyle w:val="58"/>
        <w:shd w:val="clear" w:fill="FFFFFF" w:themeFill="background1"/>
        <w:spacing w:line="360" w:lineRule="auto"/>
        <w:ind w:left="4536" w:leftChars="2160" w:firstLine="960" w:firstLineChars="400"/>
        <w:rPr>
          <w:rFonts w:ascii="宋体" w:hAnsi="宋体" w:cs="宋体"/>
          <w:color w:val="auto"/>
          <w:highlight w:val="none"/>
        </w:rPr>
      </w:pPr>
      <w:r>
        <w:rPr>
          <w:rFonts w:hint="eastAsia" w:ascii="宋体" w:hAnsi="宋体" w:cs="宋体"/>
          <w:color w:val="auto"/>
          <w:highlight w:val="none"/>
        </w:rPr>
        <w:t>年  月  日</w:t>
      </w:r>
    </w:p>
    <w:p w14:paraId="41939EB9">
      <w:pPr>
        <w:pStyle w:val="58"/>
        <w:shd w:val="clear" w:fill="FFFFFF" w:themeFill="background1"/>
        <w:spacing w:line="360" w:lineRule="auto"/>
        <w:ind w:firstLine="0" w:firstLineChars="0"/>
        <w:rPr>
          <w:rFonts w:ascii="宋体" w:hAnsi="宋体" w:cs="宋体"/>
          <w:color w:val="auto"/>
          <w:highlight w:val="none"/>
        </w:rPr>
        <w:sectPr>
          <w:pgSz w:w="11906" w:h="16838"/>
          <w:pgMar w:top="1134" w:right="1134" w:bottom="1134" w:left="1134" w:header="851" w:footer="992" w:gutter="0"/>
          <w:cols w:space="720" w:num="1"/>
          <w:docGrid w:type="lines" w:linePitch="312" w:charSpace="0"/>
        </w:sectPr>
      </w:pPr>
    </w:p>
    <w:p w14:paraId="27EEB653">
      <w:pPr>
        <w:shd w:val="clear" w:fill="FFFFFF" w:themeFill="background1"/>
        <w:tabs>
          <w:tab w:val="left" w:pos="5219"/>
        </w:tabs>
        <w:spacing w:before="192"/>
        <w:rPr>
          <w:color w:val="auto"/>
          <w:spacing w:val="-20"/>
          <w:sz w:val="54"/>
          <w:highlight w:val="none"/>
        </w:rPr>
      </w:pPr>
    </w:p>
    <w:p w14:paraId="3567E40F">
      <w:pPr>
        <w:shd w:val="clear" w:fill="FFFFFF" w:themeFill="background1"/>
        <w:tabs>
          <w:tab w:val="left" w:pos="5219"/>
        </w:tabs>
        <w:spacing w:before="192"/>
        <w:rPr>
          <w:color w:val="auto"/>
          <w:spacing w:val="-20"/>
          <w:sz w:val="54"/>
          <w:highlight w:val="none"/>
        </w:rPr>
      </w:pPr>
    </w:p>
    <w:p w14:paraId="7394BC13">
      <w:pPr>
        <w:shd w:val="clear" w:fill="FFFFFF" w:themeFill="background1"/>
        <w:tabs>
          <w:tab w:val="left" w:pos="5219"/>
        </w:tabs>
        <w:spacing w:before="192"/>
        <w:rPr>
          <w:color w:val="auto"/>
          <w:spacing w:val="-20"/>
          <w:sz w:val="54"/>
          <w:highlight w:val="none"/>
        </w:rPr>
      </w:pPr>
    </w:p>
    <w:p w14:paraId="11E6160E">
      <w:pPr>
        <w:shd w:val="clear" w:fill="FFFFFF" w:themeFill="background1"/>
        <w:tabs>
          <w:tab w:val="left" w:pos="5219"/>
        </w:tabs>
        <w:spacing w:before="192"/>
        <w:rPr>
          <w:color w:val="auto"/>
          <w:spacing w:val="-20"/>
          <w:sz w:val="54"/>
          <w:highlight w:val="none"/>
        </w:rPr>
      </w:pPr>
    </w:p>
    <w:p w14:paraId="19EF9381">
      <w:pPr>
        <w:shd w:val="clear" w:fill="FFFFFF" w:themeFill="background1"/>
        <w:tabs>
          <w:tab w:val="left" w:pos="5219"/>
        </w:tabs>
        <w:spacing w:before="192"/>
        <w:rPr>
          <w:color w:val="auto"/>
          <w:spacing w:val="-20"/>
          <w:sz w:val="54"/>
          <w:highlight w:val="none"/>
        </w:rPr>
      </w:pPr>
    </w:p>
    <w:p w14:paraId="5760202F">
      <w:pPr>
        <w:shd w:val="clear" w:fill="FFFFFF" w:themeFill="background1"/>
        <w:jc w:val="center"/>
        <w:rPr>
          <w:color w:val="auto"/>
          <w:sz w:val="54"/>
          <w:highlight w:val="none"/>
        </w:rPr>
      </w:pPr>
      <w:r>
        <w:rPr>
          <w:b/>
          <w:bCs/>
          <w:color w:val="auto"/>
          <w:spacing w:val="-20"/>
          <w:sz w:val="54"/>
          <w:highlight w:val="none"/>
        </w:rPr>
        <w:t>第三</w:t>
      </w:r>
      <w:r>
        <w:rPr>
          <w:b/>
          <w:bCs/>
          <w:color w:val="auto"/>
          <w:sz w:val="54"/>
          <w:highlight w:val="none"/>
        </w:rPr>
        <w:t>章</w:t>
      </w:r>
      <w:r>
        <w:rPr>
          <w:b/>
          <w:bCs/>
          <w:color w:val="auto"/>
          <w:spacing w:val="-20"/>
          <w:sz w:val="54"/>
          <w:highlight w:val="none"/>
        </w:rPr>
        <w:t>评标办法</w:t>
      </w:r>
    </w:p>
    <w:p w14:paraId="36D3A9CC">
      <w:pPr>
        <w:shd w:val="clear" w:fill="FFFFFF" w:themeFill="background1"/>
        <w:jc w:val="left"/>
        <w:rPr>
          <w:color w:val="auto"/>
          <w:sz w:val="54"/>
          <w:highlight w:val="none"/>
        </w:rPr>
        <w:sectPr>
          <w:footerReference r:id="rId8" w:type="default"/>
          <w:pgSz w:w="11910" w:h="16840"/>
          <w:pgMar w:top="940" w:right="720" w:bottom="1180" w:left="980" w:header="707" w:footer="998" w:gutter="0"/>
          <w:cols w:space="720" w:num="1"/>
        </w:sectPr>
      </w:pPr>
    </w:p>
    <w:p w14:paraId="7D65FB9B">
      <w:pPr>
        <w:shd w:val="clear" w:fill="FFFFFF" w:themeFill="background1"/>
        <w:jc w:val="center"/>
        <w:rPr>
          <w:rFonts w:ascii="宋体" w:hAnsi="宋体"/>
          <w:color w:val="auto"/>
          <w:sz w:val="72"/>
          <w:szCs w:val="72"/>
          <w:highlight w:val="none"/>
        </w:rPr>
      </w:pPr>
      <w:bookmarkStart w:id="244" w:name="_Toc43475732"/>
      <w:bookmarkEnd w:id="244"/>
    </w:p>
    <w:p w14:paraId="6343CB94">
      <w:pPr>
        <w:pStyle w:val="4"/>
        <w:shd w:val="clear" w:fill="FFFFFF" w:themeFill="background1"/>
        <w:jc w:val="center"/>
        <w:rPr>
          <w:rFonts w:ascii="黑体" w:eastAsia="黑体"/>
          <w:b w:val="0"/>
          <w:bCs w:val="0"/>
          <w:color w:val="auto"/>
          <w:highlight w:val="none"/>
        </w:rPr>
      </w:pPr>
      <w:bookmarkStart w:id="245" w:name="_Toc26510"/>
      <w:r>
        <w:rPr>
          <w:rFonts w:hint="eastAsia"/>
          <w:color w:val="auto"/>
          <w:highlight w:val="none"/>
        </w:rPr>
        <w:t>第三章评标办法</w:t>
      </w:r>
      <w:r>
        <w:rPr>
          <w:rFonts w:hint="eastAsia"/>
          <w:b w:val="0"/>
          <w:bCs w:val="0"/>
          <w:color w:val="auto"/>
          <w:highlight w:val="none"/>
        </w:rPr>
        <w:t>（</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双</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信</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封</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的</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技</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术</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评</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分</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最</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低</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标</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价</w:t>
      </w:r>
      <w:r>
        <w:rPr>
          <w:rFonts w:ascii="黑体" w:hAnsi="黑体" w:eastAsia="黑体" w:cs="黑体"/>
          <w:b w:val="0"/>
          <w:bCs w:val="0"/>
          <w:color w:val="auto"/>
          <w:spacing w:val="-35"/>
          <w:sz w:val="35"/>
          <w:szCs w:val="35"/>
          <w:highlight w:val="none"/>
        </w:rPr>
        <w:t xml:space="preserve"> </w:t>
      </w:r>
      <w:r>
        <w:rPr>
          <w:rFonts w:ascii="黑体" w:hAnsi="黑体" w:eastAsia="黑体" w:cs="黑体"/>
          <w:b w:val="0"/>
          <w:bCs w:val="0"/>
          <w:color w:val="auto"/>
          <w:spacing w:val="-35"/>
          <w:sz w:val="35"/>
          <w:szCs w:val="35"/>
          <w:highlight w:val="none"/>
          <w14:textOutline w14:w="6540" w14:cap="sq" w14:cmpd="sng" w14:algn="ctr">
            <w14:solidFill>
              <w14:srgbClr w14:val="000000"/>
            </w14:solidFill>
            <w14:prstDash w14:val="solid"/>
            <w14:bevel/>
          </w14:textOutline>
        </w:rPr>
        <w:t>法</w:t>
      </w:r>
      <w:r>
        <w:rPr>
          <w:rFonts w:hint="eastAsia"/>
          <w:b w:val="0"/>
          <w:bCs w:val="0"/>
          <w:color w:val="auto"/>
          <w:highlight w:val="none"/>
        </w:rPr>
        <w:t>）</w:t>
      </w:r>
      <w:bookmarkEnd w:id="245"/>
    </w:p>
    <w:p w14:paraId="65CE0A7B">
      <w:pPr>
        <w:pStyle w:val="5"/>
        <w:shd w:val="clear" w:fill="FFFFFF" w:themeFill="background1"/>
        <w:rPr>
          <w:color w:val="auto"/>
          <w:highlight w:val="none"/>
        </w:rPr>
      </w:pPr>
      <w:bookmarkStart w:id="246" w:name="_Toc13608"/>
      <w:r>
        <w:rPr>
          <w:color w:val="auto"/>
          <w:highlight w:val="none"/>
        </w:rPr>
        <w:t>评标办法前附表</w:t>
      </w:r>
      <w:bookmarkEnd w:id="246"/>
    </w:p>
    <w:tbl>
      <w:tblPr>
        <w:tblStyle w:val="45"/>
        <w:tblW w:w="10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
        <w:gridCol w:w="1043"/>
        <w:gridCol w:w="174"/>
        <w:gridCol w:w="875"/>
        <w:gridCol w:w="189"/>
        <w:gridCol w:w="25"/>
        <w:gridCol w:w="800"/>
        <w:gridCol w:w="1175"/>
        <w:gridCol w:w="837"/>
        <w:gridCol w:w="4994"/>
        <w:gridCol w:w="22"/>
      </w:tblGrid>
      <w:tr w14:paraId="2E6A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472" w:hRule="atLeast"/>
          <w:jc w:val="center"/>
        </w:trPr>
        <w:tc>
          <w:tcPr>
            <w:tcW w:w="2281" w:type="dxa"/>
            <w:gridSpan w:val="4"/>
            <w:vAlign w:val="center"/>
          </w:tcPr>
          <w:p w14:paraId="79F0C64F">
            <w:pPr>
              <w:shd w:val="clear" w:fill="FFFFFF" w:themeFill="background1"/>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7853" w:type="dxa"/>
            <w:gridSpan w:val="6"/>
            <w:vAlign w:val="center"/>
          </w:tcPr>
          <w:p w14:paraId="72B893C9">
            <w:pPr>
              <w:shd w:val="clear" w:fill="FFFFFF" w:themeFill="background1"/>
              <w:jc w:val="center"/>
              <w:rPr>
                <w:rFonts w:ascii="宋体" w:hAnsi="宋体" w:cs="宋体"/>
                <w:b/>
                <w:color w:val="auto"/>
                <w:sz w:val="24"/>
                <w:highlight w:val="none"/>
              </w:rPr>
            </w:pPr>
            <w:r>
              <w:rPr>
                <w:rFonts w:hint="eastAsia" w:ascii="宋体" w:hAnsi="宋体" w:cs="宋体"/>
                <w:b/>
                <w:color w:val="auto"/>
                <w:sz w:val="24"/>
                <w:highlight w:val="none"/>
              </w:rPr>
              <w:t>评审因素与评审标准</w:t>
            </w:r>
          </w:p>
        </w:tc>
      </w:tr>
      <w:tr w14:paraId="1F28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2668" w:hRule="atLeast"/>
          <w:jc w:val="center"/>
        </w:trPr>
        <w:tc>
          <w:tcPr>
            <w:tcW w:w="1043" w:type="dxa"/>
            <w:vAlign w:val="center"/>
          </w:tcPr>
          <w:p w14:paraId="27BC6D9E">
            <w:pPr>
              <w:pStyle w:val="80"/>
              <w:shd w:val="clear" w:fill="FFFFFF" w:themeFill="background1"/>
              <w:tabs>
                <w:tab w:val="left" w:pos="804"/>
              </w:tabs>
              <w:kinsoku w:val="0"/>
              <w:overflowPunct w:val="0"/>
              <w:jc w:val="center"/>
              <w:rPr>
                <w:rFonts w:ascii="宋体" w:hAnsi="宋体" w:cs="宋体"/>
                <w:color w:val="auto"/>
                <w:spacing w:val="-1"/>
                <w:sz w:val="24"/>
                <w:highlight w:val="none"/>
              </w:rPr>
            </w:pPr>
            <w:r>
              <w:rPr>
                <w:rFonts w:hint="eastAsia" w:ascii="宋体" w:hAnsi="宋体" w:cs="宋体"/>
                <w:color w:val="auto"/>
                <w:spacing w:val="-1"/>
                <w:sz w:val="24"/>
                <w:highlight w:val="none"/>
              </w:rPr>
              <w:t>1</w:t>
            </w:r>
          </w:p>
        </w:tc>
        <w:tc>
          <w:tcPr>
            <w:tcW w:w="1238" w:type="dxa"/>
            <w:gridSpan w:val="3"/>
            <w:vAlign w:val="center"/>
          </w:tcPr>
          <w:p w14:paraId="5160B778">
            <w:pPr>
              <w:pStyle w:val="80"/>
              <w:shd w:val="clear" w:fill="FFFFFF" w:themeFill="background1"/>
              <w:tabs>
                <w:tab w:val="left" w:pos="804"/>
              </w:tabs>
              <w:kinsoku w:val="0"/>
              <w:overflowPunct w:val="0"/>
              <w:jc w:val="center"/>
              <w:rPr>
                <w:rFonts w:ascii="宋体" w:hAnsi="宋体" w:cs="宋体"/>
                <w:color w:val="auto"/>
                <w:spacing w:val="-1"/>
                <w:sz w:val="24"/>
                <w:highlight w:val="none"/>
              </w:rPr>
            </w:pPr>
            <w:r>
              <w:rPr>
                <w:rFonts w:hint="eastAsia" w:ascii="宋体" w:hAnsi="宋体" w:cs="宋体"/>
                <w:color w:val="auto"/>
                <w:spacing w:val="-1"/>
                <w:sz w:val="24"/>
                <w:highlight w:val="none"/>
              </w:rPr>
              <w:t>评标方法</w:t>
            </w:r>
          </w:p>
        </w:tc>
        <w:tc>
          <w:tcPr>
            <w:tcW w:w="7853" w:type="dxa"/>
            <w:gridSpan w:val="6"/>
          </w:tcPr>
          <w:p w14:paraId="110661A6">
            <w:pPr>
              <w:pStyle w:val="80"/>
              <w:shd w:val="clear" w:fill="FFFFFF" w:themeFill="background1"/>
              <w:tabs>
                <w:tab w:val="left" w:pos="804"/>
              </w:tabs>
              <w:overflowPunct w:val="0"/>
              <w:ind w:firstLine="476" w:firstLineChars="200"/>
              <w:rPr>
                <w:rFonts w:ascii="宋体" w:hAnsi="宋体" w:cs="宋体"/>
                <w:color w:val="auto"/>
                <w:spacing w:val="-1"/>
                <w:sz w:val="24"/>
                <w:highlight w:val="none"/>
              </w:rPr>
            </w:pPr>
            <w:r>
              <w:rPr>
                <w:rFonts w:hint="eastAsia" w:ascii="宋体" w:hAnsi="宋体" w:cs="宋体"/>
                <w:color w:val="auto"/>
                <w:spacing w:val="-1"/>
                <w:sz w:val="24"/>
                <w:highlight w:val="none"/>
              </w:rPr>
              <w:t>评标价相等时，评标委员会依次按照以下优先顺序推荐中标候选人或确定中标人：</w:t>
            </w:r>
          </w:p>
          <w:p w14:paraId="2423B022">
            <w:pPr>
              <w:pStyle w:val="80"/>
              <w:shd w:val="clear" w:fill="FFFFFF" w:themeFill="background1"/>
              <w:tabs>
                <w:tab w:val="left" w:pos="804"/>
              </w:tabs>
              <w:overflowPunct w:val="0"/>
              <w:ind w:firstLine="476" w:firstLineChars="200"/>
              <w:rPr>
                <w:rFonts w:ascii="宋体" w:hAnsi="宋体" w:cs="宋体"/>
                <w:color w:val="auto"/>
                <w:spacing w:val="-1"/>
                <w:sz w:val="24"/>
                <w:highlight w:val="none"/>
              </w:rPr>
            </w:pPr>
            <w:r>
              <w:rPr>
                <w:rFonts w:hint="eastAsia" w:ascii="宋体" w:hAnsi="宋体" w:cs="宋体"/>
                <w:color w:val="auto"/>
                <w:spacing w:val="-1"/>
                <w:sz w:val="24"/>
                <w:highlight w:val="none"/>
              </w:rPr>
              <w:t>（1）按招标文件规定被认定为最新年度广东省公路工程从业单位信用评价等级较高的投标人优先；</w:t>
            </w:r>
          </w:p>
          <w:p w14:paraId="10F3D40C">
            <w:pPr>
              <w:pStyle w:val="80"/>
              <w:shd w:val="clear" w:fill="FFFFFF" w:themeFill="background1"/>
              <w:tabs>
                <w:tab w:val="left" w:pos="804"/>
              </w:tabs>
              <w:overflowPunct w:val="0"/>
              <w:ind w:firstLine="476" w:firstLineChars="200"/>
              <w:rPr>
                <w:rFonts w:ascii="宋体" w:hAnsi="宋体" w:cs="宋体"/>
                <w:color w:val="auto"/>
                <w:spacing w:val="-1"/>
                <w:sz w:val="24"/>
                <w:highlight w:val="none"/>
              </w:rPr>
            </w:pPr>
            <w:r>
              <w:rPr>
                <w:rFonts w:hint="eastAsia" w:ascii="宋体" w:hAnsi="宋体" w:cs="宋体"/>
                <w:color w:val="auto"/>
                <w:spacing w:val="-1"/>
                <w:sz w:val="24"/>
                <w:highlight w:val="none"/>
              </w:rPr>
              <w:t>【采用如下的优先顺序：承诺使用的 AA 级投标人、不承诺使用的 AA 级投标人、承诺使用的 A 级投标人、不承诺使用的 A 级投标人、B 级投标人、未参评且被确定为 B 级投标人】</w:t>
            </w:r>
          </w:p>
          <w:p w14:paraId="6E1B0241">
            <w:pPr>
              <w:pStyle w:val="80"/>
              <w:shd w:val="clear" w:fill="FFFFFF" w:themeFill="background1"/>
              <w:tabs>
                <w:tab w:val="left" w:pos="804"/>
              </w:tabs>
              <w:overflowPunct w:val="0"/>
              <w:ind w:firstLine="476" w:firstLineChars="200"/>
              <w:rPr>
                <w:rFonts w:ascii="宋体" w:hAnsi="宋体" w:cs="宋体"/>
                <w:color w:val="auto"/>
                <w:spacing w:val="-1"/>
                <w:sz w:val="24"/>
                <w:highlight w:val="none"/>
              </w:rPr>
            </w:pPr>
            <w:r>
              <w:rPr>
                <w:rFonts w:hint="eastAsia" w:ascii="宋体" w:hAnsi="宋体" w:cs="宋体"/>
                <w:color w:val="auto"/>
                <w:spacing w:val="-1"/>
                <w:sz w:val="24"/>
                <w:highlight w:val="none"/>
              </w:rPr>
              <w:t>（2）以投标人企业最新年度净资产较高的优先；</w:t>
            </w:r>
          </w:p>
          <w:p w14:paraId="59DE671B">
            <w:pPr>
              <w:pStyle w:val="80"/>
              <w:shd w:val="clear" w:fill="FFFFFF" w:themeFill="background1"/>
              <w:tabs>
                <w:tab w:val="left" w:pos="804"/>
              </w:tabs>
              <w:overflowPunct w:val="0"/>
              <w:ind w:firstLine="476" w:firstLineChars="200"/>
              <w:rPr>
                <w:rFonts w:ascii="宋体" w:hAnsi="宋体" w:cs="宋体"/>
                <w:color w:val="auto"/>
                <w:spacing w:val="-1"/>
                <w:sz w:val="24"/>
                <w:highlight w:val="none"/>
              </w:rPr>
            </w:pPr>
            <w:r>
              <w:rPr>
                <w:rFonts w:hint="eastAsia" w:ascii="宋体" w:hAnsi="宋体" w:cs="宋体"/>
                <w:color w:val="auto"/>
                <w:spacing w:val="-1"/>
                <w:sz w:val="24"/>
                <w:highlight w:val="none"/>
              </w:rPr>
              <w:t>（3）评标委员会视投标人情况综合比较，投票确定其名次。</w:t>
            </w:r>
          </w:p>
        </w:tc>
      </w:tr>
      <w:tr w14:paraId="434C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1125" w:hRule="atLeast"/>
          <w:jc w:val="center"/>
        </w:trPr>
        <w:tc>
          <w:tcPr>
            <w:tcW w:w="1043" w:type="dxa"/>
            <w:vAlign w:val="center"/>
          </w:tcPr>
          <w:p w14:paraId="16667D92">
            <w:pPr>
              <w:pStyle w:val="80"/>
              <w:shd w:val="clear" w:fill="FFFFFF" w:themeFill="background1"/>
              <w:kinsoku w:val="0"/>
              <w:overflowPunct w:val="0"/>
              <w:jc w:val="center"/>
              <w:rPr>
                <w:rFonts w:ascii="宋体" w:hAnsi="宋体" w:cs="宋体"/>
                <w:color w:val="auto"/>
                <w:spacing w:val="-1"/>
                <w:sz w:val="24"/>
                <w:highlight w:val="none"/>
              </w:rPr>
            </w:pPr>
            <w:r>
              <w:rPr>
                <w:rFonts w:hint="eastAsia" w:ascii="宋体" w:hAnsi="宋体" w:cs="宋体"/>
                <w:color w:val="auto"/>
                <w:spacing w:val="-1"/>
                <w:sz w:val="24"/>
                <w:highlight w:val="none"/>
              </w:rPr>
              <w:t>2.1.1</w:t>
            </w:r>
          </w:p>
          <w:p w14:paraId="62B6E7D7">
            <w:pPr>
              <w:pStyle w:val="80"/>
              <w:shd w:val="clear" w:fill="FFFFFF" w:themeFill="background1"/>
              <w:tabs>
                <w:tab w:val="left" w:pos="804"/>
              </w:tabs>
              <w:kinsoku w:val="0"/>
              <w:overflowPunct w:val="0"/>
              <w:jc w:val="center"/>
              <w:rPr>
                <w:rFonts w:ascii="宋体" w:hAnsi="宋体" w:cs="宋体"/>
                <w:color w:val="auto"/>
                <w:spacing w:val="-1"/>
                <w:sz w:val="24"/>
                <w:highlight w:val="none"/>
              </w:rPr>
            </w:pPr>
            <w:r>
              <w:rPr>
                <w:rFonts w:hint="eastAsia" w:ascii="宋体" w:hAnsi="宋体" w:cs="宋体"/>
                <w:color w:val="auto"/>
                <w:spacing w:val="-1"/>
                <w:sz w:val="24"/>
                <w:highlight w:val="none"/>
              </w:rPr>
              <w:t>2.1.3</w:t>
            </w:r>
          </w:p>
        </w:tc>
        <w:tc>
          <w:tcPr>
            <w:tcW w:w="1238" w:type="dxa"/>
            <w:gridSpan w:val="3"/>
            <w:vAlign w:val="center"/>
          </w:tcPr>
          <w:p w14:paraId="70B5AAEE">
            <w:pPr>
              <w:pStyle w:val="80"/>
              <w:shd w:val="clear" w:fill="FFFFFF" w:themeFill="background1"/>
              <w:tabs>
                <w:tab w:val="left" w:pos="804"/>
              </w:tabs>
              <w:kinsoku w:val="0"/>
              <w:overflowPunct w:val="0"/>
              <w:jc w:val="center"/>
              <w:rPr>
                <w:rFonts w:ascii="宋体" w:hAnsi="宋体" w:cs="宋体"/>
                <w:color w:val="auto"/>
                <w:spacing w:val="-1"/>
                <w:sz w:val="24"/>
                <w:highlight w:val="none"/>
              </w:rPr>
            </w:pPr>
            <w:r>
              <w:rPr>
                <w:rFonts w:hint="eastAsia" w:ascii="宋体" w:hAnsi="宋体" w:cs="宋体"/>
                <w:color w:val="auto"/>
                <w:spacing w:val="-1"/>
                <w:sz w:val="24"/>
                <w:highlight w:val="none"/>
              </w:rPr>
              <w:t>形式评审与响应性评审标准</w:t>
            </w:r>
          </w:p>
        </w:tc>
        <w:tc>
          <w:tcPr>
            <w:tcW w:w="7853" w:type="dxa"/>
            <w:gridSpan w:val="6"/>
          </w:tcPr>
          <w:p w14:paraId="0F17B27D">
            <w:pPr>
              <w:pStyle w:val="80"/>
              <w:shd w:val="clear" w:fill="FFFFFF" w:themeFill="background1"/>
              <w:tabs>
                <w:tab w:val="left" w:pos="804"/>
              </w:tabs>
              <w:overflowPunct w:val="0"/>
              <w:rPr>
                <w:rFonts w:ascii="宋体" w:hAnsi="宋体" w:cs="宋体"/>
                <w:b/>
                <w:color w:val="auto"/>
                <w:spacing w:val="-1"/>
                <w:sz w:val="24"/>
                <w:highlight w:val="none"/>
              </w:rPr>
            </w:pPr>
            <w:r>
              <w:rPr>
                <w:rFonts w:hint="eastAsia" w:ascii="宋体" w:hAnsi="宋体" w:cs="宋体"/>
                <w:b/>
                <w:color w:val="auto"/>
                <w:spacing w:val="-1"/>
                <w:sz w:val="24"/>
                <w:highlight w:val="none"/>
              </w:rPr>
              <w:t>第一个信封（商务及技术文件）评审标准：</w:t>
            </w:r>
          </w:p>
          <w:p w14:paraId="733E8084">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（1）投标文件按照招标文件规定的格式、内容填写，字迹清晰可辨：</w:t>
            </w:r>
          </w:p>
          <w:p w14:paraId="167BC700">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a.投标函按招标文件规定填报了项目名称、标段号（如有)、补遗书编号（如有)、工期、工程质量要求及安全目标；</w:t>
            </w:r>
          </w:p>
          <w:p w14:paraId="40EF43C3">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b.投标函附录的所有数据均符合招标文件规定；</w:t>
            </w:r>
          </w:p>
          <w:p w14:paraId="0659CC7D">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c.投标文件组成齐全完整，内容均按规定填写。</w:t>
            </w:r>
          </w:p>
          <w:p w14:paraId="0C84D292">
            <w:pPr>
              <w:pStyle w:val="80"/>
              <w:numPr>
                <w:ilvl w:val="0"/>
                <w:numId w:val="11"/>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投标文件上法定代表人或其委托代理人的签字、投标人的单位章盖章齐全，符合招标文件规定。</w:t>
            </w:r>
          </w:p>
          <w:p w14:paraId="07D9D2D3">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（3）投标人按照招标文件的规定提供了投标保证金：</w:t>
            </w:r>
          </w:p>
          <w:p w14:paraId="7A670014">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a.投标保证金金额符合招标文件规定的金额，且投标保证金有效期不少于投标有效期；</w:t>
            </w:r>
          </w:p>
          <w:p w14:paraId="13C42402">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b.若投标保证金采用现金或支票形式提交，投标人应在投标人须知 3.4.1款规定的时间，将投标保证金由投标人的基本账户转入招标人指定账户；</w:t>
            </w:r>
          </w:p>
          <w:p w14:paraId="6AFC8883">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c.若投标保证金采用银行保函或投标人须知前附表 3.4.1 项规定的其他形式提交，应满足招标文件要求。</w:t>
            </w:r>
          </w:p>
          <w:p w14:paraId="5C035956">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（4）投标人法定代表人授权委托代理人签署投标文件的，需提交授权委托书，且授权人和被授权人均在授权委托书上签名，未使用印章、签名章或其他电子制版签名代替。</w:t>
            </w:r>
          </w:p>
          <w:p w14:paraId="36F961A3">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投标人法定代表人亲自签署投标文件的，提供了法定代表人身份证明，且法定代表人在法定代表人身份证明上签名，未使用印章、签名章或其他电子制版签名代替。</w:t>
            </w:r>
          </w:p>
          <w:p w14:paraId="1FF028F4">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如投标人不具备拟分包工程所需的某专项工程相应资质或投标人如有分包计划，符合招标文件第二章“投标人须知” 第 1.11 款规定，且按招标文件第九章“投标文件格式”的要求填写了“拟分包项目情况表”。</w:t>
            </w:r>
          </w:p>
          <w:p w14:paraId="75F116D5">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同一投标人未提交两个以上不同的投标文件，但招标文件要求提交备选投标的除外。</w:t>
            </w:r>
          </w:p>
          <w:p w14:paraId="03A9E1F4">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投标文件中未出现有关投标报价的内容。</w:t>
            </w:r>
          </w:p>
          <w:p w14:paraId="2B8B73DE">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投标文件载明的招标项目完成期限未超过招标文件规定的时限。</w:t>
            </w:r>
          </w:p>
          <w:p w14:paraId="34BCE615">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投标文件对招标文件的实质性要求和条件作出响应。</w:t>
            </w:r>
          </w:p>
          <w:p w14:paraId="6E4AB194">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权利义务符合招标文件规定：</w:t>
            </w:r>
          </w:p>
          <w:p w14:paraId="79F70290">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a. 投标人应接受招标文件规定的风险划分原则，未提出新的风险划分办法；</w:t>
            </w:r>
          </w:p>
          <w:p w14:paraId="4EF06AAE">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b. 投标人未增加发包人的责任范围，或减少投标人义务；</w:t>
            </w:r>
          </w:p>
          <w:p w14:paraId="5E9B0E32">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c.投标人未提出不同的工程验收、计量、支付办法；</w:t>
            </w:r>
          </w:p>
          <w:p w14:paraId="624B1C8D">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d. 投标人对合同纠纷、事故处理办法未提出异议；</w:t>
            </w:r>
          </w:p>
          <w:p w14:paraId="00D945CF">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e. 投标人在投标活动中无欺诈行为；</w:t>
            </w:r>
          </w:p>
          <w:p w14:paraId="3442965F">
            <w:pPr>
              <w:pStyle w:val="80"/>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f. 投标人未对合同条款有重要保留。</w:t>
            </w:r>
          </w:p>
          <w:p w14:paraId="17124039">
            <w:pPr>
              <w:pStyle w:val="80"/>
              <w:numPr>
                <w:ilvl w:val="0"/>
                <w:numId w:val="12"/>
              </w:numPr>
              <w:shd w:val="clear" w:fill="FFFFFF" w:themeFill="background1"/>
              <w:tabs>
                <w:tab w:val="left" w:pos="804"/>
              </w:tabs>
              <w:overflowPunct w:val="0"/>
              <w:ind w:firstLine="480"/>
              <w:rPr>
                <w:rFonts w:ascii="宋体" w:hAnsi="宋体" w:cs="宋体"/>
                <w:color w:val="auto"/>
                <w:sz w:val="24"/>
                <w:highlight w:val="none"/>
              </w:rPr>
            </w:pPr>
            <w:r>
              <w:rPr>
                <w:rFonts w:hint="eastAsia" w:ascii="宋体" w:hAnsi="宋体" w:cs="宋体"/>
                <w:color w:val="auto"/>
                <w:sz w:val="24"/>
                <w:highlight w:val="none"/>
              </w:rPr>
              <w:t>投标文件未附有招标人不能接受的条件。</w:t>
            </w:r>
          </w:p>
          <w:p w14:paraId="0F73903E">
            <w:pPr>
              <w:pStyle w:val="80"/>
              <w:shd w:val="clear" w:fill="FFFFFF" w:themeFill="background1"/>
              <w:tabs>
                <w:tab w:val="left" w:pos="804"/>
              </w:tabs>
              <w:overflowPunct w:val="0"/>
              <w:rPr>
                <w:rFonts w:ascii="宋体" w:hAnsi="宋体" w:cs="宋体"/>
                <w:color w:val="auto"/>
                <w:sz w:val="24"/>
                <w:highlight w:val="none"/>
              </w:rPr>
            </w:pPr>
          </w:p>
          <w:p w14:paraId="23031D94">
            <w:pPr>
              <w:pStyle w:val="80"/>
              <w:shd w:val="clear" w:fill="FFFFFF" w:themeFill="background1"/>
              <w:tabs>
                <w:tab w:val="left" w:pos="804"/>
              </w:tabs>
              <w:overflowPunct w:val="0"/>
              <w:rPr>
                <w:rFonts w:ascii="宋体" w:hAnsi="宋体" w:cs="宋体"/>
                <w:b/>
                <w:color w:val="auto"/>
                <w:sz w:val="24"/>
                <w:highlight w:val="none"/>
              </w:rPr>
            </w:pPr>
            <w:r>
              <w:rPr>
                <w:rFonts w:hint="eastAsia" w:ascii="宋体" w:hAnsi="宋体" w:cs="宋体"/>
                <w:b/>
                <w:color w:val="auto"/>
                <w:sz w:val="24"/>
                <w:highlight w:val="none"/>
              </w:rPr>
              <w:t>第二个信封（报价文件）评审标准：</w:t>
            </w:r>
          </w:p>
          <w:p w14:paraId="46C9AD82">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（1）投标文件按照招标文件规定的格式、内容填写，字迹清晰可辩：</w:t>
            </w:r>
          </w:p>
          <w:p w14:paraId="76F1D2A7">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a. 投标函按招标文件规定填报了项目名称、标段号（如有)、补遗书编号（如有)、投标总报价（包括大写金额和小写金额)；</w:t>
            </w:r>
          </w:p>
          <w:p w14:paraId="0D2FE248">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b. 已标价工程量清单说明文字与招标文件规定一致，未进行实质性修改和删减；</w:t>
            </w:r>
          </w:p>
          <w:p w14:paraId="225914B9">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c. 投标文件组成齐全完整，内容均按规定填写。</w:t>
            </w:r>
          </w:p>
          <w:p w14:paraId="5AAD5870">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（2）投标文件上法定代表人或其委托代理人的签字、投标人的单位章盖章齐全，符合招标文件规定。</w:t>
            </w:r>
          </w:p>
          <w:p w14:paraId="22178922">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（3）投标报价中的报价未超过招标文件设定的最高投标限价。</w:t>
            </w:r>
          </w:p>
          <w:p w14:paraId="6DCCD5BB">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（4）投标报价中报价的大写金额能够确定具体数值。</w:t>
            </w:r>
          </w:p>
          <w:p w14:paraId="0EE942D2">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（5）同一投标人未提交两个以上不同的投标报价，但招标文件要求提交备选投标的除外。</w:t>
            </w:r>
          </w:p>
          <w:p w14:paraId="480ECBFD">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（6）投标文件未附有招标人不能接受的条件。</w:t>
            </w:r>
          </w:p>
        </w:tc>
      </w:tr>
      <w:tr w14:paraId="03911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4662" w:hRule="atLeast"/>
          <w:jc w:val="center"/>
        </w:trPr>
        <w:tc>
          <w:tcPr>
            <w:tcW w:w="1043" w:type="dxa"/>
            <w:vAlign w:val="center"/>
          </w:tcPr>
          <w:p w14:paraId="45A5B21F">
            <w:pPr>
              <w:pStyle w:val="80"/>
              <w:shd w:val="clear" w:fill="FFFFFF" w:themeFill="background1"/>
              <w:kinsoku w:val="0"/>
              <w:overflowPunct w:val="0"/>
              <w:jc w:val="center"/>
              <w:rPr>
                <w:rFonts w:ascii="宋体" w:hAnsi="宋体" w:cs="宋体"/>
                <w:color w:val="auto"/>
                <w:sz w:val="24"/>
                <w:highlight w:val="none"/>
              </w:rPr>
            </w:pPr>
            <w:r>
              <w:rPr>
                <w:rFonts w:hint="eastAsia" w:ascii="宋体" w:hAnsi="宋体" w:cs="宋体"/>
                <w:color w:val="auto"/>
                <w:spacing w:val="-1"/>
                <w:sz w:val="24"/>
                <w:highlight w:val="none"/>
              </w:rPr>
              <w:t>2.1.2</w:t>
            </w:r>
          </w:p>
        </w:tc>
        <w:tc>
          <w:tcPr>
            <w:tcW w:w="1238" w:type="dxa"/>
            <w:gridSpan w:val="3"/>
            <w:vAlign w:val="center"/>
          </w:tcPr>
          <w:p w14:paraId="008FD591">
            <w:pPr>
              <w:pStyle w:val="80"/>
              <w:shd w:val="clear" w:fill="FFFFFF" w:themeFill="background1"/>
              <w:kinsoku w:val="0"/>
              <w:overflowPunct w:val="0"/>
              <w:jc w:val="center"/>
              <w:rPr>
                <w:rFonts w:ascii="宋体" w:hAnsi="宋体" w:cs="宋体"/>
                <w:color w:val="auto"/>
                <w:sz w:val="24"/>
                <w:highlight w:val="none"/>
              </w:rPr>
            </w:pPr>
            <w:r>
              <w:rPr>
                <w:rFonts w:hint="eastAsia" w:ascii="宋体" w:hAnsi="宋体" w:cs="宋体"/>
                <w:color w:val="auto"/>
                <w:sz w:val="24"/>
                <w:highlight w:val="none"/>
              </w:rPr>
              <w:t>资格评审标准</w:t>
            </w:r>
          </w:p>
        </w:tc>
        <w:tc>
          <w:tcPr>
            <w:tcW w:w="7853" w:type="dxa"/>
            <w:gridSpan w:val="6"/>
          </w:tcPr>
          <w:p w14:paraId="18A6C634">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1）投标人具备有效的营业执照、资质证书、安全生产许可证和基本账户开户许可证（如企业所在地已取消企业银行账户许可而无法提供开户许可证的，则需附上开户银行出具的“基本存款账户信息”或“人民银行账户管理系统查询的基本账户信息截图”）；</w:t>
            </w:r>
          </w:p>
          <w:p w14:paraId="748F65CB">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（2）投标人的资质等级符合招标文件规定；</w:t>
            </w:r>
          </w:p>
          <w:p w14:paraId="189E4FB0">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（3）投标人的财务状况符合招标文件规定；</w:t>
            </w:r>
          </w:p>
          <w:p w14:paraId="1B671DAF">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（4）投标人的类似项目业绩符合招标文件规定；</w:t>
            </w:r>
          </w:p>
          <w:p w14:paraId="364427D7">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（5）投标人的信誉符合招标文件规定；</w:t>
            </w:r>
          </w:p>
          <w:p w14:paraId="4A43205B">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（6）投标人的项目经理和项目总工资格、在岗情况符合招标文件规定，并按规定在投标文件中签字确认；</w:t>
            </w:r>
          </w:p>
          <w:p w14:paraId="3D81E49C">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（7）投标人的其他要求符合招标文件规定；</w:t>
            </w:r>
          </w:p>
          <w:p w14:paraId="1CAE387F">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（8）投标人不存在第二章“投标人须知”第 1.4.3 项或第 1.4.4 项规 定的任何一种情形；</w:t>
            </w:r>
          </w:p>
          <w:p w14:paraId="1DCC18B7">
            <w:pPr>
              <w:pStyle w:val="80"/>
              <w:shd w:val="clear" w:fill="FFFFFF" w:themeFill="background1"/>
              <w:tabs>
                <w:tab w:val="left" w:pos="804"/>
              </w:tabs>
              <w:overflowPunct w:val="0"/>
              <w:ind w:firstLine="480" w:firstLineChars="200"/>
              <w:rPr>
                <w:rFonts w:ascii="宋体" w:hAnsi="宋体" w:cs="宋体"/>
                <w:color w:val="auto"/>
                <w:sz w:val="24"/>
                <w:highlight w:val="none"/>
              </w:rPr>
            </w:pPr>
            <w:r>
              <w:rPr>
                <w:rFonts w:hint="eastAsia" w:ascii="宋体" w:hAnsi="宋体" w:cs="宋体"/>
                <w:color w:val="auto"/>
                <w:sz w:val="24"/>
                <w:highlight w:val="none"/>
              </w:rPr>
              <w:t>（9）投标人符合第二章“投标人须知”第 1.4.5 项规定。</w:t>
            </w:r>
          </w:p>
          <w:p w14:paraId="0E514328">
            <w:pPr>
              <w:pStyle w:val="80"/>
              <w:shd w:val="clear" w:fill="FFFFFF" w:themeFill="background1"/>
              <w:tabs>
                <w:tab w:val="left" w:pos="804"/>
              </w:tabs>
              <w:overflowPunct w:val="0"/>
              <w:rPr>
                <w:rFonts w:ascii="宋体" w:hAnsi="宋体" w:cs="宋体"/>
                <w:color w:val="auto"/>
                <w:sz w:val="24"/>
                <w:highlight w:val="none"/>
              </w:rPr>
            </w:pPr>
          </w:p>
        </w:tc>
      </w:tr>
      <w:tr w14:paraId="4CD5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375" w:hRule="atLeast"/>
          <w:jc w:val="center"/>
        </w:trPr>
        <w:tc>
          <w:tcPr>
            <w:tcW w:w="1043" w:type="dxa"/>
            <w:vAlign w:val="center"/>
          </w:tcPr>
          <w:p w14:paraId="22CF1D71">
            <w:pPr>
              <w:shd w:val="clear" w:fill="FFFFFF" w:themeFill="background1"/>
              <w:jc w:val="center"/>
              <w:rPr>
                <w:rFonts w:ascii="宋体" w:hAnsi="宋体" w:cs="宋体"/>
                <w:color w:val="auto"/>
                <w:spacing w:val="-1"/>
                <w:sz w:val="24"/>
                <w:highlight w:val="none"/>
              </w:rPr>
            </w:pPr>
            <w:r>
              <w:rPr>
                <w:rFonts w:hint="eastAsia" w:ascii="宋体" w:hAnsi="宋体" w:cs="宋体"/>
                <w:b/>
                <w:color w:val="auto"/>
                <w:sz w:val="24"/>
                <w:highlight w:val="none"/>
              </w:rPr>
              <w:t>条款号</w:t>
            </w:r>
          </w:p>
        </w:tc>
        <w:tc>
          <w:tcPr>
            <w:tcW w:w="1238" w:type="dxa"/>
            <w:gridSpan w:val="3"/>
            <w:vAlign w:val="center"/>
          </w:tcPr>
          <w:p w14:paraId="6C46BFE9">
            <w:pPr>
              <w:shd w:val="clear" w:fill="FFFFFF" w:themeFill="background1"/>
              <w:jc w:val="center"/>
              <w:rPr>
                <w:rFonts w:ascii="宋体" w:hAnsi="宋体" w:cs="宋体"/>
                <w:color w:val="auto"/>
                <w:sz w:val="24"/>
                <w:highlight w:val="none"/>
              </w:rPr>
            </w:pPr>
            <w:r>
              <w:rPr>
                <w:rFonts w:hint="eastAsia" w:ascii="宋体" w:hAnsi="宋体" w:cs="宋体"/>
                <w:b/>
                <w:color w:val="auto"/>
                <w:sz w:val="24"/>
                <w:highlight w:val="none"/>
              </w:rPr>
              <w:t>条款内容</w:t>
            </w:r>
          </w:p>
        </w:tc>
        <w:tc>
          <w:tcPr>
            <w:tcW w:w="7853" w:type="dxa"/>
            <w:gridSpan w:val="6"/>
            <w:vAlign w:val="center"/>
          </w:tcPr>
          <w:p w14:paraId="01CCEB74">
            <w:pPr>
              <w:shd w:val="clear" w:fill="FFFFFF" w:themeFill="background1"/>
              <w:jc w:val="center"/>
              <w:rPr>
                <w:rFonts w:ascii="宋体" w:hAnsi="宋体" w:cs="宋体"/>
                <w:color w:val="auto"/>
                <w:sz w:val="24"/>
                <w:highlight w:val="none"/>
              </w:rPr>
            </w:pPr>
            <w:r>
              <w:rPr>
                <w:rFonts w:hint="eastAsia" w:ascii="宋体" w:hAnsi="宋体" w:cs="宋体"/>
                <w:b/>
                <w:color w:val="auto"/>
                <w:sz w:val="24"/>
                <w:highlight w:val="none"/>
              </w:rPr>
              <w:t>编列内容</w:t>
            </w:r>
          </w:p>
        </w:tc>
      </w:tr>
      <w:tr w14:paraId="6DADA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2115" w:hRule="atLeast"/>
          <w:jc w:val="center"/>
        </w:trPr>
        <w:tc>
          <w:tcPr>
            <w:tcW w:w="1043" w:type="dxa"/>
            <w:vAlign w:val="center"/>
          </w:tcPr>
          <w:p w14:paraId="430731EC">
            <w:pPr>
              <w:pStyle w:val="80"/>
              <w:shd w:val="clear" w:fill="FFFFFF" w:themeFill="background1"/>
              <w:kinsoku w:val="0"/>
              <w:overflowPunct w:val="0"/>
              <w:spacing w:line="400" w:lineRule="exact"/>
              <w:jc w:val="center"/>
              <w:rPr>
                <w:rFonts w:ascii="宋体" w:hAnsi="宋体" w:cs="宋体"/>
                <w:b/>
                <w:color w:val="auto"/>
                <w:sz w:val="24"/>
                <w:highlight w:val="none"/>
              </w:rPr>
            </w:pPr>
            <w:r>
              <w:rPr>
                <w:rFonts w:hint="eastAsia" w:ascii="宋体" w:hAnsi="宋体" w:cs="宋体"/>
                <w:color w:val="auto"/>
                <w:sz w:val="24"/>
                <w:highlight w:val="none"/>
              </w:rPr>
              <w:t>2.2.1</w:t>
            </w:r>
          </w:p>
        </w:tc>
        <w:tc>
          <w:tcPr>
            <w:tcW w:w="1238" w:type="dxa"/>
            <w:gridSpan w:val="3"/>
            <w:vAlign w:val="center"/>
          </w:tcPr>
          <w:p w14:paraId="71BC336F">
            <w:pPr>
              <w:widowControl/>
              <w:shd w:val="clear" w:fill="FFFFFF" w:themeFill="background1"/>
              <w:spacing w:line="400" w:lineRule="exact"/>
              <w:jc w:val="center"/>
              <w:rPr>
                <w:rFonts w:ascii="宋体" w:hAnsi="宋体" w:cs="宋体"/>
                <w:b/>
                <w:color w:val="auto"/>
                <w:sz w:val="24"/>
                <w:highlight w:val="none"/>
              </w:rPr>
            </w:pPr>
            <w:r>
              <w:rPr>
                <w:rFonts w:hint="eastAsia" w:ascii="宋体" w:hAnsi="宋体" w:cs="宋体"/>
                <w:color w:val="auto"/>
                <w:kern w:val="0"/>
                <w:sz w:val="24"/>
                <w:highlight w:val="none"/>
              </w:rPr>
              <w:t>第一个信封评分分值构成 (总100分）</w:t>
            </w:r>
          </w:p>
        </w:tc>
        <w:tc>
          <w:tcPr>
            <w:tcW w:w="7853" w:type="dxa"/>
            <w:gridSpan w:val="6"/>
            <w:vAlign w:val="center"/>
          </w:tcPr>
          <w:p w14:paraId="4412F860">
            <w:pPr>
              <w:widowControl/>
              <w:shd w:val="clear" w:fill="FFFFFF" w:themeFill="background1"/>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施工组织设计（A）：</w:t>
            </w:r>
            <w:r>
              <w:rPr>
                <w:rFonts w:hint="eastAsia" w:ascii="宋体" w:hAnsi="宋体" w:cs="宋体"/>
                <w:color w:val="auto"/>
                <w:kern w:val="0"/>
                <w:sz w:val="24"/>
                <w:highlight w:val="none"/>
                <w:u w:val="single"/>
              </w:rPr>
              <w:t>40</w:t>
            </w:r>
            <w:r>
              <w:rPr>
                <w:rFonts w:hint="eastAsia" w:ascii="宋体" w:hAnsi="宋体" w:cs="宋体"/>
                <w:color w:val="auto"/>
                <w:kern w:val="0"/>
                <w:sz w:val="24"/>
                <w:highlight w:val="none"/>
              </w:rPr>
              <w:t xml:space="preserve">分 </w:t>
            </w:r>
          </w:p>
          <w:p w14:paraId="4C6465F8">
            <w:pPr>
              <w:widowControl/>
              <w:shd w:val="clear" w:fill="FFFFFF" w:themeFill="background1"/>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主要人员（B）：</w:t>
            </w:r>
            <w:r>
              <w:rPr>
                <w:rFonts w:hint="eastAsia" w:ascii="宋体" w:hAnsi="宋体" w:cs="宋体"/>
                <w:color w:val="auto"/>
                <w:kern w:val="0"/>
                <w:sz w:val="24"/>
                <w:highlight w:val="none"/>
                <w:u w:val="single"/>
              </w:rPr>
              <w:t>25</w:t>
            </w:r>
            <w:r>
              <w:rPr>
                <w:rFonts w:hint="eastAsia" w:ascii="宋体" w:hAnsi="宋体" w:cs="宋体"/>
                <w:color w:val="auto"/>
                <w:kern w:val="0"/>
                <w:sz w:val="24"/>
                <w:highlight w:val="none"/>
              </w:rPr>
              <w:t xml:space="preserve">分 </w:t>
            </w:r>
          </w:p>
          <w:p w14:paraId="59357C68">
            <w:pPr>
              <w:widowControl/>
              <w:shd w:val="clear" w:fill="FFFFFF" w:themeFill="background1"/>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其他因素（C）</w:t>
            </w:r>
          </w:p>
          <w:p w14:paraId="774206DE">
            <w:pPr>
              <w:widowControl/>
              <w:shd w:val="clear" w:fill="FFFFFF" w:themeFill="background1"/>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技术能力：</w:t>
            </w:r>
            <w:r>
              <w:rPr>
                <w:rFonts w:hint="eastAsia" w:ascii="宋体" w:hAnsi="宋体" w:cs="宋体"/>
                <w:color w:val="auto"/>
                <w:kern w:val="0"/>
                <w:sz w:val="24"/>
                <w:highlight w:val="none"/>
                <w:u w:val="single"/>
              </w:rPr>
              <w:t>20</w:t>
            </w:r>
            <w:r>
              <w:rPr>
                <w:rFonts w:hint="eastAsia" w:ascii="宋体" w:hAnsi="宋体" w:cs="宋体"/>
                <w:color w:val="auto"/>
                <w:kern w:val="0"/>
                <w:sz w:val="24"/>
                <w:highlight w:val="none"/>
              </w:rPr>
              <w:t xml:space="preserve">分 </w:t>
            </w:r>
          </w:p>
          <w:p w14:paraId="4DFF7EFD">
            <w:pPr>
              <w:widowControl/>
              <w:shd w:val="clear" w:fill="FFFFFF" w:themeFill="background1"/>
              <w:spacing w:line="400" w:lineRule="exact"/>
              <w:rPr>
                <w:rFonts w:ascii="宋体" w:hAnsi="宋体" w:cs="宋体"/>
                <w:b/>
                <w:color w:val="auto"/>
                <w:sz w:val="24"/>
                <w:highlight w:val="none"/>
              </w:rPr>
            </w:pPr>
            <w:r>
              <w:rPr>
                <w:rFonts w:hint="eastAsia" w:ascii="宋体" w:hAnsi="宋体" w:cs="宋体"/>
                <w:color w:val="auto"/>
                <w:kern w:val="0"/>
                <w:sz w:val="24"/>
                <w:highlight w:val="none"/>
              </w:rPr>
              <w:t>履约信誉：</w:t>
            </w:r>
            <w:r>
              <w:rPr>
                <w:rFonts w:hint="eastAsia" w:ascii="宋体" w:hAnsi="宋体" w:cs="宋体"/>
                <w:color w:val="auto"/>
                <w:kern w:val="0"/>
                <w:sz w:val="24"/>
                <w:highlight w:val="none"/>
                <w:u w:val="single"/>
              </w:rPr>
              <w:t>15</w:t>
            </w:r>
            <w:r>
              <w:rPr>
                <w:rFonts w:hint="eastAsia" w:ascii="宋体" w:hAnsi="宋体" w:cs="宋体"/>
                <w:color w:val="auto"/>
                <w:kern w:val="0"/>
                <w:sz w:val="24"/>
                <w:highlight w:val="none"/>
              </w:rPr>
              <w:t xml:space="preserve">分 </w:t>
            </w:r>
          </w:p>
        </w:tc>
      </w:tr>
      <w:tr w14:paraId="1114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4217" w:hRule="atLeast"/>
          <w:jc w:val="center"/>
        </w:trPr>
        <w:tc>
          <w:tcPr>
            <w:tcW w:w="1043" w:type="dxa"/>
            <w:vAlign w:val="center"/>
          </w:tcPr>
          <w:p w14:paraId="524DC1FE">
            <w:pPr>
              <w:pStyle w:val="80"/>
              <w:shd w:val="clear" w:fill="FFFFFF" w:themeFill="background1"/>
              <w:kinsoku w:val="0"/>
              <w:overflowPunct w:val="0"/>
              <w:spacing w:line="400" w:lineRule="exact"/>
              <w:jc w:val="center"/>
              <w:rPr>
                <w:rFonts w:ascii="宋体" w:hAnsi="宋体" w:cs="宋体"/>
                <w:b/>
                <w:color w:val="auto"/>
                <w:sz w:val="24"/>
                <w:highlight w:val="none"/>
              </w:rPr>
            </w:pPr>
            <w:r>
              <w:rPr>
                <w:rFonts w:hint="eastAsia" w:ascii="宋体" w:hAnsi="宋体" w:cs="宋体"/>
                <w:color w:val="auto"/>
                <w:sz w:val="24"/>
                <w:highlight w:val="none"/>
              </w:rPr>
              <w:t>2.2.3</w:t>
            </w:r>
          </w:p>
        </w:tc>
        <w:tc>
          <w:tcPr>
            <w:tcW w:w="1238" w:type="dxa"/>
            <w:gridSpan w:val="3"/>
            <w:vAlign w:val="center"/>
          </w:tcPr>
          <w:p w14:paraId="464D89DC">
            <w:pPr>
              <w:widowControl/>
              <w:shd w:val="clear" w:fill="FFFFFF" w:themeFill="background1"/>
              <w:spacing w:line="400" w:lineRule="exact"/>
              <w:jc w:val="center"/>
              <w:rPr>
                <w:rFonts w:ascii="宋体" w:hAnsi="宋体" w:cs="宋体"/>
                <w:b/>
                <w:color w:val="auto"/>
                <w:sz w:val="24"/>
                <w:highlight w:val="none"/>
              </w:rPr>
            </w:pPr>
            <w:r>
              <w:rPr>
                <w:rFonts w:hint="eastAsia" w:ascii="宋体" w:hAnsi="宋体" w:cs="宋体"/>
                <w:color w:val="auto"/>
                <w:kern w:val="0"/>
                <w:sz w:val="24"/>
                <w:highlight w:val="none"/>
              </w:rPr>
              <w:t>第二个信封详细评审标准</w:t>
            </w:r>
          </w:p>
        </w:tc>
        <w:tc>
          <w:tcPr>
            <w:tcW w:w="7853" w:type="dxa"/>
            <w:gridSpan w:val="6"/>
            <w:vAlign w:val="center"/>
          </w:tcPr>
          <w:p w14:paraId="5677064F">
            <w:pPr>
              <w:widowControl/>
              <w:shd w:val="clear" w:fill="FFFFFF" w:themeFill="background1"/>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评标价的评审：</w:t>
            </w:r>
          </w:p>
          <w:p w14:paraId="2E989D9B">
            <w:pPr>
              <w:widowControl/>
              <w:shd w:val="clear" w:fill="FFFFFF" w:themeFill="background1"/>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(1)评标价计算公式：</w:t>
            </w:r>
          </w:p>
          <w:p w14:paraId="348323B5">
            <w:pPr>
              <w:widowControl/>
              <w:shd w:val="clear" w:fill="FFFFFF" w:themeFill="background1"/>
              <w:spacing w:line="400" w:lineRule="exact"/>
              <w:rPr>
                <w:rFonts w:ascii="宋体" w:hAnsi="宋体" w:cs="宋体"/>
                <w:color w:val="auto"/>
                <w:kern w:val="0"/>
                <w:sz w:val="24"/>
                <w:highlight w:val="none"/>
              </w:rPr>
            </w:pPr>
            <w:r>
              <w:rPr>
                <w:rFonts w:hint="eastAsia" w:ascii="宋体" w:hAnsi="宋体" w:cs="宋体"/>
                <w:color w:val="auto"/>
                <w:kern w:val="0"/>
                <w:sz w:val="24"/>
                <w:highlight w:val="none"/>
              </w:rPr>
              <w:t>评标价=修正后的投标总报价一暂估价一暂列金额（不含计日工总额）</w:t>
            </w:r>
          </w:p>
          <w:p w14:paraId="4C6AA50A">
            <w:pPr>
              <w:widowControl/>
              <w:shd w:val="clear" w:fill="FFFFFF" w:themeFill="background1"/>
              <w:spacing w:line="400" w:lineRule="exact"/>
              <w:rPr>
                <w:rFonts w:ascii="宋体" w:hAnsi="宋体" w:cs="宋体"/>
                <w:b/>
                <w:color w:val="auto"/>
                <w:sz w:val="24"/>
                <w:highlight w:val="none"/>
              </w:rPr>
            </w:pPr>
            <w:r>
              <w:rPr>
                <w:rFonts w:hint="eastAsia" w:ascii="宋体" w:hAnsi="宋体" w:cs="宋体"/>
                <w:color w:val="auto"/>
                <w:kern w:val="0"/>
                <w:sz w:val="24"/>
                <w:highlight w:val="none"/>
              </w:rPr>
              <w:t xml:space="preserve">    若投标人的评标价小于最高投标限价85％的，启动澄清程序，要求投标人作出书面说明并提供相关证明材料。投标人不能合理说明或者不能提供相关证明资料的，评标委员会认定该投标人以低于成本报价竞标，否决其投标。当所有投标人的投标因此种情况被否决；或当因此种情况被否决部分投标人后，有效投标人不足三家，评标委员会认为竞争不足的情况出现时，评标委员会可以否决全部投标。未否决全部投标的，评标委员会应当在评标报告中阐明理由并推荐中标候选人。</w:t>
            </w:r>
          </w:p>
        </w:tc>
      </w:tr>
      <w:tr w14:paraId="2DE5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9" w:type="dxa"/>
          <w:trHeight w:val="2295" w:hRule="atLeast"/>
          <w:jc w:val="center"/>
        </w:trPr>
        <w:tc>
          <w:tcPr>
            <w:tcW w:w="1043" w:type="dxa"/>
            <w:vAlign w:val="center"/>
          </w:tcPr>
          <w:p w14:paraId="0DF624B0">
            <w:pPr>
              <w:widowControl/>
              <w:shd w:val="clear" w:fill="FFFFFF" w:themeFill="background1"/>
              <w:spacing w:line="400" w:lineRule="exact"/>
              <w:jc w:val="center"/>
              <w:rPr>
                <w:rFonts w:ascii="宋体" w:hAnsi="宋体" w:cs="宋体"/>
                <w:b/>
                <w:color w:val="auto"/>
                <w:sz w:val="24"/>
                <w:highlight w:val="none"/>
              </w:rPr>
            </w:pPr>
            <w:r>
              <w:rPr>
                <w:rFonts w:hint="eastAsia" w:ascii="宋体" w:hAnsi="宋体" w:cs="宋体"/>
                <w:color w:val="auto"/>
                <w:kern w:val="0"/>
                <w:sz w:val="24"/>
                <w:highlight w:val="none"/>
              </w:rPr>
              <w:t>3.2.4</w:t>
            </w:r>
          </w:p>
        </w:tc>
        <w:tc>
          <w:tcPr>
            <w:tcW w:w="1238" w:type="dxa"/>
            <w:gridSpan w:val="3"/>
            <w:vAlign w:val="center"/>
          </w:tcPr>
          <w:p w14:paraId="353E5909">
            <w:pPr>
              <w:widowControl/>
              <w:shd w:val="clear" w:fill="FFFFFF" w:themeFill="background1"/>
              <w:spacing w:line="400" w:lineRule="exact"/>
              <w:jc w:val="center"/>
              <w:rPr>
                <w:rFonts w:ascii="宋体" w:hAnsi="宋体" w:cs="宋体"/>
                <w:b/>
                <w:color w:val="auto"/>
                <w:sz w:val="24"/>
                <w:highlight w:val="none"/>
              </w:rPr>
            </w:pPr>
            <w:r>
              <w:rPr>
                <w:rFonts w:hint="eastAsia" w:ascii="宋体" w:hAnsi="宋体" w:cs="宋体"/>
                <w:color w:val="auto"/>
                <w:kern w:val="0"/>
                <w:sz w:val="24"/>
                <w:highlight w:val="none"/>
              </w:rPr>
              <w:t>通过第一个信封详细评审的投标人数量</w:t>
            </w:r>
          </w:p>
        </w:tc>
        <w:tc>
          <w:tcPr>
            <w:tcW w:w="7853" w:type="dxa"/>
            <w:gridSpan w:val="6"/>
            <w:vAlign w:val="center"/>
          </w:tcPr>
          <w:p w14:paraId="0C364B2E">
            <w:pPr>
              <w:widowControl/>
              <w:shd w:val="clear" w:fill="FFFFFF" w:themeFill="background1"/>
              <w:spacing w:line="400" w:lineRule="exact"/>
              <w:rPr>
                <w:rFonts w:ascii="宋体" w:hAnsi="宋体" w:cs="宋体"/>
                <w:b/>
                <w:color w:val="auto"/>
                <w:sz w:val="24"/>
                <w:highlight w:val="none"/>
              </w:rPr>
            </w:pPr>
            <w:r>
              <w:rPr>
                <w:rFonts w:hint="eastAsia" w:ascii="宋体" w:hAnsi="宋体" w:cs="宋体"/>
                <w:color w:val="auto"/>
                <w:kern w:val="0"/>
                <w:sz w:val="24"/>
                <w:highlight w:val="none"/>
              </w:rPr>
              <w:t>按照投标人的商务和技术得分由高到低排序，选择前 5 名（不少于 3 名但不足 5 名时，按全部实际数量）通过详细评审。</w:t>
            </w:r>
          </w:p>
        </w:tc>
      </w:tr>
      <w:tr w14:paraId="49F80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3" w:type="dxa"/>
            <w:gridSpan w:val="11"/>
          </w:tcPr>
          <w:p w14:paraId="7084EFA2">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评分因素与权重分值</w:t>
            </w:r>
          </w:p>
        </w:tc>
      </w:tr>
      <w:tr w14:paraId="29BE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gridSpan w:val="3"/>
            <w:vAlign w:val="center"/>
          </w:tcPr>
          <w:p w14:paraId="7FA8E7B1">
            <w:pPr>
              <w:widowControl/>
              <w:shd w:val="clear" w:fill="FFFFFF" w:themeFill="background1"/>
              <w:spacing w:line="400" w:lineRule="exact"/>
              <w:jc w:val="center"/>
              <w:rPr>
                <w:rFonts w:ascii="宋体" w:hAnsi="宋体" w:cs="宋体"/>
                <w:b/>
                <w:bCs/>
                <w:color w:val="auto"/>
                <w:sz w:val="24"/>
                <w:highlight w:val="none"/>
              </w:rPr>
            </w:pPr>
            <w:r>
              <w:rPr>
                <w:rFonts w:hint="eastAsia" w:ascii="宋体" w:hAnsi="宋体" w:cs="宋体"/>
                <w:b/>
                <w:bCs/>
                <w:color w:val="auto"/>
                <w:kern w:val="0"/>
                <w:sz w:val="24"/>
                <w:highlight w:val="none"/>
              </w:rPr>
              <w:t>条款号</w:t>
            </w:r>
          </w:p>
        </w:tc>
        <w:tc>
          <w:tcPr>
            <w:tcW w:w="1089" w:type="dxa"/>
            <w:gridSpan w:val="3"/>
            <w:vAlign w:val="center"/>
          </w:tcPr>
          <w:p w14:paraId="158A520A">
            <w:pPr>
              <w:widowControl/>
              <w:shd w:val="clear" w:fill="FFFFFF" w:themeFill="background1"/>
              <w:spacing w:line="400" w:lineRule="exact"/>
              <w:jc w:val="center"/>
              <w:rPr>
                <w:rFonts w:ascii="宋体" w:hAnsi="宋体" w:cs="宋体"/>
                <w:b/>
                <w:bCs/>
                <w:color w:val="auto"/>
                <w:sz w:val="24"/>
                <w:highlight w:val="none"/>
              </w:rPr>
            </w:pPr>
            <w:r>
              <w:rPr>
                <w:rFonts w:hint="eastAsia" w:ascii="宋体" w:hAnsi="宋体" w:cs="宋体"/>
                <w:b/>
                <w:bCs/>
                <w:color w:val="auto"/>
                <w:kern w:val="0"/>
                <w:sz w:val="24"/>
                <w:highlight w:val="none"/>
              </w:rPr>
              <w:t>评分因素</w:t>
            </w:r>
          </w:p>
        </w:tc>
        <w:tc>
          <w:tcPr>
            <w:tcW w:w="800" w:type="dxa"/>
            <w:vAlign w:val="center"/>
          </w:tcPr>
          <w:p w14:paraId="0348CE3E">
            <w:pPr>
              <w:widowControl/>
              <w:shd w:val="clear" w:fill="FFFFFF" w:themeFill="background1"/>
              <w:spacing w:line="400" w:lineRule="exact"/>
              <w:jc w:val="center"/>
              <w:rPr>
                <w:rFonts w:ascii="宋体" w:hAnsi="宋体" w:cs="宋体"/>
                <w:b/>
                <w:bCs/>
                <w:color w:val="auto"/>
                <w:sz w:val="24"/>
                <w:highlight w:val="none"/>
              </w:rPr>
            </w:pPr>
            <w:r>
              <w:rPr>
                <w:rFonts w:hint="eastAsia" w:ascii="宋体" w:hAnsi="宋体" w:cs="宋体"/>
                <w:b/>
                <w:bCs/>
                <w:color w:val="auto"/>
                <w:kern w:val="0"/>
                <w:sz w:val="24"/>
                <w:highlight w:val="none"/>
              </w:rPr>
              <w:t>评分因素权重</w:t>
            </w:r>
          </w:p>
        </w:tc>
        <w:tc>
          <w:tcPr>
            <w:tcW w:w="1175" w:type="dxa"/>
            <w:vAlign w:val="center"/>
          </w:tcPr>
          <w:p w14:paraId="1033B886">
            <w:pPr>
              <w:widowControl/>
              <w:shd w:val="clear" w:fill="FFFFFF" w:themeFill="background1"/>
              <w:spacing w:line="400" w:lineRule="exact"/>
              <w:jc w:val="center"/>
              <w:rPr>
                <w:rFonts w:ascii="宋体" w:hAnsi="宋体" w:cs="宋体"/>
                <w:b/>
                <w:bCs/>
                <w:color w:val="auto"/>
                <w:sz w:val="24"/>
                <w:highlight w:val="none"/>
              </w:rPr>
            </w:pPr>
            <w:r>
              <w:rPr>
                <w:rFonts w:hint="eastAsia" w:ascii="宋体" w:hAnsi="宋体" w:cs="宋体"/>
                <w:b/>
                <w:bCs/>
                <w:color w:val="auto"/>
                <w:kern w:val="0"/>
                <w:sz w:val="24"/>
                <w:highlight w:val="none"/>
              </w:rPr>
              <w:t>各评分因素细分项</w:t>
            </w:r>
          </w:p>
        </w:tc>
        <w:tc>
          <w:tcPr>
            <w:tcW w:w="837" w:type="dxa"/>
            <w:vAlign w:val="center"/>
          </w:tcPr>
          <w:p w14:paraId="6B57FDEB">
            <w:pPr>
              <w:widowControl/>
              <w:shd w:val="clear" w:fill="FFFFFF" w:themeFill="background1"/>
              <w:spacing w:line="400" w:lineRule="exact"/>
              <w:jc w:val="center"/>
              <w:rPr>
                <w:rFonts w:ascii="宋体" w:hAnsi="宋体" w:cs="宋体"/>
                <w:b/>
                <w:bCs/>
                <w:color w:val="auto"/>
                <w:sz w:val="24"/>
                <w:highlight w:val="none"/>
              </w:rPr>
            </w:pPr>
            <w:r>
              <w:rPr>
                <w:rFonts w:hint="eastAsia" w:ascii="宋体" w:hAnsi="宋体" w:cs="宋体"/>
                <w:b/>
                <w:bCs/>
                <w:color w:val="auto"/>
                <w:kern w:val="0"/>
                <w:sz w:val="24"/>
                <w:highlight w:val="none"/>
              </w:rPr>
              <w:t>分值</w:t>
            </w:r>
          </w:p>
        </w:tc>
        <w:tc>
          <w:tcPr>
            <w:tcW w:w="5016" w:type="dxa"/>
            <w:gridSpan w:val="2"/>
            <w:vAlign w:val="center"/>
          </w:tcPr>
          <w:p w14:paraId="511EE2F2">
            <w:pPr>
              <w:widowControl/>
              <w:shd w:val="clear" w:fill="FFFFFF" w:themeFill="background1"/>
              <w:spacing w:line="400" w:lineRule="exact"/>
              <w:jc w:val="center"/>
              <w:rPr>
                <w:rFonts w:ascii="宋体" w:hAnsi="宋体" w:cs="宋体"/>
                <w:b/>
                <w:bCs/>
                <w:color w:val="auto"/>
                <w:sz w:val="24"/>
                <w:highlight w:val="none"/>
              </w:rPr>
            </w:pPr>
            <w:r>
              <w:rPr>
                <w:rFonts w:hint="eastAsia" w:ascii="宋体" w:hAnsi="宋体" w:cs="宋体"/>
                <w:b/>
                <w:bCs/>
                <w:color w:val="auto"/>
                <w:kern w:val="0"/>
                <w:sz w:val="24"/>
                <w:highlight w:val="none"/>
              </w:rPr>
              <w:t>评分标准</w:t>
            </w:r>
          </w:p>
        </w:tc>
      </w:tr>
      <w:tr w14:paraId="3AFF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gridSpan w:val="3"/>
            <w:vMerge w:val="restart"/>
            <w:vAlign w:val="center"/>
          </w:tcPr>
          <w:p w14:paraId="26460DF6">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2.2.2</w:t>
            </w:r>
          </w:p>
          <w:p w14:paraId="0296F5DC">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(1)</w:t>
            </w:r>
          </w:p>
        </w:tc>
        <w:tc>
          <w:tcPr>
            <w:tcW w:w="1089" w:type="dxa"/>
            <w:gridSpan w:val="3"/>
            <w:vMerge w:val="restart"/>
            <w:vAlign w:val="center"/>
          </w:tcPr>
          <w:p w14:paraId="5122F274">
            <w:pPr>
              <w:widowControl/>
              <w:shd w:val="clear" w:fill="FFFFFF" w:themeFill="background1"/>
              <w:spacing w:line="400" w:lineRule="exact"/>
              <w:jc w:val="center"/>
              <w:rPr>
                <w:rFonts w:ascii="宋体" w:hAnsi="宋体" w:cs="宋体"/>
                <w:color w:val="auto"/>
                <w:kern w:val="0"/>
                <w:sz w:val="24"/>
                <w:highlight w:val="none"/>
              </w:rPr>
            </w:pPr>
          </w:p>
          <w:p w14:paraId="2F3B0518">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施工组织设计</w:t>
            </w:r>
          </w:p>
          <w:p w14:paraId="5BBDA8CB">
            <w:pPr>
              <w:shd w:val="clear" w:fill="FFFFFF" w:themeFill="background1"/>
              <w:spacing w:line="400" w:lineRule="exact"/>
              <w:jc w:val="center"/>
              <w:rPr>
                <w:rFonts w:ascii="宋体" w:hAnsi="宋体" w:cs="宋体"/>
                <w:color w:val="auto"/>
                <w:sz w:val="24"/>
                <w:highlight w:val="none"/>
              </w:rPr>
            </w:pPr>
          </w:p>
        </w:tc>
        <w:tc>
          <w:tcPr>
            <w:tcW w:w="800" w:type="dxa"/>
            <w:vMerge w:val="restart"/>
            <w:vAlign w:val="center"/>
          </w:tcPr>
          <w:p w14:paraId="4B5383B1">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40分</w:t>
            </w:r>
          </w:p>
        </w:tc>
        <w:tc>
          <w:tcPr>
            <w:tcW w:w="1175" w:type="dxa"/>
            <w:vAlign w:val="center"/>
          </w:tcPr>
          <w:p w14:paraId="59BA730A">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sz w:val="24"/>
                <w:highlight w:val="none"/>
              </w:rPr>
            </w:pPr>
            <w:r>
              <w:rPr>
                <w:rFonts w:ascii="宋体" w:hAnsi="宋体" w:cs="宋体"/>
                <w:color w:val="auto"/>
                <w:sz w:val="24"/>
                <w:highlight w:val="none"/>
              </w:rPr>
              <w:t>总体施</w:t>
            </w:r>
          </w:p>
          <w:p w14:paraId="0852D4C6">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sz w:val="24"/>
                <w:highlight w:val="none"/>
              </w:rPr>
            </w:pPr>
            <w:r>
              <w:rPr>
                <w:rFonts w:ascii="宋体" w:hAnsi="宋体" w:cs="宋体"/>
                <w:color w:val="auto"/>
                <w:sz w:val="24"/>
                <w:highlight w:val="none"/>
              </w:rPr>
              <w:t>工组织</w:t>
            </w:r>
          </w:p>
          <w:p w14:paraId="5346AB3E">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sz w:val="24"/>
                <w:highlight w:val="none"/>
              </w:rPr>
            </w:pPr>
            <w:r>
              <w:rPr>
                <w:rFonts w:ascii="宋体" w:hAnsi="宋体" w:cs="宋体"/>
                <w:color w:val="auto"/>
                <w:sz w:val="24"/>
                <w:highlight w:val="none"/>
              </w:rPr>
              <w:t>布置及</w:t>
            </w:r>
          </w:p>
          <w:p w14:paraId="2AA3D6E5">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sz w:val="24"/>
                <w:highlight w:val="none"/>
              </w:rPr>
            </w:pPr>
            <w:r>
              <w:rPr>
                <w:rFonts w:ascii="宋体" w:hAnsi="宋体" w:cs="宋体"/>
                <w:color w:val="auto"/>
                <w:sz w:val="24"/>
                <w:highlight w:val="none"/>
              </w:rPr>
              <w:t>规划</w:t>
            </w:r>
          </w:p>
        </w:tc>
        <w:tc>
          <w:tcPr>
            <w:tcW w:w="837" w:type="dxa"/>
            <w:vAlign w:val="center"/>
          </w:tcPr>
          <w:p w14:paraId="7040C52C">
            <w:pPr>
              <w:widowControl/>
              <w:shd w:val="clear" w:fill="FFFFFF" w:themeFill="background1"/>
              <w:tabs>
                <w:tab w:val="left" w:pos="223"/>
              </w:tabs>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u w:val="single"/>
              </w:rPr>
              <w:t>15</w:t>
            </w:r>
            <w:r>
              <w:rPr>
                <w:rFonts w:ascii="宋体" w:hAnsi="宋体" w:cs="宋体"/>
                <w:color w:val="auto"/>
                <w:sz w:val="24"/>
                <w:highlight w:val="none"/>
              </w:rPr>
              <w:t>分</w:t>
            </w:r>
          </w:p>
        </w:tc>
        <w:tc>
          <w:tcPr>
            <w:tcW w:w="5016" w:type="dxa"/>
            <w:gridSpan w:val="2"/>
            <w:vAlign w:val="center"/>
          </w:tcPr>
          <w:p w14:paraId="2D949196">
            <w:pPr>
              <w:widowControl/>
              <w:shd w:val="clear" w:fill="FFFFFF" w:themeFill="background1"/>
              <w:tabs>
                <w:tab w:val="left" w:pos="241"/>
              </w:tabs>
              <w:autoSpaceDE w:val="0"/>
              <w:autoSpaceDN w:val="0"/>
              <w:adjustRightInd w:val="0"/>
              <w:snapToGrid w:val="0"/>
              <w:spacing w:line="400" w:lineRule="exact"/>
              <w:ind w:firstLine="2"/>
              <w:textAlignment w:val="baseline"/>
              <w:rPr>
                <w:rFonts w:ascii="宋体" w:hAnsi="宋体" w:cs="宋体"/>
                <w:color w:val="auto"/>
                <w:sz w:val="24"/>
                <w:highlight w:val="none"/>
              </w:rPr>
            </w:pPr>
            <w:r>
              <w:rPr>
                <w:rFonts w:ascii="宋体" w:hAnsi="宋体" w:cs="宋体"/>
                <w:color w:val="auto"/>
                <w:sz w:val="24"/>
                <w:highlight w:val="none"/>
              </w:rPr>
              <w:t>(1)对项目的基本情况了解全面、准确，施工总体布置规划、施工进度计划科学合理、可操作性强，按《广东省公路工程施工标准化指南》及《公路工程施工安全防护设施技术指南》执行，得</w:t>
            </w:r>
            <w:r>
              <w:rPr>
                <w:rFonts w:hint="eastAsia" w:ascii="宋体" w:hAnsi="宋体" w:cs="宋体"/>
                <w:color w:val="auto"/>
                <w:sz w:val="24"/>
                <w:highlight w:val="none"/>
                <w:u w:val="single"/>
              </w:rPr>
              <w:t xml:space="preserve"> 12.1~15.0 </w:t>
            </w:r>
            <w:r>
              <w:rPr>
                <w:rFonts w:ascii="宋体" w:hAnsi="宋体" w:cs="宋体"/>
                <w:color w:val="auto"/>
                <w:sz w:val="24"/>
                <w:highlight w:val="none"/>
              </w:rPr>
              <w:t>分(满分分值的80%~100%)；</w:t>
            </w:r>
          </w:p>
          <w:p w14:paraId="43B3A997">
            <w:pPr>
              <w:widowControl/>
              <w:shd w:val="clear" w:fill="FFFFFF" w:themeFill="background1"/>
              <w:tabs>
                <w:tab w:val="left" w:pos="241"/>
              </w:tabs>
              <w:autoSpaceDE w:val="0"/>
              <w:autoSpaceDN w:val="0"/>
              <w:adjustRightInd w:val="0"/>
              <w:snapToGrid w:val="0"/>
              <w:spacing w:line="400" w:lineRule="exact"/>
              <w:ind w:firstLine="2"/>
              <w:textAlignment w:val="baseline"/>
              <w:rPr>
                <w:rFonts w:ascii="宋体" w:hAnsi="宋体" w:cs="宋体"/>
                <w:color w:val="auto"/>
                <w:sz w:val="24"/>
                <w:highlight w:val="none"/>
              </w:rPr>
            </w:pPr>
            <w:r>
              <w:rPr>
                <w:rFonts w:ascii="宋体" w:hAnsi="宋体" w:cs="宋体"/>
                <w:color w:val="auto"/>
                <w:sz w:val="24"/>
                <w:highlight w:val="none"/>
              </w:rPr>
              <w:t>(2)满足工程建设需要，施工总体布置规划、施工进度计划基本可行，得</w:t>
            </w:r>
            <w:r>
              <w:rPr>
                <w:rFonts w:hint="eastAsia" w:ascii="宋体" w:hAnsi="宋体" w:cs="宋体"/>
                <w:color w:val="auto"/>
                <w:sz w:val="24"/>
                <w:highlight w:val="none"/>
                <w:u w:val="single"/>
              </w:rPr>
              <w:t xml:space="preserve"> 9.1~12.0 </w:t>
            </w:r>
            <w:r>
              <w:rPr>
                <w:rFonts w:ascii="宋体" w:hAnsi="宋体" w:cs="宋体"/>
                <w:color w:val="auto"/>
                <w:sz w:val="24"/>
                <w:highlight w:val="none"/>
              </w:rPr>
              <w:t>分(满分分值的 60%~80%)；</w:t>
            </w:r>
          </w:p>
          <w:p w14:paraId="25FFC9B0">
            <w:pPr>
              <w:widowControl/>
              <w:shd w:val="clear" w:fill="FFFFFF" w:themeFill="background1"/>
              <w:tabs>
                <w:tab w:val="left" w:pos="241"/>
              </w:tabs>
              <w:autoSpaceDE w:val="0"/>
              <w:autoSpaceDN w:val="0"/>
              <w:adjustRightInd w:val="0"/>
              <w:snapToGrid w:val="0"/>
              <w:spacing w:line="400" w:lineRule="exact"/>
              <w:ind w:firstLine="2"/>
              <w:textAlignment w:val="baseline"/>
              <w:rPr>
                <w:rFonts w:ascii="宋体" w:hAnsi="宋体" w:cs="宋体"/>
                <w:color w:val="auto"/>
                <w:sz w:val="24"/>
                <w:highlight w:val="none"/>
              </w:rPr>
            </w:pPr>
            <w:r>
              <w:rPr>
                <w:rFonts w:ascii="宋体" w:hAnsi="宋体" w:cs="宋体"/>
                <w:color w:val="auto"/>
                <w:sz w:val="24"/>
                <w:highlight w:val="none"/>
              </w:rPr>
              <w:t>(3)一般但不被评定为不响应的,得</w:t>
            </w:r>
            <w:r>
              <w:rPr>
                <w:rFonts w:hint="eastAsia" w:ascii="宋体" w:hAnsi="宋体" w:cs="宋体"/>
                <w:color w:val="auto"/>
                <w:sz w:val="24"/>
                <w:highlight w:val="none"/>
                <w:u w:val="single"/>
              </w:rPr>
              <w:t xml:space="preserve"> 9 </w:t>
            </w:r>
            <w:r>
              <w:rPr>
                <w:rFonts w:ascii="宋体" w:hAnsi="宋体" w:cs="宋体"/>
                <w:color w:val="auto"/>
                <w:sz w:val="24"/>
                <w:highlight w:val="none"/>
              </w:rPr>
              <w:t>分(满分分值的 60%)。</w:t>
            </w:r>
          </w:p>
        </w:tc>
      </w:tr>
      <w:tr w14:paraId="6E6E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gridSpan w:val="3"/>
            <w:vMerge w:val="continue"/>
            <w:vAlign w:val="center"/>
          </w:tcPr>
          <w:p w14:paraId="60B34FF7">
            <w:pPr>
              <w:shd w:val="clear" w:fill="FFFFFF" w:themeFill="background1"/>
              <w:spacing w:line="400" w:lineRule="exact"/>
              <w:jc w:val="center"/>
              <w:rPr>
                <w:rFonts w:ascii="宋体" w:hAnsi="宋体" w:cs="宋体"/>
                <w:color w:val="auto"/>
                <w:sz w:val="24"/>
                <w:highlight w:val="none"/>
              </w:rPr>
            </w:pPr>
          </w:p>
        </w:tc>
        <w:tc>
          <w:tcPr>
            <w:tcW w:w="1089" w:type="dxa"/>
            <w:gridSpan w:val="3"/>
            <w:vMerge w:val="continue"/>
            <w:vAlign w:val="center"/>
          </w:tcPr>
          <w:p w14:paraId="4129B703">
            <w:pPr>
              <w:shd w:val="clear" w:fill="FFFFFF" w:themeFill="background1"/>
              <w:spacing w:line="400" w:lineRule="exact"/>
              <w:jc w:val="center"/>
              <w:rPr>
                <w:rFonts w:ascii="宋体" w:hAnsi="宋体" w:cs="宋体"/>
                <w:color w:val="auto"/>
                <w:sz w:val="24"/>
                <w:highlight w:val="none"/>
              </w:rPr>
            </w:pPr>
          </w:p>
        </w:tc>
        <w:tc>
          <w:tcPr>
            <w:tcW w:w="800" w:type="dxa"/>
            <w:vMerge w:val="continue"/>
            <w:vAlign w:val="center"/>
          </w:tcPr>
          <w:p w14:paraId="306AFDE9">
            <w:pPr>
              <w:widowControl/>
              <w:shd w:val="clear" w:fill="FFFFFF" w:themeFill="background1"/>
              <w:spacing w:line="400" w:lineRule="exact"/>
              <w:jc w:val="center"/>
              <w:rPr>
                <w:rFonts w:ascii="宋体" w:hAnsi="宋体" w:cs="宋体"/>
                <w:color w:val="auto"/>
                <w:sz w:val="24"/>
                <w:highlight w:val="none"/>
              </w:rPr>
            </w:pPr>
          </w:p>
        </w:tc>
        <w:tc>
          <w:tcPr>
            <w:tcW w:w="1175" w:type="dxa"/>
            <w:vAlign w:val="center"/>
          </w:tcPr>
          <w:p w14:paraId="021794FA">
            <w:pPr>
              <w:widowControl/>
              <w:shd w:val="clear" w:fill="FFFFFF" w:themeFill="background1"/>
              <w:autoSpaceDE w:val="0"/>
              <w:autoSpaceDN w:val="0"/>
              <w:adjustRightInd w:val="0"/>
              <w:snapToGrid w:val="0"/>
              <w:spacing w:line="360" w:lineRule="auto"/>
              <w:ind w:firstLine="1"/>
              <w:jc w:val="center"/>
              <w:textAlignment w:val="baseline"/>
              <w:rPr>
                <w:rFonts w:ascii="宋体" w:hAnsi="宋体" w:cs="宋体"/>
                <w:color w:val="auto"/>
                <w:sz w:val="24"/>
                <w:highlight w:val="none"/>
              </w:rPr>
            </w:pPr>
            <w:r>
              <w:rPr>
                <w:rFonts w:ascii="宋体" w:hAnsi="宋体" w:cs="宋体"/>
                <w:color w:val="auto"/>
                <w:sz w:val="24"/>
                <w:highlight w:val="none"/>
              </w:rPr>
              <w:t>重点、难 点和关 键工程 的施工 方案与 技术措 施</w:t>
            </w:r>
          </w:p>
        </w:tc>
        <w:tc>
          <w:tcPr>
            <w:tcW w:w="837" w:type="dxa"/>
            <w:vAlign w:val="center"/>
          </w:tcPr>
          <w:p w14:paraId="5AEEA242">
            <w:pPr>
              <w:widowControl/>
              <w:shd w:val="clear" w:fill="FFFFFF" w:themeFill="background1"/>
              <w:tabs>
                <w:tab w:val="left" w:pos="223"/>
              </w:tabs>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u w:val="single"/>
              </w:rPr>
              <w:t>15</w:t>
            </w:r>
            <w:r>
              <w:rPr>
                <w:rFonts w:ascii="宋体" w:hAnsi="宋体" w:cs="宋体"/>
                <w:color w:val="auto"/>
                <w:sz w:val="24"/>
                <w:highlight w:val="none"/>
              </w:rPr>
              <w:t>分</w:t>
            </w:r>
          </w:p>
        </w:tc>
        <w:tc>
          <w:tcPr>
            <w:tcW w:w="5016" w:type="dxa"/>
            <w:gridSpan w:val="2"/>
            <w:vAlign w:val="center"/>
          </w:tcPr>
          <w:p w14:paraId="50FC77DB">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(1)对项目重点、难点和关键工程认识分析透彻，能充分发挥自身优势，积极采用“四新”技术，制定的施工方案与技术措施针对性和可操作性强，重点突出的，按《广东省公路工程施工标准化指南》及《公路工程施工安全防护设施技术指南》执行，得</w:t>
            </w:r>
            <w:r>
              <w:rPr>
                <w:rFonts w:hint="eastAsia" w:ascii="宋体" w:hAnsi="宋体" w:cs="宋体"/>
                <w:color w:val="auto"/>
                <w:sz w:val="24"/>
                <w:highlight w:val="none"/>
                <w:u w:val="single"/>
              </w:rPr>
              <w:t xml:space="preserve"> 12.1~15 .0</w:t>
            </w:r>
            <w:r>
              <w:rPr>
                <w:rFonts w:ascii="宋体" w:hAnsi="宋体" w:cs="宋体"/>
                <w:color w:val="auto"/>
                <w:sz w:val="24"/>
                <w:highlight w:val="none"/>
              </w:rPr>
              <w:t>分(满分分值的80%~ 100%)；</w:t>
            </w:r>
          </w:p>
          <w:p w14:paraId="3EF9AB1B">
            <w:pPr>
              <w:widowControl/>
              <w:shd w:val="clear" w:fill="FFFFFF" w:themeFill="background1"/>
              <w:autoSpaceDE w:val="0"/>
              <w:autoSpaceDN w:val="0"/>
              <w:adjustRightInd w:val="0"/>
              <w:snapToGrid w:val="0"/>
              <w:spacing w:line="400" w:lineRule="exact"/>
              <w:ind w:hanging="1"/>
              <w:textAlignment w:val="baseline"/>
              <w:rPr>
                <w:rFonts w:ascii="宋体" w:hAnsi="宋体" w:cs="宋体"/>
                <w:color w:val="auto"/>
                <w:sz w:val="24"/>
                <w:highlight w:val="none"/>
              </w:rPr>
            </w:pPr>
            <w:r>
              <w:rPr>
                <w:rFonts w:ascii="宋体" w:hAnsi="宋体" w:cs="宋体"/>
                <w:color w:val="auto"/>
                <w:sz w:val="24"/>
                <w:highlight w:val="none"/>
              </w:rPr>
              <w:t>(2)对项目重点、难点和关键工程认识基本到位，施工方案与技术措施基本可行，重点较为突出的，得</w:t>
            </w:r>
            <w:r>
              <w:rPr>
                <w:rFonts w:hint="eastAsia" w:ascii="宋体" w:hAnsi="宋体" w:cs="宋体"/>
                <w:color w:val="auto"/>
                <w:sz w:val="24"/>
                <w:highlight w:val="none"/>
                <w:u w:val="single"/>
              </w:rPr>
              <w:t xml:space="preserve"> 9.1~12.0 </w:t>
            </w:r>
            <w:r>
              <w:rPr>
                <w:rFonts w:ascii="宋体" w:hAnsi="宋体" w:cs="宋体"/>
                <w:color w:val="auto"/>
                <w:sz w:val="24"/>
                <w:highlight w:val="none"/>
              </w:rPr>
              <w:t>分(满分分值的60%~80%)；</w:t>
            </w:r>
          </w:p>
          <w:p w14:paraId="756D0687">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(3)一般但不被评定为不响应的，得</w:t>
            </w:r>
            <w:r>
              <w:rPr>
                <w:rFonts w:hint="eastAsia" w:ascii="宋体" w:hAnsi="宋体" w:cs="宋体"/>
                <w:color w:val="auto"/>
                <w:sz w:val="24"/>
                <w:highlight w:val="none"/>
                <w:u w:val="single"/>
              </w:rPr>
              <w:t xml:space="preserve"> 9 </w:t>
            </w:r>
            <w:r>
              <w:rPr>
                <w:rFonts w:ascii="宋体" w:hAnsi="宋体" w:cs="宋体"/>
                <w:color w:val="auto"/>
                <w:sz w:val="24"/>
                <w:highlight w:val="none"/>
              </w:rPr>
              <w:t>分(满分分值的60%) 。</w:t>
            </w:r>
          </w:p>
        </w:tc>
      </w:tr>
      <w:tr w14:paraId="347E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1236" w:type="dxa"/>
            <w:gridSpan w:val="3"/>
            <w:vMerge w:val="continue"/>
            <w:vAlign w:val="center"/>
          </w:tcPr>
          <w:p w14:paraId="549FA69F">
            <w:pPr>
              <w:shd w:val="clear" w:fill="FFFFFF" w:themeFill="background1"/>
              <w:spacing w:line="400" w:lineRule="exact"/>
              <w:jc w:val="center"/>
              <w:rPr>
                <w:rFonts w:ascii="宋体" w:hAnsi="宋体" w:cs="宋体"/>
                <w:color w:val="auto"/>
                <w:sz w:val="24"/>
                <w:highlight w:val="none"/>
              </w:rPr>
            </w:pPr>
          </w:p>
        </w:tc>
        <w:tc>
          <w:tcPr>
            <w:tcW w:w="1089" w:type="dxa"/>
            <w:gridSpan w:val="3"/>
            <w:vMerge w:val="continue"/>
            <w:vAlign w:val="center"/>
          </w:tcPr>
          <w:p w14:paraId="4BEA1785">
            <w:pPr>
              <w:shd w:val="clear" w:fill="FFFFFF" w:themeFill="background1"/>
              <w:spacing w:line="400" w:lineRule="exact"/>
              <w:jc w:val="center"/>
              <w:rPr>
                <w:rFonts w:ascii="宋体" w:hAnsi="宋体" w:cs="宋体"/>
                <w:color w:val="auto"/>
                <w:sz w:val="24"/>
                <w:highlight w:val="none"/>
              </w:rPr>
            </w:pPr>
          </w:p>
        </w:tc>
        <w:tc>
          <w:tcPr>
            <w:tcW w:w="800" w:type="dxa"/>
            <w:vMerge w:val="continue"/>
            <w:vAlign w:val="center"/>
          </w:tcPr>
          <w:p w14:paraId="1CE20E6C">
            <w:pPr>
              <w:widowControl/>
              <w:shd w:val="clear" w:fill="FFFFFF" w:themeFill="background1"/>
              <w:spacing w:line="400" w:lineRule="exact"/>
              <w:jc w:val="center"/>
              <w:rPr>
                <w:rFonts w:ascii="宋体" w:hAnsi="宋体" w:cs="宋体"/>
                <w:color w:val="auto"/>
                <w:sz w:val="24"/>
                <w:highlight w:val="none"/>
              </w:rPr>
            </w:pPr>
          </w:p>
        </w:tc>
        <w:tc>
          <w:tcPr>
            <w:tcW w:w="1175" w:type="dxa"/>
            <w:vAlign w:val="center"/>
          </w:tcPr>
          <w:p w14:paraId="6E1184FE">
            <w:pPr>
              <w:widowControl/>
              <w:shd w:val="clear" w:fill="FFFFFF" w:themeFill="background1"/>
              <w:autoSpaceDE w:val="0"/>
              <w:autoSpaceDN w:val="0"/>
              <w:adjustRightInd w:val="0"/>
              <w:snapToGrid w:val="0"/>
              <w:spacing w:line="360" w:lineRule="auto"/>
              <w:ind w:firstLine="3"/>
              <w:jc w:val="center"/>
              <w:textAlignment w:val="baseline"/>
              <w:rPr>
                <w:rFonts w:ascii="宋体" w:hAnsi="宋体" w:cs="宋体"/>
                <w:color w:val="auto"/>
                <w:sz w:val="24"/>
                <w:highlight w:val="none"/>
              </w:rPr>
            </w:pPr>
            <w:r>
              <w:rPr>
                <w:rFonts w:ascii="宋体" w:hAnsi="宋体" w:cs="宋体"/>
                <w:color w:val="auto"/>
                <w:sz w:val="24"/>
                <w:highlight w:val="none"/>
              </w:rPr>
              <w:t>工期、质 量、安 全、环保 水保、文 明施工 保证措 施</w:t>
            </w:r>
          </w:p>
        </w:tc>
        <w:tc>
          <w:tcPr>
            <w:tcW w:w="837" w:type="dxa"/>
            <w:vAlign w:val="center"/>
          </w:tcPr>
          <w:p w14:paraId="322646AB">
            <w:pPr>
              <w:widowControl/>
              <w:shd w:val="clear" w:fill="FFFFFF" w:themeFill="background1"/>
              <w:tabs>
                <w:tab w:val="left" w:pos="223"/>
              </w:tabs>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u w:val="single"/>
              </w:rPr>
              <w:t>10</w:t>
            </w:r>
            <w:r>
              <w:rPr>
                <w:rFonts w:ascii="宋体" w:hAnsi="宋体" w:cs="宋体"/>
                <w:color w:val="auto"/>
                <w:sz w:val="24"/>
                <w:highlight w:val="none"/>
              </w:rPr>
              <w:t>分</w:t>
            </w:r>
          </w:p>
        </w:tc>
        <w:tc>
          <w:tcPr>
            <w:tcW w:w="4994" w:type="dxa"/>
            <w:vAlign w:val="center"/>
          </w:tcPr>
          <w:p w14:paraId="136DFD1F">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(1)能够准确预判分析工期、质量、安全、环保、水保、文明施工目标实现的主要影响因素，拟采取预防保证措施针对性强、科学有效，重点突出的，按《广东省公路工程施工标准化指南》及《公路工程施工安全防护设施技术指南》执行，得</w:t>
            </w:r>
            <w:r>
              <w:rPr>
                <w:rFonts w:hint="eastAsia" w:ascii="宋体" w:hAnsi="宋体" w:cs="宋体"/>
                <w:color w:val="auto"/>
                <w:sz w:val="24"/>
                <w:highlight w:val="none"/>
                <w:u w:val="single"/>
              </w:rPr>
              <w:t xml:space="preserve"> 8.1~10.0 </w:t>
            </w:r>
            <w:r>
              <w:rPr>
                <w:rFonts w:ascii="宋体" w:hAnsi="宋体" w:cs="宋体"/>
                <w:color w:val="auto"/>
                <w:sz w:val="24"/>
                <w:highlight w:val="none"/>
              </w:rPr>
              <w:t>分(满分分值的80%~100%) ；</w:t>
            </w:r>
          </w:p>
          <w:p w14:paraId="15225E63">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(2)对工期、质量、安全、环保、水保等风险有一定认识，预防保证措施基本可行，重点较为突出的，得</w:t>
            </w:r>
            <w:r>
              <w:rPr>
                <w:rFonts w:hint="eastAsia" w:ascii="宋体" w:hAnsi="宋体" w:cs="宋体"/>
                <w:color w:val="auto"/>
                <w:sz w:val="24"/>
                <w:highlight w:val="none"/>
                <w:u w:val="single"/>
              </w:rPr>
              <w:t xml:space="preserve"> 6.1~8.0 </w:t>
            </w:r>
            <w:r>
              <w:rPr>
                <w:rFonts w:ascii="宋体" w:hAnsi="宋体" w:cs="宋体"/>
                <w:color w:val="auto"/>
                <w:sz w:val="24"/>
                <w:highlight w:val="none"/>
              </w:rPr>
              <w:t>分(满分分值的60%~80%) ；</w:t>
            </w:r>
          </w:p>
          <w:p w14:paraId="581A0F56">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(3)一般但不被评定为不响应的, 得</w:t>
            </w:r>
            <w:r>
              <w:rPr>
                <w:rFonts w:hint="eastAsia" w:ascii="宋体" w:hAnsi="宋体" w:cs="宋体"/>
                <w:color w:val="auto"/>
                <w:sz w:val="24"/>
                <w:highlight w:val="none"/>
                <w:u w:val="single"/>
              </w:rPr>
              <w:t xml:space="preserve"> 6 </w:t>
            </w:r>
            <w:r>
              <w:rPr>
                <w:rFonts w:ascii="宋体" w:hAnsi="宋体" w:cs="宋体"/>
                <w:color w:val="auto"/>
                <w:sz w:val="24"/>
                <w:highlight w:val="none"/>
              </w:rPr>
              <w:t>分(满分分值的60%)。</w:t>
            </w:r>
          </w:p>
        </w:tc>
      </w:tr>
      <w:tr w14:paraId="0651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521" w:hRule="atLeast"/>
          <w:jc w:val="center"/>
        </w:trPr>
        <w:tc>
          <w:tcPr>
            <w:tcW w:w="1236" w:type="dxa"/>
            <w:gridSpan w:val="3"/>
            <w:vMerge w:val="restart"/>
            <w:vAlign w:val="center"/>
          </w:tcPr>
          <w:p w14:paraId="4D57C6AF">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2.2.2</w:t>
            </w:r>
          </w:p>
          <w:p w14:paraId="50F60E28">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(2)</w:t>
            </w:r>
          </w:p>
          <w:p w14:paraId="0A46A836">
            <w:pPr>
              <w:shd w:val="clear" w:fill="FFFFFF" w:themeFill="background1"/>
              <w:spacing w:line="400" w:lineRule="exact"/>
              <w:jc w:val="center"/>
              <w:rPr>
                <w:rFonts w:ascii="宋体" w:hAnsi="宋体" w:cs="宋体"/>
                <w:color w:val="auto"/>
                <w:sz w:val="24"/>
                <w:highlight w:val="none"/>
              </w:rPr>
            </w:pPr>
          </w:p>
        </w:tc>
        <w:tc>
          <w:tcPr>
            <w:tcW w:w="1089" w:type="dxa"/>
            <w:gridSpan w:val="3"/>
            <w:vMerge w:val="restart"/>
            <w:vAlign w:val="center"/>
          </w:tcPr>
          <w:p w14:paraId="53B906DF">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主要人员</w:t>
            </w:r>
          </w:p>
        </w:tc>
        <w:tc>
          <w:tcPr>
            <w:tcW w:w="800" w:type="dxa"/>
            <w:vMerge w:val="restart"/>
            <w:vAlign w:val="center"/>
          </w:tcPr>
          <w:p w14:paraId="0410CF2C">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25分</w:t>
            </w:r>
          </w:p>
        </w:tc>
        <w:tc>
          <w:tcPr>
            <w:tcW w:w="1175" w:type="dxa"/>
            <w:vAlign w:val="center"/>
          </w:tcPr>
          <w:p w14:paraId="5B299628">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kern w:val="0"/>
                <w:sz w:val="24"/>
                <w:highlight w:val="none"/>
              </w:rPr>
              <w:t>项目经</w:t>
            </w:r>
          </w:p>
          <w:p w14:paraId="64B249DE">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kern w:val="0"/>
                <w:sz w:val="24"/>
                <w:highlight w:val="none"/>
              </w:rPr>
              <w:t>理任职</w:t>
            </w:r>
          </w:p>
          <w:p w14:paraId="6950B654">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kern w:val="0"/>
                <w:sz w:val="24"/>
                <w:highlight w:val="none"/>
              </w:rPr>
              <w:t>资格与</w:t>
            </w:r>
          </w:p>
          <w:p w14:paraId="2583C1F8">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kern w:val="0"/>
                <w:sz w:val="24"/>
                <w:highlight w:val="none"/>
              </w:rPr>
              <w:t>业绩</w:t>
            </w:r>
          </w:p>
        </w:tc>
        <w:tc>
          <w:tcPr>
            <w:tcW w:w="837" w:type="dxa"/>
            <w:vAlign w:val="center"/>
          </w:tcPr>
          <w:p w14:paraId="2A0D4F82">
            <w:pPr>
              <w:widowControl/>
              <w:shd w:val="clear" w:fill="FFFFFF" w:themeFill="background1"/>
              <w:tabs>
                <w:tab w:val="left" w:pos="223"/>
              </w:tabs>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sz w:val="24"/>
                <w:highlight w:val="none"/>
                <w:u w:val="single"/>
              </w:rPr>
              <w:t>15</w:t>
            </w:r>
            <w:r>
              <w:rPr>
                <w:rFonts w:ascii="宋体" w:hAnsi="宋体" w:cs="宋体"/>
                <w:color w:val="auto"/>
                <w:sz w:val="24"/>
                <w:highlight w:val="none"/>
              </w:rPr>
              <w:t>分</w:t>
            </w:r>
          </w:p>
        </w:tc>
        <w:tc>
          <w:tcPr>
            <w:tcW w:w="4994" w:type="dxa"/>
            <w:vAlign w:val="center"/>
          </w:tcPr>
          <w:p w14:paraId="7EA67D56">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(1)满足资格审查条件(项目经理和项目总工最低要求)时，得</w:t>
            </w:r>
            <w:r>
              <w:rPr>
                <w:rFonts w:hint="eastAsia" w:ascii="宋体" w:hAnsi="宋体" w:cs="宋体"/>
                <w:color w:val="auto"/>
                <w:sz w:val="24"/>
                <w:highlight w:val="none"/>
                <w:u w:val="single"/>
              </w:rPr>
              <w:t xml:space="preserve"> 5 </w:t>
            </w:r>
            <w:r>
              <w:rPr>
                <w:rFonts w:ascii="宋体" w:hAnsi="宋体" w:cs="宋体"/>
                <w:color w:val="auto"/>
                <w:sz w:val="24"/>
                <w:highlight w:val="none"/>
              </w:rPr>
              <w:t>分；</w:t>
            </w:r>
          </w:p>
          <w:p w14:paraId="6500B926">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(2)项目经理具有工程师</w:t>
            </w:r>
            <w:r>
              <w:rPr>
                <w:rFonts w:hint="eastAsia" w:ascii="宋体" w:hAnsi="宋体" w:cs="宋体"/>
                <w:color w:val="auto"/>
                <w:sz w:val="24"/>
                <w:highlight w:val="none"/>
              </w:rPr>
              <w:t>或以上技术职称</w:t>
            </w:r>
            <w:r>
              <w:rPr>
                <w:rFonts w:ascii="宋体" w:hAnsi="宋体" w:cs="宋体"/>
                <w:color w:val="auto"/>
                <w:sz w:val="24"/>
                <w:highlight w:val="none"/>
              </w:rPr>
              <w:t>，加</w:t>
            </w:r>
            <w:r>
              <w:rPr>
                <w:rFonts w:hint="eastAsia" w:ascii="宋体" w:hAnsi="宋体" w:cs="宋体"/>
                <w:color w:val="auto"/>
                <w:sz w:val="24"/>
                <w:highlight w:val="none"/>
                <w:u w:val="single"/>
              </w:rPr>
              <w:t xml:space="preserve"> 5 </w:t>
            </w:r>
            <w:r>
              <w:rPr>
                <w:rFonts w:ascii="宋体" w:hAnsi="宋体" w:cs="宋体"/>
                <w:color w:val="auto"/>
                <w:sz w:val="24"/>
                <w:highlight w:val="none"/>
              </w:rPr>
              <w:t>分；</w:t>
            </w:r>
          </w:p>
          <w:p w14:paraId="1F624707">
            <w:pPr>
              <w:widowControl/>
              <w:shd w:val="clear" w:fill="FFFFFF" w:themeFill="background1"/>
              <w:autoSpaceDE w:val="0"/>
              <w:autoSpaceDN w:val="0"/>
              <w:adjustRightInd w:val="0"/>
              <w:snapToGrid w:val="0"/>
              <w:spacing w:line="400" w:lineRule="exact"/>
              <w:textAlignment w:val="baseline"/>
              <w:rPr>
                <w:rFonts w:ascii="宋体" w:hAnsi="宋体"/>
                <w:color w:val="auto"/>
                <w:sz w:val="24"/>
                <w:highlight w:val="none"/>
              </w:rPr>
            </w:pPr>
            <w:r>
              <w:rPr>
                <w:rFonts w:ascii="宋体" w:hAnsi="宋体" w:cs="宋体"/>
                <w:color w:val="auto"/>
                <w:sz w:val="24"/>
                <w:highlight w:val="none"/>
              </w:rPr>
              <w:t>(3)每担任1个类似工程项目经理岗位工作经验的，加</w:t>
            </w:r>
            <w:r>
              <w:rPr>
                <w:rFonts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2.5</w:t>
            </w:r>
            <w:r>
              <w:rPr>
                <w:rFonts w:ascii="宋体" w:hAnsi="宋体" w:cs="宋体"/>
                <w:color w:val="auto"/>
                <w:sz w:val="24"/>
                <w:highlight w:val="none"/>
              </w:rPr>
              <w:t>分，最多加</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5</w:t>
            </w:r>
            <w:r>
              <w:rPr>
                <w:rFonts w:ascii="宋体" w:hAnsi="宋体" w:cs="宋体"/>
                <w:color w:val="auto"/>
                <w:sz w:val="24"/>
                <w:highlight w:val="none"/>
                <w:u w:val="single"/>
              </w:rPr>
              <w:t xml:space="preserve"> </w:t>
            </w:r>
            <w:r>
              <w:rPr>
                <w:rFonts w:ascii="宋体" w:hAnsi="宋体" w:cs="宋体"/>
                <w:color w:val="auto"/>
                <w:sz w:val="24"/>
                <w:highlight w:val="none"/>
              </w:rPr>
              <w:t>分。</w:t>
            </w:r>
          </w:p>
        </w:tc>
      </w:tr>
      <w:tr w14:paraId="1898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521" w:hRule="atLeast"/>
          <w:jc w:val="center"/>
        </w:trPr>
        <w:tc>
          <w:tcPr>
            <w:tcW w:w="1236" w:type="dxa"/>
            <w:gridSpan w:val="3"/>
            <w:vMerge w:val="continue"/>
            <w:vAlign w:val="center"/>
          </w:tcPr>
          <w:p w14:paraId="27B4BCDA">
            <w:pPr>
              <w:shd w:val="clear" w:fill="FFFFFF" w:themeFill="background1"/>
              <w:spacing w:line="400" w:lineRule="exact"/>
              <w:jc w:val="center"/>
              <w:rPr>
                <w:rFonts w:ascii="宋体" w:hAnsi="宋体" w:cs="宋体"/>
                <w:color w:val="auto"/>
                <w:sz w:val="24"/>
                <w:highlight w:val="none"/>
              </w:rPr>
            </w:pPr>
          </w:p>
        </w:tc>
        <w:tc>
          <w:tcPr>
            <w:tcW w:w="1089" w:type="dxa"/>
            <w:gridSpan w:val="3"/>
            <w:vMerge w:val="continue"/>
            <w:vAlign w:val="center"/>
          </w:tcPr>
          <w:p w14:paraId="2BE9AE69">
            <w:pPr>
              <w:widowControl/>
              <w:shd w:val="clear" w:fill="FFFFFF" w:themeFill="background1"/>
              <w:spacing w:line="400" w:lineRule="exact"/>
              <w:jc w:val="center"/>
              <w:rPr>
                <w:rFonts w:ascii="宋体" w:hAnsi="宋体" w:cs="宋体"/>
                <w:color w:val="auto"/>
                <w:kern w:val="0"/>
                <w:sz w:val="24"/>
                <w:highlight w:val="none"/>
              </w:rPr>
            </w:pPr>
          </w:p>
        </w:tc>
        <w:tc>
          <w:tcPr>
            <w:tcW w:w="800" w:type="dxa"/>
            <w:vMerge w:val="continue"/>
            <w:vAlign w:val="center"/>
          </w:tcPr>
          <w:p w14:paraId="1C135B12">
            <w:pPr>
              <w:widowControl/>
              <w:shd w:val="clear" w:fill="FFFFFF" w:themeFill="background1"/>
              <w:spacing w:line="400" w:lineRule="exact"/>
              <w:jc w:val="center"/>
              <w:rPr>
                <w:rFonts w:ascii="宋体" w:hAnsi="宋体" w:cs="宋体"/>
                <w:color w:val="auto"/>
                <w:kern w:val="0"/>
                <w:sz w:val="24"/>
                <w:highlight w:val="none"/>
              </w:rPr>
            </w:pPr>
          </w:p>
        </w:tc>
        <w:tc>
          <w:tcPr>
            <w:tcW w:w="1175" w:type="dxa"/>
            <w:vAlign w:val="center"/>
          </w:tcPr>
          <w:p w14:paraId="32AD5F95">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sz w:val="24"/>
                <w:highlight w:val="none"/>
              </w:rPr>
              <w:t>项目总工任职资格</w:t>
            </w:r>
            <w:r>
              <w:rPr>
                <w:rFonts w:hint="eastAsia" w:ascii="宋体" w:hAnsi="宋体" w:cs="宋体"/>
                <w:color w:val="auto"/>
                <w:kern w:val="0"/>
                <w:sz w:val="24"/>
                <w:highlight w:val="none"/>
              </w:rPr>
              <w:t>与</w:t>
            </w:r>
          </w:p>
          <w:p w14:paraId="26B350ED">
            <w:pPr>
              <w:widowControl/>
              <w:shd w:val="clear" w:fill="FFFFFF" w:themeFill="background1"/>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kern w:val="0"/>
                <w:sz w:val="24"/>
                <w:highlight w:val="none"/>
              </w:rPr>
              <w:t>业绩</w:t>
            </w:r>
          </w:p>
        </w:tc>
        <w:tc>
          <w:tcPr>
            <w:tcW w:w="837" w:type="dxa"/>
            <w:vAlign w:val="center"/>
          </w:tcPr>
          <w:p w14:paraId="0CC81E52">
            <w:pPr>
              <w:widowControl/>
              <w:shd w:val="clear" w:fill="FFFFFF" w:themeFill="background1"/>
              <w:tabs>
                <w:tab w:val="left" w:pos="223"/>
              </w:tabs>
              <w:autoSpaceDE w:val="0"/>
              <w:autoSpaceDN w:val="0"/>
              <w:adjustRightInd w:val="0"/>
              <w:snapToGrid w:val="0"/>
              <w:spacing w:line="360" w:lineRule="auto"/>
              <w:jc w:val="center"/>
              <w:textAlignment w:val="baseline"/>
              <w:rPr>
                <w:rFonts w:ascii="宋体" w:hAnsi="宋体" w:cs="宋体"/>
                <w:color w:val="auto"/>
                <w:kern w:val="0"/>
                <w:sz w:val="24"/>
                <w:highlight w:val="none"/>
              </w:rPr>
            </w:pPr>
            <w:r>
              <w:rPr>
                <w:rFonts w:hint="eastAsia" w:ascii="宋体" w:hAnsi="宋体" w:cs="宋体"/>
                <w:color w:val="auto"/>
                <w:sz w:val="24"/>
                <w:highlight w:val="none"/>
                <w:u w:val="single"/>
              </w:rPr>
              <w:t>10</w:t>
            </w:r>
            <w:r>
              <w:rPr>
                <w:rFonts w:ascii="宋体" w:hAnsi="宋体" w:cs="宋体"/>
                <w:color w:val="auto"/>
                <w:sz w:val="24"/>
                <w:highlight w:val="none"/>
              </w:rPr>
              <w:t>分</w:t>
            </w:r>
          </w:p>
        </w:tc>
        <w:tc>
          <w:tcPr>
            <w:tcW w:w="4994" w:type="dxa"/>
            <w:vAlign w:val="center"/>
          </w:tcPr>
          <w:p w14:paraId="7EF78179">
            <w:pPr>
              <w:widowControl/>
              <w:shd w:val="clear" w:fill="FFFFFF" w:themeFill="background1"/>
              <w:autoSpaceDE w:val="0"/>
              <w:autoSpaceDN w:val="0"/>
              <w:adjustRightInd w:val="0"/>
              <w:snapToGrid w:val="0"/>
              <w:spacing w:line="400" w:lineRule="exact"/>
              <w:textAlignment w:val="baseline"/>
              <w:rPr>
                <w:rFonts w:ascii="宋体" w:hAnsi="宋体" w:cs="宋体"/>
                <w:color w:val="auto"/>
                <w:sz w:val="24"/>
                <w:highlight w:val="none"/>
              </w:rPr>
            </w:pPr>
            <w:r>
              <w:rPr>
                <w:rFonts w:ascii="宋体" w:hAnsi="宋体" w:cs="宋体"/>
                <w:color w:val="auto"/>
                <w:sz w:val="24"/>
                <w:highlight w:val="none"/>
              </w:rPr>
              <w:t>(1)满足资格审查条件(项目经理和项目总工最低要求)时，得</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5</w:t>
            </w:r>
            <w:r>
              <w:rPr>
                <w:rFonts w:ascii="宋体" w:hAnsi="宋体" w:cs="宋体"/>
                <w:color w:val="auto"/>
                <w:sz w:val="24"/>
                <w:highlight w:val="none"/>
                <w:u w:val="single"/>
              </w:rPr>
              <w:t xml:space="preserve"> </w:t>
            </w:r>
            <w:r>
              <w:rPr>
                <w:rFonts w:ascii="宋体" w:hAnsi="宋体" w:cs="宋体"/>
                <w:color w:val="auto"/>
                <w:sz w:val="24"/>
                <w:highlight w:val="none"/>
              </w:rPr>
              <w:t>分；</w:t>
            </w:r>
          </w:p>
          <w:p w14:paraId="458C0074">
            <w:pPr>
              <w:widowControl/>
              <w:shd w:val="clear" w:fill="FFFFFF" w:themeFill="background1"/>
              <w:autoSpaceDE w:val="0"/>
              <w:autoSpaceDN w:val="0"/>
              <w:adjustRightInd w:val="0"/>
              <w:snapToGrid w:val="0"/>
              <w:spacing w:line="400" w:lineRule="exact"/>
              <w:textAlignment w:val="baseline"/>
              <w:rPr>
                <w:rFonts w:ascii="宋体" w:hAnsi="宋体" w:cs="宋体"/>
                <w:color w:val="auto"/>
                <w:kern w:val="0"/>
                <w:sz w:val="24"/>
                <w:highlight w:val="none"/>
              </w:rPr>
            </w:pPr>
            <w:r>
              <w:rPr>
                <w:rFonts w:ascii="宋体" w:hAnsi="宋体" w:cs="宋体"/>
                <w:color w:val="auto"/>
                <w:sz w:val="24"/>
                <w:highlight w:val="none"/>
              </w:rPr>
              <w:t>(2)每担任1个类似工程项目总工岗位工作经验的，加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2.5</w:t>
            </w:r>
            <w:r>
              <w:rPr>
                <w:rFonts w:hint="eastAsia" w:ascii="宋体" w:hAnsi="宋体" w:cs="宋体"/>
                <w:color w:val="auto"/>
                <w:sz w:val="24"/>
                <w:highlight w:val="none"/>
                <w:u w:val="single"/>
              </w:rPr>
              <w:t xml:space="preserve"> </w:t>
            </w:r>
            <w:r>
              <w:rPr>
                <w:rFonts w:ascii="宋体" w:hAnsi="宋体" w:cs="宋体"/>
                <w:color w:val="auto"/>
                <w:sz w:val="24"/>
                <w:highlight w:val="none"/>
              </w:rPr>
              <w:t>分，最多加</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5</w:t>
            </w:r>
            <w:r>
              <w:rPr>
                <w:rFonts w:ascii="宋体" w:hAnsi="宋体" w:cs="宋体"/>
                <w:color w:val="auto"/>
                <w:sz w:val="24"/>
                <w:highlight w:val="none"/>
                <w:u w:val="single"/>
              </w:rPr>
              <w:t xml:space="preserve"> </w:t>
            </w:r>
            <w:r>
              <w:rPr>
                <w:rFonts w:ascii="宋体" w:hAnsi="宋体" w:cs="宋体"/>
                <w:color w:val="auto"/>
                <w:sz w:val="24"/>
                <w:highlight w:val="none"/>
              </w:rPr>
              <w:t>分。</w:t>
            </w:r>
          </w:p>
        </w:tc>
      </w:tr>
      <w:tr w14:paraId="1705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3140" w:hRule="atLeast"/>
          <w:jc w:val="center"/>
        </w:trPr>
        <w:tc>
          <w:tcPr>
            <w:tcW w:w="1236" w:type="dxa"/>
            <w:gridSpan w:val="3"/>
            <w:vAlign w:val="center"/>
          </w:tcPr>
          <w:p w14:paraId="322A9138">
            <w:pPr>
              <w:shd w:val="clear" w:fill="FFFFFF" w:themeFill="background1"/>
              <w:spacing w:line="400" w:lineRule="exact"/>
              <w:ind w:left="92" w:leftChars="36" w:right="113" w:hanging="16" w:hangingChars="7"/>
              <w:jc w:val="center"/>
              <w:rPr>
                <w:rFonts w:ascii="宋体" w:hAnsi="宋体" w:cs="宋体"/>
                <w:color w:val="auto"/>
                <w:sz w:val="24"/>
                <w:highlight w:val="none"/>
              </w:rPr>
            </w:pPr>
            <w:r>
              <w:rPr>
                <w:rFonts w:hint="eastAsia" w:ascii="宋体" w:hAnsi="宋体" w:cs="宋体"/>
                <w:color w:val="auto"/>
                <w:sz w:val="24"/>
                <w:highlight w:val="none"/>
              </w:rPr>
              <w:t>2.2.2</w:t>
            </w:r>
          </w:p>
          <w:p w14:paraId="57E0D8C4">
            <w:pPr>
              <w:shd w:val="clear" w:fill="FFFFFF" w:themeFill="background1"/>
              <w:spacing w:line="400" w:lineRule="exact"/>
              <w:ind w:left="92" w:leftChars="36" w:right="113" w:hanging="16" w:hangingChars="7"/>
              <w:jc w:val="center"/>
              <w:rPr>
                <w:rFonts w:ascii="宋体" w:hAnsi="宋体" w:cs="宋体"/>
                <w:color w:val="auto"/>
                <w:sz w:val="24"/>
                <w:highlight w:val="none"/>
              </w:rPr>
            </w:pPr>
            <w:r>
              <w:rPr>
                <w:rFonts w:hint="eastAsia" w:ascii="宋体" w:hAnsi="宋体" w:cs="宋体"/>
                <w:color w:val="auto"/>
                <w:sz w:val="24"/>
                <w:highlight w:val="none"/>
              </w:rPr>
              <w:t>(3)</w:t>
            </w:r>
          </w:p>
        </w:tc>
        <w:tc>
          <w:tcPr>
            <w:tcW w:w="1089" w:type="dxa"/>
            <w:gridSpan w:val="3"/>
            <w:vAlign w:val="center"/>
          </w:tcPr>
          <w:p w14:paraId="6C6EEF71">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其他因素</w:t>
            </w:r>
          </w:p>
        </w:tc>
        <w:tc>
          <w:tcPr>
            <w:tcW w:w="800" w:type="dxa"/>
            <w:vAlign w:val="center"/>
          </w:tcPr>
          <w:p w14:paraId="5FCC6CB6">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技</w:t>
            </w:r>
          </w:p>
          <w:p w14:paraId="63FA6057">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术</w:t>
            </w:r>
          </w:p>
          <w:p w14:paraId="4544D08B">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能</w:t>
            </w:r>
          </w:p>
          <w:p w14:paraId="20F5F812">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力</w:t>
            </w:r>
          </w:p>
        </w:tc>
        <w:tc>
          <w:tcPr>
            <w:tcW w:w="1175" w:type="dxa"/>
            <w:vAlign w:val="center"/>
          </w:tcPr>
          <w:p w14:paraId="477DEB50">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20分</w:t>
            </w:r>
          </w:p>
        </w:tc>
        <w:tc>
          <w:tcPr>
            <w:tcW w:w="5831" w:type="dxa"/>
            <w:gridSpan w:val="2"/>
            <w:vAlign w:val="center"/>
          </w:tcPr>
          <w:p w14:paraId="1E7DEE65">
            <w:pPr>
              <w:widowControl/>
              <w:shd w:val="clear" w:fill="FFFFFF" w:themeFill="background1"/>
              <w:spacing w:line="360" w:lineRule="auto"/>
              <w:jc w:val="left"/>
              <w:rPr>
                <w:color w:val="auto"/>
                <w:sz w:val="24"/>
                <w:highlight w:val="none"/>
              </w:rPr>
            </w:pPr>
            <w:r>
              <w:rPr>
                <w:rFonts w:hint="eastAsia" w:ascii="宋体" w:hAnsi="宋体" w:cs="宋体"/>
                <w:snapToGrid w:val="0"/>
                <w:color w:val="auto"/>
                <w:kern w:val="0"/>
                <w:sz w:val="24"/>
                <w:highlight w:val="none"/>
                <w:lang w:bidi="ar"/>
              </w:rPr>
              <w:t>(1)投标人获得与项目施工有关的国家级工法、专利（发明专利或实用新型专利）、国家级科学技术进步奖、鲁班奖、詹天佑奖，主编或参编过国家标准，每项加</w:t>
            </w:r>
            <w:r>
              <w:rPr>
                <w:rFonts w:hint="eastAsia" w:ascii="宋体" w:hAnsi="宋体" w:cs="宋体"/>
                <w:snapToGrid w:val="0"/>
                <w:color w:val="auto"/>
                <w:kern w:val="0"/>
                <w:sz w:val="24"/>
                <w:highlight w:val="none"/>
                <w:u w:val="single"/>
                <w:lang w:bidi="ar"/>
              </w:rPr>
              <w:t>5</w:t>
            </w:r>
            <w:r>
              <w:rPr>
                <w:rFonts w:hint="eastAsia" w:ascii="宋体" w:hAnsi="宋体" w:cs="宋体"/>
                <w:snapToGrid w:val="0"/>
                <w:color w:val="auto"/>
                <w:kern w:val="0"/>
                <w:sz w:val="24"/>
                <w:highlight w:val="none"/>
                <w:lang w:bidi="ar"/>
              </w:rPr>
              <w:t xml:space="preserve">分； </w:t>
            </w:r>
          </w:p>
          <w:p w14:paraId="1DBB3789">
            <w:pPr>
              <w:widowControl/>
              <w:shd w:val="clear" w:fill="FFFFFF" w:themeFill="background1"/>
              <w:spacing w:line="360" w:lineRule="auto"/>
              <w:jc w:val="left"/>
              <w:rPr>
                <w:color w:val="auto"/>
                <w:sz w:val="24"/>
                <w:highlight w:val="none"/>
              </w:rPr>
            </w:pPr>
            <w:r>
              <w:rPr>
                <w:rFonts w:hint="eastAsia" w:ascii="宋体" w:hAnsi="宋体" w:cs="宋体"/>
                <w:snapToGrid w:val="0"/>
                <w:color w:val="auto"/>
                <w:kern w:val="0"/>
                <w:sz w:val="24"/>
                <w:highlight w:val="none"/>
                <w:lang w:bidi="ar"/>
              </w:rPr>
              <w:t>(2)投标人获得省级科学技术进步奖，主编或参编过的行业或地方（指省级）标准，每项加</w:t>
            </w:r>
            <w:r>
              <w:rPr>
                <w:rFonts w:hint="eastAsia" w:ascii="宋体" w:hAnsi="宋体" w:cs="宋体"/>
                <w:snapToGrid w:val="0"/>
                <w:color w:val="auto"/>
                <w:kern w:val="0"/>
                <w:sz w:val="24"/>
                <w:highlight w:val="none"/>
                <w:u w:val="single"/>
                <w:lang w:bidi="ar"/>
              </w:rPr>
              <w:t>5</w:t>
            </w:r>
            <w:r>
              <w:rPr>
                <w:rFonts w:hint="eastAsia" w:ascii="宋体" w:hAnsi="宋体" w:cs="宋体"/>
                <w:snapToGrid w:val="0"/>
                <w:color w:val="auto"/>
                <w:kern w:val="0"/>
                <w:sz w:val="24"/>
                <w:highlight w:val="none"/>
                <w:lang w:bidi="ar"/>
              </w:rPr>
              <w:t xml:space="preserve">分； </w:t>
            </w:r>
          </w:p>
          <w:p w14:paraId="26D1E551">
            <w:pPr>
              <w:widowControl/>
              <w:shd w:val="clear" w:fill="FFFFFF" w:themeFill="background1"/>
              <w:spacing w:line="360" w:lineRule="exact"/>
              <w:jc w:val="left"/>
              <w:rPr>
                <w:rFonts w:ascii="宋体" w:hAnsi="宋体" w:cs="宋体"/>
                <w:color w:val="auto"/>
                <w:kern w:val="0"/>
                <w:sz w:val="24"/>
                <w:highlight w:val="none"/>
              </w:rPr>
            </w:pPr>
            <w:r>
              <w:rPr>
                <w:rFonts w:hint="eastAsia" w:ascii="宋体" w:hAnsi="宋体" w:cs="宋体"/>
                <w:snapToGrid w:val="0"/>
                <w:color w:val="auto"/>
                <w:kern w:val="0"/>
                <w:sz w:val="24"/>
                <w:highlight w:val="none"/>
                <w:lang w:bidi="ar"/>
              </w:rPr>
              <w:t>注：技术能力加分最高</w:t>
            </w:r>
            <w:r>
              <w:rPr>
                <w:rFonts w:hint="eastAsia" w:ascii="宋体" w:hAnsi="宋体" w:cs="宋体"/>
                <w:snapToGrid w:val="0"/>
                <w:color w:val="auto"/>
                <w:kern w:val="0"/>
                <w:sz w:val="24"/>
                <w:highlight w:val="none"/>
                <w:u w:val="single"/>
                <w:lang w:bidi="ar"/>
              </w:rPr>
              <w:t xml:space="preserve"> 20 </w:t>
            </w:r>
            <w:r>
              <w:rPr>
                <w:rFonts w:hint="eastAsia" w:ascii="宋体" w:hAnsi="宋体" w:cs="宋体"/>
                <w:snapToGrid w:val="0"/>
                <w:color w:val="auto"/>
                <w:kern w:val="0"/>
                <w:sz w:val="24"/>
                <w:highlight w:val="none"/>
                <w:lang w:bidi="ar"/>
              </w:rPr>
              <w:t>分，同一事项按较高分只计一次。</w:t>
            </w:r>
          </w:p>
        </w:tc>
      </w:tr>
      <w:tr w14:paraId="6822C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202" w:hRule="atLeast"/>
          <w:jc w:val="center"/>
        </w:trPr>
        <w:tc>
          <w:tcPr>
            <w:tcW w:w="1236" w:type="dxa"/>
            <w:gridSpan w:val="3"/>
            <w:vAlign w:val="center"/>
          </w:tcPr>
          <w:p w14:paraId="5C5D7FC8">
            <w:pPr>
              <w:shd w:val="clear" w:fill="FFFFFF" w:themeFill="background1"/>
              <w:spacing w:line="400" w:lineRule="exact"/>
              <w:ind w:left="92" w:leftChars="36" w:right="113" w:hanging="16" w:hangingChars="7"/>
              <w:jc w:val="center"/>
              <w:rPr>
                <w:rFonts w:ascii="宋体" w:hAnsi="宋体" w:cs="宋体"/>
                <w:color w:val="auto"/>
                <w:sz w:val="24"/>
                <w:highlight w:val="none"/>
              </w:rPr>
            </w:pPr>
          </w:p>
        </w:tc>
        <w:tc>
          <w:tcPr>
            <w:tcW w:w="1089" w:type="dxa"/>
            <w:gridSpan w:val="3"/>
            <w:vAlign w:val="center"/>
          </w:tcPr>
          <w:p w14:paraId="0BD83D64">
            <w:pPr>
              <w:widowControl/>
              <w:shd w:val="clear" w:fill="FFFFFF" w:themeFill="background1"/>
              <w:spacing w:line="400" w:lineRule="exact"/>
              <w:jc w:val="center"/>
              <w:rPr>
                <w:rFonts w:ascii="宋体" w:hAnsi="宋体" w:cs="宋体"/>
                <w:color w:val="auto"/>
                <w:kern w:val="0"/>
                <w:sz w:val="24"/>
                <w:highlight w:val="none"/>
              </w:rPr>
            </w:pPr>
          </w:p>
        </w:tc>
        <w:tc>
          <w:tcPr>
            <w:tcW w:w="800" w:type="dxa"/>
            <w:vAlign w:val="center"/>
          </w:tcPr>
          <w:p w14:paraId="280FC517">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履</w:t>
            </w:r>
          </w:p>
          <w:p w14:paraId="34D78B82">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约</w:t>
            </w:r>
          </w:p>
          <w:p w14:paraId="069A5CE5">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信</w:t>
            </w:r>
          </w:p>
          <w:p w14:paraId="3B26A4DA">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誉</w:t>
            </w:r>
          </w:p>
        </w:tc>
        <w:tc>
          <w:tcPr>
            <w:tcW w:w="1175" w:type="dxa"/>
            <w:vAlign w:val="center"/>
          </w:tcPr>
          <w:p w14:paraId="27C09603">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15分</w:t>
            </w:r>
          </w:p>
        </w:tc>
        <w:tc>
          <w:tcPr>
            <w:tcW w:w="5831" w:type="dxa"/>
            <w:gridSpan w:val="2"/>
            <w:vAlign w:val="center"/>
          </w:tcPr>
          <w:p w14:paraId="5251C186">
            <w:pPr>
              <w:widowControl/>
              <w:shd w:val="clear" w:fill="FFFFFF" w:themeFill="background1"/>
              <w:autoSpaceDE w:val="0"/>
              <w:autoSpaceDN w:val="0"/>
              <w:adjustRightInd w:val="0"/>
              <w:snapToGrid w:val="0"/>
              <w:spacing w:line="360" w:lineRule="auto"/>
              <w:textAlignment w:val="baseline"/>
              <w:rPr>
                <w:rFonts w:ascii="宋体" w:hAnsi="宋体" w:cs="宋体"/>
                <w:color w:val="auto"/>
                <w:sz w:val="24"/>
                <w:highlight w:val="none"/>
              </w:rPr>
            </w:pPr>
            <w:r>
              <w:rPr>
                <w:rFonts w:ascii="宋体" w:hAnsi="宋体" w:cs="宋体"/>
                <w:color w:val="auto"/>
                <w:sz w:val="24"/>
                <w:highlight w:val="none"/>
              </w:rPr>
              <w:t>1.信用等级分值(</w:t>
            </w:r>
            <w:r>
              <w:rPr>
                <w:rFonts w:ascii="宋体" w:hAnsi="宋体" w:cs="宋体"/>
                <w:color w:val="auto"/>
                <w:sz w:val="24"/>
                <w:highlight w:val="none"/>
                <w:u w:val="single"/>
              </w:rPr>
              <w:t>10</w:t>
            </w:r>
            <w:r>
              <w:rPr>
                <w:rFonts w:ascii="宋体" w:hAnsi="宋体" w:cs="宋体"/>
                <w:color w:val="auto"/>
                <w:sz w:val="24"/>
                <w:highlight w:val="none"/>
              </w:rPr>
              <w:t>分)</w:t>
            </w:r>
          </w:p>
          <w:p w14:paraId="6664B3CC">
            <w:pPr>
              <w:widowControl/>
              <w:shd w:val="clear" w:fill="FFFFFF" w:themeFill="background1"/>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ascii="宋体" w:hAnsi="宋体" w:cs="宋体"/>
                <w:color w:val="auto"/>
                <w:sz w:val="24"/>
                <w:highlight w:val="none"/>
              </w:rPr>
              <w:t xml:space="preserve">AA、A、B、C 级单位的信用等级分得分分别为 </w:t>
            </w:r>
            <w:r>
              <w:rPr>
                <w:rFonts w:ascii="宋体" w:hAnsi="宋体" w:cs="宋体"/>
                <w:color w:val="auto"/>
                <w:sz w:val="24"/>
                <w:highlight w:val="none"/>
                <w:u w:val="single"/>
              </w:rPr>
              <w:t>10、9.5、8.9、7.3</w:t>
            </w:r>
            <w:r>
              <w:rPr>
                <w:rFonts w:ascii="宋体" w:hAnsi="宋体" w:cs="宋体"/>
                <w:color w:val="auto"/>
                <w:sz w:val="24"/>
                <w:highlight w:val="none"/>
              </w:rPr>
              <w:t xml:space="preserve"> 分。</w:t>
            </w:r>
          </w:p>
          <w:p w14:paraId="302DC865">
            <w:pPr>
              <w:widowControl/>
              <w:shd w:val="clear" w:fill="FFFFFF" w:themeFill="background1"/>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ascii="宋体" w:hAnsi="宋体" w:cs="宋体"/>
                <w:color w:val="auto"/>
                <w:sz w:val="24"/>
                <w:highlight w:val="none"/>
              </w:rPr>
              <w:t>注：信用等级的确定原则遵循投标人须知前附表 10.2 款的规定。</w:t>
            </w:r>
          </w:p>
          <w:p w14:paraId="6A4CA93A">
            <w:pPr>
              <w:widowControl/>
              <w:shd w:val="clear" w:fill="FFFFFF" w:themeFill="background1"/>
              <w:autoSpaceDE w:val="0"/>
              <w:autoSpaceDN w:val="0"/>
              <w:adjustRightInd w:val="0"/>
              <w:snapToGrid w:val="0"/>
              <w:spacing w:line="360" w:lineRule="auto"/>
              <w:textAlignment w:val="baseline"/>
              <w:rPr>
                <w:rFonts w:ascii="宋体" w:hAnsi="宋体" w:cs="宋体"/>
                <w:color w:val="auto"/>
                <w:sz w:val="24"/>
                <w:highlight w:val="none"/>
              </w:rPr>
            </w:pPr>
            <w:r>
              <w:rPr>
                <w:rFonts w:ascii="宋体" w:hAnsi="宋体" w:cs="宋体"/>
                <w:color w:val="auto"/>
                <w:sz w:val="24"/>
                <w:highlight w:val="none"/>
              </w:rPr>
              <w:t>2.履约情况(</w:t>
            </w:r>
            <w:r>
              <w:rPr>
                <w:rFonts w:hint="eastAsia" w:ascii="宋体" w:hAnsi="宋体" w:cs="宋体"/>
                <w:color w:val="auto"/>
                <w:sz w:val="24"/>
                <w:highlight w:val="none"/>
                <w:u w:val="single"/>
              </w:rPr>
              <w:t>5</w:t>
            </w:r>
            <w:r>
              <w:rPr>
                <w:rFonts w:ascii="宋体" w:hAnsi="宋体" w:cs="宋体"/>
                <w:color w:val="auto"/>
                <w:sz w:val="24"/>
                <w:highlight w:val="none"/>
              </w:rPr>
              <w:t>分)</w:t>
            </w:r>
          </w:p>
          <w:p w14:paraId="0DDA43EE">
            <w:pPr>
              <w:widowControl/>
              <w:shd w:val="clear" w:fill="FFFFFF" w:themeFill="background1"/>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ascii="宋体" w:hAnsi="宋体" w:cs="宋体"/>
                <w:color w:val="auto"/>
                <w:sz w:val="24"/>
                <w:highlight w:val="none"/>
              </w:rPr>
              <w:t>若没出现下述情形得满分；</w:t>
            </w:r>
          </w:p>
          <w:p w14:paraId="1BB06840">
            <w:pPr>
              <w:widowControl/>
              <w:shd w:val="clear" w:fill="FFFFFF" w:themeFill="background1"/>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ascii="宋体" w:hAnsi="宋体" w:cs="宋体"/>
                <w:color w:val="auto"/>
                <w:sz w:val="24"/>
                <w:highlight w:val="none"/>
              </w:rPr>
              <w:t>投标文件递交截止日前 1 年内，投标人因公路工程(含附属设施)质量、安全、履约或招标投标问题等原因被：</w:t>
            </w:r>
          </w:p>
          <w:p w14:paraId="56376EF0">
            <w:pPr>
              <w:widowControl/>
              <w:shd w:val="clear" w:fill="FFFFFF" w:themeFill="background1"/>
              <w:autoSpaceDE w:val="0"/>
              <w:autoSpaceDN w:val="0"/>
              <w:adjustRightInd w:val="0"/>
              <w:snapToGrid w:val="0"/>
              <w:spacing w:line="360" w:lineRule="auto"/>
              <w:textAlignment w:val="baseline"/>
              <w:rPr>
                <w:rFonts w:ascii="宋体" w:hAnsi="宋体" w:cs="宋体"/>
                <w:color w:val="auto"/>
                <w:sz w:val="24"/>
                <w:highlight w:val="none"/>
              </w:rPr>
            </w:pPr>
            <w:r>
              <w:rPr>
                <w:rFonts w:ascii="宋体" w:hAnsi="宋体" w:cs="宋体"/>
                <w:color w:val="auto"/>
                <w:sz w:val="24"/>
                <w:highlight w:val="none"/>
              </w:rPr>
              <w:t>(1)交通运输部行政处罚的，扣 5 分/次。</w:t>
            </w:r>
          </w:p>
          <w:p w14:paraId="5CFDF3E3">
            <w:pPr>
              <w:widowControl/>
              <w:shd w:val="clear" w:fill="FFFFFF" w:themeFill="background1"/>
              <w:tabs>
                <w:tab w:val="left" w:pos="247"/>
              </w:tabs>
              <w:autoSpaceDE w:val="0"/>
              <w:autoSpaceDN w:val="0"/>
              <w:adjustRightInd w:val="0"/>
              <w:snapToGrid w:val="0"/>
              <w:spacing w:line="360" w:lineRule="auto"/>
              <w:ind w:firstLine="19"/>
              <w:textAlignment w:val="baseline"/>
              <w:rPr>
                <w:rFonts w:ascii="宋体" w:hAnsi="宋体" w:cs="宋体"/>
                <w:color w:val="auto"/>
                <w:sz w:val="24"/>
                <w:highlight w:val="none"/>
              </w:rPr>
            </w:pPr>
            <w:r>
              <w:rPr>
                <w:rFonts w:ascii="宋体" w:hAnsi="宋体" w:cs="宋体"/>
                <w:color w:val="auto"/>
                <w:sz w:val="24"/>
                <w:highlight w:val="none"/>
              </w:rPr>
              <w:t>(2)广东省交通运输厅行政处罚的，扣 3 分/次。</w:t>
            </w:r>
          </w:p>
          <w:p w14:paraId="7C441682">
            <w:pPr>
              <w:widowControl/>
              <w:shd w:val="clear" w:fill="FFFFFF" w:themeFill="background1"/>
              <w:tabs>
                <w:tab w:val="left" w:pos="247"/>
              </w:tabs>
              <w:autoSpaceDE w:val="0"/>
              <w:autoSpaceDN w:val="0"/>
              <w:adjustRightInd w:val="0"/>
              <w:snapToGrid w:val="0"/>
              <w:spacing w:line="360" w:lineRule="auto"/>
              <w:ind w:firstLine="19"/>
              <w:textAlignment w:val="baseline"/>
              <w:rPr>
                <w:rFonts w:ascii="宋体" w:hAnsi="宋体" w:cs="宋体"/>
                <w:color w:val="auto"/>
                <w:sz w:val="24"/>
                <w:highlight w:val="none"/>
              </w:rPr>
            </w:pPr>
            <w:r>
              <w:rPr>
                <w:rFonts w:ascii="宋体" w:hAnsi="宋体" w:cs="宋体"/>
                <w:color w:val="auto"/>
                <w:sz w:val="24"/>
                <w:highlight w:val="none"/>
                <w:u w:val="single"/>
              </w:rPr>
              <w:t>(3)招标项目所在地地级以上市交通运输局行政处罚的，扣 1.5 分/次。</w:t>
            </w:r>
          </w:p>
          <w:p w14:paraId="27EF6DA9">
            <w:pPr>
              <w:widowControl/>
              <w:shd w:val="clear" w:fill="FFFFFF" w:themeFill="background1"/>
              <w:autoSpaceDE w:val="0"/>
              <w:autoSpaceDN w:val="0"/>
              <w:adjustRightInd w:val="0"/>
              <w:snapToGrid w:val="0"/>
              <w:spacing w:line="360" w:lineRule="auto"/>
              <w:textAlignment w:val="baseline"/>
              <w:rPr>
                <w:rFonts w:ascii="宋体" w:hAnsi="宋体" w:cs="宋体"/>
                <w:color w:val="auto"/>
                <w:sz w:val="24"/>
                <w:highlight w:val="none"/>
              </w:rPr>
            </w:pPr>
            <w:r>
              <w:rPr>
                <w:rFonts w:ascii="宋体" w:hAnsi="宋体" w:cs="宋体"/>
                <w:color w:val="auto"/>
                <w:sz w:val="24"/>
                <w:highlight w:val="none"/>
              </w:rPr>
              <w:t>(4) 广东省交通运输厅正式约谈的，扣 0.1 分/次。</w:t>
            </w:r>
          </w:p>
          <w:p w14:paraId="0090CE8D">
            <w:pPr>
              <w:widowControl/>
              <w:shd w:val="clear" w:fill="FFFFFF" w:themeFill="background1"/>
              <w:spacing w:line="400" w:lineRule="exact"/>
              <w:jc w:val="left"/>
              <w:rPr>
                <w:rFonts w:ascii="宋体" w:hAnsi="宋体" w:cs="宋体"/>
                <w:color w:val="auto"/>
                <w:kern w:val="0"/>
                <w:sz w:val="24"/>
                <w:highlight w:val="none"/>
              </w:rPr>
            </w:pPr>
            <w:r>
              <w:rPr>
                <w:rFonts w:ascii="宋体" w:hAnsi="宋体" w:cs="宋体"/>
                <w:color w:val="auto"/>
                <w:sz w:val="24"/>
                <w:highlight w:val="none"/>
              </w:rPr>
              <w:t>同一事项同时被多个部门行政处罚或正式约谈只按最高的扣分计算 1</w:t>
            </w:r>
            <w:r>
              <w:rPr>
                <w:rFonts w:hint="eastAsia" w:ascii="宋体" w:hAnsi="宋体" w:cs="宋体"/>
                <w:color w:val="auto"/>
                <w:sz w:val="24"/>
                <w:highlight w:val="none"/>
              </w:rPr>
              <w:t xml:space="preserve"> </w:t>
            </w:r>
            <w:r>
              <w:rPr>
                <w:rFonts w:ascii="宋体" w:hAnsi="宋体" w:cs="宋体"/>
                <w:color w:val="auto"/>
                <w:sz w:val="24"/>
                <w:highlight w:val="none"/>
              </w:rPr>
              <w:t>次 。如果扣完本项分值，可以从总分中扣。</w:t>
            </w:r>
          </w:p>
        </w:tc>
      </w:tr>
      <w:tr w14:paraId="57B0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10131" w:type="dxa"/>
            <w:gridSpan w:val="10"/>
          </w:tcPr>
          <w:p w14:paraId="47A585DF">
            <w:pPr>
              <w:shd w:val="clear" w:fill="FFFFFF" w:themeFill="background1"/>
              <w:jc w:val="center"/>
              <w:rPr>
                <w:rFonts w:ascii="宋体" w:hAnsi="宋体" w:cs="宋体"/>
                <w:b/>
                <w:bCs/>
                <w:color w:val="auto"/>
                <w:sz w:val="24"/>
                <w:highlight w:val="none"/>
              </w:rPr>
            </w:pPr>
            <w:r>
              <w:rPr>
                <w:rFonts w:hint="eastAsia" w:ascii="宋体" w:hAnsi="宋体" w:cs="宋体"/>
                <w:b/>
                <w:bCs/>
                <w:color w:val="auto"/>
                <w:kern w:val="0"/>
                <w:sz w:val="24"/>
                <w:highlight w:val="none"/>
              </w:rPr>
              <w:t>需要补充的其他内容：</w:t>
            </w:r>
          </w:p>
        </w:tc>
      </w:tr>
      <w:tr w14:paraId="17A1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2111" w:type="dxa"/>
            <w:gridSpan w:val="4"/>
          </w:tcPr>
          <w:p w14:paraId="597C5408">
            <w:pPr>
              <w:widowControl/>
              <w:shd w:val="clear" w:fill="FFFFFF" w:themeFill="background1"/>
              <w:jc w:val="center"/>
              <w:rPr>
                <w:rFonts w:ascii="宋体" w:hAnsi="宋体" w:cs="宋体"/>
                <w:b/>
                <w:bCs/>
                <w:color w:val="auto"/>
                <w:sz w:val="24"/>
                <w:highlight w:val="none"/>
              </w:rPr>
            </w:pPr>
            <w:r>
              <w:rPr>
                <w:rFonts w:hint="eastAsia" w:ascii="宋体" w:hAnsi="宋体" w:cs="宋体"/>
                <w:b/>
                <w:bCs/>
                <w:color w:val="auto"/>
                <w:kern w:val="0"/>
                <w:sz w:val="24"/>
                <w:highlight w:val="none"/>
              </w:rPr>
              <w:t>条款号</w:t>
            </w:r>
          </w:p>
        </w:tc>
        <w:tc>
          <w:tcPr>
            <w:tcW w:w="8020" w:type="dxa"/>
            <w:gridSpan w:val="6"/>
          </w:tcPr>
          <w:p w14:paraId="20AD738D">
            <w:pPr>
              <w:widowControl/>
              <w:shd w:val="clear" w:fill="FFFFFF" w:themeFill="background1"/>
              <w:jc w:val="center"/>
              <w:rPr>
                <w:rFonts w:ascii="宋体" w:hAnsi="宋体" w:cs="宋体"/>
                <w:b/>
                <w:bCs/>
                <w:color w:val="auto"/>
                <w:sz w:val="24"/>
                <w:highlight w:val="none"/>
              </w:rPr>
            </w:pPr>
            <w:r>
              <w:rPr>
                <w:rFonts w:hint="eastAsia" w:ascii="宋体" w:hAnsi="宋体" w:cs="宋体"/>
                <w:b/>
                <w:bCs/>
                <w:color w:val="auto"/>
                <w:kern w:val="0"/>
                <w:sz w:val="24"/>
                <w:highlight w:val="none"/>
              </w:rPr>
              <w:t>补充或修改的内容</w:t>
            </w:r>
          </w:p>
        </w:tc>
      </w:tr>
      <w:tr w14:paraId="7DB3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2111" w:type="dxa"/>
            <w:gridSpan w:val="4"/>
            <w:vAlign w:val="center"/>
          </w:tcPr>
          <w:p w14:paraId="09489F80">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8020" w:type="dxa"/>
            <w:gridSpan w:val="6"/>
          </w:tcPr>
          <w:p w14:paraId="49141622">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将评标办法原文第1条“评标方法”改为“评标方法、组织及工作程序”，原文内容修改如下：</w:t>
            </w:r>
          </w:p>
          <w:p w14:paraId="5745D39E">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1.评标方法、组织及工作程序</w:t>
            </w:r>
          </w:p>
          <w:p w14:paraId="4B57E536">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1.1 评标方法</w:t>
            </w:r>
          </w:p>
          <w:p w14:paraId="00BDED0B">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 xml:space="preserve">    本次评标采用双信封的技术评分最低标价法。评标委员会对满足招标文件实质性要求的投标文件，按照本章第 2.2 款规定对通过初步评审的投标人的施工组织设计、主要人员、其他因素等进行评分，按照得分由高到低排序，对排名在招标文件规定数量前 5 名（不少于 3 名但不足 5 名时，按全部实际数量）的投标人的报价文件进行评审，按照评标价由低到高的顺序推荐中标候选人的评标方法。但投标报价低于其成本的除外。评标价相等时，评标委员会应按照评标办法前附表规定的优先次序推荐中标候选人或确定中标人。</w:t>
            </w:r>
          </w:p>
          <w:p w14:paraId="31C1CD25">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1.2 评标组织</w:t>
            </w:r>
          </w:p>
          <w:p w14:paraId="7763D1F8">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1.2.1 协助工作组</w:t>
            </w:r>
          </w:p>
          <w:p w14:paraId="08D65A8C">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招标人可在评标工作开始前成立协助工作组，选派熟悉招标工作、政治素质高的人员组成，协助评标委员会工作。协助工作组人员的具体数量由招标人视评标工作量确定。</w:t>
            </w:r>
          </w:p>
          <w:p w14:paraId="60B92A39">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招标人可以协助评标委员会开展下列工作并提供相关信息：</w:t>
            </w:r>
          </w:p>
          <w:p w14:paraId="173812D8">
            <w:pPr>
              <w:widowControl/>
              <w:numPr>
                <w:ilvl w:val="0"/>
                <w:numId w:val="13"/>
              </w:numPr>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根据招标文件，编制评标使用的相应表格；</w:t>
            </w:r>
          </w:p>
          <w:p w14:paraId="4BC1C15B">
            <w:pPr>
              <w:widowControl/>
              <w:numPr>
                <w:ilvl w:val="0"/>
                <w:numId w:val="13"/>
              </w:numPr>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对投标报价进行算术性校核（如采用固化工程量清单，本步骤省略）；</w:t>
            </w:r>
          </w:p>
          <w:p w14:paraId="2AA1DB09">
            <w:pPr>
              <w:widowControl/>
              <w:numPr>
                <w:ilvl w:val="0"/>
                <w:numId w:val="13"/>
              </w:numPr>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以评标标准和方法为依据，列出投标文件相对于招标文件的所有偏差，并进行归类汇总；</w:t>
            </w:r>
          </w:p>
          <w:p w14:paraId="447FA605">
            <w:pPr>
              <w:widowControl/>
              <w:numPr>
                <w:ilvl w:val="0"/>
                <w:numId w:val="13"/>
              </w:numPr>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查询公路建设市场信用信息管理系统，对投标人的资质、业绩、主要人员资历和目前在岗情况、信用等级进行核实。招标人不得对投标文件作出任何评价，不得故意遗漏或者片面摘录，不得在评标委员会对所有偏差定性之前透露存有偏差的投标人名称。</w:t>
            </w:r>
          </w:p>
          <w:p w14:paraId="2813722D">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1.2.2 评标委员会</w:t>
            </w:r>
          </w:p>
          <w:p w14:paraId="39DA1B8B">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评标委员会由招标人按国家、广东省等的有关规定依法组建。评标委员会的主要工作内容包括：</w:t>
            </w:r>
          </w:p>
          <w:p w14:paraId="0E109B3A">
            <w:pPr>
              <w:widowControl/>
              <w:numPr>
                <w:ilvl w:val="0"/>
                <w:numId w:val="14"/>
              </w:numPr>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评标委员会开始评标工作之前，首先听取招标人、协助工作组关于工程情况和辅助工作的说明，并认真研读招标文件，获取评标所需的重要信息和数据；</w:t>
            </w:r>
          </w:p>
          <w:p w14:paraId="684B7B03">
            <w:pPr>
              <w:widowControl/>
              <w:numPr>
                <w:ilvl w:val="0"/>
                <w:numId w:val="14"/>
              </w:numPr>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对协助工作组提供的评标工作用表和评标内容进行核查。</w:t>
            </w:r>
          </w:p>
          <w:p w14:paraId="067B4986">
            <w:pPr>
              <w:widowControl/>
              <w:numPr>
                <w:ilvl w:val="0"/>
                <w:numId w:val="14"/>
              </w:numPr>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按照以下 1.3 款程序进行各项评审工作。</w:t>
            </w:r>
          </w:p>
          <w:p w14:paraId="766E24FA">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1.3 评审工作程序</w:t>
            </w:r>
          </w:p>
          <w:p w14:paraId="35073299">
            <w:pPr>
              <w:widowControl/>
              <w:numPr>
                <w:ilvl w:val="0"/>
                <w:numId w:val="15"/>
              </w:numPr>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第一个信封（商务及技术文件）：</w:t>
            </w:r>
          </w:p>
          <w:p w14:paraId="05F7D6B7">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l、初步评审：包括形式评审与响应性评审、资格评审（适用于未进行资格预审 ）；</w:t>
            </w:r>
          </w:p>
          <w:p w14:paraId="7EE652AA">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2、详细评审（评审打分）：评标委员会首先对通过第一个信封初步评审的投标文件进行详细评审，对投标人的施工组织设计、主要人员、其他因素等分别评审打分，并按照综合得分由高到低排序，排名在招标文件规定数量前5名（不少于3名但不足5名的，按全部实际数量）的投标人，其投标文件第一个信封（商务及技术文件）通过详细评审。</w:t>
            </w:r>
          </w:p>
          <w:p w14:paraId="58B7FA63">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（二）第二个信封（报价文件）：</w:t>
            </w:r>
          </w:p>
          <w:p w14:paraId="3AC977B1">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1、初步评审：</w:t>
            </w:r>
          </w:p>
          <w:p w14:paraId="454AE2AE">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（1）只有对投标文件第一个信封通过详细评审的投标人的报价文件才能继续参加第二个信封报价文件的形式评审与响应性评审。</w:t>
            </w:r>
          </w:p>
          <w:p w14:paraId="3009A6F6">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（2）报价算术性修正（如采用固化工程量清单，本步骤省略）；</w:t>
            </w:r>
          </w:p>
          <w:p w14:paraId="674045A3">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2、详细评审：计算评标价。</w:t>
            </w:r>
          </w:p>
          <w:p w14:paraId="02EC6AE1">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（三）投标文件相关信息的核查。</w:t>
            </w:r>
          </w:p>
          <w:p w14:paraId="46A0B5ED">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（四）投标文件的澄清和说明(如有)。</w:t>
            </w:r>
          </w:p>
          <w:p w14:paraId="1628CB80">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（五）按评标办法规定按照第二个信封的评标价由低到高的顺序推荐中标候选人，编写评标报告。</w:t>
            </w:r>
          </w:p>
        </w:tc>
      </w:tr>
      <w:tr w14:paraId="3BCF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2111" w:type="dxa"/>
            <w:gridSpan w:val="4"/>
            <w:vAlign w:val="center"/>
          </w:tcPr>
          <w:p w14:paraId="1BC54EF3">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3.2.2</w:t>
            </w:r>
          </w:p>
        </w:tc>
        <w:tc>
          <w:tcPr>
            <w:tcW w:w="8020" w:type="dxa"/>
            <w:gridSpan w:val="6"/>
          </w:tcPr>
          <w:p w14:paraId="02B66FD7">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将评标办法原文第 3.2.2 项修改如下：</w:t>
            </w:r>
          </w:p>
          <w:p w14:paraId="41CBB260">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 xml:space="preserve">    投标人的商务和技术得分分值计算保留小数点后三位，小数点后第四位“四舍五入”。</w:t>
            </w:r>
          </w:p>
        </w:tc>
      </w:tr>
      <w:tr w14:paraId="1CCE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2111" w:type="dxa"/>
            <w:gridSpan w:val="4"/>
            <w:vAlign w:val="center"/>
          </w:tcPr>
          <w:p w14:paraId="6EF39B01">
            <w:pPr>
              <w:widowControl/>
              <w:shd w:val="clear" w:fill="FFFFFF" w:themeFill="background1"/>
              <w:spacing w:line="40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3.2.3</w:t>
            </w:r>
          </w:p>
        </w:tc>
        <w:tc>
          <w:tcPr>
            <w:tcW w:w="8020" w:type="dxa"/>
            <w:gridSpan w:val="6"/>
          </w:tcPr>
          <w:p w14:paraId="01D55609">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将评标办法范本原文第 3.2.3项细化如下:</w:t>
            </w:r>
          </w:p>
          <w:p w14:paraId="7297D254">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投标人的商务和技术得分=A+B+C。</w:t>
            </w:r>
          </w:p>
          <w:p w14:paraId="06F02857">
            <w:pPr>
              <w:widowControl/>
              <w:shd w:val="clear" w:fill="FFFFFF" w:themeFill="background1"/>
              <w:spacing w:line="400" w:lineRule="exact"/>
              <w:ind w:firstLine="480"/>
              <w:jc w:val="left"/>
              <w:rPr>
                <w:rFonts w:ascii="宋体" w:hAnsi="宋体" w:cs="宋体"/>
                <w:color w:val="auto"/>
                <w:sz w:val="24"/>
                <w:highlight w:val="none"/>
              </w:rPr>
            </w:pPr>
            <w:r>
              <w:rPr>
                <w:rFonts w:hint="eastAsia" w:ascii="宋体" w:hAnsi="宋体" w:cs="宋体"/>
                <w:color w:val="auto"/>
                <w:sz w:val="24"/>
                <w:highlight w:val="none"/>
              </w:rPr>
              <w:t>除履约信誉、技术能力得分外，投标文件各评分因素细分项得分均不应低于其权重分的60%，评分低于权重分值60%的，评标委员会成员应当在评标报告中作出说明。计算投标人技术得分时:对各评分因素细分项中取消一个最高、一个最低分后计算算术平均值的和为投标人的最终技术得分，平均值计算保留小数点后三位，小数点后第四位“四舍五入”。</w:t>
            </w:r>
          </w:p>
        </w:tc>
      </w:tr>
      <w:tr w14:paraId="32D9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2302" w:hRule="atLeast"/>
          <w:jc w:val="center"/>
        </w:trPr>
        <w:tc>
          <w:tcPr>
            <w:tcW w:w="2111" w:type="dxa"/>
            <w:gridSpan w:val="4"/>
            <w:vAlign w:val="center"/>
          </w:tcPr>
          <w:p w14:paraId="33A41327">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3.4.2</w:t>
            </w:r>
          </w:p>
          <w:p w14:paraId="0043EBEF">
            <w:pPr>
              <w:widowControl/>
              <w:shd w:val="clear" w:fill="FFFFFF" w:themeFill="background1"/>
              <w:spacing w:line="400" w:lineRule="exact"/>
              <w:jc w:val="center"/>
              <w:rPr>
                <w:rFonts w:ascii="宋体" w:hAnsi="宋体" w:cs="宋体"/>
                <w:color w:val="auto"/>
                <w:sz w:val="24"/>
                <w:highlight w:val="none"/>
              </w:rPr>
            </w:pPr>
          </w:p>
        </w:tc>
        <w:tc>
          <w:tcPr>
            <w:tcW w:w="8020" w:type="dxa"/>
            <w:gridSpan w:val="6"/>
          </w:tcPr>
          <w:p w14:paraId="348F1737">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kern w:val="0"/>
                <w:sz w:val="24"/>
                <w:highlight w:val="none"/>
              </w:rPr>
              <w:t>将评标办法范本原文第 3.4.2 项第(2)、(3)、(4)目修改为：</w:t>
            </w:r>
          </w:p>
          <w:p w14:paraId="5A022D6A">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(2) 总价金额与依据单价计算出的结果不一致的，在保证投标总价不变的前提下予以合理调整单价；</w:t>
            </w:r>
          </w:p>
          <w:p w14:paraId="29AF03F1">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(3)当单价与数量相乘不等于合价时，应以标出的合价为准，同时对单价予以修正；</w:t>
            </w:r>
          </w:p>
          <w:p w14:paraId="52EE194E">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(4) 当各子目的合价累计不等于总价时，应以总价不变的前提下，修正各子目合价。</w:t>
            </w:r>
          </w:p>
        </w:tc>
      </w:tr>
      <w:tr w14:paraId="0091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2111" w:type="dxa"/>
            <w:gridSpan w:val="4"/>
            <w:vAlign w:val="center"/>
          </w:tcPr>
          <w:p w14:paraId="2C6F8BDD">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3.6</w:t>
            </w:r>
          </w:p>
        </w:tc>
        <w:tc>
          <w:tcPr>
            <w:tcW w:w="8020" w:type="dxa"/>
            <w:gridSpan w:val="6"/>
          </w:tcPr>
          <w:p w14:paraId="58D6772A">
            <w:pPr>
              <w:widowControl/>
              <w:shd w:val="clear" w:fill="FFFFFF" w:themeFill="background1"/>
              <w:spacing w:line="40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3.6.2项（2）目末增加以下条款：</w:t>
            </w:r>
          </w:p>
          <w:p w14:paraId="4FB3F2B5">
            <w:pPr>
              <w:widowControl/>
              <w:shd w:val="clear" w:fill="FFFFFF" w:themeFill="background1"/>
              <w:spacing w:line="40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g.当一家以上投标人评标价相同时，若各投标人工程量清单细目单价也相同，视为串标（一个标段仅一工作细目报价的除外）。</w:t>
            </w:r>
          </w:p>
          <w:p w14:paraId="0CCF7A59">
            <w:pPr>
              <w:widowControl/>
              <w:shd w:val="clear" w:fill="FFFFFF" w:themeFill="background1"/>
              <w:spacing w:line="40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h .广东省实施《中华人民共和国招标投标法》办法第十六条规定的情形。</w:t>
            </w:r>
          </w:p>
          <w:p w14:paraId="0C22B56F">
            <w:pPr>
              <w:widowControl/>
              <w:shd w:val="clear" w:fill="FFFFFF" w:themeFill="background1"/>
              <w:spacing w:line="40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增加3.6.3项：</w:t>
            </w:r>
          </w:p>
          <w:p w14:paraId="4F9DCCC2">
            <w:pPr>
              <w:widowControl/>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kern w:val="0"/>
                <w:sz w:val="24"/>
                <w:highlight w:val="none"/>
              </w:rPr>
              <w:t>3.6.3依法必须进行招标的项目，除第一中标候选人或者中标人，其他投标人存在串通投标、弄虚作假、行贿情形且在评标过程中未被发现的，视为对中标结果没有造成实质性影响，招标人可以依法继续开展招标活动。投标人的违法行为由行政监督部门依法处理。</w:t>
            </w:r>
          </w:p>
        </w:tc>
      </w:tr>
      <w:tr w14:paraId="6AC6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jc w:val="center"/>
        </w:trPr>
        <w:tc>
          <w:tcPr>
            <w:tcW w:w="2111" w:type="dxa"/>
            <w:gridSpan w:val="4"/>
            <w:vAlign w:val="center"/>
          </w:tcPr>
          <w:p w14:paraId="72A9D39C">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3.7.1</w:t>
            </w:r>
          </w:p>
          <w:p w14:paraId="37590784">
            <w:pPr>
              <w:widowControl/>
              <w:shd w:val="clear" w:fill="FFFFFF" w:themeFill="background1"/>
              <w:spacing w:line="400" w:lineRule="exact"/>
              <w:jc w:val="center"/>
              <w:rPr>
                <w:rFonts w:ascii="宋体" w:hAnsi="宋体" w:cs="宋体"/>
                <w:color w:val="auto"/>
                <w:kern w:val="0"/>
                <w:sz w:val="24"/>
                <w:highlight w:val="none"/>
              </w:rPr>
            </w:pPr>
          </w:p>
        </w:tc>
        <w:tc>
          <w:tcPr>
            <w:tcW w:w="8020" w:type="dxa"/>
            <w:gridSpan w:val="6"/>
          </w:tcPr>
          <w:p w14:paraId="17AA8238">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将评标办法范本原文第 3.7.1 项修改为：</w:t>
            </w:r>
          </w:p>
          <w:p w14:paraId="3156F2E6">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3.7.1 在评标过程中，评标委员会可以书面形式要求投标人对所提交投标文件中含义不明确的内容、明显文字或计算错误进行书面澄清或说明。评标委员会不接受投标人主动提出的澄清、说明。投标人不按评标委员会要求澄清或说明的，评标委员会应否决其投标。</w:t>
            </w:r>
          </w:p>
          <w:p w14:paraId="27A9AD73">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(1) 投标文件中的下列计算错误为细微偏差（采用固化工程量清单，则a－d 步骤省略）：</w:t>
            </w:r>
          </w:p>
          <w:p w14:paraId="6F0452BF">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a、在算术性复核中发现的算术性差错：</w:t>
            </w:r>
          </w:p>
          <w:p w14:paraId="7E495ECC">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b、在招标人给定的工程量清单中漏报了某个工程细目的单价和合价；</w:t>
            </w:r>
          </w:p>
          <w:p w14:paraId="17BA968B">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c、在招标人给定的工程量清单中多报了某个工程细目的单价和合价或所报单价增加或减少了报价范围；</w:t>
            </w:r>
          </w:p>
          <w:p w14:paraId="45B0E414">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d、在招标人给定的工程量清单中修改了某些支付号的工程数量。</w:t>
            </w:r>
          </w:p>
          <w:p w14:paraId="6D7ADD12">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（2）评标委员会对投标文件中的细微偏差按如下规定处理（采用固化工程量清单，则 a－d 步骤省略）：</w:t>
            </w:r>
          </w:p>
          <w:p w14:paraId="0011BFFF">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a、按本评标办法的规定对算术性错误予以修正；</w:t>
            </w:r>
          </w:p>
          <w:p w14:paraId="444EEFDB">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b、对于漏报的工程细目单价和合价或单价和合价减少的报价内容视为已含入其它工程细目的单价和合价之中；</w:t>
            </w:r>
          </w:p>
          <w:p w14:paraId="623790A9">
            <w:pPr>
              <w:widowControl/>
              <w:shd w:val="clear" w:fill="FFFFFF" w:themeFill="background1"/>
              <w:spacing w:line="400" w:lineRule="exact"/>
              <w:ind w:firstLine="456" w:firstLineChars="190"/>
              <w:jc w:val="left"/>
              <w:rPr>
                <w:rFonts w:ascii="宋体" w:hAnsi="宋体" w:cs="宋体"/>
                <w:color w:val="auto"/>
                <w:sz w:val="24"/>
                <w:highlight w:val="none"/>
              </w:rPr>
            </w:pPr>
            <w:r>
              <w:rPr>
                <w:rFonts w:hint="eastAsia" w:ascii="宋体" w:hAnsi="宋体" w:cs="宋体"/>
                <w:color w:val="auto"/>
                <w:kern w:val="0"/>
                <w:sz w:val="24"/>
                <w:highlight w:val="none"/>
              </w:rPr>
              <w:t>c、在保证投标总价不变的前提下，对于多报的工程细目报价或工程细目报价中增加的部分报价从投标报价中予以扣除，并对其它细目作相应的平衡性调整；</w:t>
            </w:r>
          </w:p>
          <w:p w14:paraId="791F2BD8">
            <w:pPr>
              <w:widowControl/>
              <w:shd w:val="clear" w:fill="FFFFFF" w:themeFill="background1"/>
              <w:spacing w:line="400" w:lineRule="exact"/>
              <w:ind w:firstLine="456" w:firstLineChars="190"/>
              <w:jc w:val="left"/>
              <w:rPr>
                <w:rFonts w:ascii="宋体" w:hAnsi="宋体" w:cs="宋体"/>
                <w:color w:val="auto"/>
                <w:kern w:val="0"/>
                <w:sz w:val="24"/>
                <w:highlight w:val="none"/>
              </w:rPr>
            </w:pPr>
            <w:r>
              <w:rPr>
                <w:rFonts w:hint="eastAsia" w:ascii="宋体" w:hAnsi="宋体" w:cs="宋体"/>
                <w:color w:val="auto"/>
                <w:kern w:val="0"/>
                <w:sz w:val="24"/>
                <w:highlight w:val="none"/>
              </w:rPr>
              <w:t>d、在保证投标总价不变的前提下，对与给定工程量清单数量不符的工程数量进行更正，并对其它细目作相应的平衡性调整。</w:t>
            </w:r>
          </w:p>
        </w:tc>
      </w:tr>
      <w:tr w14:paraId="6F353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 w:type="dxa"/>
          <w:trHeight w:val="678" w:hRule="atLeast"/>
          <w:jc w:val="center"/>
        </w:trPr>
        <w:tc>
          <w:tcPr>
            <w:tcW w:w="2111" w:type="dxa"/>
            <w:gridSpan w:val="4"/>
            <w:vAlign w:val="center"/>
          </w:tcPr>
          <w:p w14:paraId="26A7FDC2">
            <w:pPr>
              <w:widowControl/>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kern w:val="0"/>
                <w:sz w:val="24"/>
                <w:highlight w:val="none"/>
              </w:rPr>
              <w:t>3.9</w:t>
            </w:r>
          </w:p>
          <w:p w14:paraId="663CE997">
            <w:pPr>
              <w:widowControl/>
              <w:shd w:val="clear" w:fill="FFFFFF" w:themeFill="background1"/>
              <w:spacing w:line="400" w:lineRule="exact"/>
              <w:jc w:val="center"/>
              <w:rPr>
                <w:rFonts w:ascii="宋体" w:hAnsi="宋体" w:cs="宋体"/>
                <w:color w:val="auto"/>
                <w:kern w:val="0"/>
                <w:sz w:val="24"/>
                <w:highlight w:val="none"/>
              </w:rPr>
            </w:pPr>
          </w:p>
        </w:tc>
        <w:tc>
          <w:tcPr>
            <w:tcW w:w="8020" w:type="dxa"/>
            <w:gridSpan w:val="6"/>
          </w:tcPr>
          <w:p w14:paraId="67B86AF7">
            <w:pPr>
              <w:widowControl/>
              <w:shd w:val="clear" w:fill="FFFFFF" w:themeFill="background1"/>
              <w:spacing w:line="400" w:lineRule="exact"/>
              <w:ind w:firstLine="456" w:firstLineChars="190"/>
              <w:jc w:val="left"/>
              <w:rPr>
                <w:rFonts w:ascii="宋体" w:hAnsi="宋体" w:cs="宋体"/>
                <w:color w:val="auto"/>
                <w:kern w:val="0"/>
                <w:sz w:val="24"/>
                <w:highlight w:val="none"/>
              </w:rPr>
            </w:pPr>
            <w:r>
              <w:rPr>
                <w:rFonts w:hint="eastAsia" w:ascii="宋体" w:hAnsi="宋体" w:cs="宋体"/>
                <w:color w:val="auto"/>
                <w:kern w:val="0"/>
                <w:sz w:val="24"/>
                <w:highlight w:val="none"/>
              </w:rPr>
              <w:t>增加 3.9.3-3.9.7 项 ：</w:t>
            </w:r>
          </w:p>
          <w:p w14:paraId="40C8ED1D">
            <w:pPr>
              <w:widowControl/>
              <w:shd w:val="clear" w:fill="FFFFFF" w:themeFill="background1"/>
              <w:spacing w:line="400" w:lineRule="exact"/>
              <w:ind w:firstLine="456" w:firstLineChars="190"/>
              <w:jc w:val="left"/>
              <w:rPr>
                <w:rFonts w:ascii="宋体" w:hAnsi="宋体" w:cs="宋体"/>
                <w:color w:val="auto"/>
                <w:kern w:val="0"/>
                <w:sz w:val="24"/>
                <w:highlight w:val="none"/>
              </w:rPr>
            </w:pPr>
            <w:r>
              <w:rPr>
                <w:rFonts w:hint="eastAsia" w:ascii="宋体" w:hAnsi="宋体" w:cs="宋体"/>
                <w:color w:val="auto"/>
                <w:kern w:val="0"/>
                <w:sz w:val="24"/>
                <w:highlight w:val="none"/>
              </w:rPr>
              <w:t>3.9.3 推荐中标候选人方式：（1）已被推荐为某一标段的第一中标候选人，自动失去其在本次招标中其他标段的中标候选人资格。（2）按标段最高投标限价由高到低顺序依次选定各标段中标候选人，如果出现投标人在多个标段都排名第一，将确定该投标人为最高投标限价较高的标段的第一中标候选人，同时该投标人自动失去在本次招标中其他标段的中标候选人资格，其他标段的综合排名名次高者自动上升为中标候选人，以此类推。</w:t>
            </w:r>
          </w:p>
          <w:p w14:paraId="6DF1B83A">
            <w:pPr>
              <w:widowControl/>
              <w:shd w:val="clear" w:fill="FFFFFF" w:themeFill="background1"/>
              <w:spacing w:line="400" w:lineRule="exact"/>
              <w:ind w:firstLine="456" w:firstLineChars="190"/>
              <w:jc w:val="left"/>
              <w:rPr>
                <w:rFonts w:ascii="宋体" w:hAnsi="宋体" w:cs="宋体"/>
                <w:color w:val="auto"/>
                <w:kern w:val="0"/>
                <w:sz w:val="24"/>
                <w:highlight w:val="none"/>
              </w:rPr>
            </w:pPr>
            <w:r>
              <w:rPr>
                <w:rFonts w:hint="eastAsia" w:ascii="宋体" w:hAnsi="宋体" w:cs="宋体"/>
                <w:color w:val="auto"/>
                <w:kern w:val="0"/>
                <w:sz w:val="24"/>
                <w:highlight w:val="none"/>
              </w:rPr>
              <w:t>3.9.4 通过第一个信封商务及技术文件评审的投标人少于3个的，评标委员会应否决全部投标。</w:t>
            </w:r>
          </w:p>
          <w:p w14:paraId="5E17B45B">
            <w:pPr>
              <w:widowControl/>
              <w:shd w:val="clear" w:fill="FFFFFF" w:themeFill="background1"/>
              <w:spacing w:line="400" w:lineRule="exact"/>
              <w:ind w:firstLine="456" w:firstLineChars="190"/>
              <w:jc w:val="left"/>
              <w:rPr>
                <w:rFonts w:ascii="宋体" w:hAnsi="宋体" w:cs="宋体"/>
                <w:color w:val="auto"/>
                <w:kern w:val="0"/>
                <w:sz w:val="24"/>
                <w:highlight w:val="none"/>
              </w:rPr>
            </w:pPr>
            <w:r>
              <w:rPr>
                <w:rFonts w:hint="eastAsia" w:ascii="宋体" w:hAnsi="宋体" w:cs="宋体"/>
                <w:color w:val="auto"/>
                <w:kern w:val="0"/>
                <w:sz w:val="24"/>
                <w:highlight w:val="none"/>
              </w:rPr>
              <w:t>3.9.5 通过第一个信封商务及技术文件评审的投标人在3个及以上的，招标人应当按照招标文件规定的程序进行第二个信封报价文件开标；在对报价文件进行评审后，有效投标不足3个的，评标委员会可以否决全部投标。未否决全部投标的，评标委员会应当在评标报告中阐明理由并推荐中标候选人。</w:t>
            </w:r>
          </w:p>
          <w:p w14:paraId="5D6C3348">
            <w:pPr>
              <w:widowControl/>
              <w:shd w:val="clear" w:fill="FFFFFF" w:themeFill="background1"/>
              <w:spacing w:line="400" w:lineRule="exact"/>
              <w:ind w:firstLine="456" w:firstLineChars="190"/>
              <w:jc w:val="left"/>
              <w:rPr>
                <w:rFonts w:ascii="宋体" w:hAnsi="宋体" w:cs="宋体"/>
                <w:color w:val="auto"/>
                <w:kern w:val="0"/>
                <w:sz w:val="24"/>
                <w:highlight w:val="none"/>
              </w:rPr>
            </w:pPr>
            <w:r>
              <w:rPr>
                <w:rFonts w:hint="eastAsia" w:ascii="宋体" w:hAnsi="宋体" w:cs="宋体"/>
                <w:color w:val="auto"/>
                <w:kern w:val="0"/>
                <w:sz w:val="24"/>
                <w:highlight w:val="none"/>
              </w:rPr>
              <w:t>3.9.6 如果发生无法确定推荐中标候选人的其他意外情况，评标委员会可建议招标人重新招标。</w:t>
            </w:r>
          </w:p>
        </w:tc>
      </w:tr>
    </w:tbl>
    <w:p w14:paraId="21F726BC">
      <w:pPr>
        <w:shd w:val="clear" w:fill="FFFFFF" w:themeFill="background1"/>
        <w:rPr>
          <w:color w:val="auto"/>
          <w:highlight w:val="none"/>
        </w:rPr>
      </w:pPr>
    </w:p>
    <w:p w14:paraId="3FBD759C">
      <w:pPr>
        <w:pStyle w:val="6"/>
        <w:shd w:val="clear" w:fill="FFFFFF" w:themeFill="background1"/>
        <w:spacing w:before="156" w:beforeLines="50" w:line="400" w:lineRule="exact"/>
        <w:rPr>
          <w:rFonts w:ascii="宋体" w:hAnsi="宋体"/>
          <w:color w:val="auto"/>
          <w:sz w:val="24"/>
          <w:szCs w:val="24"/>
          <w:highlight w:val="none"/>
        </w:rPr>
      </w:pPr>
      <w:bookmarkStart w:id="247" w:name="_Toc522725722"/>
      <w:bookmarkStart w:id="248" w:name="_Toc234382653"/>
    </w:p>
    <w:bookmarkEnd w:id="247"/>
    <w:bookmarkEnd w:id="248"/>
    <w:p w14:paraId="3EA53083">
      <w:pPr>
        <w:pStyle w:val="5"/>
        <w:shd w:val="clear" w:fill="FFFFFF" w:themeFill="background1"/>
        <w:rPr>
          <w:color w:val="auto"/>
          <w:highlight w:val="none"/>
        </w:rPr>
      </w:pPr>
      <w:bookmarkStart w:id="249" w:name="_Toc14321"/>
      <w:r>
        <w:rPr>
          <w:rFonts w:hint="eastAsia"/>
          <w:color w:val="auto"/>
          <w:highlight w:val="none"/>
        </w:rPr>
        <w:t>1. 评标方法</w:t>
      </w:r>
      <w:bookmarkEnd w:id="249"/>
    </w:p>
    <w:p w14:paraId="728E09A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次评标采用技术评分最低标价法。评标委员会对满足招标文件实质性要求的投标文件的施工组织设计、主要人员、技术能力等因素进行评分，按照得分由高到低排序，对排名在招标文件规定数量以内的投标人的报价文件进行评审，按照评标价由低到高的顺序推荐中标候选人，或根据招标人授权直接确定中标人，但投标报价低于其成本的除外。评标价相等时，评标委员会应按照评标办法前附表规定的优先次序推荐中标候选人或确定中标人。</w:t>
      </w:r>
    </w:p>
    <w:p w14:paraId="28C70599">
      <w:pPr>
        <w:pStyle w:val="5"/>
        <w:shd w:val="clear" w:fill="FFFFFF" w:themeFill="background1"/>
        <w:rPr>
          <w:color w:val="auto"/>
          <w:highlight w:val="none"/>
        </w:rPr>
      </w:pPr>
      <w:bookmarkStart w:id="250" w:name="_Toc522725723"/>
      <w:bookmarkStart w:id="251" w:name="_Toc234382654"/>
      <w:bookmarkStart w:id="252" w:name="_Toc32673"/>
      <w:bookmarkStart w:id="253" w:name="_Toc6288"/>
      <w:r>
        <w:rPr>
          <w:rFonts w:hint="eastAsia"/>
          <w:color w:val="auto"/>
          <w:highlight w:val="none"/>
        </w:rPr>
        <w:t>2. 评审标准</w:t>
      </w:r>
      <w:bookmarkEnd w:id="250"/>
      <w:bookmarkEnd w:id="251"/>
      <w:bookmarkEnd w:id="252"/>
      <w:bookmarkEnd w:id="253"/>
    </w:p>
    <w:p w14:paraId="4CE3C773">
      <w:pPr>
        <w:pStyle w:val="71"/>
        <w:numPr>
          <w:ilvl w:val="0"/>
          <w:numId w:val="0"/>
        </w:numPr>
        <w:shd w:val="clear" w:fill="FFFFFF" w:themeFill="background1"/>
        <w:spacing w:line="360" w:lineRule="auto"/>
        <w:rPr>
          <w:rFonts w:ascii="宋体" w:hAnsi="宋体" w:cs="宋体"/>
          <w:color w:val="auto"/>
          <w:highlight w:val="none"/>
        </w:rPr>
      </w:pPr>
      <w:bookmarkStart w:id="254" w:name="_Toc8478"/>
      <w:bookmarkStart w:id="255" w:name="_Toc7659"/>
      <w:bookmarkStart w:id="256" w:name="_Toc522725724"/>
      <w:bookmarkStart w:id="257" w:name="_Toc234382655"/>
      <w:r>
        <w:rPr>
          <w:rFonts w:hint="eastAsia" w:ascii="宋体" w:hAnsi="宋体" w:cs="宋体"/>
          <w:color w:val="auto"/>
          <w:highlight w:val="none"/>
        </w:rPr>
        <w:t>2.1 初步评审标准</w:t>
      </w:r>
      <w:bookmarkEnd w:id="254"/>
      <w:bookmarkEnd w:id="255"/>
      <w:bookmarkEnd w:id="256"/>
      <w:bookmarkEnd w:id="257"/>
    </w:p>
    <w:p w14:paraId="4D5092D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2.1.1形式评审标准：见评标办法前附表。</w:t>
      </w:r>
    </w:p>
    <w:p w14:paraId="0FE5180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2.1.2资格评审标准：见评标办法前附表。</w:t>
      </w:r>
    </w:p>
    <w:p w14:paraId="25F6A8D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 资格评审标准：见资格预审文件第三章“资格审查办法”详细审查标准（适用于已进行资格预审的）。</w:t>
      </w:r>
    </w:p>
    <w:p w14:paraId="108FF30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2.1.3响应性评审标准：见评标办法前附表。</w:t>
      </w:r>
    </w:p>
    <w:p w14:paraId="024C44F1">
      <w:pPr>
        <w:pStyle w:val="71"/>
        <w:numPr>
          <w:ilvl w:val="0"/>
          <w:numId w:val="0"/>
        </w:numPr>
        <w:shd w:val="clear" w:fill="FFFFFF" w:themeFill="background1"/>
        <w:spacing w:line="360" w:lineRule="auto"/>
        <w:rPr>
          <w:rFonts w:ascii="宋体" w:hAnsi="宋体" w:cs="宋体"/>
          <w:color w:val="auto"/>
          <w:highlight w:val="none"/>
        </w:rPr>
      </w:pPr>
      <w:bookmarkStart w:id="258" w:name="_Toc2995"/>
      <w:bookmarkStart w:id="259" w:name="_Toc522725725"/>
      <w:bookmarkStart w:id="260" w:name="_Toc234382656"/>
      <w:bookmarkStart w:id="261" w:name="_Toc31918"/>
      <w:r>
        <w:rPr>
          <w:rFonts w:hint="eastAsia" w:ascii="宋体" w:hAnsi="宋体" w:cs="宋体"/>
          <w:color w:val="auto"/>
          <w:highlight w:val="none"/>
        </w:rPr>
        <w:t>2.2 分值构成与评分标准</w:t>
      </w:r>
      <w:bookmarkEnd w:id="258"/>
      <w:bookmarkEnd w:id="259"/>
      <w:bookmarkEnd w:id="260"/>
      <w:bookmarkEnd w:id="261"/>
    </w:p>
    <w:p w14:paraId="58C721B8">
      <w:pPr>
        <w:shd w:val="clear" w:fill="FFFFFF" w:themeFill="background1"/>
        <w:spacing w:line="400" w:lineRule="exact"/>
        <w:ind w:firstLine="480" w:firstLineChars="200"/>
        <w:rPr>
          <w:rFonts w:ascii="宋体" w:hAnsi="宋体" w:cs="宋体"/>
          <w:color w:val="auto"/>
          <w:highlight w:val="none"/>
        </w:rPr>
      </w:pPr>
      <w:bookmarkStart w:id="262" w:name="_Toc522725726"/>
      <w:r>
        <w:rPr>
          <w:rFonts w:hint="eastAsia" w:ascii="宋体" w:hAnsi="宋体" w:cs="宋体"/>
          <w:color w:val="auto"/>
          <w:kern w:val="0"/>
          <w:sz w:val="24"/>
          <w:highlight w:val="none"/>
        </w:rPr>
        <w:t>2.2.1 第一个信封</w:t>
      </w:r>
      <w:r>
        <w:rPr>
          <w:rFonts w:hint="eastAsia" w:ascii="宋体" w:hAnsi="宋体" w:cs="宋体"/>
          <w:color w:val="auto"/>
          <w:sz w:val="24"/>
          <w:highlight w:val="none"/>
        </w:rPr>
        <w:t>评分</w:t>
      </w:r>
      <w:r>
        <w:rPr>
          <w:rFonts w:hint="eastAsia" w:ascii="宋体" w:hAnsi="宋体" w:cs="宋体"/>
          <w:color w:val="auto"/>
          <w:kern w:val="0"/>
          <w:sz w:val="24"/>
          <w:highlight w:val="none"/>
        </w:rPr>
        <w:t xml:space="preserve">分值构成 </w:t>
      </w:r>
    </w:p>
    <w:p w14:paraId="5C73EA72">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（1）施工组织设计：见评标办法前附表； </w:t>
      </w:r>
    </w:p>
    <w:p w14:paraId="029CAEC7">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（2）主要人员：见</w:t>
      </w:r>
      <w:r>
        <w:rPr>
          <w:rFonts w:hint="eastAsia" w:ascii="宋体" w:hAnsi="宋体" w:cs="宋体"/>
          <w:color w:val="auto"/>
          <w:sz w:val="24"/>
          <w:highlight w:val="none"/>
        </w:rPr>
        <w:t>评标</w:t>
      </w:r>
      <w:r>
        <w:rPr>
          <w:rFonts w:hint="eastAsia" w:ascii="宋体" w:hAnsi="宋体" w:cs="宋体"/>
          <w:color w:val="auto"/>
          <w:kern w:val="0"/>
          <w:sz w:val="24"/>
          <w:highlight w:val="none"/>
        </w:rPr>
        <w:t xml:space="preserve">办法前附表； </w:t>
      </w:r>
    </w:p>
    <w:p w14:paraId="049802B1">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（3）其他因素：见评标办法前附表。 </w:t>
      </w:r>
    </w:p>
    <w:p w14:paraId="4D7D541C">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2.2.2 第一个信封</w:t>
      </w:r>
      <w:r>
        <w:rPr>
          <w:rFonts w:hint="eastAsia" w:ascii="宋体" w:hAnsi="宋体" w:cs="宋体"/>
          <w:color w:val="auto"/>
          <w:sz w:val="24"/>
          <w:highlight w:val="none"/>
        </w:rPr>
        <w:t>评分</w:t>
      </w:r>
      <w:r>
        <w:rPr>
          <w:rFonts w:hint="eastAsia" w:ascii="宋体" w:hAnsi="宋体" w:cs="宋体"/>
          <w:color w:val="auto"/>
          <w:kern w:val="0"/>
          <w:sz w:val="24"/>
          <w:highlight w:val="none"/>
        </w:rPr>
        <w:t xml:space="preserve">评分标准 </w:t>
      </w:r>
    </w:p>
    <w:p w14:paraId="16639C01">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（1）施工组织设计评分标准：见评标办法前附表； </w:t>
      </w:r>
    </w:p>
    <w:p w14:paraId="62C99CE1">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（2）主要人员评分</w:t>
      </w:r>
      <w:r>
        <w:rPr>
          <w:rFonts w:hint="eastAsia" w:ascii="宋体" w:hAnsi="宋体" w:cs="宋体"/>
          <w:color w:val="auto"/>
          <w:sz w:val="24"/>
          <w:highlight w:val="none"/>
        </w:rPr>
        <w:t>标准</w:t>
      </w:r>
      <w:r>
        <w:rPr>
          <w:rFonts w:hint="eastAsia" w:ascii="宋体" w:hAnsi="宋体" w:cs="宋体"/>
          <w:color w:val="auto"/>
          <w:kern w:val="0"/>
          <w:sz w:val="24"/>
          <w:highlight w:val="none"/>
        </w:rPr>
        <w:t xml:space="preserve">：见评标办法前附表； </w:t>
      </w:r>
    </w:p>
    <w:p w14:paraId="3CDD42C0">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（3）其他因素评分标准：见评标办法前附表。 </w:t>
      </w:r>
    </w:p>
    <w:p w14:paraId="53BD0F43">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2.2.3 第二个信封详细评审标准：见评标办法前附表。 </w:t>
      </w:r>
    </w:p>
    <w:p w14:paraId="56F74748">
      <w:pPr>
        <w:pStyle w:val="5"/>
        <w:shd w:val="clear" w:fill="FFFFFF" w:themeFill="background1"/>
        <w:rPr>
          <w:color w:val="auto"/>
          <w:highlight w:val="none"/>
        </w:rPr>
      </w:pPr>
      <w:bookmarkStart w:id="263" w:name="_Toc10149"/>
      <w:bookmarkStart w:id="264" w:name="_Toc9844"/>
      <w:r>
        <w:rPr>
          <w:rFonts w:hint="eastAsia"/>
          <w:color w:val="auto"/>
          <w:highlight w:val="none"/>
        </w:rPr>
        <w:t>3. 评标程序</w:t>
      </w:r>
      <w:bookmarkEnd w:id="262"/>
      <w:bookmarkEnd w:id="263"/>
      <w:bookmarkEnd w:id="264"/>
    </w:p>
    <w:p w14:paraId="19DF4407">
      <w:pPr>
        <w:pStyle w:val="71"/>
        <w:numPr>
          <w:ilvl w:val="0"/>
          <w:numId w:val="0"/>
        </w:numPr>
        <w:shd w:val="clear" w:fill="FFFFFF" w:themeFill="background1"/>
        <w:spacing w:line="360" w:lineRule="auto"/>
        <w:rPr>
          <w:rFonts w:ascii="宋体" w:hAnsi="宋体" w:cs="宋体"/>
          <w:color w:val="auto"/>
          <w:highlight w:val="none"/>
        </w:rPr>
      </w:pPr>
      <w:bookmarkStart w:id="265" w:name="_Toc15905"/>
      <w:bookmarkStart w:id="266" w:name="_Toc18283"/>
      <w:bookmarkStart w:id="267" w:name="_Toc522725727"/>
      <w:r>
        <w:rPr>
          <w:rFonts w:hint="eastAsia" w:ascii="宋体" w:hAnsi="宋体" w:cs="宋体"/>
          <w:color w:val="auto"/>
          <w:highlight w:val="none"/>
        </w:rPr>
        <w:t>3.1第一个信封初步评审</w:t>
      </w:r>
      <w:bookmarkEnd w:id="265"/>
      <w:bookmarkEnd w:id="266"/>
      <w:bookmarkEnd w:id="267"/>
    </w:p>
    <w:p w14:paraId="27DFB44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3.1.1 评标委员会可以要求投标人提交第二章“投标人须知”第 3.5.1 项至第 3.5.6项规定的有关证明和证件的原件，以便核验。评标委员会依据本章第 2.1 款规定的标准对投标文件第一个信封（商务及技术文件）进行初步评审。有一项不符合评审标准的，评标委员会应否决其投标。（适用于未进行资格预审的）</w:t>
      </w:r>
    </w:p>
    <w:p w14:paraId="4A09C96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3.1.1 评标委员会依据本章第 2.1.1 项、第 2.1.3 项规定的评审标准对投标文件第一个信封（商务及技术文件）进行初步评审。有一项不符合评审标准的，评标委员会应否决其投标。当投标人资格预审申请文件的内容发生重大变化时，评标委员会依据本章第 2.1.2 项规定的标准对其更新资料进行评审。（适用于已进行资格预审的） </w:t>
      </w:r>
    </w:p>
    <w:p w14:paraId="7EFD0AF8">
      <w:pPr>
        <w:pStyle w:val="71"/>
        <w:numPr>
          <w:ilvl w:val="0"/>
          <w:numId w:val="0"/>
        </w:numPr>
        <w:shd w:val="clear" w:fill="FFFFFF" w:themeFill="background1"/>
        <w:spacing w:line="360" w:lineRule="auto"/>
        <w:rPr>
          <w:rFonts w:ascii="宋体" w:hAnsi="宋体" w:cs="宋体"/>
          <w:color w:val="auto"/>
          <w:highlight w:val="none"/>
        </w:rPr>
      </w:pPr>
      <w:bookmarkStart w:id="268" w:name="_Toc14649"/>
      <w:bookmarkStart w:id="269" w:name="_Toc522725728"/>
    </w:p>
    <w:p w14:paraId="14904C96">
      <w:pPr>
        <w:pStyle w:val="71"/>
        <w:numPr>
          <w:ilvl w:val="0"/>
          <w:numId w:val="0"/>
        </w:numPr>
        <w:shd w:val="clear" w:fill="FFFFFF" w:themeFill="background1"/>
        <w:spacing w:line="360" w:lineRule="auto"/>
        <w:rPr>
          <w:rFonts w:ascii="宋体" w:hAnsi="宋体" w:cs="宋体"/>
          <w:color w:val="auto"/>
          <w:highlight w:val="none"/>
        </w:rPr>
      </w:pPr>
      <w:bookmarkStart w:id="270" w:name="_Toc17034"/>
      <w:r>
        <w:rPr>
          <w:rFonts w:hint="eastAsia" w:ascii="宋体" w:hAnsi="宋体" w:cs="宋体"/>
          <w:color w:val="auto"/>
          <w:highlight w:val="none"/>
        </w:rPr>
        <w:t>3.2第一个信封详细评审</w:t>
      </w:r>
      <w:bookmarkEnd w:id="268"/>
      <w:bookmarkEnd w:id="270"/>
    </w:p>
    <w:p w14:paraId="49C82CD7">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3.2.1 评标委员会按本章第 2.2 款规定的量化因素和分值进行打分，并计算出各投标人的商务和技术得分。 </w:t>
      </w:r>
    </w:p>
    <w:p w14:paraId="29195CB9">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（1）按本章第 2.2.2 项（1）目规定的评审因素和分值对施工组织设计部分计算出得分 A； </w:t>
      </w:r>
    </w:p>
    <w:p w14:paraId="2C7681B1">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（2）按本章第 2.2.2 项（2）目规定的评审因素和分值对主要人员部分计算出得分B； </w:t>
      </w:r>
    </w:p>
    <w:p w14:paraId="5450F240">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（3）按本章第 2.2.2 项（3）目规定的评审因素和分值对其他因素部分计算出得分C。 </w:t>
      </w:r>
    </w:p>
    <w:p w14:paraId="49963D6F">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3.2.2 投标人的商务和技术得分分值计算保留小数点后三位，小数点后第三位“四舍五入”。 </w:t>
      </w:r>
    </w:p>
    <w:p w14:paraId="0775A080">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3.2.3 投标人的商务和技术</w:t>
      </w:r>
      <w:r>
        <w:rPr>
          <w:rFonts w:hint="eastAsia" w:ascii="宋体" w:hAnsi="宋体" w:cs="宋体"/>
          <w:color w:val="auto"/>
          <w:sz w:val="24"/>
          <w:highlight w:val="none"/>
        </w:rPr>
        <w:t>得分</w:t>
      </w:r>
      <w:r>
        <w:rPr>
          <w:rFonts w:hint="eastAsia" w:ascii="宋体" w:hAnsi="宋体" w:cs="宋体"/>
          <w:color w:val="auto"/>
          <w:kern w:val="0"/>
          <w:sz w:val="24"/>
          <w:highlight w:val="none"/>
        </w:rPr>
        <w:t xml:space="preserve">=A+B+C。 </w:t>
      </w:r>
    </w:p>
    <w:p w14:paraId="40BE321C">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3.2.4 评标委员会按照投标人的商务和技术得分由高到低排序，排名在评标办法前附表规定数量以内的投标人，其投标</w:t>
      </w:r>
      <w:r>
        <w:rPr>
          <w:rFonts w:hint="eastAsia" w:ascii="宋体" w:hAnsi="宋体" w:cs="宋体"/>
          <w:color w:val="auto"/>
          <w:sz w:val="24"/>
          <w:highlight w:val="none"/>
        </w:rPr>
        <w:t>文件</w:t>
      </w:r>
      <w:r>
        <w:rPr>
          <w:rFonts w:hint="eastAsia" w:ascii="宋体" w:hAnsi="宋体" w:cs="宋体"/>
          <w:color w:val="auto"/>
          <w:kern w:val="0"/>
          <w:sz w:val="24"/>
          <w:highlight w:val="none"/>
        </w:rPr>
        <w:t xml:space="preserve">第一个信封（商务及技术文件）通过详细评审。 </w:t>
      </w:r>
    </w:p>
    <w:p w14:paraId="43B009D8">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3.2.5 通过投标文件第一个信封（商务及技术文件）初步评审的投标人不少于3个且未超过评标办法前附表第 3.2.4 项规定数量的，均通过投标文件第一个信封（商务及技术文件）详细评审，不再对投标人的</w:t>
      </w:r>
      <w:r>
        <w:rPr>
          <w:rFonts w:hint="eastAsia" w:ascii="宋体" w:hAnsi="宋体" w:cs="宋体"/>
          <w:color w:val="auto"/>
          <w:sz w:val="24"/>
          <w:highlight w:val="none"/>
        </w:rPr>
        <w:t>商务</w:t>
      </w:r>
      <w:r>
        <w:rPr>
          <w:rFonts w:hint="eastAsia" w:ascii="宋体" w:hAnsi="宋体" w:cs="宋体"/>
          <w:color w:val="auto"/>
          <w:kern w:val="0"/>
          <w:sz w:val="24"/>
          <w:highlight w:val="none"/>
        </w:rPr>
        <w:t xml:space="preserve">和技术文件进行评分。 </w:t>
      </w:r>
    </w:p>
    <w:p w14:paraId="34184397">
      <w:pPr>
        <w:pStyle w:val="71"/>
        <w:numPr>
          <w:ilvl w:val="0"/>
          <w:numId w:val="0"/>
        </w:numPr>
        <w:shd w:val="clear" w:fill="FFFFFF" w:themeFill="background1"/>
        <w:spacing w:line="360" w:lineRule="auto"/>
        <w:rPr>
          <w:rFonts w:ascii="宋体" w:hAnsi="宋体" w:cs="宋体"/>
          <w:color w:val="auto"/>
          <w:highlight w:val="none"/>
        </w:rPr>
      </w:pPr>
      <w:bookmarkStart w:id="271" w:name="_Toc11419"/>
      <w:bookmarkStart w:id="272" w:name="_Toc29616"/>
      <w:r>
        <w:rPr>
          <w:rFonts w:hint="eastAsia" w:ascii="宋体" w:hAnsi="宋体" w:cs="宋体"/>
          <w:color w:val="auto"/>
          <w:highlight w:val="none"/>
        </w:rPr>
        <w:t>3.3 第二个信封开标</w:t>
      </w:r>
      <w:bookmarkEnd w:id="269"/>
      <w:bookmarkEnd w:id="271"/>
      <w:bookmarkEnd w:id="272"/>
    </w:p>
    <w:p w14:paraId="4EF3511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第一个信封（商务及技术文件）评审结束后，招标人将按照第二章“投标人须知”第 5.1 款规定的时间和地点对通过投标文件第一个信封（商务及技术文件）评审的投标文件第二个信封（报价文件）进行开标。</w:t>
      </w:r>
    </w:p>
    <w:p w14:paraId="6A36A830">
      <w:pPr>
        <w:pStyle w:val="71"/>
        <w:numPr>
          <w:ilvl w:val="0"/>
          <w:numId w:val="0"/>
        </w:numPr>
        <w:shd w:val="clear" w:fill="FFFFFF" w:themeFill="background1"/>
        <w:spacing w:line="360" w:lineRule="auto"/>
        <w:rPr>
          <w:rFonts w:ascii="宋体" w:hAnsi="宋体" w:cs="宋体"/>
          <w:color w:val="auto"/>
          <w:highlight w:val="none"/>
        </w:rPr>
      </w:pPr>
      <w:bookmarkStart w:id="273" w:name="_Toc898"/>
      <w:bookmarkStart w:id="274" w:name="_Toc522725729"/>
      <w:bookmarkStart w:id="275" w:name="_Toc785"/>
      <w:r>
        <w:rPr>
          <w:rFonts w:hint="eastAsia" w:ascii="宋体" w:hAnsi="宋体" w:cs="宋体"/>
          <w:color w:val="auto"/>
          <w:highlight w:val="none"/>
        </w:rPr>
        <w:t>3.4 第二个信封初步评审</w:t>
      </w:r>
      <w:bookmarkEnd w:id="273"/>
      <w:bookmarkEnd w:id="274"/>
      <w:bookmarkEnd w:id="275"/>
    </w:p>
    <w:p w14:paraId="0F4F56FA">
      <w:pPr>
        <w:shd w:val="clear" w:fill="FFFFFF" w:themeFill="background1"/>
        <w:spacing w:line="400" w:lineRule="exact"/>
        <w:ind w:firstLine="480" w:firstLineChars="200"/>
        <w:rPr>
          <w:rFonts w:ascii="宋体" w:hAnsi="宋体" w:cs="宋体"/>
          <w:color w:val="auto"/>
          <w:kern w:val="0"/>
          <w:sz w:val="24"/>
          <w:highlight w:val="none"/>
        </w:rPr>
      </w:pPr>
      <w:bookmarkStart w:id="276" w:name="_Toc522725730"/>
      <w:r>
        <w:rPr>
          <w:rFonts w:hint="eastAsia" w:ascii="宋体" w:hAnsi="宋体" w:cs="宋体"/>
          <w:color w:val="auto"/>
          <w:kern w:val="0"/>
          <w:sz w:val="24"/>
          <w:highlight w:val="none"/>
        </w:rPr>
        <w:t>3.4.1 评标委员会依据本章第 2.1.1 项、第 2.1.3 项规定的评审标准对投标文件第二个信封（报价文件）进行初步评审。有一项不符合评审标准的，评标委员会应否决其投标。</w:t>
      </w:r>
    </w:p>
    <w:p w14:paraId="00945379">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3.4.2 投标报价有算术错误的，评标委员会按以下原则对投标报价进行修正，修正的价格经投标人书面确认后具有</w:t>
      </w:r>
      <w:r>
        <w:rPr>
          <w:rFonts w:hint="eastAsia" w:ascii="宋体" w:hAnsi="宋体" w:cs="宋体"/>
          <w:color w:val="auto"/>
          <w:sz w:val="24"/>
          <w:highlight w:val="none"/>
        </w:rPr>
        <w:t>约束力</w:t>
      </w:r>
      <w:r>
        <w:rPr>
          <w:rFonts w:hint="eastAsia" w:ascii="宋体" w:hAnsi="宋体" w:cs="宋体"/>
          <w:color w:val="auto"/>
          <w:kern w:val="0"/>
          <w:sz w:val="24"/>
          <w:highlight w:val="none"/>
        </w:rPr>
        <w:t xml:space="preserve">。投标人不接受修正价格的，评标委员会应否决其投标。 </w:t>
      </w:r>
    </w:p>
    <w:p w14:paraId="113AF7DD">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（1）投标文件中的大写金额与小写金额不一致的，以大写金额为准； </w:t>
      </w:r>
    </w:p>
    <w:p w14:paraId="7FB5CF5B">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（2）总价金额与依据单价计算出的结果不一致的，以单价金额为准修正总价，但单价金额小数点有明显错误的除外； </w:t>
      </w:r>
    </w:p>
    <w:p w14:paraId="462BE233">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（3）当单价与数量相乘不等于合价时，以单价计算为准，如果单价有明显的小数点位置差错，应以标出的合价</w:t>
      </w:r>
      <w:r>
        <w:rPr>
          <w:rFonts w:hint="eastAsia" w:ascii="宋体" w:hAnsi="宋体" w:cs="宋体"/>
          <w:color w:val="auto"/>
          <w:sz w:val="24"/>
          <w:highlight w:val="none"/>
        </w:rPr>
        <w:t>为准</w:t>
      </w:r>
      <w:r>
        <w:rPr>
          <w:rFonts w:hint="eastAsia" w:ascii="宋体" w:hAnsi="宋体" w:cs="宋体"/>
          <w:color w:val="auto"/>
          <w:kern w:val="0"/>
          <w:sz w:val="24"/>
          <w:highlight w:val="none"/>
        </w:rPr>
        <w:t xml:space="preserve">，同时对单价予以修正； </w:t>
      </w:r>
    </w:p>
    <w:p w14:paraId="71099BE4">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（4）当各子目的合价累计不等于总价时，应以各子目合价累计数为准，修正总价。 </w:t>
      </w:r>
    </w:p>
    <w:p w14:paraId="6B95FF10">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3.4.3 工程量清单中的投标报价有其他错误的，评标委员会按以下原则对投标报价进行修正，修正的价格经投标人书面确认后具有约束力。投标人不接受修正价格的，评标委员会应否决其投标。 </w:t>
      </w:r>
    </w:p>
    <w:p w14:paraId="3839BCD8">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（1）在招标人</w:t>
      </w:r>
      <w:r>
        <w:rPr>
          <w:rFonts w:hint="eastAsia" w:ascii="宋体" w:hAnsi="宋体" w:cs="宋体"/>
          <w:color w:val="auto"/>
          <w:sz w:val="24"/>
          <w:highlight w:val="none"/>
        </w:rPr>
        <w:t>给定</w:t>
      </w:r>
      <w:r>
        <w:rPr>
          <w:rFonts w:hint="eastAsia" w:ascii="宋体" w:hAnsi="宋体" w:cs="宋体"/>
          <w:color w:val="auto"/>
          <w:kern w:val="0"/>
          <w:sz w:val="24"/>
          <w:highlight w:val="none"/>
        </w:rPr>
        <w:t>的工程量清单中漏报了某个工程子目的单价、合价或总额价，或所报单价、合价或总额价减少了报价范围，则漏报的工程子目单价、合价和总额价或单价、合价和总额价中减少的报价</w:t>
      </w:r>
      <w:r>
        <w:rPr>
          <w:rFonts w:hint="eastAsia" w:ascii="宋体" w:hAnsi="宋体" w:cs="宋体"/>
          <w:color w:val="auto"/>
          <w:sz w:val="24"/>
          <w:highlight w:val="none"/>
        </w:rPr>
        <w:t>内容</w:t>
      </w:r>
      <w:r>
        <w:rPr>
          <w:rFonts w:hint="eastAsia" w:ascii="宋体" w:hAnsi="宋体" w:cs="宋体"/>
          <w:color w:val="auto"/>
          <w:kern w:val="0"/>
          <w:sz w:val="24"/>
          <w:highlight w:val="none"/>
        </w:rPr>
        <w:t xml:space="preserve">视为已含入其他工程子目的单价、合价和总额价之中。 </w:t>
      </w:r>
    </w:p>
    <w:p w14:paraId="7A4CE943">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（2）在招标人</w:t>
      </w:r>
      <w:r>
        <w:rPr>
          <w:rFonts w:hint="eastAsia" w:ascii="宋体" w:hAnsi="宋体" w:cs="宋体"/>
          <w:color w:val="auto"/>
          <w:sz w:val="24"/>
          <w:highlight w:val="none"/>
        </w:rPr>
        <w:t>给定</w:t>
      </w:r>
      <w:r>
        <w:rPr>
          <w:rFonts w:hint="eastAsia" w:ascii="宋体" w:hAnsi="宋体" w:cs="宋体"/>
          <w:color w:val="auto"/>
          <w:kern w:val="0"/>
          <w:sz w:val="24"/>
          <w:highlight w:val="none"/>
        </w:rPr>
        <w:t xml:space="preserve">的工程量清单中多报了某个工程子目的单价、合价或总额价，或所报单价、合价或总额价增加了报价范围，则从投标报价中扣除多报的工程子目报价或工程子目报价中增加了报价范围的部分报价。 </w:t>
      </w:r>
    </w:p>
    <w:p w14:paraId="1C2BE735">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（3）当单价与数量的乘积与合价（金额）虽然一致，但投标人修改了该子目的工程数量，则其合价按招标人给定的工程数量乘以投标人所报单价予以修正。 </w:t>
      </w:r>
    </w:p>
    <w:p w14:paraId="29D49E72">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3.4.4 修正后的最终投标</w:t>
      </w:r>
      <w:r>
        <w:rPr>
          <w:rFonts w:hint="eastAsia" w:ascii="宋体" w:hAnsi="宋体" w:cs="宋体"/>
          <w:color w:val="auto"/>
          <w:sz w:val="24"/>
          <w:highlight w:val="none"/>
        </w:rPr>
        <w:t>报价</w:t>
      </w:r>
      <w:r>
        <w:rPr>
          <w:rFonts w:hint="eastAsia" w:ascii="宋体" w:hAnsi="宋体" w:cs="宋体"/>
          <w:color w:val="auto"/>
          <w:kern w:val="0"/>
          <w:sz w:val="24"/>
          <w:highlight w:val="none"/>
        </w:rPr>
        <w:t xml:space="preserve">若超过最高投标限价（如有），评标委员会应否决其投标。 </w:t>
      </w:r>
    </w:p>
    <w:p w14:paraId="451F1153">
      <w:pPr>
        <w:pStyle w:val="71"/>
        <w:numPr>
          <w:ilvl w:val="0"/>
          <w:numId w:val="0"/>
        </w:numPr>
        <w:shd w:val="clear" w:fill="FFFFFF" w:themeFill="background1"/>
        <w:spacing w:line="360" w:lineRule="auto"/>
        <w:rPr>
          <w:rFonts w:ascii="宋体" w:hAnsi="宋体" w:cs="宋体"/>
          <w:color w:val="auto"/>
          <w:highlight w:val="none"/>
        </w:rPr>
      </w:pPr>
      <w:bookmarkStart w:id="277" w:name="_Toc2394"/>
      <w:bookmarkStart w:id="278" w:name="_Toc4770"/>
      <w:r>
        <w:rPr>
          <w:rFonts w:hint="eastAsia" w:ascii="宋体" w:hAnsi="宋体" w:cs="宋体"/>
          <w:color w:val="auto"/>
          <w:highlight w:val="none"/>
        </w:rPr>
        <w:t>3.5 第二个信封详细评审</w:t>
      </w:r>
      <w:bookmarkEnd w:id="276"/>
      <w:bookmarkEnd w:id="277"/>
      <w:bookmarkEnd w:id="278"/>
    </w:p>
    <w:p w14:paraId="5E04E26B">
      <w:pPr>
        <w:shd w:val="clear" w:fill="FFFFFF" w:themeFill="background1"/>
        <w:spacing w:line="400" w:lineRule="exact"/>
        <w:ind w:firstLine="480" w:firstLineChars="200"/>
        <w:rPr>
          <w:rFonts w:ascii="宋体" w:hAnsi="宋体" w:cs="宋体"/>
          <w:color w:val="auto"/>
          <w:highlight w:val="none"/>
        </w:rPr>
      </w:pPr>
      <w:bookmarkStart w:id="279" w:name="_Toc522725731"/>
      <w:r>
        <w:rPr>
          <w:rFonts w:hint="eastAsia" w:ascii="宋体" w:hAnsi="宋体" w:cs="宋体"/>
          <w:color w:val="auto"/>
          <w:kern w:val="0"/>
          <w:sz w:val="24"/>
          <w:highlight w:val="none"/>
        </w:rPr>
        <w:t xml:space="preserve">3.5.1 评标委员会按本章第 2.2 款规定的量化因素和标准进行价格折算，计算出评标价，并编制价格比较一览表。 </w:t>
      </w:r>
    </w:p>
    <w:p w14:paraId="7C50E975">
      <w:pPr>
        <w:shd w:val="clear" w:fill="FFFFFF" w:themeFill="background1"/>
        <w:spacing w:line="400" w:lineRule="exact"/>
        <w:ind w:firstLine="480" w:firstLineChars="200"/>
        <w:rPr>
          <w:rFonts w:ascii="宋体" w:hAnsi="宋体" w:cs="宋体"/>
          <w:color w:val="auto"/>
          <w:highlight w:val="none"/>
        </w:rPr>
      </w:pPr>
      <w:r>
        <w:rPr>
          <w:rFonts w:hint="eastAsia" w:ascii="宋体" w:hAnsi="宋体" w:cs="宋体"/>
          <w:color w:val="auto"/>
          <w:kern w:val="0"/>
          <w:sz w:val="24"/>
          <w:highlight w:val="none"/>
        </w:rPr>
        <w:t xml:space="preserve">3.5.2 评标委员会发现投标人的报价明显低于其他投标报价，使得其投标报价可能低于其个别成本的，应要求该投标人作出书面说明并提供相应的证明材料。投标人不能合理说明或不能提供相应证明材料的，由评标委员会认定该投标人以低于成本报价竞标，并否决其投标。 </w:t>
      </w:r>
    </w:p>
    <w:p w14:paraId="41F51BA9">
      <w:pPr>
        <w:pStyle w:val="71"/>
        <w:numPr>
          <w:ilvl w:val="0"/>
          <w:numId w:val="0"/>
        </w:numPr>
        <w:shd w:val="clear" w:fill="FFFFFF" w:themeFill="background1"/>
        <w:spacing w:line="360" w:lineRule="auto"/>
        <w:rPr>
          <w:rFonts w:ascii="宋体" w:hAnsi="宋体" w:cs="宋体"/>
          <w:color w:val="auto"/>
          <w:highlight w:val="none"/>
        </w:rPr>
      </w:pPr>
      <w:bookmarkStart w:id="280" w:name="_Toc30786"/>
      <w:bookmarkStart w:id="281" w:name="_Toc16154"/>
      <w:r>
        <w:rPr>
          <w:rFonts w:hint="eastAsia" w:ascii="宋体" w:hAnsi="宋体" w:cs="宋体"/>
          <w:color w:val="auto"/>
          <w:highlight w:val="none"/>
        </w:rPr>
        <w:t>3.6 投标文件相关信息的核查</w:t>
      </w:r>
      <w:bookmarkEnd w:id="279"/>
      <w:bookmarkEnd w:id="280"/>
      <w:bookmarkEnd w:id="281"/>
    </w:p>
    <w:p w14:paraId="3D9CCEF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3.6.1 在评标过程中，评标委员会应査询交通运输主管部门“全国公路建设市场监督管理系统”，对投标人的资质、业绩、主要人员资历和目前在岗情况、信用等级等信息进行核实。若投标文件载明的信息与交通运输主管部门“全国公路建设市场监督管理系统”公布的信息不符，使得投标人的资格条件不符合招标文件规定的，评标委员会应否决其投标。</w:t>
      </w:r>
    </w:p>
    <w:p w14:paraId="00D3622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3.6.2评标委员会应对在评标过程中发现的投标人与投标人之间、投标人与招标人之间存在的串通投标的情形进行评审和认定。投标人存在串通投标、弄虚作假、行贿等违法行为的，评标委员会应否决其投标。</w:t>
      </w:r>
    </w:p>
    <w:p w14:paraId="1CDED1E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（1）有下列情形之一的，属于投标人相互串通投标：</w:t>
      </w:r>
    </w:p>
    <w:p w14:paraId="1102C6F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a.投标人之间协商投标报价等投标文件的实质性内容；</w:t>
      </w:r>
    </w:p>
    <w:p w14:paraId="475A826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b.投标人之间约定中标人；</w:t>
      </w:r>
    </w:p>
    <w:p w14:paraId="583ECD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c.投标人之间约定部分投标人放弃投标或中标；</w:t>
      </w:r>
    </w:p>
    <w:p w14:paraId="31A35DC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d.属于同一集团、协会、商会等组织成员的投标人按照该组织要求协同投标；</w:t>
      </w:r>
    </w:p>
    <w:p w14:paraId="4AF8FC9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e.投标人之间为谋取中标或排斥特定投标人而采取的其他联合行动。</w:t>
      </w:r>
    </w:p>
    <w:p w14:paraId="78CAD3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（2）有下列情形之一的，视为投标人相互串通投标：</w:t>
      </w:r>
    </w:p>
    <w:p w14:paraId="7FD737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a.不同投标人的投标文件由同一单位或个人编制；</w:t>
      </w:r>
    </w:p>
    <w:p w14:paraId="26751B7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b.不同投标人委托同一单位或个人办理投标事宜；</w:t>
      </w:r>
    </w:p>
    <w:p w14:paraId="30CDBD3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c.不同投标人的投标文件载明的项目管理成员为同一人；</w:t>
      </w:r>
    </w:p>
    <w:p w14:paraId="6BC632A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d.不同投标人的投标文件异常一致或投标报价呈规律性差异；</w:t>
      </w:r>
    </w:p>
    <w:p w14:paraId="19316C5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e.不同投标人的投标文件相互混装；</w:t>
      </w:r>
    </w:p>
    <w:p w14:paraId="76767F9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f.不同投标人的投标保证金从同一单位或个人的账户转出。</w:t>
      </w:r>
    </w:p>
    <w:p w14:paraId="74AF39B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（3）有下列情形之一的，属于招标人与投标人串通投标：</w:t>
      </w:r>
    </w:p>
    <w:p w14:paraId="25DEBBD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a.招标人在开标前开启投标文件并将有关信息泄露给其他投标人；</w:t>
      </w:r>
    </w:p>
    <w:p w14:paraId="5A55F40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b.招标人直接或间接向投标人泄露标底、评标委员会成员等信息；</w:t>
      </w:r>
    </w:p>
    <w:p w14:paraId="0FC7845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c.招标人明示或暗示投标人压低或抬高投标报价；</w:t>
      </w:r>
    </w:p>
    <w:p w14:paraId="3A2CD80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d.招标人授意投标人撤換、修改投标文件；</w:t>
      </w:r>
    </w:p>
    <w:p w14:paraId="52C0B5A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e.招标人明示或暗示投标人为特定投标人中标提供方便；</w:t>
      </w:r>
    </w:p>
    <w:p w14:paraId="3F69ED4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f.招标人与投标人为谋求特定投标人中标而采取的其他串通行为。</w:t>
      </w:r>
    </w:p>
    <w:p w14:paraId="15F609D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（4）投标人有下列情形之一的，属于弄虚作假的行为： </w:t>
      </w:r>
    </w:p>
    <w:p w14:paraId="409774E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a.使用通过受让或租借等方式获取的资格、资质证书投标； </w:t>
      </w:r>
    </w:p>
    <w:p w14:paraId="01EF2C3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b.使用伪造、变造的许可证件；</w:t>
      </w:r>
    </w:p>
    <w:p w14:paraId="50A75F0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c.提供虚假的财务状况或业绩；</w:t>
      </w:r>
    </w:p>
    <w:p w14:paraId="6764D46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d.提供虚假的项目负责人或主要技术人员简历、劳动关系证明；</w:t>
      </w:r>
    </w:p>
    <w:p w14:paraId="71700CC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e.提供虚假的信用状况；</w:t>
      </w:r>
    </w:p>
    <w:p w14:paraId="2D2E803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f.具他弄虚作假的行为。</w:t>
      </w:r>
    </w:p>
    <w:p w14:paraId="6451D3A3">
      <w:pPr>
        <w:pStyle w:val="71"/>
        <w:numPr>
          <w:ilvl w:val="0"/>
          <w:numId w:val="0"/>
        </w:numPr>
        <w:shd w:val="clear" w:fill="FFFFFF" w:themeFill="background1"/>
        <w:spacing w:line="360" w:lineRule="auto"/>
        <w:rPr>
          <w:rFonts w:ascii="宋体" w:hAnsi="宋体" w:cs="宋体"/>
          <w:color w:val="auto"/>
          <w:highlight w:val="none"/>
        </w:rPr>
      </w:pPr>
      <w:bookmarkStart w:id="282" w:name="_Toc25115"/>
      <w:bookmarkStart w:id="283" w:name="_Toc21295"/>
      <w:bookmarkStart w:id="284" w:name="_Toc522725732"/>
      <w:r>
        <w:rPr>
          <w:rFonts w:hint="eastAsia" w:ascii="宋体" w:hAnsi="宋体" w:cs="宋体"/>
          <w:color w:val="auto"/>
          <w:highlight w:val="none"/>
        </w:rPr>
        <w:t>3.7 投标文件的澄清和说明</w:t>
      </w:r>
      <w:bookmarkEnd w:id="282"/>
      <w:bookmarkEnd w:id="283"/>
      <w:bookmarkEnd w:id="284"/>
    </w:p>
    <w:p w14:paraId="186FD22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3.7.1 在评标过程中，评标委员会可以书面形式要求投标人对所提交投标文件中含义不明确的内容、明显文字或计算错误进行书面澄清或说明。评标委员会不接受投标人主动提出的澄清、说明。投标人不按评标委员会要求澄清或说明的，评标委员会应否决其投标。</w:t>
      </w:r>
    </w:p>
    <w:p w14:paraId="14A33F9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3.7.2 澄清和说明不得超出投标文件的范围或改变招标文件的实质性内容（算术性错误修正的除外）。投标人的书面澄清、说明属于投标文件的组成部分。</w:t>
      </w:r>
    </w:p>
    <w:p w14:paraId="01A0532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3.7.3 评标委员会不得暗示或诱导投标人作出澄清、说明，对投标人提交的澄清、说明有疑问的，可以要求投标人进一步澄清或说明，直至满足评标委员会的要求。</w:t>
      </w:r>
    </w:p>
    <w:p w14:paraId="0D07709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3.7.4 凡超出招标文件规定的或给发包人带来未曾要求的利益的变化、偏差或其他因素在评标时不予考虑。</w:t>
      </w:r>
    </w:p>
    <w:p w14:paraId="78D261CC">
      <w:pPr>
        <w:pStyle w:val="71"/>
        <w:numPr>
          <w:ilvl w:val="0"/>
          <w:numId w:val="0"/>
        </w:numPr>
        <w:shd w:val="clear" w:fill="FFFFFF" w:themeFill="background1"/>
        <w:spacing w:line="360" w:lineRule="auto"/>
        <w:rPr>
          <w:rFonts w:ascii="宋体" w:hAnsi="宋体" w:cs="宋体"/>
          <w:color w:val="auto"/>
          <w:highlight w:val="none"/>
        </w:rPr>
      </w:pPr>
      <w:bookmarkStart w:id="285" w:name="_Toc5475"/>
      <w:bookmarkStart w:id="286" w:name="_Toc3411"/>
      <w:bookmarkStart w:id="287" w:name="_Toc522725733"/>
      <w:r>
        <w:rPr>
          <w:rFonts w:hint="eastAsia" w:ascii="宋体" w:hAnsi="宋体" w:cs="宋体"/>
          <w:color w:val="auto"/>
          <w:highlight w:val="none"/>
        </w:rPr>
        <w:t>3.8 不得否决投标的情形</w:t>
      </w:r>
      <w:bookmarkEnd w:id="285"/>
      <w:bookmarkEnd w:id="286"/>
      <w:bookmarkEnd w:id="287"/>
    </w:p>
    <w:p w14:paraId="0761F8F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投标文件存在第二章“投标人须知”第1.12.3项所列情形的，均视为细微偏差，评标委员会不得否决投标人的投标， 应按照第二章“投标人须知”第1.12.4项规定的原则处理。</w:t>
      </w:r>
    </w:p>
    <w:p w14:paraId="1736B563">
      <w:pPr>
        <w:pStyle w:val="71"/>
        <w:numPr>
          <w:ilvl w:val="0"/>
          <w:numId w:val="0"/>
        </w:numPr>
        <w:shd w:val="clear" w:fill="FFFFFF" w:themeFill="background1"/>
        <w:spacing w:line="360" w:lineRule="auto"/>
        <w:rPr>
          <w:rFonts w:ascii="宋体" w:hAnsi="宋体" w:cs="宋体"/>
          <w:color w:val="auto"/>
          <w:highlight w:val="none"/>
        </w:rPr>
      </w:pPr>
      <w:bookmarkStart w:id="288" w:name="_Toc522725734"/>
      <w:bookmarkStart w:id="289" w:name="_Toc14369"/>
      <w:bookmarkStart w:id="290" w:name="_Toc26258"/>
      <w:r>
        <w:rPr>
          <w:rFonts w:hint="eastAsia" w:ascii="宋体" w:hAnsi="宋体" w:cs="宋体"/>
          <w:color w:val="auto"/>
          <w:highlight w:val="none"/>
        </w:rPr>
        <w:t>3.9 评标结果</w:t>
      </w:r>
      <w:bookmarkEnd w:id="288"/>
      <w:bookmarkEnd w:id="289"/>
      <w:bookmarkEnd w:id="290"/>
    </w:p>
    <w:p w14:paraId="138BAC3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3.9.1除第二章“投标人须知”前附表授权直接确定中标人外，评标委员会按照得分由高到低的顺序推荐中标候选人，并标明排序。</w:t>
      </w:r>
    </w:p>
    <w:p w14:paraId="492CF98D">
      <w:pPr>
        <w:pStyle w:val="55"/>
        <w:shd w:val="clear" w:fill="FFFFFF" w:themeFill="background1"/>
        <w:rPr>
          <w:color w:val="auto"/>
          <w:highlight w:val="none"/>
        </w:rPr>
      </w:pPr>
      <w:r>
        <w:rPr>
          <w:rFonts w:hint="eastAsia" w:ascii="宋体" w:hAnsi="宋体" w:cs="宋体"/>
          <w:color w:val="auto"/>
          <w:sz w:val="24"/>
          <w:highlight w:val="none"/>
        </w:rPr>
        <w:t>3.9.2 评标委员会完成评标后，应向招标人提交书面评标报告。</w:t>
      </w:r>
    </w:p>
    <w:p w14:paraId="39B9D630">
      <w:pPr>
        <w:shd w:val="clear" w:fill="FFFFFF" w:themeFill="background1"/>
        <w:rPr>
          <w:rFonts w:ascii="宋体" w:hAnsi="宋体"/>
          <w:color w:val="auto"/>
          <w:highlight w:val="none"/>
        </w:rPr>
      </w:pPr>
      <w:r>
        <w:rPr>
          <w:rFonts w:ascii="宋体" w:hAnsi="宋体"/>
          <w:color w:val="auto"/>
          <w:highlight w:val="none"/>
        </w:rPr>
        <w:br w:type="page"/>
      </w:r>
    </w:p>
    <w:p w14:paraId="44F6D5C3">
      <w:pPr>
        <w:shd w:val="clear" w:fill="FFFFFF" w:themeFill="background1"/>
        <w:adjustRightInd w:val="0"/>
        <w:snapToGrid w:val="0"/>
        <w:spacing w:line="360" w:lineRule="auto"/>
        <w:rPr>
          <w:rFonts w:ascii="宋体" w:hAnsi="宋体"/>
          <w:color w:val="auto"/>
          <w:highlight w:val="none"/>
        </w:rPr>
      </w:pPr>
    </w:p>
    <w:p w14:paraId="58F62A78">
      <w:pPr>
        <w:shd w:val="clear" w:fill="FFFFFF" w:themeFill="background1"/>
        <w:adjustRightInd w:val="0"/>
        <w:snapToGrid w:val="0"/>
        <w:spacing w:line="360" w:lineRule="auto"/>
        <w:ind w:firstLine="420" w:firstLineChars="200"/>
        <w:rPr>
          <w:rFonts w:ascii="宋体" w:hAnsi="宋体"/>
          <w:color w:val="auto"/>
          <w:highlight w:val="none"/>
        </w:rPr>
      </w:pPr>
    </w:p>
    <w:p w14:paraId="40B8343C">
      <w:pPr>
        <w:shd w:val="clear" w:fill="FFFFFF" w:themeFill="background1"/>
        <w:adjustRightInd w:val="0"/>
        <w:snapToGrid w:val="0"/>
        <w:spacing w:line="360" w:lineRule="auto"/>
        <w:ind w:firstLine="420" w:firstLineChars="200"/>
        <w:rPr>
          <w:rFonts w:ascii="宋体" w:hAnsi="宋体"/>
          <w:color w:val="auto"/>
          <w:highlight w:val="none"/>
        </w:rPr>
      </w:pPr>
    </w:p>
    <w:p w14:paraId="22D5C917">
      <w:pPr>
        <w:pStyle w:val="4"/>
        <w:shd w:val="clear" w:fill="FFFFFF" w:themeFill="background1"/>
        <w:jc w:val="center"/>
        <w:rPr>
          <w:color w:val="auto"/>
          <w:highlight w:val="none"/>
        </w:rPr>
      </w:pPr>
      <w:bookmarkStart w:id="291" w:name="_Toc43475747"/>
    </w:p>
    <w:p w14:paraId="4A80A634">
      <w:pPr>
        <w:pStyle w:val="4"/>
        <w:shd w:val="clear" w:fill="FFFFFF" w:themeFill="background1"/>
        <w:jc w:val="center"/>
        <w:rPr>
          <w:color w:val="auto"/>
          <w:highlight w:val="none"/>
        </w:rPr>
      </w:pPr>
    </w:p>
    <w:p w14:paraId="72BAB298">
      <w:pPr>
        <w:pStyle w:val="4"/>
        <w:shd w:val="clear" w:fill="FFFFFF" w:themeFill="background1"/>
        <w:jc w:val="center"/>
        <w:rPr>
          <w:color w:val="auto"/>
          <w:highlight w:val="none"/>
        </w:rPr>
      </w:pPr>
    </w:p>
    <w:p w14:paraId="23E4C7F0">
      <w:pPr>
        <w:pStyle w:val="4"/>
        <w:shd w:val="clear" w:fill="FFFFFF" w:themeFill="background1"/>
        <w:jc w:val="center"/>
        <w:rPr>
          <w:color w:val="auto"/>
          <w:highlight w:val="none"/>
        </w:rPr>
      </w:pPr>
    </w:p>
    <w:bookmarkEnd w:id="291"/>
    <w:p w14:paraId="1698E8A4">
      <w:pPr>
        <w:pStyle w:val="4"/>
        <w:shd w:val="clear" w:fill="FFFFFF" w:themeFill="background1"/>
        <w:jc w:val="center"/>
        <w:rPr>
          <w:color w:val="auto"/>
          <w:highlight w:val="none"/>
        </w:rPr>
      </w:pPr>
      <w:r>
        <w:rPr>
          <w:rFonts w:hint="eastAsia"/>
          <w:color w:val="auto"/>
          <w:highlight w:val="none"/>
        </w:rPr>
        <w:t>第四章合同条款及格式</w:t>
      </w:r>
    </w:p>
    <w:p w14:paraId="15B321DF">
      <w:pPr>
        <w:shd w:val="clear" w:fill="FFFFFF" w:themeFill="background1"/>
        <w:jc w:val="center"/>
        <w:rPr>
          <w:rFonts w:ascii="宋体" w:hAnsi="宋体"/>
          <w:color w:val="auto"/>
          <w:sz w:val="72"/>
          <w:szCs w:val="72"/>
          <w:highlight w:val="none"/>
        </w:rPr>
      </w:pPr>
      <w:r>
        <w:rPr>
          <w:rFonts w:hint="eastAsia" w:ascii="宋体" w:hAnsi="宋体"/>
          <w:color w:val="auto"/>
          <w:sz w:val="72"/>
          <w:szCs w:val="72"/>
          <w:highlight w:val="none"/>
        </w:rPr>
        <w:br w:type="page"/>
      </w:r>
    </w:p>
    <w:p w14:paraId="59735F5E">
      <w:pPr>
        <w:pStyle w:val="5"/>
        <w:shd w:val="clear" w:fill="FFFFFF" w:themeFill="background1"/>
        <w:spacing w:after="120" w:line="240" w:lineRule="auto"/>
        <w:jc w:val="center"/>
        <w:rPr>
          <w:rFonts w:ascii="宋体" w:hAnsi="宋体"/>
          <w:color w:val="auto"/>
          <w:highlight w:val="none"/>
        </w:rPr>
      </w:pPr>
      <w:bookmarkStart w:id="292" w:name="_Toc26318"/>
      <w:bookmarkEnd w:id="292"/>
      <w:bookmarkStart w:id="293" w:name="_Toc505844394"/>
      <w:bookmarkEnd w:id="293"/>
      <w:bookmarkStart w:id="294" w:name="_Toc43475748"/>
      <w:bookmarkEnd w:id="294"/>
      <w:r>
        <w:rPr>
          <w:rFonts w:hint="eastAsia" w:ascii="宋体" w:hAnsi="宋体"/>
          <w:color w:val="auto"/>
          <w:sz w:val="44"/>
          <w:szCs w:val="44"/>
          <w:highlight w:val="none"/>
        </w:rPr>
        <w:t>第一节通用合同条款</w:t>
      </w:r>
    </w:p>
    <w:p w14:paraId="302373F2">
      <w:pPr>
        <w:shd w:val="clear" w:fill="FFFFFF" w:themeFill="background1"/>
        <w:spacing w:line="400" w:lineRule="exact"/>
        <w:jc w:val="center"/>
        <w:rPr>
          <w:rFonts w:ascii="宋体" w:hAnsi="宋体" w:cs="宋体"/>
          <w:color w:val="auto"/>
          <w:highlight w:val="none"/>
        </w:rPr>
      </w:pPr>
      <w:r>
        <w:rPr>
          <w:rFonts w:hint="eastAsia" w:ascii="宋体" w:hAnsi="宋体" w:cs="宋体"/>
          <w:color w:val="auto"/>
          <w:highlight w:val="none"/>
        </w:rPr>
        <w:t>（通用合同条款的内容与《中华人民共和国交通运输部公路工程标准施工招标文件》（2018年版）不一致时，以《中华人民共和国交通运输部公路工程标准施工招标文件》（2018年版）为准）</w:t>
      </w:r>
    </w:p>
    <w:p w14:paraId="4373CB56">
      <w:pPr>
        <w:shd w:val="clear" w:fill="FFFFFF" w:themeFill="background1"/>
        <w:spacing w:line="400" w:lineRule="exact"/>
        <w:jc w:val="center"/>
        <w:rPr>
          <w:rFonts w:ascii="宋体" w:hAnsi="宋体" w:cs="宋体"/>
          <w:color w:val="auto"/>
          <w:sz w:val="30"/>
          <w:szCs w:val="30"/>
          <w:highlight w:val="none"/>
        </w:rPr>
      </w:pPr>
    </w:p>
    <w:p w14:paraId="225A872F">
      <w:pPr>
        <w:shd w:val="clear" w:fill="FFFFFF" w:themeFill="background1"/>
        <w:spacing w:before="240" w:line="40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通用合同条款</w:t>
      </w:r>
    </w:p>
    <w:p w14:paraId="2B4C2FCE">
      <w:pPr>
        <w:pStyle w:val="78"/>
        <w:shd w:val="clear" w:fill="FFFFFF" w:themeFill="background1"/>
        <w:rPr>
          <w:rFonts w:ascii="宋体" w:hAnsi="宋体"/>
          <w:color w:val="auto"/>
          <w:sz w:val="24"/>
          <w:szCs w:val="24"/>
          <w:highlight w:val="none"/>
        </w:rPr>
      </w:pPr>
      <w:bookmarkStart w:id="295" w:name="_Toc152045611"/>
      <w:bookmarkEnd w:id="295"/>
      <w:bookmarkStart w:id="296" w:name="_Toc144974579"/>
      <w:bookmarkEnd w:id="296"/>
      <w:bookmarkStart w:id="297" w:name="_Toc330406216"/>
      <w:bookmarkEnd w:id="297"/>
      <w:bookmarkStart w:id="298" w:name="_Toc393546275"/>
      <w:bookmarkEnd w:id="298"/>
      <w:bookmarkStart w:id="299" w:name="_Toc386467021"/>
      <w:bookmarkEnd w:id="299"/>
      <w:bookmarkStart w:id="300" w:name="_Toc43475749"/>
      <w:bookmarkEnd w:id="300"/>
      <w:bookmarkStart w:id="301" w:name="_Toc179632629"/>
      <w:bookmarkEnd w:id="301"/>
      <w:bookmarkStart w:id="302" w:name="_Toc152042389"/>
      <w:bookmarkEnd w:id="302"/>
      <w:r>
        <w:rPr>
          <w:rFonts w:hint="eastAsia" w:ascii="宋体" w:hAnsi="宋体"/>
          <w:color w:val="auto"/>
          <w:sz w:val="24"/>
          <w:szCs w:val="24"/>
          <w:highlight w:val="none"/>
        </w:rPr>
        <w:t>1. 一般约定</w:t>
      </w:r>
    </w:p>
    <w:p w14:paraId="5F5133C7">
      <w:pPr>
        <w:pStyle w:val="67"/>
        <w:shd w:val="clear" w:fill="FFFFFF" w:themeFill="background1"/>
        <w:ind w:firstLine="118"/>
        <w:rPr>
          <w:rFonts w:ascii="宋体" w:eastAsia="宋体"/>
          <w:b/>
          <w:bCs/>
          <w:color w:val="auto"/>
          <w:szCs w:val="24"/>
          <w:highlight w:val="none"/>
        </w:rPr>
      </w:pPr>
      <w:bookmarkStart w:id="303" w:name="_Toc43475750"/>
      <w:bookmarkEnd w:id="303"/>
      <w:bookmarkStart w:id="304" w:name="_Toc386467022"/>
      <w:bookmarkEnd w:id="304"/>
      <w:bookmarkStart w:id="305" w:name="_Toc393546276"/>
      <w:bookmarkEnd w:id="305"/>
      <w:r>
        <w:rPr>
          <w:rFonts w:hint="eastAsia" w:ascii="宋体" w:eastAsia="宋体"/>
          <w:b/>
          <w:bCs/>
          <w:color w:val="auto"/>
          <w:szCs w:val="24"/>
          <w:highlight w:val="none"/>
        </w:rPr>
        <w:t>1.1 词语定义</w:t>
      </w:r>
    </w:p>
    <w:p w14:paraId="31EDD24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通用合同条款、专用合同条款中的下列词语应具有本款所赋予的含义。</w:t>
      </w:r>
    </w:p>
    <w:p w14:paraId="6234DB64">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1.1.1 合同</w:t>
      </w:r>
    </w:p>
    <w:p w14:paraId="2D91B79A">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1.1.1.1 合同文件（或称合同）：指合同协议书、中标通知书、投标函及投标函附录、专用合同条款、通用合同条款、技术标准和要求、图纸、已标价工程量清单，以及其他合同文件。</w:t>
      </w:r>
    </w:p>
    <w:p w14:paraId="100F748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1.1.1.2 合同协议书：指第1.5款所指的合同协议书。</w:t>
      </w:r>
    </w:p>
    <w:p w14:paraId="1B33E39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1.1.1.3 中标通知书：指发包人通知承包人中标的函件。</w:t>
      </w:r>
    </w:p>
    <w:p w14:paraId="3FA46972">
      <w:pPr>
        <w:shd w:val="clear" w:fill="FFFFFF" w:themeFill="background1"/>
        <w:spacing w:line="400" w:lineRule="exact"/>
        <w:ind w:firstLine="820" w:firstLineChars="342"/>
        <w:rPr>
          <w:rFonts w:ascii="宋体" w:hAnsi="宋体" w:cs="宋体"/>
          <w:dstrike/>
          <w:color w:val="auto"/>
          <w:sz w:val="24"/>
          <w:highlight w:val="none"/>
        </w:rPr>
      </w:pPr>
      <w:r>
        <w:rPr>
          <w:rFonts w:hint="eastAsia" w:ascii="宋体" w:hAnsi="宋体" w:cs="宋体"/>
          <w:color w:val="auto"/>
          <w:sz w:val="24"/>
          <w:highlight w:val="none"/>
        </w:rPr>
        <w:t>1.1.1.4 投标函：指构成合同文件组成部分的由承包人填写并签署的投标函。</w:t>
      </w:r>
    </w:p>
    <w:p w14:paraId="09621C73">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1.1.1.5 投标函附录：指附在投标函后构成合同文件的投标函附录。</w:t>
      </w:r>
    </w:p>
    <w:p w14:paraId="75E6827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1.1.1.6 技术标准和要求：指构成合同文件组成部分的名为技术标准和要求的文件，包括合同双方当事人约定对其所作的修改或补充。</w:t>
      </w:r>
    </w:p>
    <w:p w14:paraId="2FDFC7E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1.1.1.7图纸：指包含在合同中的工程图纸，以及由发包人按合同约定提供的任何补充和修改的图纸，包括配套的说明。</w:t>
      </w:r>
    </w:p>
    <w:p w14:paraId="1657D302">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1.1.1.8 已标价工程量清单：指构成合同文件组成部分的由承包人按照规定的格式和要求填写并标明价格的工程量清单。</w:t>
      </w:r>
    </w:p>
    <w:p w14:paraId="5FB2B20F">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1.1.1.9 其他合同文件：指经合同双方当事人确认构成合同文件的其他文件。</w:t>
      </w:r>
    </w:p>
    <w:p w14:paraId="7C0761AB">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1.1.2 合同当事人和人员</w:t>
      </w:r>
    </w:p>
    <w:p w14:paraId="14E78086">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1.1.2.1 合同当事人：指发包人和（或）承包人。</w:t>
      </w:r>
    </w:p>
    <w:p w14:paraId="398C5EAF">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1.1.2.2 发包人：指专用合同条款中指明并与承包人在合同协议书中签字的当事人。</w:t>
      </w:r>
    </w:p>
    <w:p w14:paraId="0F55F26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1.1.2.3 承包人：指与发包人签订合同协议书的当事人。</w:t>
      </w:r>
    </w:p>
    <w:p w14:paraId="3F33651D">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1.1.2.4 承包人项目经理：指承包人派驻施工场地的全权负责人。</w:t>
      </w:r>
    </w:p>
    <w:p w14:paraId="3249C0C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1.1.2.5 分包人：指从承包人处分包合同中某一部分工程，并与其签订分包合同的分包人。</w:t>
      </w:r>
    </w:p>
    <w:p w14:paraId="44456BB2">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1.1.2.6 监理人：指在专用合同条款中指明的，受发包人委托对合同履行实施管理的法人或其他组织。</w:t>
      </w:r>
    </w:p>
    <w:p w14:paraId="65EFAF9D">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1.1.2.7 总监理工程师（总监）：指由监理人委派常驻施工场地对合同履行实施管理的全权负责人。</w:t>
      </w:r>
    </w:p>
    <w:p w14:paraId="1807ED34">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1.1.3 工程和设备</w:t>
      </w:r>
    </w:p>
    <w:p w14:paraId="500778CF">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1.1.3.1 工程：指永久工程和（或）临时工程。</w:t>
      </w:r>
    </w:p>
    <w:p w14:paraId="449D71A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1.1.3.2 永久工程：指按合同约定建造并移交给发包人的工程，包括工程设备。</w:t>
      </w:r>
    </w:p>
    <w:p w14:paraId="4D145C0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1.1.3.3 临时工程：指为完成合同约定的永久工程所修建的各类临时性工程，不包括施工设备。</w:t>
      </w:r>
    </w:p>
    <w:p w14:paraId="30BB579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1.1.3.4 单位工程：指专用合同条款中指明特定范围的永久工程。</w:t>
      </w:r>
    </w:p>
    <w:p w14:paraId="1884FFB2">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1.1.3.5 工程设备：指构成或计划构成永久工程一部分的机电设备、金属结构设备、仪器装置及其他类似的设备和装置。</w:t>
      </w:r>
    </w:p>
    <w:p w14:paraId="075620DE">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1.1.3.6 施工设备：指为完成合同约定的各项工作所需的设备、器具和其他物品，不包括临时工程和材料。</w:t>
      </w:r>
    </w:p>
    <w:p w14:paraId="59A57300">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1.1.3.7 临时设施：指为完成合同约定的各项工作所服务的临时性生产和生活设施。</w:t>
      </w:r>
    </w:p>
    <w:p w14:paraId="2098253E">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1.1.3.8 承包人设备：指承包人自带的施工设备。</w:t>
      </w:r>
    </w:p>
    <w:p w14:paraId="2760B521">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1.1.3.9 施工场地（或称工地、现场）：指用于合同工程施工的场所，以及在合同中指定作为施工场地组成部分的其他场所，包括永久占地和临时占地。</w:t>
      </w:r>
    </w:p>
    <w:p w14:paraId="7EA49B8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1.1.3.10 永久占地：指专用合同条款中指明为实施合同工程需永久占用的土地。</w:t>
      </w:r>
    </w:p>
    <w:p w14:paraId="6D004696">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1.1.3.11 临时占地：指专用合同条款中指明为实施合同工程需临时占用的土地。</w:t>
      </w:r>
    </w:p>
    <w:p w14:paraId="486403CC">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1.1.4 日期</w:t>
      </w:r>
    </w:p>
    <w:p w14:paraId="17049856">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1.1.4.1 开工通知：指监理人按第11.1款通知承包人开工的函件。</w:t>
      </w:r>
    </w:p>
    <w:p w14:paraId="1CB77F7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1.1.4.2 开工日期：指监理人按第11.1款发出的开工通知中写明的开工日期。</w:t>
      </w:r>
    </w:p>
    <w:p w14:paraId="0A4FD4D4">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1.1.4.3工期：指承包人在投标函中承诺的完成合同工程所需的期限，包括按第11.3款、第11.4款和第11.6款约定所作的变更。</w:t>
      </w:r>
    </w:p>
    <w:p w14:paraId="4BDD44A3">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1.1.4.4 竣工日期：指第1.1.4.3目约定工期届满时的日期。实际竣工日期以工程接收证书中写明的日期为准。</w:t>
      </w:r>
    </w:p>
    <w:p w14:paraId="42B62698">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1.1.4.5 缺陷责任期：指履行第19.2款约定的缺陷责任的期限，具体期限由专用合同条款约定，包括根据第19.3款约定所作的延长。</w:t>
      </w:r>
    </w:p>
    <w:p w14:paraId="0E63CA03">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1.1.4.6 基准日期：指投标截止时间前28天的日期。</w:t>
      </w:r>
    </w:p>
    <w:p w14:paraId="63AF4882">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1.1.4.7 天：除特别指明外，指日历天。合同中按天计算时间的，开始当天不计入，从次日开始计算。期限最后一天的截止时间为当天24:00。</w:t>
      </w:r>
    </w:p>
    <w:p w14:paraId="4058D857">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1.1.5 合同价格和费用</w:t>
      </w:r>
    </w:p>
    <w:p w14:paraId="7E14AFFF">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1.1.5.1 签约合同价：指签定合同时合同协议书中写明的，包括了暂列金额、暂估价的合同总金额。</w:t>
      </w:r>
    </w:p>
    <w:p w14:paraId="704528F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1.1.5.2 合同价格：指承包人按合同约定完成了包括缺陷责任期内的全部承包工作后，发包人应付给承包人的金额，包括在履行合同过程中按合同约定进行的变更和调整。</w:t>
      </w:r>
    </w:p>
    <w:p w14:paraId="1F7F60D4">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1.1.5.3 费用：指为履行合同所发生的或将要发生的所有合理开支，包括管理费和应分摊的其他费用，但不包括利润。</w:t>
      </w:r>
    </w:p>
    <w:p w14:paraId="172F9B52">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1.1.5.4 暂列金额：指已标价工程量清单中所列的暂列金额，用于在签订协议书时尚未确定或不可预见变更的施工及其所需材料、工程设备、服务等的金额，包括以计日工方式支付的金额。</w:t>
      </w:r>
    </w:p>
    <w:p w14:paraId="20DF7D0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1.1.5.5暂估价：指发包人在工程量清单中给定的用于支付必然发生但暂时不能确定价格的材料、设备以及专业工程的金额。</w:t>
      </w:r>
    </w:p>
    <w:p w14:paraId="7EB5F2D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1.1.5.6 计日工：指对零星工作采取的一种计价方式，按合同中的计日工子目及其单价计价付款。</w:t>
      </w:r>
    </w:p>
    <w:p w14:paraId="03A34C11">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1.1.5.7 质量保证金（或称保留金）：指按第17.4.1项约定用于保证在缺陷责任期内履行缺陷修复义务的金额。</w:t>
      </w:r>
    </w:p>
    <w:p w14:paraId="57971B91">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1.1.6 其他</w:t>
      </w:r>
    </w:p>
    <w:p w14:paraId="0E9C5724">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1.1.6.1 书面形式：指合同文件、信函、电报、传真等可以有形地表现所载内容的形式。</w:t>
      </w:r>
    </w:p>
    <w:p w14:paraId="7CC0BB5A">
      <w:pPr>
        <w:pStyle w:val="67"/>
        <w:shd w:val="clear" w:fill="FFFFFF" w:themeFill="background1"/>
        <w:ind w:firstLine="118"/>
        <w:rPr>
          <w:rFonts w:ascii="宋体" w:eastAsia="宋体"/>
          <w:b/>
          <w:bCs/>
          <w:color w:val="auto"/>
          <w:szCs w:val="24"/>
          <w:highlight w:val="none"/>
        </w:rPr>
      </w:pPr>
      <w:bookmarkStart w:id="306" w:name="_Toc179632631"/>
      <w:bookmarkEnd w:id="306"/>
      <w:bookmarkStart w:id="307" w:name="_Toc393546277"/>
      <w:bookmarkEnd w:id="307"/>
      <w:bookmarkStart w:id="308" w:name="_Toc144974581"/>
      <w:bookmarkEnd w:id="308"/>
      <w:bookmarkStart w:id="309" w:name="_Toc152042391"/>
      <w:bookmarkEnd w:id="309"/>
      <w:bookmarkStart w:id="310" w:name="_Toc386467023"/>
      <w:bookmarkEnd w:id="310"/>
      <w:bookmarkStart w:id="311" w:name="_Toc43475751"/>
      <w:bookmarkEnd w:id="311"/>
      <w:bookmarkStart w:id="312" w:name="_Toc330406218"/>
      <w:bookmarkEnd w:id="312"/>
      <w:bookmarkStart w:id="313" w:name="_Toc152045613"/>
      <w:bookmarkEnd w:id="313"/>
      <w:r>
        <w:rPr>
          <w:rFonts w:hint="eastAsia" w:ascii="宋体" w:eastAsia="宋体"/>
          <w:b/>
          <w:bCs/>
          <w:color w:val="auto"/>
          <w:szCs w:val="24"/>
          <w:highlight w:val="none"/>
        </w:rPr>
        <w:t>1.2 语言文字</w:t>
      </w:r>
    </w:p>
    <w:p w14:paraId="279BB01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除专用术语外，合同使用的语言文字为中文。必要时专用术语应附有中文注释。</w:t>
      </w:r>
    </w:p>
    <w:p w14:paraId="0E8B0891">
      <w:pPr>
        <w:pStyle w:val="67"/>
        <w:shd w:val="clear" w:fill="FFFFFF" w:themeFill="background1"/>
        <w:ind w:firstLine="118"/>
        <w:rPr>
          <w:rFonts w:ascii="宋体" w:eastAsia="宋体"/>
          <w:b/>
          <w:bCs/>
          <w:color w:val="auto"/>
          <w:szCs w:val="24"/>
          <w:highlight w:val="none"/>
        </w:rPr>
      </w:pPr>
      <w:bookmarkStart w:id="314" w:name="_Toc386467024"/>
      <w:bookmarkEnd w:id="314"/>
      <w:bookmarkStart w:id="315" w:name="_Toc144974582"/>
      <w:bookmarkEnd w:id="315"/>
      <w:bookmarkStart w:id="316" w:name="_Toc43475752"/>
      <w:bookmarkEnd w:id="316"/>
      <w:bookmarkStart w:id="317" w:name="_Toc152042392"/>
      <w:bookmarkEnd w:id="317"/>
      <w:bookmarkStart w:id="318" w:name="_Toc393546278"/>
      <w:bookmarkEnd w:id="318"/>
      <w:bookmarkStart w:id="319" w:name="_Toc152045614"/>
      <w:bookmarkEnd w:id="319"/>
      <w:bookmarkStart w:id="320" w:name="_Toc330406219"/>
      <w:bookmarkEnd w:id="320"/>
      <w:bookmarkStart w:id="321" w:name="_Toc179632632"/>
      <w:bookmarkEnd w:id="321"/>
      <w:r>
        <w:rPr>
          <w:rFonts w:hint="eastAsia" w:ascii="宋体" w:eastAsia="宋体"/>
          <w:b/>
          <w:bCs/>
          <w:color w:val="auto"/>
          <w:szCs w:val="24"/>
          <w:highlight w:val="none"/>
        </w:rPr>
        <w:t>1.3 法律</w:t>
      </w:r>
    </w:p>
    <w:p w14:paraId="5BB6C67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适用于合同的法律包括中华人民共和国法律、行政法规、部门规章，以及工程所在地的地方法规、自治条例、单行条例和地方政府规章。</w:t>
      </w:r>
    </w:p>
    <w:p w14:paraId="7C7647C9">
      <w:pPr>
        <w:pStyle w:val="67"/>
        <w:shd w:val="clear" w:fill="FFFFFF" w:themeFill="background1"/>
        <w:ind w:firstLine="118"/>
        <w:rPr>
          <w:rFonts w:ascii="宋体" w:eastAsia="宋体"/>
          <w:b/>
          <w:bCs/>
          <w:color w:val="auto"/>
          <w:szCs w:val="24"/>
          <w:highlight w:val="none"/>
        </w:rPr>
      </w:pPr>
      <w:bookmarkStart w:id="322" w:name="_Toc386467025"/>
      <w:bookmarkEnd w:id="322"/>
      <w:bookmarkStart w:id="323" w:name="_Toc43475753"/>
      <w:bookmarkEnd w:id="323"/>
      <w:bookmarkStart w:id="324" w:name="_Toc393546279"/>
      <w:bookmarkEnd w:id="324"/>
      <w:r>
        <w:rPr>
          <w:rFonts w:hint="eastAsia" w:ascii="宋体" w:eastAsia="宋体"/>
          <w:b/>
          <w:bCs/>
          <w:color w:val="auto"/>
          <w:szCs w:val="24"/>
          <w:highlight w:val="none"/>
        </w:rPr>
        <w:t>1.4 合同文件的优先顺序</w:t>
      </w:r>
    </w:p>
    <w:p w14:paraId="7C816BC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组成合同的各项文件应互相解释，互为说明。除专用合同条款另有约定外，解释合同文件的优先顺序如下：</w:t>
      </w:r>
    </w:p>
    <w:p w14:paraId="73BAE48C">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（1）合同协议书；</w:t>
      </w:r>
    </w:p>
    <w:p w14:paraId="13AD8C9E">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（2）中标通知书；</w:t>
      </w:r>
    </w:p>
    <w:p w14:paraId="02A28150">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（3）投标函及投标函附录；</w:t>
      </w:r>
    </w:p>
    <w:p w14:paraId="61166A3E">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（4）专用合同条款；</w:t>
      </w:r>
    </w:p>
    <w:p w14:paraId="604930E5">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（5）通用合同条款；</w:t>
      </w:r>
    </w:p>
    <w:p w14:paraId="0D3965A8">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（6）技术标准和要求；</w:t>
      </w:r>
    </w:p>
    <w:p w14:paraId="7B79E5A4">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（7）图纸；</w:t>
      </w:r>
    </w:p>
    <w:p w14:paraId="099814E0">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（8）已标价工程量清单；</w:t>
      </w:r>
    </w:p>
    <w:p w14:paraId="2B31DE3D">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（9）其他合同文件。</w:t>
      </w:r>
    </w:p>
    <w:p w14:paraId="0DFBAA2F">
      <w:pPr>
        <w:pStyle w:val="67"/>
        <w:shd w:val="clear" w:fill="FFFFFF" w:themeFill="background1"/>
        <w:ind w:firstLine="118"/>
        <w:rPr>
          <w:rFonts w:ascii="宋体" w:eastAsia="宋体"/>
          <w:b/>
          <w:bCs/>
          <w:color w:val="auto"/>
          <w:szCs w:val="24"/>
          <w:highlight w:val="none"/>
        </w:rPr>
      </w:pPr>
      <w:bookmarkStart w:id="325" w:name="_Toc386467026"/>
      <w:bookmarkEnd w:id="325"/>
      <w:bookmarkStart w:id="326" w:name="_Toc393546280"/>
      <w:bookmarkEnd w:id="326"/>
      <w:bookmarkStart w:id="327" w:name="_Toc43475754"/>
      <w:bookmarkEnd w:id="327"/>
      <w:r>
        <w:rPr>
          <w:rFonts w:hint="eastAsia" w:ascii="宋体" w:eastAsia="宋体"/>
          <w:b/>
          <w:bCs/>
          <w:color w:val="auto"/>
          <w:szCs w:val="24"/>
          <w:highlight w:val="none"/>
        </w:rPr>
        <w:t>1.5 合同协议书</w:t>
      </w:r>
    </w:p>
    <w:p w14:paraId="2614577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承包人按中标通知书规定的时间与发包人签订合同协议书。除法律另有规定或合同另有约定外，发包人和承包人的法定代表人或其委托代理人在合同协议书上签字并盖单位章后，合同生效。</w:t>
      </w:r>
    </w:p>
    <w:p w14:paraId="0CC87950">
      <w:pPr>
        <w:pStyle w:val="67"/>
        <w:shd w:val="clear" w:fill="FFFFFF" w:themeFill="background1"/>
        <w:ind w:firstLine="118"/>
        <w:rPr>
          <w:rFonts w:ascii="宋体" w:eastAsia="宋体"/>
          <w:b/>
          <w:bCs/>
          <w:color w:val="auto"/>
          <w:szCs w:val="24"/>
          <w:highlight w:val="none"/>
        </w:rPr>
      </w:pPr>
      <w:bookmarkStart w:id="328" w:name="_Toc386467027"/>
      <w:bookmarkEnd w:id="328"/>
      <w:bookmarkStart w:id="329" w:name="_Toc43475755"/>
      <w:bookmarkEnd w:id="329"/>
      <w:bookmarkStart w:id="330" w:name="_Toc393546281"/>
      <w:bookmarkEnd w:id="330"/>
      <w:r>
        <w:rPr>
          <w:rFonts w:hint="eastAsia" w:ascii="宋体" w:eastAsia="宋体"/>
          <w:b/>
          <w:bCs/>
          <w:color w:val="auto"/>
          <w:szCs w:val="24"/>
          <w:highlight w:val="none"/>
        </w:rPr>
        <w:t>1.6 图纸和承包人文件</w:t>
      </w:r>
    </w:p>
    <w:p w14:paraId="2B5D06B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1.6.1图纸的提供</w:t>
      </w:r>
    </w:p>
    <w:p w14:paraId="235BDC9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除专用合同条款另有约定外，图纸应在合理的期限内按照合同约定的数量提供给承包人。由于发包人未按时提供图纸造成工期延误的，按第11.3款的约定办理。</w:t>
      </w:r>
    </w:p>
    <w:p w14:paraId="35B1146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承包人提供的文件</w:t>
      </w:r>
    </w:p>
    <w:p w14:paraId="405F8FB1">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按专用合同条款约定由承包人提供的文件，包括部分工程的大样图、加工图等，承包人应按约定的数量和期限报送监理人。监理人应在专用合同条款约定的期限内批复。</w:t>
      </w:r>
    </w:p>
    <w:p w14:paraId="4A8E36B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1.6.3 图纸的修改</w:t>
      </w:r>
    </w:p>
    <w:p w14:paraId="5045263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图纸需要修改和补充的，应由监理人取得发包人同意后，在该工程或工程相应部位施工前的合理期限内签发图纸修改图给承包人，具体签发期限在专用合同条款中约定。承包人应按修改后的图纸施工。 </w:t>
      </w:r>
    </w:p>
    <w:p w14:paraId="5AF14CB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1.6.4 图纸的错误</w:t>
      </w:r>
    </w:p>
    <w:p w14:paraId="613712B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承包人发现发包人提供的图纸存在明显错误或疏忽，应及时通知监理人。</w:t>
      </w:r>
    </w:p>
    <w:p w14:paraId="25914DC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1.6.5 图纸和承包人文件的保管</w:t>
      </w:r>
    </w:p>
    <w:p w14:paraId="448F6E2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监理人和承包人均应在施工场地各保存一套完整的包含第1.6.1项、第1.6.2项、第1.6.3项约定内容的图纸和承包人文件。</w:t>
      </w:r>
    </w:p>
    <w:p w14:paraId="06328B96">
      <w:pPr>
        <w:pStyle w:val="67"/>
        <w:shd w:val="clear" w:fill="FFFFFF" w:themeFill="background1"/>
        <w:ind w:firstLine="118"/>
        <w:rPr>
          <w:rFonts w:ascii="宋体" w:eastAsia="宋体"/>
          <w:b/>
          <w:bCs/>
          <w:color w:val="auto"/>
          <w:szCs w:val="24"/>
          <w:highlight w:val="none"/>
        </w:rPr>
      </w:pPr>
      <w:bookmarkStart w:id="331" w:name="_Toc43475756"/>
      <w:bookmarkEnd w:id="331"/>
      <w:bookmarkStart w:id="332" w:name="_Toc152045618"/>
      <w:bookmarkEnd w:id="332"/>
      <w:bookmarkStart w:id="333" w:name="_Toc179632636"/>
      <w:bookmarkEnd w:id="333"/>
      <w:bookmarkStart w:id="334" w:name="_Toc386467028"/>
      <w:bookmarkEnd w:id="334"/>
      <w:bookmarkStart w:id="335" w:name="_Toc393546282"/>
      <w:bookmarkEnd w:id="335"/>
      <w:bookmarkStart w:id="336" w:name="_Toc330406223"/>
      <w:bookmarkEnd w:id="336"/>
      <w:bookmarkStart w:id="337" w:name="_Toc152042396"/>
      <w:bookmarkEnd w:id="337"/>
      <w:bookmarkStart w:id="338" w:name="_Toc144974586"/>
      <w:bookmarkEnd w:id="338"/>
      <w:r>
        <w:rPr>
          <w:rFonts w:hint="eastAsia" w:ascii="宋体" w:eastAsia="宋体"/>
          <w:b/>
          <w:bCs/>
          <w:color w:val="auto"/>
          <w:szCs w:val="24"/>
          <w:highlight w:val="none"/>
        </w:rPr>
        <w:t>1.7 联络</w:t>
      </w:r>
    </w:p>
    <w:p w14:paraId="5DCB747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 与合同有关的通知、批准、证明、证书、指示、要求、请求、同意、意见、确定和决定等，均应采用书面形式。</w:t>
      </w:r>
    </w:p>
    <w:p w14:paraId="7B06167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 第1.7.1项中的通知、批准、证明、证书、指示、要求、请求、同意、意见、确定和决定等来往函件，均应在合同约定的期限内送达指定地点和接收人，并办理签收手续。</w:t>
      </w:r>
    </w:p>
    <w:p w14:paraId="7DC47D8A">
      <w:pPr>
        <w:pStyle w:val="67"/>
        <w:shd w:val="clear" w:fill="FFFFFF" w:themeFill="background1"/>
        <w:ind w:firstLine="118"/>
        <w:rPr>
          <w:rFonts w:ascii="宋体" w:eastAsia="宋体"/>
          <w:b/>
          <w:bCs/>
          <w:color w:val="auto"/>
          <w:szCs w:val="24"/>
          <w:highlight w:val="none"/>
        </w:rPr>
      </w:pPr>
      <w:bookmarkStart w:id="339" w:name="_Toc152042397"/>
      <w:bookmarkEnd w:id="339"/>
      <w:bookmarkStart w:id="340" w:name="_Toc386467029"/>
      <w:bookmarkEnd w:id="340"/>
      <w:bookmarkStart w:id="341" w:name="_Toc179632637"/>
      <w:bookmarkEnd w:id="341"/>
      <w:bookmarkStart w:id="342" w:name="_Toc43475757"/>
      <w:bookmarkEnd w:id="342"/>
      <w:bookmarkStart w:id="343" w:name="_Toc152045619"/>
      <w:bookmarkEnd w:id="343"/>
      <w:bookmarkStart w:id="344" w:name="_Toc144974587"/>
      <w:bookmarkEnd w:id="344"/>
      <w:bookmarkStart w:id="345" w:name="_Toc393546283"/>
      <w:bookmarkEnd w:id="345"/>
      <w:bookmarkStart w:id="346" w:name="_Toc330406224"/>
      <w:bookmarkEnd w:id="346"/>
      <w:r>
        <w:rPr>
          <w:rFonts w:hint="eastAsia" w:ascii="宋体" w:eastAsia="宋体"/>
          <w:b/>
          <w:bCs/>
          <w:color w:val="auto"/>
          <w:szCs w:val="24"/>
          <w:highlight w:val="none"/>
        </w:rPr>
        <w:t>1.8 转让</w:t>
      </w:r>
    </w:p>
    <w:p w14:paraId="7F375B8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除合同另有约定外，未经对方当事人同意，一方当事人不得将合同权利全部或部分转让给第三人，也不得全部或部分转移合同义务。</w:t>
      </w:r>
    </w:p>
    <w:p w14:paraId="0007305D">
      <w:pPr>
        <w:pStyle w:val="67"/>
        <w:shd w:val="clear" w:fill="FFFFFF" w:themeFill="background1"/>
        <w:ind w:firstLine="118"/>
        <w:rPr>
          <w:rFonts w:ascii="宋体" w:eastAsia="宋体"/>
          <w:b/>
          <w:bCs/>
          <w:color w:val="auto"/>
          <w:szCs w:val="24"/>
          <w:highlight w:val="none"/>
        </w:rPr>
      </w:pPr>
      <w:bookmarkStart w:id="347" w:name="_Toc393546284"/>
      <w:bookmarkEnd w:id="347"/>
      <w:bookmarkStart w:id="348" w:name="_Toc43475758"/>
      <w:bookmarkEnd w:id="348"/>
      <w:bookmarkStart w:id="349" w:name="_Toc386467030"/>
      <w:bookmarkEnd w:id="349"/>
      <w:r>
        <w:rPr>
          <w:rFonts w:hint="eastAsia" w:ascii="宋体" w:eastAsia="宋体"/>
          <w:b/>
          <w:bCs/>
          <w:color w:val="auto"/>
          <w:szCs w:val="24"/>
          <w:highlight w:val="none"/>
        </w:rPr>
        <w:t>1.9 严禁贿赂</w:t>
      </w:r>
    </w:p>
    <w:p w14:paraId="4D6F932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合同双方当事人不得以贿赂或变相贿赂的方式，谋取不当利益或损害对方权益。因贿赂造成对方损失的，行为人应赔偿损失，并承担相应的法律责任。</w:t>
      </w:r>
    </w:p>
    <w:p w14:paraId="14802E38">
      <w:pPr>
        <w:pStyle w:val="67"/>
        <w:shd w:val="clear" w:fill="FFFFFF" w:themeFill="background1"/>
        <w:ind w:firstLine="118"/>
        <w:rPr>
          <w:rFonts w:ascii="宋体" w:eastAsia="宋体"/>
          <w:color w:val="auto"/>
          <w:szCs w:val="24"/>
          <w:highlight w:val="none"/>
        </w:rPr>
      </w:pPr>
      <w:bookmarkStart w:id="350" w:name="_Toc330406226"/>
      <w:bookmarkEnd w:id="350"/>
      <w:bookmarkStart w:id="351" w:name="_Toc152042399"/>
      <w:bookmarkEnd w:id="351"/>
      <w:bookmarkStart w:id="352" w:name="_Toc393546285"/>
      <w:bookmarkEnd w:id="352"/>
      <w:bookmarkStart w:id="353" w:name="_Toc152045621"/>
      <w:bookmarkEnd w:id="353"/>
      <w:bookmarkStart w:id="354" w:name="_Toc43475759"/>
      <w:bookmarkEnd w:id="354"/>
      <w:bookmarkStart w:id="355" w:name="_Toc179632639"/>
      <w:bookmarkEnd w:id="355"/>
      <w:bookmarkStart w:id="356" w:name="_Toc144974589"/>
      <w:bookmarkEnd w:id="356"/>
      <w:bookmarkStart w:id="357" w:name="_Toc386467031"/>
      <w:bookmarkEnd w:id="357"/>
      <w:r>
        <w:rPr>
          <w:rFonts w:hint="eastAsia" w:ascii="宋体" w:eastAsia="宋体"/>
          <w:b/>
          <w:bCs/>
          <w:color w:val="auto"/>
          <w:szCs w:val="24"/>
          <w:highlight w:val="none"/>
        </w:rPr>
        <w:t>1.10 化石、文物</w:t>
      </w:r>
    </w:p>
    <w:p w14:paraId="1FE1FF5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发包人、监理人和承包人应按文物行政部门要求采取妥善保护措施，由此导致费用增加和（或）工期延误由发包人承担。</w:t>
      </w:r>
    </w:p>
    <w:p w14:paraId="608DDF5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1.10.2 承包人发现文物后不及时报告或隐瞒不报，致使文物丢失或损坏的，应赔偿损失，并承担相应的法律责任。</w:t>
      </w:r>
    </w:p>
    <w:p w14:paraId="605BBABA">
      <w:pPr>
        <w:pStyle w:val="67"/>
        <w:shd w:val="clear" w:fill="FFFFFF" w:themeFill="background1"/>
        <w:ind w:firstLine="118"/>
        <w:rPr>
          <w:rFonts w:ascii="宋体" w:eastAsia="宋体"/>
          <w:b/>
          <w:bCs/>
          <w:color w:val="auto"/>
          <w:szCs w:val="24"/>
          <w:highlight w:val="none"/>
        </w:rPr>
      </w:pPr>
      <w:bookmarkStart w:id="358" w:name="_Toc179632640"/>
      <w:bookmarkEnd w:id="358"/>
      <w:bookmarkStart w:id="359" w:name="_Toc152045622"/>
      <w:bookmarkEnd w:id="359"/>
      <w:bookmarkStart w:id="360" w:name="_Toc330406227"/>
      <w:bookmarkEnd w:id="360"/>
      <w:bookmarkStart w:id="361" w:name="_Toc144974590"/>
      <w:bookmarkEnd w:id="361"/>
      <w:bookmarkStart w:id="362" w:name="_Toc393546286"/>
      <w:bookmarkEnd w:id="362"/>
      <w:bookmarkStart w:id="363" w:name="_Toc152042400"/>
      <w:bookmarkEnd w:id="363"/>
      <w:bookmarkStart w:id="364" w:name="_Toc386467032"/>
      <w:bookmarkEnd w:id="364"/>
      <w:bookmarkStart w:id="365" w:name="_Toc43475760"/>
      <w:bookmarkEnd w:id="365"/>
      <w:r>
        <w:rPr>
          <w:rFonts w:hint="eastAsia" w:ascii="宋体" w:eastAsia="宋体"/>
          <w:b/>
          <w:bCs/>
          <w:color w:val="auto"/>
          <w:szCs w:val="24"/>
          <w:highlight w:val="none"/>
        </w:rPr>
        <w:t>1.11 专利技术</w:t>
      </w:r>
    </w:p>
    <w:p w14:paraId="59746A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1.11.1 承包人在使用任何材料、承包人设备、工程设备或采用施工工艺时，因侵犯专利权或其他知识产权所引起的责任，由承包人承担，但由于遵照发包人提供的设计或技术标准和要求引起的除外。</w:t>
      </w:r>
    </w:p>
    <w:p w14:paraId="0ADFF66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1.11.2 承包人在投标文件中采用专利技术的，专利技术的使用费包含在投标报价内。</w:t>
      </w:r>
    </w:p>
    <w:p w14:paraId="450BFEA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1.11.3 承包人的技术秘密和声明需要保密的资料和信息，发包人和监理人不得为合同以外的目的泄露给他人。</w:t>
      </w:r>
    </w:p>
    <w:p w14:paraId="5C3A2C11">
      <w:pPr>
        <w:pStyle w:val="67"/>
        <w:shd w:val="clear" w:fill="FFFFFF" w:themeFill="background1"/>
        <w:ind w:firstLine="118"/>
        <w:rPr>
          <w:rFonts w:ascii="宋体" w:eastAsia="宋体"/>
          <w:b/>
          <w:bCs/>
          <w:color w:val="auto"/>
          <w:szCs w:val="24"/>
          <w:highlight w:val="none"/>
        </w:rPr>
      </w:pPr>
      <w:bookmarkStart w:id="366" w:name="_Toc179632641"/>
      <w:bookmarkEnd w:id="366"/>
      <w:bookmarkStart w:id="367" w:name="_Toc330406228"/>
      <w:bookmarkEnd w:id="367"/>
      <w:bookmarkStart w:id="368" w:name="_Toc152045623"/>
      <w:bookmarkEnd w:id="368"/>
      <w:bookmarkStart w:id="369" w:name="_Toc144974591"/>
      <w:bookmarkEnd w:id="369"/>
      <w:bookmarkStart w:id="370" w:name="_Toc152042401"/>
      <w:bookmarkEnd w:id="370"/>
      <w:bookmarkStart w:id="371" w:name="_Toc43475761"/>
      <w:bookmarkEnd w:id="371"/>
      <w:bookmarkStart w:id="372" w:name="_Toc386467033"/>
      <w:bookmarkEnd w:id="372"/>
      <w:bookmarkStart w:id="373" w:name="_Toc393546287"/>
      <w:bookmarkEnd w:id="373"/>
      <w:r>
        <w:rPr>
          <w:rFonts w:hint="eastAsia" w:ascii="宋体" w:eastAsia="宋体"/>
          <w:b/>
          <w:bCs/>
          <w:color w:val="auto"/>
          <w:szCs w:val="24"/>
          <w:highlight w:val="none"/>
        </w:rPr>
        <w:t>1.12 图纸和文件的保密</w:t>
      </w:r>
    </w:p>
    <w:p w14:paraId="72C655A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1.12.1 发包人提供的图纸和文件，未经发包人同意，承包人不得为合同以外的目的泄露给他人或公开发表与引用。</w:t>
      </w:r>
    </w:p>
    <w:p w14:paraId="172D329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1.12.2 承包人提供的文件，未经承包人同意，发包人和监理人不得为合同以外的目的泄露给他人或公开发表与引用。</w:t>
      </w:r>
    </w:p>
    <w:p w14:paraId="3B6F7C95">
      <w:pPr>
        <w:pStyle w:val="78"/>
        <w:shd w:val="clear" w:fill="FFFFFF" w:themeFill="background1"/>
        <w:rPr>
          <w:rFonts w:ascii="宋体" w:hAnsi="宋体"/>
          <w:color w:val="auto"/>
          <w:sz w:val="24"/>
          <w:szCs w:val="24"/>
          <w:highlight w:val="none"/>
        </w:rPr>
      </w:pPr>
      <w:bookmarkStart w:id="374" w:name="_Toc393546288"/>
      <w:bookmarkEnd w:id="374"/>
      <w:bookmarkStart w:id="375" w:name="_Toc386467034"/>
      <w:bookmarkEnd w:id="375"/>
      <w:bookmarkStart w:id="376" w:name="_Toc43475762"/>
      <w:bookmarkEnd w:id="376"/>
      <w:r>
        <w:rPr>
          <w:rFonts w:hint="eastAsia" w:ascii="宋体" w:hAnsi="宋体"/>
          <w:color w:val="auto"/>
          <w:sz w:val="24"/>
          <w:szCs w:val="24"/>
          <w:highlight w:val="none"/>
        </w:rPr>
        <w:t>2. 发包人义务</w:t>
      </w:r>
    </w:p>
    <w:p w14:paraId="3DC39640">
      <w:pPr>
        <w:pStyle w:val="67"/>
        <w:shd w:val="clear" w:fill="FFFFFF" w:themeFill="background1"/>
        <w:ind w:firstLine="118"/>
        <w:rPr>
          <w:rFonts w:ascii="宋体" w:eastAsia="宋体"/>
          <w:color w:val="auto"/>
          <w:szCs w:val="24"/>
          <w:highlight w:val="none"/>
        </w:rPr>
      </w:pPr>
      <w:bookmarkStart w:id="377" w:name="_Toc330406230"/>
      <w:bookmarkEnd w:id="377"/>
      <w:bookmarkStart w:id="378" w:name="_Toc152042403"/>
      <w:bookmarkEnd w:id="378"/>
      <w:bookmarkStart w:id="379" w:name="_Toc144974593"/>
      <w:bookmarkEnd w:id="379"/>
      <w:bookmarkStart w:id="380" w:name="_Toc393546289"/>
      <w:bookmarkEnd w:id="380"/>
      <w:bookmarkStart w:id="381" w:name="_Toc386467035"/>
      <w:bookmarkEnd w:id="381"/>
      <w:bookmarkStart w:id="382" w:name="_Toc152045625"/>
      <w:bookmarkEnd w:id="382"/>
      <w:bookmarkStart w:id="383" w:name="_Toc179632643"/>
      <w:bookmarkEnd w:id="383"/>
      <w:bookmarkStart w:id="384" w:name="_Toc43475763"/>
      <w:bookmarkEnd w:id="384"/>
      <w:r>
        <w:rPr>
          <w:rFonts w:hint="eastAsia" w:ascii="宋体" w:eastAsia="宋体"/>
          <w:color w:val="auto"/>
          <w:szCs w:val="24"/>
          <w:highlight w:val="none"/>
        </w:rPr>
        <w:t>2.1 遵守法律</w:t>
      </w:r>
    </w:p>
    <w:p w14:paraId="01B75CA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发包人在履行合同过程中应遵守法律，并保证承包人免于承担因发包人违反法律而引起的任何责任。</w:t>
      </w:r>
    </w:p>
    <w:p w14:paraId="7EA2F9D4">
      <w:pPr>
        <w:pStyle w:val="67"/>
        <w:shd w:val="clear" w:fill="FFFFFF" w:themeFill="background1"/>
        <w:ind w:firstLine="118"/>
        <w:rPr>
          <w:rFonts w:ascii="宋体" w:eastAsia="宋体"/>
          <w:color w:val="auto"/>
          <w:szCs w:val="24"/>
          <w:highlight w:val="none"/>
        </w:rPr>
      </w:pPr>
      <w:bookmarkStart w:id="385" w:name="_Toc393546290"/>
      <w:bookmarkEnd w:id="385"/>
      <w:bookmarkStart w:id="386" w:name="_Toc43475764"/>
      <w:bookmarkEnd w:id="386"/>
      <w:bookmarkStart w:id="387" w:name="_Toc386467036"/>
      <w:bookmarkEnd w:id="387"/>
      <w:bookmarkStart w:id="388" w:name="_Toc152042404"/>
      <w:bookmarkEnd w:id="388"/>
      <w:bookmarkStart w:id="389" w:name="_Toc152045626"/>
      <w:bookmarkEnd w:id="389"/>
      <w:bookmarkStart w:id="390" w:name="_Toc144974594"/>
      <w:bookmarkEnd w:id="390"/>
      <w:bookmarkStart w:id="391" w:name="_Toc179632644"/>
      <w:bookmarkEnd w:id="391"/>
      <w:bookmarkStart w:id="392" w:name="_Toc330406231"/>
      <w:bookmarkEnd w:id="392"/>
      <w:r>
        <w:rPr>
          <w:rFonts w:hint="eastAsia" w:ascii="宋体" w:eastAsia="宋体"/>
          <w:color w:val="auto"/>
          <w:szCs w:val="24"/>
          <w:highlight w:val="none"/>
        </w:rPr>
        <w:t>2.2 发出开工通知</w:t>
      </w:r>
    </w:p>
    <w:p w14:paraId="4C06E69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发包人应委托监理人按第11.1款的约定向承包人发出开工通知。</w:t>
      </w:r>
    </w:p>
    <w:p w14:paraId="3FC9AA44">
      <w:pPr>
        <w:pStyle w:val="67"/>
        <w:shd w:val="clear" w:fill="FFFFFF" w:themeFill="background1"/>
        <w:ind w:firstLine="118"/>
        <w:rPr>
          <w:rFonts w:ascii="宋体" w:eastAsia="宋体"/>
          <w:color w:val="auto"/>
          <w:szCs w:val="24"/>
          <w:highlight w:val="none"/>
        </w:rPr>
      </w:pPr>
      <w:bookmarkStart w:id="393" w:name="_Toc393546291"/>
      <w:bookmarkEnd w:id="393"/>
      <w:bookmarkStart w:id="394" w:name="_Toc386467037"/>
      <w:bookmarkEnd w:id="394"/>
      <w:bookmarkStart w:id="395" w:name="_Toc43475765"/>
      <w:bookmarkEnd w:id="395"/>
      <w:r>
        <w:rPr>
          <w:rFonts w:hint="eastAsia" w:ascii="宋体" w:eastAsia="宋体"/>
          <w:color w:val="auto"/>
          <w:szCs w:val="24"/>
          <w:highlight w:val="none"/>
        </w:rPr>
        <w:t>2.3 提供施工场地</w:t>
      </w:r>
    </w:p>
    <w:p w14:paraId="3B85A98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发包人应按专用合同条款约定向承包人提供施工场地，以及施工场地内地下管线和地下设施等有关资料，并保证资料的真实、准确、完整。</w:t>
      </w:r>
    </w:p>
    <w:p w14:paraId="2514103B">
      <w:pPr>
        <w:pStyle w:val="67"/>
        <w:shd w:val="clear" w:fill="FFFFFF" w:themeFill="background1"/>
        <w:ind w:firstLine="118"/>
        <w:rPr>
          <w:rFonts w:ascii="宋体" w:eastAsia="宋体"/>
          <w:color w:val="auto"/>
          <w:szCs w:val="24"/>
          <w:highlight w:val="none"/>
        </w:rPr>
      </w:pPr>
      <w:bookmarkStart w:id="396" w:name="_Toc393546292"/>
      <w:bookmarkEnd w:id="396"/>
      <w:bookmarkStart w:id="397" w:name="_Toc179632646"/>
      <w:bookmarkEnd w:id="397"/>
      <w:bookmarkStart w:id="398" w:name="_Toc152042406"/>
      <w:bookmarkEnd w:id="398"/>
      <w:bookmarkStart w:id="399" w:name="_Toc386467038"/>
      <w:bookmarkEnd w:id="399"/>
      <w:bookmarkStart w:id="400" w:name="_Toc330406233"/>
      <w:bookmarkEnd w:id="400"/>
      <w:bookmarkStart w:id="401" w:name="_Toc144974596"/>
      <w:bookmarkEnd w:id="401"/>
      <w:bookmarkStart w:id="402" w:name="_Toc43475766"/>
      <w:bookmarkEnd w:id="402"/>
      <w:bookmarkStart w:id="403" w:name="_Toc152045628"/>
      <w:bookmarkEnd w:id="403"/>
      <w:r>
        <w:rPr>
          <w:rFonts w:hint="eastAsia" w:ascii="宋体" w:eastAsia="宋体"/>
          <w:color w:val="auto"/>
          <w:szCs w:val="24"/>
          <w:highlight w:val="none"/>
        </w:rPr>
        <w:t>2.4 协助承包人办理证件和批件</w:t>
      </w:r>
    </w:p>
    <w:p w14:paraId="4EFB886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发包人应协助承包人办理法律规定的有关施工证件和批件。</w:t>
      </w:r>
    </w:p>
    <w:p w14:paraId="5D78EDD1">
      <w:pPr>
        <w:pStyle w:val="67"/>
        <w:shd w:val="clear" w:fill="FFFFFF" w:themeFill="background1"/>
        <w:ind w:firstLine="118"/>
        <w:rPr>
          <w:rFonts w:ascii="宋体" w:eastAsia="宋体"/>
          <w:color w:val="auto"/>
          <w:szCs w:val="24"/>
          <w:highlight w:val="none"/>
        </w:rPr>
      </w:pPr>
      <w:bookmarkStart w:id="404" w:name="_Toc393546293"/>
      <w:bookmarkEnd w:id="404"/>
      <w:bookmarkStart w:id="405" w:name="_Toc43475767"/>
      <w:bookmarkEnd w:id="405"/>
      <w:bookmarkStart w:id="406" w:name="_Toc152045629"/>
      <w:bookmarkEnd w:id="406"/>
      <w:bookmarkStart w:id="407" w:name="_Toc144974597"/>
      <w:bookmarkEnd w:id="407"/>
      <w:bookmarkStart w:id="408" w:name="_Toc179632647"/>
      <w:bookmarkEnd w:id="408"/>
      <w:bookmarkStart w:id="409" w:name="_Toc152042407"/>
      <w:bookmarkEnd w:id="409"/>
      <w:bookmarkStart w:id="410" w:name="_Toc330406234"/>
      <w:bookmarkEnd w:id="410"/>
      <w:bookmarkStart w:id="411" w:name="_Toc386467039"/>
      <w:bookmarkEnd w:id="411"/>
      <w:r>
        <w:rPr>
          <w:rFonts w:hint="eastAsia" w:ascii="宋体" w:eastAsia="宋体"/>
          <w:color w:val="auto"/>
          <w:szCs w:val="24"/>
          <w:highlight w:val="none"/>
        </w:rPr>
        <w:t>2.5 组织设计交底</w:t>
      </w:r>
    </w:p>
    <w:p w14:paraId="68B681F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发包人应根据合同进度计划，组织设计单位向承包人进行设计交底。</w:t>
      </w:r>
    </w:p>
    <w:p w14:paraId="0C3F02C9">
      <w:pPr>
        <w:pStyle w:val="67"/>
        <w:shd w:val="clear" w:fill="FFFFFF" w:themeFill="background1"/>
        <w:ind w:firstLine="118"/>
        <w:rPr>
          <w:rFonts w:ascii="宋体" w:eastAsia="宋体"/>
          <w:color w:val="auto"/>
          <w:szCs w:val="24"/>
          <w:highlight w:val="none"/>
        </w:rPr>
      </w:pPr>
      <w:bookmarkStart w:id="412" w:name="_Toc152042408"/>
      <w:bookmarkEnd w:id="412"/>
      <w:bookmarkStart w:id="413" w:name="_Toc43475768"/>
      <w:bookmarkEnd w:id="413"/>
      <w:bookmarkStart w:id="414" w:name="_Toc152045630"/>
      <w:bookmarkEnd w:id="414"/>
      <w:bookmarkStart w:id="415" w:name="_Toc330406235"/>
      <w:bookmarkEnd w:id="415"/>
      <w:bookmarkStart w:id="416" w:name="_Toc179632648"/>
      <w:bookmarkEnd w:id="416"/>
      <w:bookmarkStart w:id="417" w:name="_Toc386467040"/>
      <w:bookmarkEnd w:id="417"/>
      <w:bookmarkStart w:id="418" w:name="_Toc144974598"/>
      <w:bookmarkEnd w:id="418"/>
      <w:bookmarkStart w:id="419" w:name="_Toc393546294"/>
      <w:bookmarkEnd w:id="419"/>
      <w:r>
        <w:rPr>
          <w:rFonts w:hint="eastAsia" w:ascii="宋体" w:eastAsia="宋体"/>
          <w:color w:val="auto"/>
          <w:szCs w:val="24"/>
          <w:highlight w:val="none"/>
        </w:rPr>
        <w:t>2.6 支付合同价款</w:t>
      </w:r>
    </w:p>
    <w:p w14:paraId="7A9D2A9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发包人应按合同约定向承包人及时支付合同价款。</w:t>
      </w:r>
    </w:p>
    <w:p w14:paraId="34277F86">
      <w:pPr>
        <w:pStyle w:val="67"/>
        <w:shd w:val="clear" w:fill="FFFFFF" w:themeFill="background1"/>
        <w:ind w:firstLine="118"/>
        <w:rPr>
          <w:rFonts w:ascii="宋体" w:eastAsia="宋体"/>
          <w:color w:val="auto"/>
          <w:szCs w:val="24"/>
          <w:highlight w:val="none"/>
        </w:rPr>
      </w:pPr>
      <w:bookmarkStart w:id="420" w:name="_Toc144974599"/>
      <w:bookmarkEnd w:id="420"/>
      <w:bookmarkStart w:id="421" w:name="_Toc152045631"/>
      <w:bookmarkEnd w:id="421"/>
      <w:bookmarkStart w:id="422" w:name="_Toc152042409"/>
      <w:bookmarkEnd w:id="422"/>
      <w:bookmarkStart w:id="423" w:name="_Toc179632649"/>
      <w:bookmarkEnd w:id="423"/>
      <w:bookmarkStart w:id="424" w:name="_Toc386467041"/>
      <w:bookmarkEnd w:id="424"/>
      <w:bookmarkStart w:id="425" w:name="_Toc393546295"/>
      <w:bookmarkEnd w:id="425"/>
      <w:bookmarkStart w:id="426" w:name="_Toc330406236"/>
      <w:bookmarkEnd w:id="426"/>
      <w:bookmarkStart w:id="427" w:name="_Toc43475769"/>
      <w:bookmarkEnd w:id="427"/>
      <w:r>
        <w:rPr>
          <w:rFonts w:hint="eastAsia" w:ascii="宋体" w:eastAsia="宋体"/>
          <w:color w:val="auto"/>
          <w:szCs w:val="24"/>
          <w:highlight w:val="none"/>
        </w:rPr>
        <w:t>2.7 组织竣工验收</w:t>
      </w:r>
    </w:p>
    <w:p w14:paraId="06AEC0C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发包人应按合同约定及时组织竣工验收。</w:t>
      </w:r>
    </w:p>
    <w:p w14:paraId="228B241E">
      <w:pPr>
        <w:pStyle w:val="67"/>
        <w:shd w:val="clear" w:fill="FFFFFF" w:themeFill="background1"/>
        <w:ind w:firstLine="118"/>
        <w:rPr>
          <w:rFonts w:ascii="宋体" w:eastAsia="宋体"/>
          <w:color w:val="auto"/>
          <w:szCs w:val="24"/>
          <w:highlight w:val="none"/>
        </w:rPr>
      </w:pPr>
      <w:bookmarkStart w:id="428" w:name="_Toc330406237"/>
      <w:bookmarkEnd w:id="428"/>
      <w:bookmarkStart w:id="429" w:name="_Toc43475770"/>
      <w:bookmarkEnd w:id="429"/>
      <w:bookmarkStart w:id="430" w:name="_Toc152042410"/>
      <w:bookmarkEnd w:id="430"/>
      <w:bookmarkStart w:id="431" w:name="_Toc393546296"/>
      <w:bookmarkEnd w:id="431"/>
      <w:bookmarkStart w:id="432" w:name="_Toc179632650"/>
      <w:bookmarkEnd w:id="432"/>
      <w:bookmarkStart w:id="433" w:name="_Toc144974600"/>
      <w:bookmarkEnd w:id="433"/>
      <w:bookmarkStart w:id="434" w:name="_Toc152045632"/>
      <w:bookmarkEnd w:id="434"/>
      <w:bookmarkStart w:id="435" w:name="_Toc386467042"/>
      <w:bookmarkEnd w:id="435"/>
      <w:r>
        <w:rPr>
          <w:rFonts w:hint="eastAsia" w:ascii="宋体" w:eastAsia="宋体"/>
          <w:color w:val="auto"/>
          <w:szCs w:val="24"/>
          <w:highlight w:val="none"/>
        </w:rPr>
        <w:t>2.8 其他义务</w:t>
      </w:r>
    </w:p>
    <w:p w14:paraId="0CB4532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发包人应履行合同约定的其他义务。</w:t>
      </w:r>
    </w:p>
    <w:p w14:paraId="769A48EB">
      <w:pPr>
        <w:pStyle w:val="78"/>
        <w:shd w:val="clear" w:fill="FFFFFF" w:themeFill="background1"/>
        <w:rPr>
          <w:rFonts w:ascii="宋体" w:hAnsi="宋体"/>
          <w:color w:val="auto"/>
          <w:sz w:val="24"/>
          <w:szCs w:val="24"/>
          <w:highlight w:val="none"/>
        </w:rPr>
      </w:pPr>
      <w:bookmarkStart w:id="436" w:name="_Toc386467043"/>
      <w:bookmarkEnd w:id="436"/>
      <w:bookmarkStart w:id="437" w:name="_Toc393546297"/>
      <w:bookmarkEnd w:id="437"/>
      <w:bookmarkStart w:id="438" w:name="_Toc43475771"/>
      <w:bookmarkEnd w:id="438"/>
      <w:r>
        <w:rPr>
          <w:rFonts w:hint="eastAsia" w:ascii="宋体" w:hAnsi="宋体"/>
          <w:color w:val="auto"/>
          <w:sz w:val="24"/>
          <w:szCs w:val="24"/>
          <w:highlight w:val="none"/>
        </w:rPr>
        <w:t>3. 监理人</w:t>
      </w:r>
    </w:p>
    <w:p w14:paraId="0B577D2F">
      <w:pPr>
        <w:pStyle w:val="67"/>
        <w:shd w:val="clear" w:fill="FFFFFF" w:themeFill="background1"/>
        <w:ind w:firstLine="118"/>
        <w:rPr>
          <w:rFonts w:ascii="宋体" w:eastAsia="宋体"/>
          <w:b/>
          <w:bCs/>
          <w:color w:val="auto"/>
          <w:szCs w:val="24"/>
          <w:highlight w:val="none"/>
        </w:rPr>
      </w:pPr>
      <w:bookmarkStart w:id="439" w:name="_Toc43475772"/>
      <w:bookmarkEnd w:id="439"/>
      <w:bookmarkStart w:id="440" w:name="_Toc386467044"/>
      <w:bookmarkEnd w:id="440"/>
      <w:bookmarkStart w:id="441" w:name="_Toc393546298"/>
      <w:bookmarkEnd w:id="441"/>
      <w:r>
        <w:rPr>
          <w:rFonts w:hint="eastAsia" w:ascii="宋体" w:eastAsia="宋体"/>
          <w:b/>
          <w:bCs/>
          <w:color w:val="auto"/>
          <w:szCs w:val="24"/>
          <w:highlight w:val="none"/>
        </w:rPr>
        <w:t>3.1 监理人的职责和权力</w:t>
      </w:r>
    </w:p>
    <w:p w14:paraId="24864F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3.1.1 监理人受发包人委托，享有合同约定的权力。监理人在行使某项权力前需要经发包人事先批准而通用合同条款没有指明的，应在专用合同条款中指明。</w:t>
      </w:r>
    </w:p>
    <w:p w14:paraId="174B40A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3.1.2 监理人发出的任何指示应视为已得到发包人的批准，但监理人无权免除或变更合同约定的发包人和承包人的权利、义务和责任。</w:t>
      </w:r>
    </w:p>
    <w:p w14:paraId="471B927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3.1.3 合同约定应由承包人承担的义务和责任，不因监理人对承包人提交文件的审查或批准，对工程、材料和设备的检查和检验，以及为实施监理作出的指示等职务行为而减轻或解除。</w:t>
      </w:r>
    </w:p>
    <w:p w14:paraId="0AAA4AA6">
      <w:pPr>
        <w:pStyle w:val="67"/>
        <w:shd w:val="clear" w:fill="FFFFFF" w:themeFill="background1"/>
        <w:ind w:firstLine="118"/>
        <w:rPr>
          <w:rFonts w:ascii="宋体" w:eastAsia="宋体"/>
          <w:b/>
          <w:bCs/>
          <w:color w:val="auto"/>
          <w:szCs w:val="24"/>
          <w:highlight w:val="none"/>
        </w:rPr>
      </w:pPr>
      <w:bookmarkStart w:id="442" w:name="_Toc386467045"/>
      <w:bookmarkEnd w:id="442"/>
      <w:bookmarkStart w:id="443" w:name="_Toc144974603"/>
      <w:bookmarkEnd w:id="443"/>
      <w:bookmarkStart w:id="444" w:name="_Toc152045635"/>
      <w:bookmarkEnd w:id="444"/>
      <w:bookmarkStart w:id="445" w:name="_Toc393546299"/>
      <w:bookmarkEnd w:id="445"/>
      <w:bookmarkStart w:id="446" w:name="_Toc330406240"/>
      <w:bookmarkEnd w:id="446"/>
      <w:bookmarkStart w:id="447" w:name="_Toc43475773"/>
      <w:bookmarkEnd w:id="447"/>
      <w:bookmarkStart w:id="448" w:name="_Toc152042413"/>
      <w:bookmarkEnd w:id="448"/>
      <w:bookmarkStart w:id="449" w:name="_Toc179632653"/>
      <w:bookmarkEnd w:id="449"/>
      <w:r>
        <w:rPr>
          <w:rFonts w:hint="eastAsia" w:ascii="宋体" w:eastAsia="宋体"/>
          <w:b/>
          <w:bCs/>
          <w:color w:val="auto"/>
          <w:szCs w:val="24"/>
          <w:highlight w:val="none"/>
        </w:rPr>
        <w:t>3.2 总监理工程师</w:t>
      </w:r>
    </w:p>
    <w:p w14:paraId="1D9F433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发包人应在发出开工通知前将总监理工程师的任命通知承包人。总监理工程师更换时，应在调离14天前通知承包人。总监理工程师短期离开施工场地的，应委派代表代行其职责，并通知承包人。</w:t>
      </w:r>
    </w:p>
    <w:p w14:paraId="5A48671F">
      <w:pPr>
        <w:pStyle w:val="67"/>
        <w:shd w:val="clear" w:fill="FFFFFF" w:themeFill="background1"/>
        <w:ind w:firstLine="118"/>
        <w:rPr>
          <w:rFonts w:ascii="宋体" w:eastAsia="宋体"/>
          <w:b/>
          <w:bCs/>
          <w:color w:val="auto"/>
          <w:szCs w:val="24"/>
          <w:highlight w:val="none"/>
        </w:rPr>
      </w:pPr>
      <w:bookmarkStart w:id="450" w:name="_Toc386467046"/>
      <w:bookmarkEnd w:id="450"/>
      <w:bookmarkStart w:id="451" w:name="_Toc144974604"/>
      <w:bookmarkEnd w:id="451"/>
      <w:bookmarkStart w:id="452" w:name="_Toc152045636"/>
      <w:bookmarkEnd w:id="452"/>
      <w:bookmarkStart w:id="453" w:name="_Toc43475774"/>
      <w:bookmarkEnd w:id="453"/>
      <w:bookmarkStart w:id="454" w:name="_Toc330406241"/>
      <w:bookmarkEnd w:id="454"/>
      <w:bookmarkStart w:id="455" w:name="_Toc179632654"/>
      <w:bookmarkEnd w:id="455"/>
      <w:bookmarkStart w:id="456" w:name="_Toc393546300"/>
      <w:bookmarkEnd w:id="456"/>
      <w:bookmarkStart w:id="457" w:name="_Toc152042414"/>
      <w:bookmarkEnd w:id="457"/>
      <w:r>
        <w:rPr>
          <w:rFonts w:hint="eastAsia" w:ascii="宋体" w:eastAsia="宋体"/>
          <w:b/>
          <w:bCs/>
          <w:color w:val="auto"/>
          <w:szCs w:val="24"/>
          <w:highlight w:val="none"/>
        </w:rPr>
        <w:t>3.3 监理人员</w:t>
      </w:r>
    </w:p>
    <w:p w14:paraId="5F3AE7E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069D94E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3.3.2 监理人员对承包人的任何工作、工程或其采用的材料和工程设备未在约定的或合理的期限内提出否定意见的，视为已获批准，但不影响监理人在以后拒绝该项工作、工程、材料或工程设备的权利。</w:t>
      </w:r>
    </w:p>
    <w:p w14:paraId="3DA492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3.3.3 承包人对总监理工程师授权的监理人员发出的指示有疑问的，可向总监理工程师提出书面异议，总监理工程师应在48小时内对该指示予以确认、更改或撤销。</w:t>
      </w:r>
    </w:p>
    <w:p w14:paraId="50E681F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3.3.4 除专用合同条款另有约定外，总监理工程师不应将第3.5款约定应由总监理工程师作出确定的权力授权或委托给其他监理人员。</w:t>
      </w:r>
    </w:p>
    <w:p w14:paraId="2C41B961">
      <w:pPr>
        <w:pStyle w:val="67"/>
        <w:shd w:val="clear" w:fill="FFFFFF" w:themeFill="background1"/>
        <w:ind w:firstLine="118"/>
        <w:rPr>
          <w:rFonts w:ascii="宋体" w:eastAsia="宋体"/>
          <w:b/>
          <w:bCs/>
          <w:color w:val="auto"/>
          <w:szCs w:val="24"/>
          <w:highlight w:val="none"/>
        </w:rPr>
      </w:pPr>
      <w:bookmarkStart w:id="458" w:name="_Toc144974605"/>
      <w:bookmarkEnd w:id="458"/>
      <w:bookmarkStart w:id="459" w:name="_Toc152045637"/>
      <w:bookmarkEnd w:id="459"/>
      <w:bookmarkStart w:id="460" w:name="_Toc43475775"/>
      <w:bookmarkEnd w:id="460"/>
      <w:bookmarkStart w:id="461" w:name="_Toc393546301"/>
      <w:bookmarkEnd w:id="461"/>
      <w:bookmarkStart w:id="462" w:name="_Toc179632655"/>
      <w:bookmarkEnd w:id="462"/>
      <w:bookmarkStart w:id="463" w:name="_Toc330406242"/>
      <w:bookmarkEnd w:id="463"/>
      <w:bookmarkStart w:id="464" w:name="_Toc152042415"/>
      <w:bookmarkEnd w:id="464"/>
      <w:bookmarkStart w:id="465" w:name="_Toc386467047"/>
      <w:bookmarkEnd w:id="465"/>
      <w:r>
        <w:rPr>
          <w:rFonts w:hint="eastAsia" w:ascii="宋体" w:eastAsia="宋体"/>
          <w:b/>
          <w:bCs/>
          <w:color w:val="auto"/>
          <w:szCs w:val="24"/>
          <w:highlight w:val="none"/>
        </w:rPr>
        <w:t>3.4 监理人的指示</w:t>
      </w:r>
    </w:p>
    <w:p w14:paraId="4C20759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3.4.1 监理人应按第3.1款的约定向承包人发出指示，监理人的指示应盖有监理人授权的施工场地机构章，并由总监理工程师或总监理工程师按第3.3.1项约定授权的监理人员签字。</w:t>
      </w:r>
    </w:p>
    <w:p w14:paraId="7E4E850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3.4.2 承包人收到监理人按第3.4.1项作出的指示后应遵照执行。指示构成变更的，应按第15条处理。</w:t>
      </w:r>
    </w:p>
    <w:p w14:paraId="7294092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3.4.3 在紧急情况下，总监理工程师或被授权的监理人员可以当场签发临时书面指示，承包人应遵照执行。承包人应在收到上述临时书面指示后24小时内，向监理人发出书面确认函。监理人在收到书面确认函后24小时内未予答复的，该书面确认函应被视为监理人的正式指示。</w:t>
      </w:r>
    </w:p>
    <w:p w14:paraId="6C9DDD9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3.4.4 除合同另有约定外，承包人只从总监理工程师或按第3.3.1项被授权的监理人员处取得指示。</w:t>
      </w:r>
    </w:p>
    <w:p w14:paraId="4BFB4F8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3.4.5 由于监理人未能按合同约定发出指示、指示延误或指示错误而导致承包人费用增加和（或）工期延误的，由发包人承担赔偿责任。 </w:t>
      </w:r>
    </w:p>
    <w:p w14:paraId="282C72FD">
      <w:pPr>
        <w:pStyle w:val="67"/>
        <w:shd w:val="clear" w:fill="FFFFFF" w:themeFill="background1"/>
        <w:ind w:firstLine="118"/>
        <w:rPr>
          <w:rFonts w:ascii="宋体" w:eastAsia="宋体"/>
          <w:b/>
          <w:bCs/>
          <w:color w:val="auto"/>
          <w:szCs w:val="24"/>
          <w:highlight w:val="none"/>
        </w:rPr>
      </w:pPr>
      <w:bookmarkStart w:id="466" w:name="_Toc386467048"/>
      <w:bookmarkEnd w:id="466"/>
      <w:bookmarkStart w:id="467" w:name="_Toc393546302"/>
      <w:bookmarkEnd w:id="467"/>
      <w:bookmarkStart w:id="468" w:name="_Toc43475776"/>
      <w:bookmarkEnd w:id="468"/>
      <w:r>
        <w:rPr>
          <w:rFonts w:hint="eastAsia" w:ascii="宋体" w:eastAsia="宋体"/>
          <w:b/>
          <w:bCs/>
          <w:color w:val="auto"/>
          <w:szCs w:val="24"/>
          <w:highlight w:val="none"/>
        </w:rPr>
        <w:t>3.5 商定或确定</w:t>
      </w:r>
    </w:p>
    <w:p w14:paraId="2CA3B7D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3.5.1合同约定总监理工程师应按照本款对任何事项进行商定或确定时，总监理工程师应与合同当事人协商，尽量达成一致。不能达成一致的，总监理工程师应认真研究后审慎确定。</w:t>
      </w:r>
    </w:p>
    <w:p w14:paraId="5578044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3.5.2 总监理工程师应将商定或确定的事项通知合同当事人，并附详细依据。对总监理工程师的确定有异议的，构成争议，按照第24条的约定处理。在争议解决前，双方应暂按总监理工程师的确定执行，按照第24条的约定对总监理工程师的确定作出修改的，按修改后的结果执行。</w:t>
      </w:r>
    </w:p>
    <w:p w14:paraId="1C21E6CE">
      <w:pPr>
        <w:pStyle w:val="78"/>
        <w:shd w:val="clear" w:fill="FFFFFF" w:themeFill="background1"/>
        <w:rPr>
          <w:rFonts w:ascii="宋体" w:hAnsi="宋体"/>
          <w:color w:val="auto"/>
          <w:sz w:val="24"/>
          <w:szCs w:val="24"/>
          <w:highlight w:val="none"/>
        </w:rPr>
      </w:pPr>
      <w:bookmarkStart w:id="469" w:name="_Toc43475777"/>
      <w:bookmarkEnd w:id="469"/>
      <w:bookmarkStart w:id="470" w:name="_Toc386467049"/>
      <w:bookmarkEnd w:id="470"/>
      <w:bookmarkStart w:id="471" w:name="_Toc393546303"/>
      <w:bookmarkEnd w:id="471"/>
      <w:r>
        <w:rPr>
          <w:rFonts w:hint="eastAsia" w:ascii="宋体" w:hAnsi="宋体"/>
          <w:color w:val="auto"/>
          <w:sz w:val="24"/>
          <w:szCs w:val="24"/>
          <w:highlight w:val="none"/>
        </w:rPr>
        <w:t>4. 承包人</w:t>
      </w:r>
    </w:p>
    <w:p w14:paraId="256A2C88">
      <w:pPr>
        <w:pStyle w:val="67"/>
        <w:shd w:val="clear" w:fill="FFFFFF" w:themeFill="background1"/>
        <w:ind w:firstLine="118"/>
        <w:rPr>
          <w:rFonts w:ascii="宋体" w:eastAsia="宋体"/>
          <w:color w:val="auto"/>
          <w:szCs w:val="24"/>
          <w:highlight w:val="none"/>
        </w:rPr>
      </w:pPr>
      <w:bookmarkStart w:id="472" w:name="_Toc393546304"/>
      <w:bookmarkEnd w:id="472"/>
      <w:bookmarkStart w:id="473" w:name="_Toc386467050"/>
      <w:bookmarkEnd w:id="473"/>
      <w:bookmarkStart w:id="474" w:name="_Toc43475778"/>
      <w:bookmarkEnd w:id="474"/>
      <w:r>
        <w:rPr>
          <w:rFonts w:hint="eastAsia" w:ascii="宋体" w:eastAsia="宋体"/>
          <w:color w:val="auto"/>
          <w:szCs w:val="24"/>
          <w:highlight w:val="none"/>
        </w:rPr>
        <w:t>4.1 承包人的一般义务</w:t>
      </w:r>
    </w:p>
    <w:p w14:paraId="54C5E55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4.1.1 遵守法律</w:t>
      </w:r>
    </w:p>
    <w:p w14:paraId="12F6FF1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承包人在履行合同过程中应遵守法律，并保证发包人免于承担因承包人违反法律而引起的任何责任。</w:t>
      </w:r>
    </w:p>
    <w:p w14:paraId="0F62D45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4.1.2 依法纳税</w:t>
      </w:r>
    </w:p>
    <w:p w14:paraId="0490317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承包人应按有关法律规定纳税，应缴纳的税金包括在合同价格内。</w:t>
      </w:r>
    </w:p>
    <w:p w14:paraId="412008F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4.1.3 完成各项承包工作</w:t>
      </w:r>
    </w:p>
    <w:p w14:paraId="2607ABC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合同约定以及监理人根据第3.4款作出的指示，实施、完成全部工程，并修补工程中的任何缺陷。除专用合同条款另有约定外，承包人应提供为完成合同工作所需的劳务、材料、施工设备、工程设备和其他物品，并按合同约定负责临时设施的设计、建造、运行、维护、管理和拆除。</w:t>
      </w:r>
    </w:p>
    <w:p w14:paraId="4689A44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4.1.4 对施工作业和施工方法的完备性负责</w:t>
      </w:r>
    </w:p>
    <w:p w14:paraId="4441B8B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承包人应按合同约定的工作内容和施工进度要求，编制施工组织设计和施工措施计划，并对所有施工作业和施工方法的完备性和安全可靠性负责。</w:t>
      </w:r>
    </w:p>
    <w:p w14:paraId="490B8F2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4.1.5 保证工程施工和人员的安全</w:t>
      </w:r>
    </w:p>
    <w:p w14:paraId="4BCE8AF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承包人应按第9.2款约定采取施工安全措施，确保工程及其人员、材料、设备和设施的安全，防止因工程施工造成的人身伤害和财产损失。</w:t>
      </w:r>
    </w:p>
    <w:p w14:paraId="4541CF8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4.1.6 负责施工场地及其周边环境与生态的保护工作</w:t>
      </w:r>
    </w:p>
    <w:p w14:paraId="693BED3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承包人应按照第9.4款约定负责施工场地及其周边环境与生态的保护工作。</w:t>
      </w:r>
    </w:p>
    <w:p w14:paraId="3F7BEE6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4.1.7 避免施工对公众与他人的利益造成损害</w:t>
      </w:r>
    </w:p>
    <w:p w14:paraId="53DC1A2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BDA9F7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4.1.8 为他人提供方便</w:t>
      </w:r>
    </w:p>
    <w:p w14:paraId="011CA3C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承包人应按监理人的指示为他人在施工场地或附近实施与工程有关的其他各项工作提供可能的条件。除合同另有约定外，提供有关条件的内容和可能发生的费用，由监理人按第3.5款商定或确定。</w:t>
      </w:r>
    </w:p>
    <w:p w14:paraId="4359EBC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4.1.9 工程的维护和照管</w:t>
      </w:r>
    </w:p>
    <w:p w14:paraId="5B4E5BC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工程接收证书颁发前，承包人应负责照管和维护工程。工程接收证书颁发时尚有部分未竣工工程的，承包人还应负责该未竣工工程的照管和维护工作，直至竣工后移交给发包人为止。</w:t>
      </w:r>
    </w:p>
    <w:p w14:paraId="0F44F23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4.1.10 其他义务</w:t>
      </w:r>
    </w:p>
    <w:p w14:paraId="4C2F6DB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承包人应履行合同约定的其他义务。</w:t>
      </w:r>
    </w:p>
    <w:p w14:paraId="086E0943">
      <w:pPr>
        <w:pStyle w:val="67"/>
        <w:shd w:val="clear" w:fill="FFFFFF" w:themeFill="background1"/>
        <w:ind w:firstLine="118"/>
        <w:rPr>
          <w:rFonts w:ascii="宋体" w:eastAsia="宋体"/>
          <w:color w:val="auto"/>
          <w:szCs w:val="24"/>
          <w:highlight w:val="none"/>
        </w:rPr>
      </w:pPr>
      <w:bookmarkStart w:id="475" w:name="_Toc393546305"/>
      <w:bookmarkEnd w:id="475"/>
      <w:bookmarkStart w:id="476" w:name="_Toc43475779"/>
      <w:bookmarkEnd w:id="476"/>
      <w:bookmarkStart w:id="477" w:name="_Toc386467051"/>
      <w:bookmarkEnd w:id="477"/>
      <w:r>
        <w:rPr>
          <w:rFonts w:hint="eastAsia" w:ascii="宋体" w:eastAsia="宋体"/>
          <w:color w:val="auto"/>
          <w:szCs w:val="24"/>
          <w:highlight w:val="none"/>
        </w:rPr>
        <w:t>4.2 履约担保</w:t>
      </w:r>
    </w:p>
    <w:p w14:paraId="426C885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承包人应保证其履约担保在发包人颁发工程接收证书前一直有效。发包人应在工程接收证书颁发后28天内把履约担保退还给承包人。</w:t>
      </w:r>
    </w:p>
    <w:p w14:paraId="1795A81B">
      <w:pPr>
        <w:pStyle w:val="67"/>
        <w:shd w:val="clear" w:fill="FFFFFF" w:themeFill="background1"/>
        <w:ind w:firstLine="118"/>
        <w:rPr>
          <w:rFonts w:ascii="宋体" w:eastAsia="宋体"/>
          <w:color w:val="auto"/>
          <w:szCs w:val="24"/>
          <w:highlight w:val="none"/>
        </w:rPr>
      </w:pPr>
      <w:bookmarkStart w:id="478" w:name="_Toc43475780"/>
      <w:bookmarkEnd w:id="478"/>
      <w:bookmarkStart w:id="479" w:name="_Toc386467052"/>
      <w:bookmarkEnd w:id="479"/>
      <w:bookmarkStart w:id="480" w:name="_Toc393546306"/>
      <w:bookmarkEnd w:id="480"/>
      <w:r>
        <w:rPr>
          <w:rFonts w:hint="eastAsia" w:ascii="宋体" w:eastAsia="宋体"/>
          <w:color w:val="auto"/>
          <w:szCs w:val="24"/>
          <w:highlight w:val="none"/>
        </w:rPr>
        <w:t>4.3 分包</w:t>
      </w:r>
    </w:p>
    <w:p w14:paraId="5EB8989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4.3.1 承包人不得将其承包的全部工程转包给第三人，或将其承包的全部工程肢解后以分包的名义转包给第三人。</w:t>
      </w:r>
    </w:p>
    <w:p w14:paraId="121D913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4.3.2 承包人不得将工程主体、关键性工作分包给第三人。除专用合同条款另有约定外，未经发包人同意，承包人不得将工程的其他部分或工作分包给第三人。</w:t>
      </w:r>
    </w:p>
    <w:p w14:paraId="6776283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4.3.3 分包人的资格能力应与其分包工程的标准和规模相适应。</w:t>
      </w:r>
    </w:p>
    <w:p w14:paraId="288997A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4.3.4 按投标函附录约定分包工程的，承包人应向发包人和监理人提交分包合同副本。</w:t>
      </w:r>
    </w:p>
    <w:p w14:paraId="6453CD1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4.3.5 承包人应与分包人就分包工程向发包人承担连带责任。</w:t>
      </w:r>
    </w:p>
    <w:p w14:paraId="148D6715">
      <w:pPr>
        <w:pStyle w:val="67"/>
        <w:shd w:val="clear" w:fill="FFFFFF" w:themeFill="background1"/>
        <w:ind w:firstLine="118"/>
        <w:rPr>
          <w:rFonts w:ascii="宋体" w:eastAsia="宋体"/>
          <w:color w:val="auto"/>
          <w:szCs w:val="24"/>
          <w:highlight w:val="none"/>
        </w:rPr>
      </w:pPr>
      <w:bookmarkStart w:id="481" w:name="_Toc43475781"/>
      <w:bookmarkEnd w:id="481"/>
      <w:bookmarkStart w:id="482" w:name="_Toc393546307"/>
      <w:bookmarkEnd w:id="482"/>
      <w:bookmarkStart w:id="483" w:name="_Toc386467053"/>
      <w:bookmarkEnd w:id="483"/>
      <w:r>
        <w:rPr>
          <w:rFonts w:hint="eastAsia" w:ascii="宋体" w:eastAsia="宋体"/>
          <w:color w:val="auto"/>
          <w:szCs w:val="24"/>
          <w:highlight w:val="none"/>
        </w:rPr>
        <w:t>4.4 联合体</w:t>
      </w:r>
    </w:p>
    <w:p w14:paraId="644518F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4.4.1 联合体各方应共同与发包人签订合同协议书。联合体各方应为履行合同承担连带责任。</w:t>
      </w:r>
    </w:p>
    <w:p w14:paraId="16DF0E2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4.4.2 联合体协议经发包人确认后作为合同附件。在履行合同过程中，未经发包人同意，不得修改联合体协议。</w:t>
      </w:r>
    </w:p>
    <w:p w14:paraId="704A466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4.4.3 联合体牵头人负责与发包人和监理人联系，并接受指示，负责组织联合体各成员全面履行合同。</w:t>
      </w:r>
    </w:p>
    <w:p w14:paraId="0063FDF9">
      <w:pPr>
        <w:pStyle w:val="67"/>
        <w:shd w:val="clear" w:fill="FFFFFF" w:themeFill="background1"/>
        <w:ind w:firstLine="118"/>
        <w:rPr>
          <w:rFonts w:ascii="宋体" w:eastAsia="宋体"/>
          <w:color w:val="auto"/>
          <w:szCs w:val="24"/>
          <w:highlight w:val="none"/>
        </w:rPr>
      </w:pPr>
      <w:bookmarkStart w:id="484" w:name="_Toc43475782"/>
      <w:bookmarkEnd w:id="484"/>
      <w:bookmarkStart w:id="485" w:name="_Toc386467054"/>
      <w:bookmarkEnd w:id="485"/>
      <w:bookmarkStart w:id="486" w:name="_Toc393546308"/>
      <w:bookmarkEnd w:id="486"/>
      <w:r>
        <w:rPr>
          <w:rFonts w:hint="eastAsia" w:ascii="宋体" w:eastAsia="宋体"/>
          <w:color w:val="auto"/>
          <w:szCs w:val="24"/>
          <w:highlight w:val="none"/>
        </w:rPr>
        <w:t>4.5 承包人项目经理</w:t>
      </w:r>
    </w:p>
    <w:p w14:paraId="384669B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4.5.1承包人应按合同约定指派项目经理，并在约定的期限内到职。承包人更换项目经理应事先征得发包人同意，并应在更换14天前通知发包人和监理人。承包人项目经理短期离开施工场地，应事先征得监理人同意，并委派代表代行其职责。</w:t>
      </w:r>
    </w:p>
    <w:p w14:paraId="68E170F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4.5.2 承包人项目经理应按合同约定以及监理人按第3.4款作出的指示，负责组织合同工程的实施。在情况紧急且无法与监理人取得联系时，可采取保证工程和人员生命财产安全的紧急措施，并在采取措施后24小时内向监理人提交书面报告。</w:t>
      </w:r>
    </w:p>
    <w:p w14:paraId="19E45F6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4.5.3承包人为履行合同发出的一切函件均应盖有承包人授权的施工场地管理机构章，并由承包人项目经理或其授权代表签字。</w:t>
      </w:r>
    </w:p>
    <w:p w14:paraId="4FC8C44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4.5.4 承包人项目经理可以授权其下属人员履行其某项职责，但事先应将这些人员的姓名和授权范围通知监理人。</w:t>
      </w:r>
    </w:p>
    <w:p w14:paraId="1199B119">
      <w:pPr>
        <w:pStyle w:val="67"/>
        <w:shd w:val="clear" w:fill="FFFFFF" w:themeFill="background1"/>
        <w:ind w:firstLine="118"/>
        <w:rPr>
          <w:rFonts w:ascii="宋体" w:eastAsia="宋体"/>
          <w:color w:val="auto"/>
          <w:szCs w:val="24"/>
          <w:highlight w:val="none"/>
        </w:rPr>
      </w:pPr>
      <w:bookmarkStart w:id="487" w:name="_Toc386467055"/>
      <w:bookmarkEnd w:id="487"/>
      <w:bookmarkStart w:id="488" w:name="_Toc152042423"/>
      <w:bookmarkEnd w:id="488"/>
      <w:bookmarkStart w:id="489" w:name="_Toc152045645"/>
      <w:bookmarkEnd w:id="489"/>
      <w:bookmarkStart w:id="490" w:name="_Toc330406250"/>
      <w:bookmarkEnd w:id="490"/>
      <w:bookmarkStart w:id="491" w:name="_Toc144974613"/>
      <w:bookmarkEnd w:id="491"/>
      <w:bookmarkStart w:id="492" w:name="_Toc393546309"/>
      <w:bookmarkEnd w:id="492"/>
      <w:bookmarkStart w:id="493" w:name="_Toc43475783"/>
      <w:bookmarkEnd w:id="493"/>
      <w:bookmarkStart w:id="494" w:name="_Toc179632663"/>
      <w:bookmarkEnd w:id="494"/>
      <w:r>
        <w:rPr>
          <w:rFonts w:hint="eastAsia" w:ascii="宋体" w:eastAsia="宋体"/>
          <w:color w:val="auto"/>
          <w:szCs w:val="24"/>
          <w:highlight w:val="none"/>
        </w:rPr>
        <w:t>4.6 承包人人员的管理</w:t>
      </w:r>
    </w:p>
    <w:p w14:paraId="6784FD4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4.6.1 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12B0D49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4.6.2 为完成合同约定的各项工作，承包人应向施工场地派遣或雇佣足够数量的下列人员：</w:t>
      </w:r>
    </w:p>
    <w:p w14:paraId="3EBF1A7B">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（1）具有相应资格的专业技工和合格的普工；</w:t>
      </w:r>
    </w:p>
    <w:p w14:paraId="131B5B7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（2）具有相应施工经验的技术人员；</w:t>
      </w:r>
    </w:p>
    <w:p w14:paraId="5268081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（3）具有相应岗位资格的各级管理人员。</w:t>
      </w:r>
    </w:p>
    <w:p w14:paraId="535A01B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4.6.3 承包人安排在施工场地的主要管理人员和技术骨干应相对稳定。承包人更换主要管理人员和技术骨干时，应取得监理人的同意。</w:t>
      </w:r>
    </w:p>
    <w:p w14:paraId="7CFF3CE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4.6.4 特殊岗位的工作人员均应持有相应的资格证明，监理人有权随时检查。监理人认为有必要时，可进行现场考核。</w:t>
      </w:r>
    </w:p>
    <w:p w14:paraId="757B594E">
      <w:pPr>
        <w:pStyle w:val="67"/>
        <w:shd w:val="clear" w:fill="FFFFFF" w:themeFill="background1"/>
        <w:ind w:firstLine="118"/>
        <w:rPr>
          <w:rFonts w:ascii="宋体" w:eastAsia="宋体"/>
          <w:color w:val="auto"/>
          <w:szCs w:val="24"/>
          <w:highlight w:val="none"/>
        </w:rPr>
      </w:pPr>
      <w:bookmarkStart w:id="495" w:name="_Toc179632664"/>
      <w:bookmarkEnd w:id="495"/>
      <w:bookmarkStart w:id="496" w:name="_Toc152045646"/>
      <w:bookmarkEnd w:id="496"/>
      <w:bookmarkStart w:id="497" w:name="_Toc386467056"/>
      <w:bookmarkEnd w:id="497"/>
      <w:bookmarkStart w:id="498" w:name="_Toc393546310"/>
      <w:bookmarkEnd w:id="498"/>
      <w:bookmarkStart w:id="499" w:name="_Toc43475784"/>
      <w:bookmarkEnd w:id="499"/>
      <w:bookmarkStart w:id="500" w:name="_Toc144974614"/>
      <w:bookmarkEnd w:id="500"/>
      <w:bookmarkStart w:id="501" w:name="_Toc330406251"/>
      <w:bookmarkEnd w:id="501"/>
      <w:bookmarkStart w:id="502" w:name="_Toc152042424"/>
      <w:bookmarkEnd w:id="502"/>
      <w:r>
        <w:rPr>
          <w:rFonts w:hint="eastAsia" w:ascii="宋体" w:eastAsia="宋体"/>
          <w:color w:val="auto"/>
          <w:szCs w:val="24"/>
          <w:highlight w:val="none"/>
        </w:rPr>
        <w:t>4.7 撤换承包人项目经理和其他人员</w:t>
      </w:r>
    </w:p>
    <w:p w14:paraId="350E1AE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承包人应对其项目经理和其他人员进行有效管理。监理人要求撤换不能胜任本职工作、行为不端或玩忽职守的承包人项目经理和其他人员的，承包人应予以撤换。</w:t>
      </w:r>
    </w:p>
    <w:p w14:paraId="2EF33317">
      <w:pPr>
        <w:pStyle w:val="67"/>
        <w:shd w:val="clear" w:fill="FFFFFF" w:themeFill="background1"/>
        <w:ind w:firstLine="118"/>
        <w:rPr>
          <w:rFonts w:ascii="宋体" w:eastAsia="宋体"/>
          <w:color w:val="auto"/>
          <w:szCs w:val="24"/>
          <w:highlight w:val="none"/>
        </w:rPr>
      </w:pPr>
      <w:bookmarkStart w:id="503" w:name="_Toc393546311"/>
      <w:bookmarkEnd w:id="503"/>
      <w:bookmarkStart w:id="504" w:name="_Toc386467057"/>
      <w:bookmarkEnd w:id="504"/>
      <w:bookmarkStart w:id="505" w:name="_Toc152042425"/>
      <w:bookmarkEnd w:id="505"/>
      <w:bookmarkStart w:id="506" w:name="_Toc179632665"/>
      <w:bookmarkEnd w:id="506"/>
      <w:bookmarkStart w:id="507" w:name="_Toc152045647"/>
      <w:bookmarkEnd w:id="507"/>
      <w:bookmarkStart w:id="508" w:name="_Toc144974615"/>
      <w:bookmarkEnd w:id="508"/>
      <w:bookmarkStart w:id="509" w:name="_Toc330406252"/>
      <w:bookmarkEnd w:id="509"/>
      <w:bookmarkStart w:id="510" w:name="_Toc43475785"/>
      <w:bookmarkEnd w:id="510"/>
      <w:r>
        <w:rPr>
          <w:rFonts w:hint="eastAsia" w:ascii="宋体" w:eastAsia="宋体"/>
          <w:color w:val="auto"/>
          <w:szCs w:val="24"/>
          <w:highlight w:val="none"/>
        </w:rPr>
        <w:t>4.8 保障承包人人员的合法权益</w:t>
      </w:r>
    </w:p>
    <w:p w14:paraId="7E90753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4.8.1 承包人应与其雇佣的人员签订劳动合同，并按时发放工资。</w:t>
      </w:r>
    </w:p>
    <w:p w14:paraId="7A7268C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4.8.2 承包人应按劳动法的规定安排工作时间，保证其雇佣人员享有休息和休假的权利。因工程施工的特殊需要占用休假日或延长工作时间的，应不超过法律规定的限度，并按法律规定给予补休或付酬。</w:t>
      </w:r>
    </w:p>
    <w:p w14:paraId="41A81B2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4.8.3 承包人应为其雇佣人员提供必要的食宿条件，以及符合环境保护和卫生要求的生活环境，在远离城镇的施工场地，还应配备必要的伤病防治和急救的医务人员与医疗设施。</w:t>
      </w:r>
    </w:p>
    <w:p w14:paraId="699A2AB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4.8.4 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1F482CC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4.8.5 承包人应按有关法律规定和合同约定，为其雇佣人员办理保险。</w:t>
      </w:r>
    </w:p>
    <w:p w14:paraId="75F8929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4.8.6 承包人应负责处理其雇佣人员因工伤亡事故的善后事宜。</w:t>
      </w:r>
    </w:p>
    <w:p w14:paraId="0A41A3C3">
      <w:pPr>
        <w:pStyle w:val="67"/>
        <w:shd w:val="clear" w:fill="FFFFFF" w:themeFill="background1"/>
        <w:ind w:firstLine="118"/>
        <w:rPr>
          <w:rFonts w:ascii="宋体" w:eastAsia="宋体"/>
          <w:color w:val="auto"/>
          <w:szCs w:val="24"/>
          <w:highlight w:val="none"/>
        </w:rPr>
      </w:pPr>
      <w:bookmarkStart w:id="511" w:name="_Toc144974616"/>
      <w:bookmarkEnd w:id="511"/>
      <w:bookmarkStart w:id="512" w:name="_Toc386467058"/>
      <w:bookmarkEnd w:id="512"/>
      <w:bookmarkStart w:id="513" w:name="_Toc152042426"/>
      <w:bookmarkEnd w:id="513"/>
      <w:bookmarkStart w:id="514" w:name="_Toc152045648"/>
      <w:bookmarkEnd w:id="514"/>
      <w:bookmarkStart w:id="515" w:name="_Toc43475786"/>
      <w:bookmarkEnd w:id="515"/>
      <w:bookmarkStart w:id="516" w:name="_Toc330406253"/>
      <w:bookmarkEnd w:id="516"/>
      <w:bookmarkStart w:id="517" w:name="_Toc179632666"/>
      <w:bookmarkEnd w:id="517"/>
      <w:bookmarkStart w:id="518" w:name="_Toc393546312"/>
      <w:bookmarkEnd w:id="518"/>
      <w:r>
        <w:rPr>
          <w:rFonts w:hint="eastAsia" w:ascii="宋体" w:eastAsia="宋体"/>
          <w:color w:val="auto"/>
          <w:szCs w:val="24"/>
          <w:highlight w:val="none"/>
        </w:rPr>
        <w:t>4.9 工程价款应专款专用</w:t>
      </w:r>
    </w:p>
    <w:p w14:paraId="002EB41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发包人按合同约定支付给承包人的各项价款应专用于合同工程。</w:t>
      </w:r>
    </w:p>
    <w:p w14:paraId="228A0094">
      <w:pPr>
        <w:pStyle w:val="67"/>
        <w:shd w:val="clear" w:fill="FFFFFF" w:themeFill="background1"/>
        <w:ind w:firstLine="118"/>
        <w:rPr>
          <w:rFonts w:ascii="宋体" w:eastAsia="宋体"/>
          <w:color w:val="auto"/>
          <w:szCs w:val="24"/>
          <w:highlight w:val="none"/>
        </w:rPr>
      </w:pPr>
      <w:bookmarkStart w:id="519" w:name="_Toc393546313"/>
      <w:bookmarkEnd w:id="519"/>
      <w:bookmarkStart w:id="520" w:name="_Toc386467059"/>
      <w:bookmarkEnd w:id="520"/>
      <w:bookmarkStart w:id="521" w:name="_Toc43475787"/>
      <w:bookmarkEnd w:id="521"/>
      <w:r>
        <w:rPr>
          <w:rFonts w:hint="eastAsia" w:ascii="宋体" w:eastAsia="宋体"/>
          <w:color w:val="auto"/>
          <w:szCs w:val="24"/>
          <w:highlight w:val="none"/>
        </w:rPr>
        <w:t>4.10 承包人现场查勘</w:t>
      </w:r>
    </w:p>
    <w:p w14:paraId="3A9F23D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4.10.1 发包人应将其持有的现场地质勘探资料、水文气象资料提供给承包人，并对其准确性负责。但承包人应对其阅读上述有关资料后所作出的解释和推断负责。</w:t>
      </w:r>
    </w:p>
    <w:p w14:paraId="46124A7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4.10.2 承包人应对施工场地和周围环境进行查勘，并收集有关地质、水文、气象条件、交通条件、风俗习惯以及其他为完成合同工作有关的当地资料。在全部合同工作中，应视为承包人已充分估计了应承担的责任和风险。</w:t>
      </w:r>
    </w:p>
    <w:p w14:paraId="543175B1">
      <w:pPr>
        <w:pStyle w:val="67"/>
        <w:shd w:val="clear" w:fill="FFFFFF" w:themeFill="background1"/>
        <w:ind w:firstLine="118"/>
        <w:rPr>
          <w:rFonts w:ascii="宋体" w:eastAsia="宋体"/>
          <w:color w:val="auto"/>
          <w:szCs w:val="24"/>
          <w:highlight w:val="none"/>
        </w:rPr>
      </w:pPr>
      <w:bookmarkStart w:id="522" w:name="_Toc386467060"/>
      <w:bookmarkEnd w:id="522"/>
      <w:bookmarkStart w:id="523" w:name="_Toc43475788"/>
      <w:bookmarkEnd w:id="523"/>
      <w:bookmarkStart w:id="524" w:name="_Toc393546314"/>
      <w:bookmarkEnd w:id="524"/>
      <w:r>
        <w:rPr>
          <w:rFonts w:hint="eastAsia" w:ascii="宋体" w:eastAsia="宋体"/>
          <w:color w:val="auto"/>
          <w:szCs w:val="24"/>
          <w:highlight w:val="none"/>
        </w:rPr>
        <w:t>4.11 不利物质条件</w:t>
      </w:r>
    </w:p>
    <w:p w14:paraId="606E424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4.11.1 不利物质条件，除专用合同条款另有约定外，是指承包人在施工场地遇到的不可预见的自然物质条件、非自然的物质障碍和污染物，包括地下和水文条件，但不包括气候条件。</w:t>
      </w:r>
    </w:p>
    <w:p w14:paraId="3DC36CA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4.11.2 承包人遇到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2E588CA0">
      <w:pPr>
        <w:pStyle w:val="78"/>
        <w:shd w:val="clear" w:fill="FFFFFF" w:themeFill="background1"/>
        <w:rPr>
          <w:rFonts w:ascii="宋体" w:hAnsi="宋体"/>
          <w:color w:val="auto"/>
          <w:sz w:val="24"/>
          <w:szCs w:val="24"/>
          <w:highlight w:val="none"/>
        </w:rPr>
      </w:pPr>
      <w:bookmarkStart w:id="525" w:name="_Toc386467061"/>
      <w:bookmarkEnd w:id="525"/>
      <w:bookmarkStart w:id="526" w:name="_Toc43475789"/>
      <w:bookmarkEnd w:id="526"/>
      <w:bookmarkStart w:id="527" w:name="_Toc393546315"/>
      <w:bookmarkEnd w:id="527"/>
      <w:r>
        <w:rPr>
          <w:rFonts w:hint="eastAsia" w:ascii="宋体" w:hAnsi="宋体"/>
          <w:color w:val="auto"/>
          <w:sz w:val="24"/>
          <w:szCs w:val="24"/>
          <w:highlight w:val="none"/>
        </w:rPr>
        <w:t>5. 材料和工程设备</w:t>
      </w:r>
    </w:p>
    <w:p w14:paraId="22BF23F5">
      <w:pPr>
        <w:pStyle w:val="67"/>
        <w:shd w:val="clear" w:fill="FFFFFF" w:themeFill="background1"/>
        <w:ind w:firstLine="118"/>
        <w:rPr>
          <w:rFonts w:ascii="宋体" w:eastAsia="宋体"/>
          <w:color w:val="auto"/>
          <w:szCs w:val="24"/>
          <w:highlight w:val="none"/>
        </w:rPr>
      </w:pPr>
      <w:bookmarkStart w:id="528" w:name="_Toc330406257"/>
      <w:bookmarkEnd w:id="528"/>
      <w:bookmarkStart w:id="529" w:name="_Toc179632670"/>
      <w:bookmarkEnd w:id="529"/>
      <w:bookmarkStart w:id="530" w:name="_Toc152042430"/>
      <w:bookmarkEnd w:id="530"/>
      <w:bookmarkStart w:id="531" w:name="_Toc393546316"/>
      <w:bookmarkEnd w:id="531"/>
      <w:bookmarkStart w:id="532" w:name="_Toc386467062"/>
      <w:bookmarkEnd w:id="532"/>
      <w:bookmarkStart w:id="533" w:name="_Toc144974620"/>
      <w:bookmarkEnd w:id="533"/>
      <w:bookmarkStart w:id="534" w:name="_Toc43475790"/>
      <w:bookmarkEnd w:id="534"/>
      <w:bookmarkStart w:id="535" w:name="_Toc152045652"/>
      <w:bookmarkEnd w:id="535"/>
      <w:r>
        <w:rPr>
          <w:rFonts w:hint="eastAsia" w:ascii="宋体" w:eastAsia="宋体"/>
          <w:color w:val="auto"/>
          <w:szCs w:val="24"/>
          <w:highlight w:val="none"/>
        </w:rPr>
        <w:t>5.1 承包人提供的材料和工程设备</w:t>
      </w:r>
    </w:p>
    <w:p w14:paraId="118783D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5.1.1 除专用合同条款另有约定外，承包人提供的材料和工程设备均由承包人负责采购、运输和保管。承包人应对其采购的材料和工程设备负责。</w:t>
      </w:r>
    </w:p>
    <w:p w14:paraId="14B79D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5.1.2 承包人应按专用合同条款的约定，将各项材料和工程设备的供货人及品种、规格、数量和供货时间等报送监理人审批。承包人应向监理人提交其负责提供的材料和工程设备的质量证明文件，并满足合同约定的质量标准。</w:t>
      </w:r>
    </w:p>
    <w:p w14:paraId="0A89E18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5.1.3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3B0FF899">
      <w:pPr>
        <w:pStyle w:val="67"/>
        <w:shd w:val="clear" w:fill="FFFFFF" w:themeFill="background1"/>
        <w:ind w:firstLine="118"/>
        <w:rPr>
          <w:rFonts w:ascii="宋体" w:eastAsia="宋体"/>
          <w:color w:val="auto"/>
          <w:szCs w:val="24"/>
          <w:highlight w:val="none"/>
        </w:rPr>
      </w:pPr>
      <w:bookmarkStart w:id="536" w:name="_Toc393546317"/>
      <w:bookmarkEnd w:id="536"/>
      <w:bookmarkStart w:id="537" w:name="_Toc386467063"/>
      <w:bookmarkEnd w:id="537"/>
      <w:bookmarkStart w:id="538" w:name="_Toc43475791"/>
      <w:bookmarkEnd w:id="538"/>
      <w:r>
        <w:rPr>
          <w:rFonts w:hint="eastAsia" w:ascii="宋体" w:eastAsia="宋体"/>
          <w:color w:val="auto"/>
          <w:szCs w:val="24"/>
          <w:highlight w:val="none"/>
        </w:rPr>
        <w:t>5.2 发包人提供的材料和工程设备</w:t>
      </w:r>
    </w:p>
    <w:p w14:paraId="0327BD4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5.2.1 发包人提供的材料和工程设备，应在专用合同条款中写明材料和工程设备的名称、规格、数量、价格、交货方式、交货地点和计划交货日期等。</w:t>
      </w:r>
    </w:p>
    <w:p w14:paraId="3669EA0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5.2.2 承包人应根据合同进度计划的安排，向监理人报送要求发包人交货的日期计划。发包人应按照监理人与合同双方当事人商定的交货日期，向承包人提交材料和工程设备。</w:t>
      </w:r>
    </w:p>
    <w:p w14:paraId="333784E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5.2.3 发包人应在材料和工程设备到货7天前通知承包人，承包人应会同监理人在约定的时间内，赴交货地点共同进行验收。除专用合同条款另有约定外，发包人提供的材料和工程设备验收后，由承包人负责接收、运输和保管。</w:t>
      </w:r>
    </w:p>
    <w:p w14:paraId="0F5CD56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5.2.4 发包人要求向承包人提前交货的，承包人不得拒绝，但发包人应承担承包人由此增加的费用。 </w:t>
      </w:r>
    </w:p>
    <w:p w14:paraId="32C84C7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5.2.5 承包人要求更改交货日期或地点的，应事先报请监理人批准。由于承包人要求更改交货时间或地点所增加的费用和（或）工期延误由承包人承担。 </w:t>
      </w:r>
    </w:p>
    <w:p w14:paraId="096F425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5.2.6 发包人提供的材料和工程设备的规格、数量或质量不符合合同要求，或由于发包人原因发生交货日期延误及交货地点变更等情况的，发包人应承担由此增加的费用和（或）工期延误，并向承包人支付合理利润。</w:t>
      </w:r>
    </w:p>
    <w:p w14:paraId="65921774">
      <w:pPr>
        <w:pStyle w:val="67"/>
        <w:shd w:val="clear" w:fill="FFFFFF" w:themeFill="background1"/>
        <w:ind w:firstLine="118"/>
        <w:rPr>
          <w:rFonts w:ascii="宋体" w:eastAsia="宋体"/>
          <w:color w:val="auto"/>
          <w:szCs w:val="24"/>
          <w:highlight w:val="none"/>
        </w:rPr>
      </w:pPr>
      <w:bookmarkStart w:id="539" w:name="_Toc179632672"/>
      <w:bookmarkEnd w:id="539"/>
      <w:bookmarkStart w:id="540" w:name="_Toc386467064"/>
      <w:bookmarkEnd w:id="540"/>
      <w:bookmarkStart w:id="541" w:name="_Toc152045654"/>
      <w:bookmarkEnd w:id="541"/>
      <w:bookmarkStart w:id="542" w:name="_Toc330406259"/>
      <w:bookmarkEnd w:id="542"/>
      <w:bookmarkStart w:id="543" w:name="_Toc393546318"/>
      <w:bookmarkEnd w:id="543"/>
      <w:bookmarkStart w:id="544" w:name="_Toc152042432"/>
      <w:bookmarkEnd w:id="544"/>
      <w:bookmarkStart w:id="545" w:name="_Toc144974622"/>
      <w:bookmarkEnd w:id="545"/>
      <w:bookmarkStart w:id="546" w:name="_Toc43475792"/>
      <w:bookmarkEnd w:id="546"/>
      <w:r>
        <w:rPr>
          <w:rFonts w:hint="eastAsia" w:ascii="宋体" w:eastAsia="宋体"/>
          <w:color w:val="auto"/>
          <w:szCs w:val="24"/>
          <w:highlight w:val="none"/>
        </w:rPr>
        <w:t>5.3 材料和工程设备专用于合同工程</w:t>
      </w:r>
    </w:p>
    <w:p w14:paraId="7DBA0F0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5.3.1运入施工场地的材料、工程设备，包括备品备件、安装专用工器具与随机资料，必须专用于合同工程，未经监理人同意，承包人不得运出施工场地或挪作他用。</w:t>
      </w:r>
    </w:p>
    <w:p w14:paraId="67649D1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62EC9416">
      <w:pPr>
        <w:pStyle w:val="67"/>
        <w:shd w:val="clear" w:fill="FFFFFF" w:themeFill="background1"/>
        <w:ind w:firstLine="118"/>
        <w:rPr>
          <w:rFonts w:ascii="宋体" w:eastAsia="宋体"/>
          <w:color w:val="auto"/>
          <w:szCs w:val="24"/>
          <w:highlight w:val="none"/>
        </w:rPr>
      </w:pPr>
      <w:bookmarkStart w:id="547" w:name="_Toc179632673"/>
      <w:bookmarkEnd w:id="547"/>
      <w:bookmarkStart w:id="548" w:name="_Toc152045655"/>
      <w:bookmarkEnd w:id="548"/>
      <w:bookmarkStart w:id="549" w:name="_Toc386467065"/>
      <w:bookmarkEnd w:id="549"/>
      <w:bookmarkStart w:id="550" w:name="_Toc393546319"/>
      <w:bookmarkEnd w:id="550"/>
      <w:bookmarkStart w:id="551" w:name="_Toc330406260"/>
      <w:bookmarkEnd w:id="551"/>
      <w:bookmarkStart w:id="552" w:name="_Toc152042433"/>
      <w:bookmarkEnd w:id="552"/>
      <w:bookmarkStart w:id="553" w:name="_Toc144974623"/>
      <w:bookmarkEnd w:id="553"/>
      <w:bookmarkStart w:id="554" w:name="_Toc43475793"/>
      <w:bookmarkEnd w:id="554"/>
      <w:r>
        <w:rPr>
          <w:rFonts w:hint="eastAsia" w:ascii="宋体" w:eastAsia="宋体"/>
          <w:color w:val="auto"/>
          <w:szCs w:val="24"/>
          <w:highlight w:val="none"/>
        </w:rPr>
        <w:t>5.4 禁止使用不合格的材料和工程设备</w:t>
      </w:r>
    </w:p>
    <w:p w14:paraId="726F038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5.4.1 监理人有权拒绝承包人提供的不合格材料或工程设备，并要求承包人立即进行更换。监理人应在更换后再次进行检查和检验，由此增加的费用和（或）工期延误由承包人承担。</w:t>
      </w:r>
    </w:p>
    <w:p w14:paraId="051661E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5.4.2 监理人发现承包人使用了不合格的材料和工程设备，应即时发出指示要求承包人立即改正，并禁止在工程中继续使用不合格的材料和工程设备。</w:t>
      </w:r>
    </w:p>
    <w:p w14:paraId="652A148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5.4.3 发包人提供的材料或工程设备不符合合同要求的，承包人有权拒绝，并可要求发包人更换，由此增加的费用和（或）工期延误由发包人承担。</w:t>
      </w:r>
    </w:p>
    <w:p w14:paraId="09BA2D1C">
      <w:pPr>
        <w:pStyle w:val="78"/>
        <w:shd w:val="clear" w:fill="FFFFFF" w:themeFill="background1"/>
        <w:rPr>
          <w:rFonts w:ascii="宋体" w:hAnsi="宋体"/>
          <w:color w:val="auto"/>
          <w:sz w:val="24"/>
          <w:szCs w:val="24"/>
          <w:highlight w:val="none"/>
        </w:rPr>
      </w:pPr>
      <w:bookmarkStart w:id="555" w:name="_Toc43475794"/>
      <w:bookmarkEnd w:id="555"/>
      <w:bookmarkStart w:id="556" w:name="_Toc386467066"/>
      <w:bookmarkEnd w:id="556"/>
      <w:bookmarkStart w:id="557" w:name="_Toc393546320"/>
      <w:bookmarkEnd w:id="557"/>
      <w:r>
        <w:rPr>
          <w:rFonts w:hint="eastAsia" w:ascii="宋体" w:hAnsi="宋体"/>
          <w:color w:val="auto"/>
          <w:sz w:val="24"/>
          <w:szCs w:val="24"/>
          <w:highlight w:val="none"/>
        </w:rPr>
        <w:t>6. 施工设备和临时设施</w:t>
      </w:r>
    </w:p>
    <w:p w14:paraId="7CCAE218">
      <w:pPr>
        <w:pStyle w:val="67"/>
        <w:shd w:val="clear" w:fill="FFFFFF" w:themeFill="background1"/>
        <w:ind w:firstLine="118"/>
        <w:rPr>
          <w:rFonts w:ascii="宋体" w:eastAsia="宋体"/>
          <w:color w:val="auto"/>
          <w:szCs w:val="24"/>
          <w:highlight w:val="none"/>
        </w:rPr>
      </w:pPr>
      <w:bookmarkStart w:id="558" w:name="_Toc386467067"/>
      <w:bookmarkEnd w:id="558"/>
      <w:bookmarkStart w:id="559" w:name="_Toc393546321"/>
      <w:bookmarkEnd w:id="559"/>
      <w:bookmarkStart w:id="560" w:name="_Toc43475795"/>
      <w:bookmarkEnd w:id="560"/>
      <w:r>
        <w:rPr>
          <w:rFonts w:hint="eastAsia" w:ascii="宋体" w:eastAsia="宋体"/>
          <w:color w:val="auto"/>
          <w:szCs w:val="24"/>
          <w:highlight w:val="none"/>
        </w:rPr>
        <w:t>6.1 承包人提供的施工设备和临时设施</w:t>
      </w:r>
    </w:p>
    <w:p w14:paraId="397F4C7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6.1.1 承包人应按合同进度计划的要求，及时配置施工设备和修建临时设施。进入施工场地的承包人设备需经监理人核查后才能投入使用。承包人更换合同约定的承包人设备的，应报监理人批准。</w:t>
      </w:r>
    </w:p>
    <w:p w14:paraId="0BB41BE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6.1.2除专用合同条款另有约定外，承包人应自行承担修建临时设施的费用，需要临时占地的，应由发包人办理申请手续并承担相应费用。</w:t>
      </w:r>
    </w:p>
    <w:p w14:paraId="05C13461">
      <w:pPr>
        <w:pStyle w:val="67"/>
        <w:shd w:val="clear" w:fill="FFFFFF" w:themeFill="background1"/>
        <w:ind w:firstLine="118"/>
        <w:rPr>
          <w:rFonts w:ascii="宋体" w:eastAsia="宋体"/>
          <w:color w:val="auto"/>
          <w:szCs w:val="24"/>
          <w:highlight w:val="none"/>
        </w:rPr>
      </w:pPr>
      <w:bookmarkStart w:id="561" w:name="_Toc330406263"/>
      <w:bookmarkEnd w:id="561"/>
      <w:bookmarkStart w:id="562" w:name="_Toc386467068"/>
      <w:bookmarkEnd w:id="562"/>
      <w:bookmarkStart w:id="563" w:name="_Toc152042436"/>
      <w:bookmarkEnd w:id="563"/>
      <w:bookmarkStart w:id="564" w:name="_Toc152045658"/>
      <w:bookmarkEnd w:id="564"/>
      <w:bookmarkStart w:id="565" w:name="_Toc43475796"/>
      <w:bookmarkEnd w:id="565"/>
      <w:bookmarkStart w:id="566" w:name="_Toc179632676"/>
      <w:bookmarkEnd w:id="566"/>
      <w:bookmarkStart w:id="567" w:name="_Toc393546322"/>
      <w:bookmarkEnd w:id="567"/>
      <w:bookmarkStart w:id="568" w:name="_Toc144974626"/>
      <w:bookmarkEnd w:id="568"/>
      <w:r>
        <w:rPr>
          <w:rFonts w:hint="eastAsia" w:ascii="宋体" w:eastAsia="宋体"/>
          <w:color w:val="auto"/>
          <w:szCs w:val="24"/>
          <w:highlight w:val="none"/>
        </w:rPr>
        <w:t>6.2 发包人提供的施工设备和临时设施</w:t>
      </w:r>
    </w:p>
    <w:p w14:paraId="31EF8E6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发包人提供的施工设备或临时设施在专用合同条款中约定。</w:t>
      </w:r>
    </w:p>
    <w:p w14:paraId="070AD7D9">
      <w:pPr>
        <w:pStyle w:val="67"/>
        <w:shd w:val="clear" w:fill="FFFFFF" w:themeFill="background1"/>
        <w:ind w:firstLine="118"/>
        <w:rPr>
          <w:rFonts w:ascii="宋体" w:eastAsia="宋体"/>
          <w:color w:val="auto"/>
          <w:szCs w:val="24"/>
          <w:highlight w:val="none"/>
        </w:rPr>
      </w:pPr>
      <w:bookmarkStart w:id="569" w:name="_Toc43475797"/>
      <w:bookmarkEnd w:id="569"/>
      <w:bookmarkStart w:id="570" w:name="_Toc393546323"/>
      <w:bookmarkEnd w:id="570"/>
      <w:bookmarkStart w:id="571" w:name="_Toc386467069"/>
      <w:bookmarkEnd w:id="571"/>
      <w:r>
        <w:rPr>
          <w:rFonts w:hint="eastAsia" w:ascii="宋体" w:eastAsia="宋体"/>
          <w:color w:val="auto"/>
          <w:szCs w:val="24"/>
          <w:highlight w:val="none"/>
        </w:rPr>
        <w:t>6.3 要求承包人增加或更换施工设备</w:t>
      </w:r>
    </w:p>
    <w:p w14:paraId="443C615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承包人使用的施工设备不能满足合同进度计划和（或）质量要求时，监理人有权要求承包人增加或更换施工设备，承包人应及时增加或更换，由此增加的费用和（或）工期延误由承包人承担。</w:t>
      </w:r>
    </w:p>
    <w:p w14:paraId="0A732AD3">
      <w:pPr>
        <w:pStyle w:val="67"/>
        <w:shd w:val="clear" w:fill="FFFFFF" w:themeFill="background1"/>
        <w:ind w:firstLine="118"/>
        <w:rPr>
          <w:rFonts w:ascii="宋体" w:eastAsia="宋体"/>
          <w:color w:val="auto"/>
          <w:szCs w:val="24"/>
          <w:highlight w:val="none"/>
        </w:rPr>
      </w:pPr>
      <w:bookmarkStart w:id="572" w:name="_Toc179632678"/>
      <w:bookmarkEnd w:id="572"/>
      <w:bookmarkStart w:id="573" w:name="_Toc386467070"/>
      <w:bookmarkEnd w:id="573"/>
      <w:bookmarkStart w:id="574" w:name="_Toc144974628"/>
      <w:bookmarkEnd w:id="574"/>
      <w:bookmarkStart w:id="575" w:name="_Toc393546324"/>
      <w:bookmarkEnd w:id="575"/>
      <w:bookmarkStart w:id="576" w:name="_Toc152042438"/>
      <w:bookmarkEnd w:id="576"/>
      <w:bookmarkStart w:id="577" w:name="_Toc330406265"/>
      <w:bookmarkEnd w:id="577"/>
      <w:bookmarkStart w:id="578" w:name="_Toc43475798"/>
      <w:bookmarkEnd w:id="578"/>
      <w:bookmarkStart w:id="579" w:name="_Toc152045660"/>
      <w:bookmarkEnd w:id="579"/>
      <w:r>
        <w:rPr>
          <w:rFonts w:hint="eastAsia" w:ascii="宋体" w:eastAsia="宋体"/>
          <w:color w:val="auto"/>
          <w:szCs w:val="24"/>
          <w:highlight w:val="none"/>
        </w:rPr>
        <w:t>6.4 施工设备和临时设施专用于合同工程</w:t>
      </w:r>
    </w:p>
    <w:p w14:paraId="64FB70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6.4.1除合同另有约定外，运入施工场地的所有施工设备以及在施工场地建设的临时设施应专用于合同工程。未经监理人同意，不得将上述施工设备和临时设施中的任何部分运出施工场地或挪作他用。</w:t>
      </w:r>
    </w:p>
    <w:p w14:paraId="4D2E8BB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6.4.2 经监理人同意，承包人可根据合同进度计划撤走闲置的施工设备。</w:t>
      </w:r>
    </w:p>
    <w:p w14:paraId="4ED08ACE">
      <w:pPr>
        <w:pStyle w:val="78"/>
        <w:shd w:val="clear" w:fill="FFFFFF" w:themeFill="background1"/>
        <w:rPr>
          <w:rFonts w:ascii="宋体" w:hAnsi="宋体"/>
          <w:color w:val="auto"/>
          <w:sz w:val="24"/>
          <w:szCs w:val="24"/>
          <w:highlight w:val="none"/>
        </w:rPr>
      </w:pPr>
      <w:bookmarkStart w:id="580" w:name="_Toc386467071"/>
      <w:bookmarkEnd w:id="580"/>
      <w:bookmarkStart w:id="581" w:name="_Toc43475799"/>
      <w:bookmarkEnd w:id="581"/>
      <w:bookmarkStart w:id="582" w:name="_Toc393546325"/>
      <w:bookmarkEnd w:id="582"/>
      <w:r>
        <w:rPr>
          <w:rFonts w:hint="eastAsia" w:ascii="宋体" w:hAnsi="宋体"/>
          <w:color w:val="auto"/>
          <w:sz w:val="24"/>
          <w:szCs w:val="24"/>
          <w:highlight w:val="none"/>
        </w:rPr>
        <w:t>7. 交通运输</w:t>
      </w:r>
    </w:p>
    <w:p w14:paraId="38769755">
      <w:pPr>
        <w:pStyle w:val="67"/>
        <w:shd w:val="clear" w:fill="FFFFFF" w:themeFill="background1"/>
        <w:ind w:firstLine="118"/>
        <w:rPr>
          <w:rFonts w:ascii="宋体" w:eastAsia="宋体"/>
          <w:color w:val="auto"/>
          <w:szCs w:val="24"/>
          <w:highlight w:val="none"/>
        </w:rPr>
      </w:pPr>
      <w:bookmarkStart w:id="583" w:name="_Toc393546326"/>
      <w:bookmarkEnd w:id="583"/>
      <w:bookmarkStart w:id="584" w:name="_Toc43475800"/>
      <w:bookmarkEnd w:id="584"/>
      <w:bookmarkStart w:id="585" w:name="_Toc386467072"/>
      <w:bookmarkEnd w:id="585"/>
      <w:r>
        <w:rPr>
          <w:rFonts w:hint="eastAsia" w:ascii="宋体" w:eastAsia="宋体"/>
          <w:color w:val="auto"/>
          <w:szCs w:val="24"/>
          <w:highlight w:val="none"/>
        </w:rPr>
        <w:t>7.1 道路通行权和场外设施</w:t>
      </w:r>
    </w:p>
    <w:p w14:paraId="5CA1586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发包人应根据合同工程的施工需要，负责办理取得出入施工场地的专用和临时道路的通行权，以及取得为工程建设所需修建场外设施的权利，并承担有关费用。承包人应协助发包人办理上述手续。</w:t>
      </w:r>
    </w:p>
    <w:p w14:paraId="6D8B4E7E">
      <w:pPr>
        <w:pStyle w:val="67"/>
        <w:shd w:val="clear" w:fill="FFFFFF" w:themeFill="background1"/>
        <w:ind w:firstLine="118"/>
        <w:rPr>
          <w:rFonts w:ascii="宋体" w:eastAsia="宋体"/>
          <w:color w:val="auto"/>
          <w:szCs w:val="24"/>
          <w:highlight w:val="none"/>
        </w:rPr>
      </w:pPr>
      <w:bookmarkStart w:id="586" w:name="_Toc152042441"/>
      <w:bookmarkEnd w:id="586"/>
      <w:bookmarkStart w:id="587" w:name="_Toc43475801"/>
      <w:bookmarkEnd w:id="587"/>
      <w:bookmarkStart w:id="588" w:name="_Toc144974631"/>
      <w:bookmarkEnd w:id="588"/>
      <w:bookmarkStart w:id="589" w:name="_Toc393546327"/>
      <w:bookmarkEnd w:id="589"/>
      <w:bookmarkStart w:id="590" w:name="_Toc330406268"/>
      <w:bookmarkEnd w:id="590"/>
      <w:bookmarkStart w:id="591" w:name="_Toc179632681"/>
      <w:bookmarkEnd w:id="591"/>
      <w:bookmarkStart w:id="592" w:name="_Toc152045663"/>
      <w:bookmarkEnd w:id="592"/>
      <w:bookmarkStart w:id="593" w:name="_Toc386467073"/>
      <w:bookmarkEnd w:id="593"/>
      <w:r>
        <w:rPr>
          <w:rFonts w:hint="eastAsia" w:ascii="宋体" w:eastAsia="宋体"/>
          <w:color w:val="auto"/>
          <w:szCs w:val="24"/>
          <w:highlight w:val="none"/>
        </w:rPr>
        <w:t>7.2 场内施工道路</w:t>
      </w:r>
    </w:p>
    <w:p w14:paraId="315964B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7.2.1 除专用合同条款另有约定外，承包人应负责修建、维修、养护和管理施工所需的临时道路和交通设施，包括维修、养护和管理发包人提供的道路和交通设施，并承担相应费用。</w:t>
      </w:r>
    </w:p>
    <w:p w14:paraId="4403CDA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7.2.2 除专用合同条款另有约定外，承包人修建的临时道路和交通设施应免费提供发包人和监理人使用。</w:t>
      </w:r>
    </w:p>
    <w:p w14:paraId="604F63EF">
      <w:pPr>
        <w:pStyle w:val="67"/>
        <w:shd w:val="clear" w:fill="FFFFFF" w:themeFill="background1"/>
        <w:ind w:firstLine="118"/>
        <w:rPr>
          <w:rFonts w:ascii="宋体" w:eastAsia="宋体"/>
          <w:color w:val="auto"/>
          <w:szCs w:val="24"/>
          <w:highlight w:val="none"/>
        </w:rPr>
      </w:pPr>
      <w:bookmarkStart w:id="594" w:name="_Toc43475802"/>
      <w:bookmarkEnd w:id="594"/>
      <w:bookmarkStart w:id="595" w:name="_Toc152042442"/>
      <w:bookmarkEnd w:id="595"/>
      <w:bookmarkStart w:id="596" w:name="_Toc152045664"/>
      <w:bookmarkEnd w:id="596"/>
      <w:bookmarkStart w:id="597" w:name="_Toc386467074"/>
      <w:bookmarkEnd w:id="597"/>
      <w:bookmarkStart w:id="598" w:name="_Toc144974632"/>
      <w:bookmarkEnd w:id="598"/>
      <w:bookmarkStart w:id="599" w:name="_Toc330406269"/>
      <w:bookmarkEnd w:id="599"/>
      <w:bookmarkStart w:id="600" w:name="_Toc393546328"/>
      <w:bookmarkEnd w:id="600"/>
      <w:bookmarkStart w:id="601" w:name="_Toc179632682"/>
      <w:bookmarkEnd w:id="601"/>
      <w:r>
        <w:rPr>
          <w:rFonts w:hint="eastAsia" w:ascii="宋体" w:eastAsia="宋体"/>
          <w:color w:val="auto"/>
          <w:szCs w:val="24"/>
          <w:highlight w:val="none"/>
        </w:rPr>
        <w:t>7.3 场外交通</w:t>
      </w:r>
    </w:p>
    <w:p w14:paraId="7382508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7.3.1 承包人车辆外出行驶所需的场外公共道路的通行费、养路费和税款等由承包人承担。</w:t>
      </w:r>
    </w:p>
    <w:p w14:paraId="2CE06B8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7.3.2 承包人应遵守有关交通法规，严格按照道路和桥梁的限制荷重安全行驶，并服从交通管理部门的检查和监督。</w:t>
      </w:r>
    </w:p>
    <w:p w14:paraId="60D41C47">
      <w:pPr>
        <w:pStyle w:val="67"/>
        <w:shd w:val="clear" w:fill="FFFFFF" w:themeFill="background1"/>
        <w:ind w:firstLine="118"/>
        <w:rPr>
          <w:rFonts w:ascii="宋体" w:eastAsia="宋体"/>
          <w:color w:val="auto"/>
          <w:szCs w:val="24"/>
          <w:highlight w:val="none"/>
        </w:rPr>
      </w:pPr>
      <w:bookmarkStart w:id="602" w:name="_Toc386467075"/>
      <w:bookmarkEnd w:id="602"/>
      <w:bookmarkStart w:id="603" w:name="_Toc152042443"/>
      <w:bookmarkEnd w:id="603"/>
      <w:bookmarkStart w:id="604" w:name="_Toc179632683"/>
      <w:bookmarkEnd w:id="604"/>
      <w:bookmarkStart w:id="605" w:name="_Toc393546329"/>
      <w:bookmarkEnd w:id="605"/>
      <w:bookmarkStart w:id="606" w:name="_Toc152045665"/>
      <w:bookmarkEnd w:id="606"/>
      <w:bookmarkStart w:id="607" w:name="_Toc330406270"/>
      <w:bookmarkEnd w:id="607"/>
      <w:bookmarkStart w:id="608" w:name="_Toc43475803"/>
      <w:bookmarkEnd w:id="608"/>
      <w:bookmarkStart w:id="609" w:name="_Toc144974633"/>
      <w:bookmarkEnd w:id="609"/>
      <w:r>
        <w:rPr>
          <w:rFonts w:hint="eastAsia" w:ascii="宋体" w:eastAsia="宋体"/>
          <w:color w:val="auto"/>
          <w:szCs w:val="24"/>
          <w:highlight w:val="none"/>
        </w:rPr>
        <w:t>7.4 超大件和超重件的运输</w:t>
      </w:r>
    </w:p>
    <w:p w14:paraId="5B365C6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60B3B713">
      <w:pPr>
        <w:pStyle w:val="67"/>
        <w:shd w:val="clear" w:fill="FFFFFF" w:themeFill="background1"/>
        <w:ind w:firstLine="118"/>
        <w:rPr>
          <w:rFonts w:ascii="宋体" w:eastAsia="宋体"/>
          <w:color w:val="auto"/>
          <w:szCs w:val="24"/>
          <w:highlight w:val="none"/>
        </w:rPr>
      </w:pPr>
      <w:bookmarkStart w:id="610" w:name="_Toc179632684"/>
      <w:bookmarkEnd w:id="610"/>
      <w:bookmarkStart w:id="611" w:name="_Toc152042444"/>
      <w:bookmarkEnd w:id="611"/>
      <w:bookmarkStart w:id="612" w:name="_Toc152045666"/>
      <w:bookmarkEnd w:id="612"/>
      <w:bookmarkStart w:id="613" w:name="_Toc330406271"/>
      <w:bookmarkEnd w:id="613"/>
      <w:bookmarkStart w:id="614" w:name="_Toc386467076"/>
      <w:bookmarkEnd w:id="614"/>
      <w:bookmarkStart w:id="615" w:name="_Toc144974634"/>
      <w:bookmarkEnd w:id="615"/>
      <w:bookmarkStart w:id="616" w:name="_Toc43475804"/>
      <w:bookmarkEnd w:id="616"/>
      <w:bookmarkStart w:id="617" w:name="_Toc393546330"/>
      <w:bookmarkEnd w:id="617"/>
      <w:r>
        <w:rPr>
          <w:rFonts w:hint="eastAsia" w:ascii="宋体" w:eastAsia="宋体"/>
          <w:color w:val="auto"/>
          <w:szCs w:val="24"/>
          <w:highlight w:val="none"/>
        </w:rPr>
        <w:t>7.5 道路和桥梁的损坏责任</w:t>
      </w:r>
    </w:p>
    <w:p w14:paraId="71DC1C9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因承包人运输造成施工场地内外公共道路和桥梁损坏的，由承包人承担修复损坏的全部费用和可能引起的赔偿。</w:t>
      </w:r>
    </w:p>
    <w:p w14:paraId="7E730DFE">
      <w:pPr>
        <w:pStyle w:val="67"/>
        <w:shd w:val="clear" w:fill="FFFFFF" w:themeFill="background1"/>
        <w:ind w:firstLine="118"/>
        <w:rPr>
          <w:rFonts w:ascii="宋体" w:eastAsia="宋体"/>
          <w:color w:val="auto"/>
          <w:szCs w:val="24"/>
          <w:highlight w:val="none"/>
        </w:rPr>
      </w:pPr>
      <w:bookmarkStart w:id="618" w:name="_Toc144974635"/>
      <w:bookmarkEnd w:id="618"/>
      <w:bookmarkStart w:id="619" w:name="_Toc386467077"/>
      <w:bookmarkEnd w:id="619"/>
      <w:bookmarkStart w:id="620" w:name="_Toc179632685"/>
      <w:bookmarkEnd w:id="620"/>
      <w:bookmarkStart w:id="621" w:name="_Toc43475805"/>
      <w:bookmarkEnd w:id="621"/>
      <w:bookmarkStart w:id="622" w:name="_Toc152045667"/>
      <w:bookmarkEnd w:id="622"/>
      <w:bookmarkStart w:id="623" w:name="_Toc393546331"/>
      <w:bookmarkEnd w:id="623"/>
      <w:bookmarkStart w:id="624" w:name="_Toc330406272"/>
      <w:bookmarkEnd w:id="624"/>
      <w:bookmarkStart w:id="625" w:name="_Toc152042445"/>
      <w:bookmarkEnd w:id="625"/>
      <w:r>
        <w:rPr>
          <w:rFonts w:hint="eastAsia" w:ascii="宋体" w:eastAsia="宋体"/>
          <w:color w:val="auto"/>
          <w:szCs w:val="24"/>
          <w:highlight w:val="none"/>
        </w:rPr>
        <w:t>7.6 水路和航空运输</w:t>
      </w:r>
    </w:p>
    <w:p w14:paraId="55CA081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本条上述各款的内容适用于水路运输和航空运输，其中“道路”一词的涵义包括河道、航线、船闸、机场、码头、堤防以及水路或航空运输中其他相似结构物；“车辆”一词的涵义包括船舶和飞机等。 </w:t>
      </w:r>
    </w:p>
    <w:p w14:paraId="4D846A00">
      <w:pPr>
        <w:pStyle w:val="78"/>
        <w:shd w:val="clear" w:fill="FFFFFF" w:themeFill="background1"/>
        <w:rPr>
          <w:rFonts w:ascii="宋体" w:hAnsi="宋体"/>
          <w:color w:val="auto"/>
          <w:sz w:val="24"/>
          <w:szCs w:val="24"/>
          <w:highlight w:val="none"/>
        </w:rPr>
      </w:pPr>
      <w:bookmarkStart w:id="626" w:name="_Toc43475806"/>
      <w:bookmarkEnd w:id="626"/>
      <w:bookmarkStart w:id="627" w:name="_Toc386467078"/>
      <w:bookmarkEnd w:id="627"/>
      <w:bookmarkStart w:id="628" w:name="_Toc393546332"/>
      <w:bookmarkEnd w:id="628"/>
      <w:r>
        <w:rPr>
          <w:rFonts w:hint="eastAsia" w:ascii="宋体" w:hAnsi="宋体"/>
          <w:color w:val="auto"/>
          <w:sz w:val="24"/>
          <w:szCs w:val="24"/>
          <w:highlight w:val="none"/>
        </w:rPr>
        <w:t>8. 测量放线</w:t>
      </w:r>
    </w:p>
    <w:p w14:paraId="0B7A81A2">
      <w:pPr>
        <w:pStyle w:val="67"/>
        <w:shd w:val="clear" w:fill="FFFFFF" w:themeFill="background1"/>
        <w:ind w:firstLine="118"/>
        <w:rPr>
          <w:rFonts w:ascii="宋体" w:eastAsia="宋体"/>
          <w:color w:val="auto"/>
          <w:szCs w:val="24"/>
          <w:highlight w:val="none"/>
        </w:rPr>
      </w:pPr>
      <w:bookmarkStart w:id="629" w:name="_Toc330406274"/>
      <w:bookmarkEnd w:id="629"/>
      <w:bookmarkStart w:id="630" w:name="_Toc393546333"/>
      <w:bookmarkEnd w:id="630"/>
      <w:bookmarkStart w:id="631" w:name="_Toc144974637"/>
      <w:bookmarkEnd w:id="631"/>
      <w:bookmarkStart w:id="632" w:name="_Toc386467079"/>
      <w:bookmarkEnd w:id="632"/>
      <w:bookmarkStart w:id="633" w:name="_Toc43475807"/>
      <w:bookmarkEnd w:id="633"/>
      <w:bookmarkStart w:id="634" w:name="_Toc179632687"/>
      <w:bookmarkEnd w:id="634"/>
      <w:bookmarkStart w:id="635" w:name="_Toc152045669"/>
      <w:bookmarkEnd w:id="635"/>
      <w:bookmarkStart w:id="636" w:name="_Toc152042447"/>
      <w:bookmarkEnd w:id="636"/>
      <w:r>
        <w:rPr>
          <w:rFonts w:hint="eastAsia" w:ascii="宋体" w:eastAsia="宋体"/>
          <w:color w:val="auto"/>
          <w:szCs w:val="24"/>
          <w:highlight w:val="none"/>
        </w:rPr>
        <w:t>8.1 施工控制网</w:t>
      </w:r>
    </w:p>
    <w:p w14:paraId="49327E2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8.1.1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审批。</w:t>
      </w:r>
    </w:p>
    <w:p w14:paraId="38FA489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8.1.2承包人应负责管理施工控制网点。施工控制网点丢失或损坏的，承包人应及时修复。承包人应承担施工控制网点的管理与修复费用，并在工程竣工后将施工控制网点移交发包人。</w:t>
      </w:r>
    </w:p>
    <w:p w14:paraId="689C5EEE">
      <w:pPr>
        <w:pStyle w:val="67"/>
        <w:shd w:val="clear" w:fill="FFFFFF" w:themeFill="background1"/>
        <w:ind w:firstLine="118"/>
        <w:rPr>
          <w:rFonts w:ascii="宋体" w:eastAsia="宋体"/>
          <w:color w:val="auto"/>
          <w:szCs w:val="24"/>
          <w:highlight w:val="none"/>
        </w:rPr>
      </w:pPr>
      <w:bookmarkStart w:id="637" w:name="_Toc152045670"/>
      <w:bookmarkEnd w:id="637"/>
      <w:bookmarkStart w:id="638" w:name="_Toc386467080"/>
      <w:bookmarkEnd w:id="638"/>
      <w:bookmarkStart w:id="639" w:name="_Toc179632688"/>
      <w:bookmarkEnd w:id="639"/>
      <w:bookmarkStart w:id="640" w:name="_Toc43475808"/>
      <w:bookmarkEnd w:id="640"/>
      <w:bookmarkStart w:id="641" w:name="_Toc144974638"/>
      <w:bookmarkEnd w:id="641"/>
      <w:bookmarkStart w:id="642" w:name="_Toc393546334"/>
      <w:bookmarkEnd w:id="642"/>
      <w:bookmarkStart w:id="643" w:name="_Toc330406275"/>
      <w:bookmarkEnd w:id="643"/>
      <w:bookmarkStart w:id="644" w:name="_Toc152042448"/>
      <w:bookmarkEnd w:id="644"/>
      <w:r>
        <w:rPr>
          <w:rFonts w:hint="eastAsia" w:ascii="宋体" w:eastAsia="宋体"/>
          <w:color w:val="auto"/>
          <w:szCs w:val="24"/>
          <w:highlight w:val="none"/>
        </w:rPr>
        <w:t>8.2 施工测量</w:t>
      </w:r>
    </w:p>
    <w:p w14:paraId="6361280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8.2.1承包人应负责施工过程中的全部施工测量放线工作，并配置合格的人员、仪器、设备和其他物品。</w:t>
      </w:r>
    </w:p>
    <w:p w14:paraId="1545895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8.2.2监理人可以指示承包人进行抽样复测，当复测中发现错误或出现超过合同约定的误差时，承包人应按监理人指示进行修正或补测，并承担相应的复测费用。</w:t>
      </w:r>
    </w:p>
    <w:p w14:paraId="1B84EC5E">
      <w:pPr>
        <w:pStyle w:val="67"/>
        <w:shd w:val="clear" w:fill="FFFFFF" w:themeFill="background1"/>
        <w:ind w:firstLine="118"/>
        <w:rPr>
          <w:rFonts w:ascii="宋体" w:eastAsia="宋体"/>
          <w:color w:val="auto"/>
          <w:szCs w:val="24"/>
          <w:highlight w:val="none"/>
        </w:rPr>
      </w:pPr>
      <w:bookmarkStart w:id="645" w:name="_Toc393546335"/>
      <w:bookmarkEnd w:id="645"/>
      <w:bookmarkStart w:id="646" w:name="_Toc43475809"/>
      <w:bookmarkEnd w:id="646"/>
      <w:bookmarkStart w:id="647" w:name="_Toc144974639"/>
      <w:bookmarkEnd w:id="647"/>
      <w:bookmarkStart w:id="648" w:name="_Toc330406276"/>
      <w:bookmarkEnd w:id="648"/>
      <w:bookmarkStart w:id="649" w:name="_Toc179632689"/>
      <w:bookmarkEnd w:id="649"/>
      <w:bookmarkStart w:id="650" w:name="_Toc386467081"/>
      <w:bookmarkEnd w:id="650"/>
      <w:bookmarkStart w:id="651" w:name="_Toc152042449"/>
      <w:bookmarkEnd w:id="651"/>
      <w:bookmarkStart w:id="652" w:name="_Toc152045671"/>
      <w:bookmarkEnd w:id="652"/>
      <w:r>
        <w:rPr>
          <w:rFonts w:hint="eastAsia" w:ascii="宋体" w:eastAsia="宋体"/>
          <w:color w:val="auto"/>
          <w:szCs w:val="24"/>
          <w:highlight w:val="none"/>
        </w:rPr>
        <w:t>8.3 基准资料错误的责任</w:t>
      </w:r>
    </w:p>
    <w:p w14:paraId="34FE7A3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6C20DADD">
      <w:pPr>
        <w:pStyle w:val="67"/>
        <w:shd w:val="clear" w:fill="FFFFFF" w:themeFill="background1"/>
        <w:ind w:firstLine="118"/>
        <w:rPr>
          <w:rFonts w:ascii="宋体" w:eastAsia="宋体"/>
          <w:color w:val="auto"/>
          <w:szCs w:val="24"/>
          <w:highlight w:val="none"/>
        </w:rPr>
      </w:pPr>
      <w:bookmarkStart w:id="653" w:name="_Toc386467082"/>
      <w:bookmarkEnd w:id="653"/>
      <w:bookmarkStart w:id="654" w:name="_Toc393546336"/>
      <w:bookmarkEnd w:id="654"/>
      <w:bookmarkStart w:id="655" w:name="_Toc43475810"/>
      <w:bookmarkEnd w:id="655"/>
      <w:r>
        <w:rPr>
          <w:rFonts w:hint="eastAsia" w:ascii="宋体" w:eastAsia="宋体"/>
          <w:color w:val="auto"/>
          <w:szCs w:val="24"/>
          <w:highlight w:val="none"/>
        </w:rPr>
        <w:t>8.4 监理人使用施工控制网</w:t>
      </w:r>
    </w:p>
    <w:p w14:paraId="25C6999E">
      <w:pPr>
        <w:shd w:val="clear" w:fill="FFFFFF" w:themeFill="background1"/>
        <w:spacing w:line="400" w:lineRule="exact"/>
        <w:ind w:firstLine="480" w:firstLineChars="200"/>
        <w:rPr>
          <w:rFonts w:ascii="宋体" w:hAnsi="宋体" w:cs="宋体"/>
          <w:dstrike/>
          <w:color w:val="auto"/>
          <w:sz w:val="24"/>
          <w:highlight w:val="none"/>
        </w:rPr>
      </w:pPr>
      <w:r>
        <w:rPr>
          <w:rFonts w:hint="eastAsia" w:ascii="宋体" w:hAnsi="宋体" w:cs="宋体"/>
          <w:color w:val="auto"/>
          <w:sz w:val="24"/>
          <w:highlight w:val="none"/>
        </w:rPr>
        <w:t>监理人需要使用施工控制网的，承包人应提供必要的协助，发包人不再为此支付费用。</w:t>
      </w:r>
    </w:p>
    <w:p w14:paraId="332A1F3C">
      <w:pPr>
        <w:pStyle w:val="78"/>
        <w:shd w:val="clear" w:fill="FFFFFF" w:themeFill="background1"/>
        <w:rPr>
          <w:rFonts w:ascii="宋体" w:hAnsi="宋体"/>
          <w:color w:val="auto"/>
          <w:sz w:val="24"/>
          <w:szCs w:val="24"/>
          <w:highlight w:val="none"/>
        </w:rPr>
      </w:pPr>
      <w:bookmarkStart w:id="656" w:name="_Toc386467083"/>
      <w:bookmarkEnd w:id="656"/>
      <w:bookmarkStart w:id="657" w:name="_Toc43475811"/>
      <w:bookmarkEnd w:id="657"/>
      <w:bookmarkStart w:id="658" w:name="_Toc393546337"/>
      <w:bookmarkEnd w:id="658"/>
      <w:r>
        <w:rPr>
          <w:rFonts w:hint="eastAsia" w:ascii="宋体" w:hAnsi="宋体"/>
          <w:color w:val="auto"/>
          <w:sz w:val="24"/>
          <w:szCs w:val="24"/>
          <w:highlight w:val="none"/>
        </w:rPr>
        <w:t>9. 施工安全、治安保卫和环境保护</w:t>
      </w:r>
    </w:p>
    <w:p w14:paraId="4E18D5A9">
      <w:pPr>
        <w:pStyle w:val="67"/>
        <w:shd w:val="clear" w:fill="FFFFFF" w:themeFill="background1"/>
        <w:ind w:firstLine="118"/>
        <w:rPr>
          <w:rFonts w:ascii="宋体" w:eastAsia="宋体"/>
          <w:color w:val="auto"/>
          <w:szCs w:val="24"/>
          <w:highlight w:val="none"/>
        </w:rPr>
      </w:pPr>
      <w:bookmarkStart w:id="659" w:name="_Toc179632692"/>
      <w:bookmarkEnd w:id="659"/>
      <w:bookmarkStart w:id="660" w:name="_Toc386467084"/>
      <w:bookmarkEnd w:id="660"/>
      <w:bookmarkStart w:id="661" w:name="_Toc152042452"/>
      <w:bookmarkEnd w:id="661"/>
      <w:bookmarkStart w:id="662" w:name="_Toc152045674"/>
      <w:bookmarkEnd w:id="662"/>
      <w:bookmarkStart w:id="663" w:name="_Toc393546338"/>
      <w:bookmarkEnd w:id="663"/>
      <w:bookmarkStart w:id="664" w:name="_Toc144974642"/>
      <w:bookmarkEnd w:id="664"/>
      <w:bookmarkStart w:id="665" w:name="_Toc330406279"/>
      <w:bookmarkEnd w:id="665"/>
      <w:bookmarkStart w:id="666" w:name="_Toc43475812"/>
      <w:bookmarkEnd w:id="666"/>
      <w:r>
        <w:rPr>
          <w:rFonts w:hint="eastAsia" w:ascii="宋体" w:eastAsia="宋体"/>
          <w:color w:val="auto"/>
          <w:szCs w:val="24"/>
          <w:highlight w:val="none"/>
        </w:rPr>
        <w:t>9.1 发包人的施工安全责任</w:t>
      </w:r>
    </w:p>
    <w:p w14:paraId="7DD4DAE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9.1.1 发包人应按合同约定履行安全职责，授权监理人按合同约定的安全工作内容监督、检查承包人安全工作的实施，组织承包人和有关单位进行安全检查。</w:t>
      </w:r>
    </w:p>
    <w:p w14:paraId="7D75DDA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9.1.2 发包人应对其现场机构雇佣的全部人员的工伤事故承担责任，但由于承包人原因造成发包人人员工伤的，应由承包人承担责任。</w:t>
      </w:r>
    </w:p>
    <w:p w14:paraId="3051C51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9.1.3 发包人应负责赔偿以下各种情况造成的第三者人身伤亡和财产损失：</w:t>
      </w:r>
    </w:p>
    <w:p w14:paraId="1B4FB45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 工程或工程的任何部分对土地的占用所造成的第三者财产损失；</w:t>
      </w:r>
    </w:p>
    <w:p w14:paraId="4D638C9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 由于发包人原因在施工场地及其毗邻地带造成的第三者人身伤亡和财产损失。</w:t>
      </w:r>
    </w:p>
    <w:p w14:paraId="01A6D460">
      <w:pPr>
        <w:pStyle w:val="67"/>
        <w:shd w:val="clear" w:fill="FFFFFF" w:themeFill="background1"/>
        <w:ind w:firstLine="118"/>
        <w:rPr>
          <w:rFonts w:ascii="宋体" w:eastAsia="宋体"/>
          <w:color w:val="auto"/>
          <w:szCs w:val="24"/>
          <w:highlight w:val="none"/>
        </w:rPr>
      </w:pPr>
      <w:bookmarkStart w:id="667" w:name="_Toc43475813"/>
      <w:bookmarkEnd w:id="667"/>
      <w:bookmarkStart w:id="668" w:name="_Toc393546339"/>
      <w:bookmarkEnd w:id="668"/>
      <w:bookmarkStart w:id="669" w:name="_Toc386467085"/>
      <w:bookmarkEnd w:id="669"/>
      <w:r>
        <w:rPr>
          <w:rFonts w:hint="eastAsia" w:ascii="宋体" w:eastAsia="宋体"/>
          <w:color w:val="auto"/>
          <w:szCs w:val="24"/>
          <w:highlight w:val="none"/>
        </w:rPr>
        <w:t>9.2 承包人的施工安全责任</w:t>
      </w:r>
    </w:p>
    <w:p w14:paraId="3B50E3E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9.2.1 承包人应按合同约定履行安全职责,执行监理人有关安全工作的指示,并在专用合同条款约定的期限内，按合同约定的安全工作内容，编制施工安全措施计划报送监理人审批。</w:t>
      </w:r>
    </w:p>
    <w:p w14:paraId="6C3E124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9.2.2 承包人应加强施工作业安全管理，特别应加强易燃、易爆材料、火工器材、有毒与腐蚀性材料和其他危险品的管理，以及对爆破作业和地下工程施工等危险作业的管理。</w:t>
      </w:r>
    </w:p>
    <w:p w14:paraId="47D2DF9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9.2.3 承包人应严格按照国家安全标准制定施工安全操作规程，配备必要的安全生产和劳动保护设施，加强对承包人人员的安全教育，并发放安全工作手册和劳动保护用具。</w:t>
      </w:r>
    </w:p>
    <w:p w14:paraId="19DD16A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9.2.4 承包人应按监理人的指示制定应对灾害的紧急预案，报送监理人审批。承包人还应按预案做好安全检查，配置必要的救助物资和器材，切实保护好有关人员的人身和财产安全。</w:t>
      </w:r>
    </w:p>
    <w:p w14:paraId="5982A9F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9.2.5 合同约定的安全作业环境及安全施工措施所需费用应遵守有关规定，并包括在相关工作的合同价格中。因采取合同未约定的安全作业环境及安全施工措施增加的费用，由监理人按第3.5款商定或确定。</w:t>
      </w:r>
    </w:p>
    <w:p w14:paraId="534621A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9.2.6 承包人应对其履行合同所雇佣的全部人员，包括分包人人员的工伤事故承担责任，但由于发包人原因造成承包人人员工伤事故的，应由发包人承担责任。</w:t>
      </w:r>
    </w:p>
    <w:p w14:paraId="0321AB8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9.2.7 由于承包人原因在施工场地内及其毗邻地带造成的第三者人员伤亡和财产损失，由承包人负责赔偿。</w:t>
      </w:r>
    </w:p>
    <w:p w14:paraId="751182D1">
      <w:pPr>
        <w:pStyle w:val="67"/>
        <w:shd w:val="clear" w:fill="FFFFFF" w:themeFill="background1"/>
        <w:ind w:firstLine="118"/>
        <w:rPr>
          <w:rFonts w:ascii="宋体" w:eastAsia="宋体"/>
          <w:color w:val="auto"/>
          <w:szCs w:val="24"/>
          <w:highlight w:val="none"/>
        </w:rPr>
      </w:pPr>
      <w:bookmarkStart w:id="670" w:name="_Toc152045676"/>
      <w:bookmarkEnd w:id="670"/>
      <w:bookmarkStart w:id="671" w:name="_Toc179632694"/>
      <w:bookmarkEnd w:id="671"/>
      <w:bookmarkStart w:id="672" w:name="_Toc330406281"/>
      <w:bookmarkEnd w:id="672"/>
      <w:bookmarkStart w:id="673" w:name="_Toc43475814"/>
      <w:bookmarkEnd w:id="673"/>
      <w:bookmarkStart w:id="674" w:name="_Toc144974644"/>
      <w:bookmarkEnd w:id="674"/>
      <w:bookmarkStart w:id="675" w:name="_Toc386467086"/>
      <w:bookmarkEnd w:id="675"/>
      <w:bookmarkStart w:id="676" w:name="_Toc393546340"/>
      <w:bookmarkEnd w:id="676"/>
      <w:bookmarkStart w:id="677" w:name="_Toc152042454"/>
      <w:bookmarkEnd w:id="677"/>
      <w:r>
        <w:rPr>
          <w:rFonts w:hint="eastAsia" w:ascii="宋体" w:eastAsia="宋体"/>
          <w:color w:val="auto"/>
          <w:szCs w:val="24"/>
          <w:highlight w:val="none"/>
        </w:rPr>
        <w:t>9.3 治安保卫</w:t>
      </w:r>
    </w:p>
    <w:p w14:paraId="13A3D20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9.3.1 除合同另有约定外，发包人应与当地公安部门协商，在现场建立治安管理机构或联防组织，统一管理施工场地的治安保卫事项，履行合同工程的治安保卫职责。</w:t>
      </w:r>
    </w:p>
    <w:p w14:paraId="73E7984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9.3.2 发包人和承包人除应协助现场治安管理机构或联防组织维护施工场地的社会治安外，还应做好包括生活区在内的各自管辖区的治安保卫工作。</w:t>
      </w:r>
    </w:p>
    <w:p w14:paraId="134D6AA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9.3.3 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60565EC5">
      <w:pPr>
        <w:pStyle w:val="67"/>
        <w:shd w:val="clear" w:fill="FFFFFF" w:themeFill="background1"/>
        <w:ind w:firstLine="118"/>
        <w:rPr>
          <w:rFonts w:ascii="宋体" w:eastAsia="宋体"/>
          <w:color w:val="auto"/>
          <w:szCs w:val="24"/>
          <w:highlight w:val="none"/>
        </w:rPr>
      </w:pPr>
      <w:bookmarkStart w:id="678" w:name="_Toc393546341"/>
      <w:bookmarkEnd w:id="678"/>
      <w:bookmarkStart w:id="679" w:name="_Toc386467087"/>
      <w:bookmarkEnd w:id="679"/>
      <w:bookmarkStart w:id="680" w:name="_Toc43475815"/>
      <w:bookmarkEnd w:id="680"/>
      <w:r>
        <w:rPr>
          <w:rFonts w:hint="eastAsia" w:ascii="宋体" w:eastAsia="宋体"/>
          <w:color w:val="auto"/>
          <w:szCs w:val="24"/>
          <w:highlight w:val="none"/>
        </w:rPr>
        <w:t>9.4 环境保护</w:t>
      </w:r>
    </w:p>
    <w:p w14:paraId="4F03853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9.4.1 承包人在施工过程中，应遵守有关环境保护的法律，履行合同约定的环境保护义务，并对违反法律和合同约定义务所造成的环境破坏、人身伤害和财产损失负责。</w:t>
      </w:r>
    </w:p>
    <w:p w14:paraId="621EA75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9.4.2 承包人应按合同约定的环保工作内容，编制施工环保措施计划，报送监理人审批。</w:t>
      </w:r>
    </w:p>
    <w:p w14:paraId="3D4EF2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9.4.3 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2CF8006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9.4.4 承包人应按合同约定采取有效措施，对施工开挖的边坡及时进行支护,维护排水设施，并进行水土保护，避免因施工造成的地质灾害。</w:t>
      </w:r>
    </w:p>
    <w:p w14:paraId="47115DA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9.4.5 承包人应按国家饮用水管理标准定期对饮用水源进行监测，防止施工活动污染饮用水源。</w:t>
      </w:r>
    </w:p>
    <w:p w14:paraId="5FF465D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9.4.6 承包人应按合同约定，加强对噪声、粉尘、废气、废水和废油的控制，努力降低噪声，控制粉尘和废气浓度，做好废水和废油的治理和排放。</w:t>
      </w:r>
    </w:p>
    <w:p w14:paraId="732B7447">
      <w:pPr>
        <w:pStyle w:val="67"/>
        <w:shd w:val="clear" w:fill="FFFFFF" w:themeFill="background1"/>
        <w:ind w:firstLine="118"/>
        <w:rPr>
          <w:rFonts w:ascii="宋体" w:eastAsia="宋体"/>
          <w:color w:val="auto"/>
          <w:szCs w:val="24"/>
          <w:highlight w:val="none"/>
        </w:rPr>
      </w:pPr>
      <w:bookmarkStart w:id="681" w:name="_Toc152042456"/>
      <w:bookmarkEnd w:id="681"/>
      <w:bookmarkStart w:id="682" w:name="_Toc152045678"/>
      <w:bookmarkEnd w:id="682"/>
      <w:bookmarkStart w:id="683" w:name="_Toc393546342"/>
      <w:bookmarkEnd w:id="683"/>
      <w:bookmarkStart w:id="684" w:name="_Toc179632696"/>
      <w:bookmarkEnd w:id="684"/>
      <w:bookmarkStart w:id="685" w:name="_Toc43475816"/>
      <w:bookmarkEnd w:id="685"/>
      <w:bookmarkStart w:id="686" w:name="_Toc386467088"/>
      <w:bookmarkEnd w:id="686"/>
      <w:bookmarkStart w:id="687" w:name="_Toc330406283"/>
      <w:bookmarkEnd w:id="687"/>
      <w:bookmarkStart w:id="688" w:name="_Toc144974646"/>
      <w:bookmarkEnd w:id="688"/>
      <w:r>
        <w:rPr>
          <w:rFonts w:hint="eastAsia" w:ascii="宋体" w:eastAsia="宋体"/>
          <w:color w:val="auto"/>
          <w:szCs w:val="24"/>
          <w:highlight w:val="none"/>
        </w:rPr>
        <w:t>9.5 事故处理</w:t>
      </w:r>
    </w:p>
    <w:p w14:paraId="5AB880B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1E988EE8">
      <w:pPr>
        <w:pStyle w:val="78"/>
        <w:shd w:val="clear" w:fill="FFFFFF" w:themeFill="background1"/>
        <w:rPr>
          <w:rFonts w:ascii="宋体" w:hAnsi="宋体"/>
          <w:color w:val="auto"/>
          <w:sz w:val="24"/>
          <w:szCs w:val="24"/>
          <w:highlight w:val="none"/>
        </w:rPr>
      </w:pPr>
      <w:bookmarkStart w:id="689" w:name="_Toc43475817"/>
      <w:bookmarkEnd w:id="689"/>
      <w:bookmarkStart w:id="690" w:name="_Toc393546343"/>
      <w:bookmarkEnd w:id="690"/>
      <w:bookmarkStart w:id="691" w:name="_Toc386467089"/>
      <w:bookmarkEnd w:id="691"/>
      <w:r>
        <w:rPr>
          <w:rFonts w:hint="eastAsia" w:ascii="宋体" w:hAnsi="宋体"/>
          <w:color w:val="auto"/>
          <w:sz w:val="24"/>
          <w:szCs w:val="24"/>
          <w:highlight w:val="none"/>
        </w:rPr>
        <w:t>10. 进度计划</w:t>
      </w:r>
    </w:p>
    <w:p w14:paraId="5ABE334E">
      <w:pPr>
        <w:pStyle w:val="67"/>
        <w:shd w:val="clear" w:fill="FFFFFF" w:themeFill="background1"/>
        <w:ind w:firstLine="118"/>
        <w:rPr>
          <w:rFonts w:ascii="宋体" w:eastAsia="宋体"/>
          <w:color w:val="auto"/>
          <w:szCs w:val="24"/>
          <w:highlight w:val="none"/>
        </w:rPr>
      </w:pPr>
      <w:bookmarkStart w:id="692" w:name="_Toc43475818"/>
      <w:bookmarkEnd w:id="692"/>
      <w:bookmarkStart w:id="693" w:name="_Toc386467090"/>
      <w:bookmarkEnd w:id="693"/>
      <w:bookmarkStart w:id="694" w:name="_Toc393546344"/>
      <w:bookmarkEnd w:id="694"/>
      <w:r>
        <w:rPr>
          <w:rFonts w:hint="eastAsia" w:ascii="宋体" w:eastAsia="宋体"/>
          <w:color w:val="auto"/>
          <w:szCs w:val="24"/>
          <w:highlight w:val="none"/>
        </w:rPr>
        <w:t>10.1 合同进度计划</w:t>
      </w:r>
    </w:p>
    <w:p w14:paraId="48928FD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专用合同条款约定的内容和期限，编制详细的施工进度计划和施工方案说明报送监理人。监理人应在专用合同条款约定的期限内批复或提出修改意见，否则该进度计划视为已得到批准。经监理人批准的施工进度计划称合同进度计划，是控制合同工程进度的依据。承包人还应根据合同进度计划，编制更为详细的分阶段或分项进度计划，报监理人审批。</w:t>
      </w:r>
    </w:p>
    <w:p w14:paraId="23C58FC8">
      <w:pPr>
        <w:pStyle w:val="67"/>
        <w:shd w:val="clear" w:fill="FFFFFF" w:themeFill="background1"/>
        <w:ind w:firstLine="118"/>
        <w:rPr>
          <w:rFonts w:ascii="宋体" w:eastAsia="宋体"/>
          <w:color w:val="auto"/>
          <w:szCs w:val="24"/>
          <w:highlight w:val="none"/>
        </w:rPr>
      </w:pPr>
      <w:bookmarkStart w:id="695" w:name="_Toc393546345"/>
      <w:bookmarkEnd w:id="695"/>
      <w:bookmarkStart w:id="696" w:name="_Toc43475819"/>
      <w:bookmarkEnd w:id="696"/>
      <w:bookmarkStart w:id="697" w:name="_Toc386467091"/>
      <w:bookmarkEnd w:id="697"/>
      <w:r>
        <w:rPr>
          <w:rFonts w:hint="eastAsia" w:ascii="宋体" w:eastAsia="宋体"/>
          <w:color w:val="auto"/>
          <w:szCs w:val="24"/>
          <w:highlight w:val="none"/>
        </w:rPr>
        <w:t>10.2 合同进度计划的修订</w:t>
      </w:r>
    </w:p>
    <w:p w14:paraId="753A70E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不论何种原因造成工程的实际进度与第10.1款的合同进度计划不符时，承包人可以在专用合同条款约定的期限内向监理人提交修订合同进度计划的申请报告，并附有关措施和相关资料，报监理人审批；监理人也可以直接向承包人作出修订合同进度计划的指示，承包人应按该指示修订合同进度计划，报监理人审批。监理人应在专用合同条款约定的期限内批复。监理人在批复前应获得发包人同意。</w:t>
      </w:r>
    </w:p>
    <w:p w14:paraId="48D4E4C3">
      <w:pPr>
        <w:pStyle w:val="78"/>
        <w:shd w:val="clear" w:fill="FFFFFF" w:themeFill="background1"/>
        <w:rPr>
          <w:rFonts w:ascii="宋体" w:hAnsi="宋体"/>
          <w:color w:val="auto"/>
          <w:sz w:val="24"/>
          <w:szCs w:val="24"/>
          <w:highlight w:val="none"/>
        </w:rPr>
      </w:pPr>
      <w:bookmarkStart w:id="698" w:name="_Toc43475820"/>
      <w:bookmarkEnd w:id="698"/>
      <w:bookmarkStart w:id="699" w:name="_Toc386467092"/>
      <w:bookmarkEnd w:id="699"/>
      <w:bookmarkStart w:id="700" w:name="_Toc393546346"/>
      <w:bookmarkEnd w:id="700"/>
      <w:r>
        <w:rPr>
          <w:rFonts w:hint="eastAsia" w:ascii="宋体" w:hAnsi="宋体"/>
          <w:color w:val="auto"/>
          <w:sz w:val="24"/>
          <w:szCs w:val="24"/>
          <w:highlight w:val="none"/>
        </w:rPr>
        <w:t>11. 开工和竣工</w:t>
      </w:r>
    </w:p>
    <w:p w14:paraId="462015C5">
      <w:pPr>
        <w:pStyle w:val="67"/>
        <w:shd w:val="clear" w:fill="FFFFFF" w:themeFill="background1"/>
        <w:ind w:firstLine="118"/>
        <w:rPr>
          <w:rFonts w:ascii="宋体" w:eastAsia="宋体"/>
          <w:color w:val="auto"/>
          <w:szCs w:val="24"/>
          <w:highlight w:val="none"/>
        </w:rPr>
      </w:pPr>
      <w:bookmarkStart w:id="701" w:name="_Toc386467093"/>
      <w:bookmarkEnd w:id="701"/>
      <w:bookmarkStart w:id="702" w:name="_Toc393546347"/>
      <w:bookmarkEnd w:id="702"/>
      <w:bookmarkStart w:id="703" w:name="_Toc43475821"/>
      <w:bookmarkEnd w:id="703"/>
      <w:r>
        <w:rPr>
          <w:rFonts w:hint="eastAsia" w:ascii="宋体" w:eastAsia="宋体"/>
          <w:color w:val="auto"/>
          <w:szCs w:val="24"/>
          <w:highlight w:val="none"/>
        </w:rPr>
        <w:t>11.1 开工</w:t>
      </w:r>
    </w:p>
    <w:p w14:paraId="20DE76A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11.1.1 监理人应在开工日期7天前向承包人发出开工通知。监理人在发出开工通知前应获得发包人同意。工期自监理人发出的开工通知中载明的开工日期起计算。承包人应在开工日期后尽快施工。</w:t>
      </w:r>
    </w:p>
    <w:p w14:paraId="4DD1C755">
      <w:pPr>
        <w:shd w:val="clear" w:fill="FFFFFF" w:themeFill="background1"/>
        <w:spacing w:line="400" w:lineRule="exact"/>
        <w:ind w:firstLine="480" w:firstLineChars="200"/>
        <w:rPr>
          <w:rFonts w:ascii="宋体" w:hAnsi="宋体" w:cs="宋体"/>
          <w:color w:val="auto"/>
          <w:sz w:val="24"/>
          <w:highlight w:val="none"/>
          <w:shd w:val="pct10" w:color="auto" w:fill="FFFFFF"/>
        </w:rPr>
      </w:pPr>
      <w:r>
        <w:rPr>
          <w:rFonts w:hint="eastAsia" w:ascii="宋体" w:hAnsi="宋体" w:cs="宋体"/>
          <w:color w:val="auto"/>
          <w:sz w:val="24"/>
          <w:highlight w:val="none"/>
        </w:rPr>
        <w:t>11.1.2 承包人应按第10.1款约定的合同进度计划，向监理人提交工程开工报审表，经监理人审批后执行。开工报审表应详细说明按合同进度计划正常施工所需的施工道路、临时设施、材料设备、施工人员等施工组织措施的落实情况以及工程的进度安排。</w:t>
      </w:r>
    </w:p>
    <w:p w14:paraId="4F547286">
      <w:pPr>
        <w:pStyle w:val="67"/>
        <w:shd w:val="clear" w:fill="FFFFFF" w:themeFill="background1"/>
        <w:ind w:firstLine="118"/>
        <w:rPr>
          <w:rFonts w:ascii="宋体" w:eastAsia="宋体"/>
          <w:color w:val="auto"/>
          <w:szCs w:val="24"/>
          <w:highlight w:val="none"/>
        </w:rPr>
      </w:pPr>
      <w:bookmarkStart w:id="704" w:name="_Toc330406289"/>
      <w:bookmarkEnd w:id="704"/>
      <w:bookmarkStart w:id="705" w:name="_Toc152045684"/>
      <w:bookmarkEnd w:id="705"/>
      <w:bookmarkStart w:id="706" w:name="_Toc179632702"/>
      <w:bookmarkEnd w:id="706"/>
      <w:bookmarkStart w:id="707" w:name="_Toc393546348"/>
      <w:bookmarkEnd w:id="707"/>
      <w:bookmarkStart w:id="708" w:name="_Toc43475822"/>
      <w:bookmarkEnd w:id="708"/>
      <w:bookmarkStart w:id="709" w:name="_Toc386467094"/>
      <w:bookmarkEnd w:id="709"/>
      <w:bookmarkStart w:id="710" w:name="_Toc144974652"/>
      <w:bookmarkEnd w:id="710"/>
      <w:bookmarkStart w:id="711" w:name="_Toc152042462"/>
      <w:bookmarkEnd w:id="711"/>
      <w:r>
        <w:rPr>
          <w:rFonts w:hint="eastAsia" w:ascii="宋体" w:eastAsia="宋体"/>
          <w:color w:val="auto"/>
          <w:szCs w:val="24"/>
          <w:highlight w:val="none"/>
        </w:rPr>
        <w:t>11.2 竣工</w:t>
      </w:r>
    </w:p>
    <w:p w14:paraId="40AD5AA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承包人应在第1.1.4.3目约定的期限内完成合同工程。实际竣工日期在接收证书中写明。</w:t>
      </w:r>
    </w:p>
    <w:p w14:paraId="00AB161D">
      <w:pPr>
        <w:pStyle w:val="67"/>
        <w:shd w:val="clear" w:fill="FFFFFF" w:themeFill="background1"/>
        <w:ind w:firstLine="118"/>
        <w:rPr>
          <w:rFonts w:ascii="宋体" w:eastAsia="宋体"/>
          <w:color w:val="auto"/>
          <w:szCs w:val="24"/>
          <w:highlight w:val="none"/>
        </w:rPr>
      </w:pPr>
      <w:bookmarkStart w:id="712" w:name="_Toc393546349"/>
      <w:bookmarkEnd w:id="712"/>
      <w:bookmarkStart w:id="713" w:name="_Toc386467095"/>
      <w:bookmarkEnd w:id="713"/>
      <w:bookmarkStart w:id="714" w:name="_Toc43475823"/>
      <w:bookmarkEnd w:id="714"/>
      <w:r>
        <w:rPr>
          <w:rFonts w:hint="eastAsia" w:ascii="宋体" w:eastAsia="宋体"/>
          <w:color w:val="auto"/>
          <w:szCs w:val="24"/>
          <w:highlight w:val="none"/>
        </w:rPr>
        <w:t>11.3 发包人的工期延误</w:t>
      </w:r>
    </w:p>
    <w:p w14:paraId="161283E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在履行合同过程中，由于发包人的下列原因造成工期延误的，承包人有权要求发包人延长工期和（或）增加费用，并支付合理利润。需要修订合同进度计划的，按照第10.2款的约定办理。</w:t>
      </w:r>
    </w:p>
    <w:p w14:paraId="66662ED4">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（1）增加合同工作内容；</w:t>
      </w:r>
    </w:p>
    <w:p w14:paraId="7249867D">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（2）改变合同中任何一项工作的质量要求或其他特性；</w:t>
      </w:r>
    </w:p>
    <w:p w14:paraId="1EFEB441">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（3）发包人迟延提供材料、工程设备或变更交货地点的；</w:t>
      </w:r>
    </w:p>
    <w:p w14:paraId="71EE70D9">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（4）因发包人原因导致的暂停施工；</w:t>
      </w:r>
    </w:p>
    <w:p w14:paraId="6096BD0E">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（5）提供图纸延误；</w:t>
      </w:r>
    </w:p>
    <w:p w14:paraId="35D96460">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（6）未按合同约定及时支付预付款、进度款；</w:t>
      </w:r>
    </w:p>
    <w:p w14:paraId="09F44AA5">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（7）发包人造成工期延误的其他原因。</w:t>
      </w:r>
    </w:p>
    <w:p w14:paraId="675659D9">
      <w:pPr>
        <w:pStyle w:val="67"/>
        <w:shd w:val="clear" w:fill="FFFFFF" w:themeFill="background1"/>
        <w:ind w:firstLine="118"/>
        <w:rPr>
          <w:rFonts w:ascii="宋体" w:eastAsia="宋体"/>
          <w:color w:val="auto"/>
          <w:szCs w:val="24"/>
          <w:highlight w:val="none"/>
        </w:rPr>
      </w:pPr>
      <w:bookmarkStart w:id="715" w:name="_Toc43475824"/>
      <w:bookmarkEnd w:id="715"/>
      <w:bookmarkStart w:id="716" w:name="_Toc386467096"/>
      <w:bookmarkEnd w:id="716"/>
      <w:bookmarkStart w:id="717" w:name="_Toc393546350"/>
      <w:bookmarkEnd w:id="717"/>
      <w:r>
        <w:rPr>
          <w:rFonts w:hint="eastAsia" w:ascii="宋体" w:eastAsia="宋体"/>
          <w:color w:val="auto"/>
          <w:szCs w:val="24"/>
          <w:highlight w:val="none"/>
        </w:rPr>
        <w:t>11.4 异常恶劣的气候条件</w:t>
      </w:r>
    </w:p>
    <w:p w14:paraId="61917093">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由于出现专用合同条款规定的异常恶劣气候的条件导致工期延误的，承包人有权要求发包人延长工期。</w:t>
      </w:r>
    </w:p>
    <w:p w14:paraId="4EF07CC5">
      <w:pPr>
        <w:pStyle w:val="67"/>
        <w:shd w:val="clear" w:fill="FFFFFF" w:themeFill="background1"/>
        <w:ind w:firstLine="118"/>
        <w:rPr>
          <w:rFonts w:ascii="宋体" w:eastAsia="宋体"/>
          <w:color w:val="auto"/>
          <w:szCs w:val="24"/>
          <w:highlight w:val="none"/>
        </w:rPr>
      </w:pPr>
      <w:bookmarkStart w:id="718" w:name="_Toc43475825"/>
      <w:bookmarkEnd w:id="718"/>
      <w:bookmarkStart w:id="719" w:name="_Toc393546351"/>
      <w:bookmarkEnd w:id="719"/>
      <w:bookmarkStart w:id="720" w:name="_Toc386467097"/>
      <w:bookmarkEnd w:id="720"/>
      <w:r>
        <w:rPr>
          <w:rFonts w:hint="eastAsia" w:ascii="宋体" w:eastAsia="宋体"/>
          <w:color w:val="auto"/>
          <w:szCs w:val="24"/>
          <w:highlight w:val="none"/>
        </w:rPr>
        <w:t>11.5 承包人的工期延误</w:t>
      </w:r>
    </w:p>
    <w:p w14:paraId="62ED0D4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6971D9AF">
      <w:pPr>
        <w:pStyle w:val="67"/>
        <w:shd w:val="clear" w:fill="FFFFFF" w:themeFill="background1"/>
        <w:ind w:firstLine="118"/>
        <w:rPr>
          <w:rFonts w:ascii="宋体" w:eastAsia="宋体"/>
          <w:color w:val="auto"/>
          <w:szCs w:val="24"/>
          <w:highlight w:val="none"/>
        </w:rPr>
      </w:pPr>
      <w:bookmarkStart w:id="721" w:name="_Toc43475826"/>
      <w:bookmarkEnd w:id="721"/>
      <w:bookmarkStart w:id="722" w:name="_Toc386467098"/>
      <w:bookmarkEnd w:id="722"/>
      <w:bookmarkStart w:id="723" w:name="_Toc393546352"/>
      <w:bookmarkEnd w:id="723"/>
      <w:r>
        <w:rPr>
          <w:rFonts w:hint="eastAsia" w:ascii="宋体" w:eastAsia="宋体"/>
          <w:color w:val="auto"/>
          <w:szCs w:val="24"/>
          <w:highlight w:val="none"/>
        </w:rPr>
        <w:t>11.6 工期提前</w:t>
      </w:r>
    </w:p>
    <w:p w14:paraId="51921D0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 </w:t>
      </w:r>
    </w:p>
    <w:p w14:paraId="653A45A2">
      <w:pPr>
        <w:pStyle w:val="78"/>
        <w:shd w:val="clear" w:fill="FFFFFF" w:themeFill="background1"/>
        <w:rPr>
          <w:rFonts w:ascii="宋体" w:hAnsi="宋体"/>
          <w:color w:val="auto"/>
          <w:sz w:val="24"/>
          <w:szCs w:val="24"/>
          <w:highlight w:val="none"/>
        </w:rPr>
      </w:pPr>
      <w:bookmarkStart w:id="724" w:name="_Toc43475827"/>
      <w:bookmarkEnd w:id="724"/>
      <w:bookmarkStart w:id="725" w:name="_Toc393546353"/>
      <w:bookmarkEnd w:id="725"/>
      <w:bookmarkStart w:id="726" w:name="_Toc386467099"/>
      <w:bookmarkEnd w:id="726"/>
      <w:r>
        <w:rPr>
          <w:rFonts w:hint="eastAsia" w:ascii="宋体" w:hAnsi="宋体"/>
          <w:color w:val="auto"/>
          <w:sz w:val="24"/>
          <w:szCs w:val="24"/>
          <w:highlight w:val="none"/>
        </w:rPr>
        <w:t>12. 暂停施工</w:t>
      </w:r>
    </w:p>
    <w:p w14:paraId="5FEB45CB">
      <w:pPr>
        <w:pStyle w:val="67"/>
        <w:shd w:val="clear" w:fill="FFFFFF" w:themeFill="background1"/>
        <w:ind w:firstLine="118"/>
        <w:rPr>
          <w:rFonts w:ascii="宋体" w:eastAsia="宋体"/>
          <w:color w:val="auto"/>
          <w:szCs w:val="24"/>
          <w:highlight w:val="none"/>
        </w:rPr>
      </w:pPr>
      <w:bookmarkStart w:id="727" w:name="_Toc393546354"/>
      <w:bookmarkEnd w:id="727"/>
      <w:bookmarkStart w:id="728" w:name="_Toc43475828"/>
      <w:bookmarkEnd w:id="728"/>
      <w:bookmarkStart w:id="729" w:name="_Toc386467100"/>
      <w:bookmarkEnd w:id="729"/>
      <w:r>
        <w:rPr>
          <w:rFonts w:hint="eastAsia" w:ascii="宋体" w:eastAsia="宋体"/>
          <w:color w:val="auto"/>
          <w:szCs w:val="24"/>
          <w:highlight w:val="none"/>
        </w:rPr>
        <w:t>12.1 承包人暂停施工的责任</w:t>
      </w:r>
    </w:p>
    <w:p w14:paraId="52AFD13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因下列暂停施工增加的费用和（或）工期延误由承包人承担：</w:t>
      </w:r>
    </w:p>
    <w:p w14:paraId="5A67B85A">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（1）承包人违约引起的暂停施工；</w:t>
      </w:r>
    </w:p>
    <w:p w14:paraId="287A97AE">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（2）由于承包人原因为工程合理施工和安全保障所必需的暂停施工；</w:t>
      </w:r>
    </w:p>
    <w:p w14:paraId="46F82BCC">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（3）承包人擅自暂停施工；</w:t>
      </w:r>
    </w:p>
    <w:p w14:paraId="7249DAAE">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（4）承包人其他原因引起的暂停施工；</w:t>
      </w:r>
    </w:p>
    <w:p w14:paraId="26820D65">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（5）专用合同条款约定由承包人承担的其他暂停施工。</w:t>
      </w:r>
    </w:p>
    <w:p w14:paraId="64084791">
      <w:pPr>
        <w:pStyle w:val="67"/>
        <w:shd w:val="clear" w:fill="FFFFFF" w:themeFill="background1"/>
        <w:ind w:firstLine="118"/>
        <w:rPr>
          <w:rFonts w:ascii="宋体" w:eastAsia="宋体"/>
          <w:color w:val="auto"/>
          <w:szCs w:val="24"/>
          <w:highlight w:val="none"/>
        </w:rPr>
      </w:pPr>
      <w:bookmarkStart w:id="730" w:name="_Toc144974660"/>
      <w:bookmarkEnd w:id="730"/>
      <w:bookmarkStart w:id="731" w:name="_Toc386467101"/>
      <w:bookmarkEnd w:id="731"/>
      <w:bookmarkStart w:id="732" w:name="_Toc330406296"/>
      <w:bookmarkEnd w:id="732"/>
      <w:bookmarkStart w:id="733" w:name="_Toc152045691"/>
      <w:bookmarkEnd w:id="733"/>
      <w:bookmarkStart w:id="734" w:name="_Toc152042469"/>
      <w:bookmarkEnd w:id="734"/>
      <w:bookmarkStart w:id="735" w:name="_Toc179632709"/>
      <w:bookmarkEnd w:id="735"/>
      <w:bookmarkStart w:id="736" w:name="_Toc43475829"/>
      <w:bookmarkEnd w:id="736"/>
      <w:bookmarkStart w:id="737" w:name="_Toc393546355"/>
      <w:bookmarkEnd w:id="737"/>
      <w:r>
        <w:rPr>
          <w:rFonts w:hint="eastAsia" w:ascii="宋体" w:eastAsia="宋体"/>
          <w:color w:val="auto"/>
          <w:szCs w:val="24"/>
          <w:highlight w:val="none"/>
        </w:rPr>
        <w:t>12.2 发包人暂停施工的责任</w:t>
      </w:r>
    </w:p>
    <w:p w14:paraId="37A068F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由于发包人原因引起的暂停施工造成工期延误的，承包人有权要求发包人延长工期和（或）增加费用，并支付合理利润。</w:t>
      </w:r>
    </w:p>
    <w:p w14:paraId="56E0CA44">
      <w:pPr>
        <w:pStyle w:val="67"/>
        <w:shd w:val="clear" w:fill="FFFFFF" w:themeFill="background1"/>
        <w:ind w:firstLine="118"/>
        <w:rPr>
          <w:rFonts w:ascii="宋体" w:eastAsia="宋体"/>
          <w:color w:val="auto"/>
          <w:szCs w:val="24"/>
          <w:highlight w:val="none"/>
        </w:rPr>
      </w:pPr>
      <w:bookmarkStart w:id="738" w:name="_Toc144974661"/>
      <w:bookmarkEnd w:id="738"/>
      <w:bookmarkStart w:id="739" w:name="_Toc179632710"/>
      <w:bookmarkEnd w:id="739"/>
      <w:bookmarkStart w:id="740" w:name="_Toc330406297"/>
      <w:bookmarkEnd w:id="740"/>
      <w:bookmarkStart w:id="741" w:name="_Toc386467102"/>
      <w:bookmarkEnd w:id="741"/>
      <w:bookmarkStart w:id="742" w:name="_Toc152042470"/>
      <w:bookmarkEnd w:id="742"/>
      <w:bookmarkStart w:id="743" w:name="_Toc393546356"/>
      <w:bookmarkEnd w:id="743"/>
      <w:bookmarkStart w:id="744" w:name="_Toc43475830"/>
      <w:bookmarkEnd w:id="744"/>
      <w:bookmarkStart w:id="745" w:name="_Toc152045692"/>
      <w:bookmarkEnd w:id="745"/>
      <w:r>
        <w:rPr>
          <w:rFonts w:hint="eastAsia" w:ascii="宋体" w:eastAsia="宋体"/>
          <w:color w:val="auto"/>
          <w:szCs w:val="24"/>
          <w:highlight w:val="none"/>
        </w:rPr>
        <w:t>12.3 监理人暂停施工指示</w:t>
      </w:r>
    </w:p>
    <w:p w14:paraId="79F32E8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12.3.1 监理人认为有必要时，可向承包人作出暂停施工的指示，承包人应按监理人指示暂停施工。不论由于何种原因引起的暂停施工，暂停施工期间承包人应负责妥善保护工程并提供安全保障。</w:t>
      </w:r>
    </w:p>
    <w:p w14:paraId="7405695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12.3.2 由于发包人的原因发生暂停施工的紧急情况，且监理人未及时下达暂停施工指示的，承包人可先暂停施工，并及时向监理人提出暂停施工的书面请求。监理人应在接到书面请求后的24小时内予以答复，逾期未答复的，视为同意承包人的暂停施工请求。</w:t>
      </w:r>
    </w:p>
    <w:p w14:paraId="17EA425D">
      <w:pPr>
        <w:pStyle w:val="67"/>
        <w:shd w:val="clear" w:fill="FFFFFF" w:themeFill="background1"/>
        <w:ind w:firstLine="118"/>
        <w:rPr>
          <w:rFonts w:ascii="宋体" w:eastAsia="宋体"/>
          <w:color w:val="auto"/>
          <w:szCs w:val="24"/>
          <w:highlight w:val="none"/>
        </w:rPr>
      </w:pPr>
      <w:bookmarkStart w:id="746" w:name="_Toc393546357"/>
      <w:bookmarkEnd w:id="746"/>
      <w:bookmarkStart w:id="747" w:name="_Toc144974662"/>
      <w:bookmarkEnd w:id="747"/>
      <w:bookmarkStart w:id="748" w:name="_Toc330406298"/>
      <w:bookmarkEnd w:id="748"/>
      <w:bookmarkStart w:id="749" w:name="_Toc179632711"/>
      <w:bookmarkEnd w:id="749"/>
      <w:bookmarkStart w:id="750" w:name="_Toc43475831"/>
      <w:bookmarkEnd w:id="750"/>
      <w:bookmarkStart w:id="751" w:name="_Toc152042471"/>
      <w:bookmarkEnd w:id="751"/>
      <w:bookmarkStart w:id="752" w:name="_Toc386467103"/>
      <w:bookmarkEnd w:id="752"/>
      <w:bookmarkStart w:id="753" w:name="_Toc152045693"/>
      <w:bookmarkEnd w:id="753"/>
      <w:r>
        <w:rPr>
          <w:rFonts w:hint="eastAsia" w:ascii="宋体" w:eastAsia="宋体"/>
          <w:color w:val="auto"/>
          <w:szCs w:val="24"/>
          <w:highlight w:val="none"/>
        </w:rPr>
        <w:t>12.4 暂停施工后的复工</w:t>
      </w:r>
    </w:p>
    <w:p w14:paraId="4D96541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12.4.1 暂停施工后，监理人应与发包人和承包人协商，采取有效措施积极消除暂停施工的影响。当工程具备复工条件时，监理人应立即向承包人发出复工通知。承包人收到复工通知后，应在监理人指定的期限内复工。</w:t>
      </w:r>
    </w:p>
    <w:p w14:paraId="1DCF01E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12.4.2 承包人无故拖延和拒绝复工的，由此增加的费用和工期延误由承包人承担；因发包人原因无法按时复工的，承包人有权要求发包人延长工期和（或）增加费用，并支付合理利润。</w:t>
      </w:r>
    </w:p>
    <w:p w14:paraId="1982DDB1">
      <w:pPr>
        <w:pStyle w:val="67"/>
        <w:shd w:val="clear" w:fill="FFFFFF" w:themeFill="background1"/>
        <w:ind w:firstLine="118"/>
        <w:rPr>
          <w:rFonts w:ascii="宋体" w:eastAsia="宋体"/>
          <w:color w:val="auto"/>
          <w:szCs w:val="24"/>
          <w:highlight w:val="none"/>
        </w:rPr>
      </w:pPr>
      <w:bookmarkStart w:id="754" w:name="_Toc393546358"/>
      <w:bookmarkEnd w:id="754"/>
      <w:bookmarkStart w:id="755" w:name="_Toc43475832"/>
      <w:bookmarkEnd w:id="755"/>
      <w:bookmarkStart w:id="756" w:name="_Toc144974663"/>
      <w:bookmarkEnd w:id="756"/>
      <w:bookmarkStart w:id="757" w:name="_Toc152042472"/>
      <w:bookmarkEnd w:id="757"/>
      <w:bookmarkStart w:id="758" w:name="_Toc179632712"/>
      <w:bookmarkEnd w:id="758"/>
      <w:bookmarkStart w:id="759" w:name="_Toc386467104"/>
      <w:bookmarkEnd w:id="759"/>
      <w:bookmarkStart w:id="760" w:name="_Toc152045694"/>
      <w:bookmarkEnd w:id="760"/>
      <w:bookmarkStart w:id="761" w:name="_Toc330406299"/>
      <w:bookmarkEnd w:id="761"/>
      <w:r>
        <w:rPr>
          <w:rFonts w:hint="eastAsia" w:ascii="宋体" w:eastAsia="宋体"/>
          <w:color w:val="auto"/>
          <w:szCs w:val="24"/>
          <w:highlight w:val="none"/>
        </w:rPr>
        <w:t>12.5 暂停施工持续56天以上</w:t>
      </w:r>
    </w:p>
    <w:p w14:paraId="3EF496DA">
      <w:pPr>
        <w:shd w:val="clear" w:fill="FFFFFF" w:themeFill="background1"/>
        <w:spacing w:line="40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12.5.1 监理人发出暂停施工指示后56天内未向承包人发出复工通知，除了该项停工属于第12.1款的情况外，承包人可向监理人提交书面通知，要求监理人在收到书面通知后28天内准许已暂停施工的工程或其中一部分工程继续施工。如监理人逾期不予批准，则承包人可以通知监理人，将工程受影响的部分视为按第15.1（1）项的可取消工作。如暂停施工影响到整个工程，可视为发包人违约，应按第22.2款的规定办理。</w:t>
      </w:r>
    </w:p>
    <w:p w14:paraId="3CC30C0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12.5.2 由于承包人责任引起的暂停施工，如承包人在收到监理人暂停施工指示后56天内不认真采取有效的复工措施，造成工期延误，可视为承包人违约，应按第22.1款的规定办理。</w:t>
      </w:r>
    </w:p>
    <w:p w14:paraId="2D0AD17F">
      <w:pPr>
        <w:pStyle w:val="78"/>
        <w:shd w:val="clear" w:fill="FFFFFF" w:themeFill="background1"/>
        <w:rPr>
          <w:rFonts w:ascii="宋体" w:hAnsi="宋体"/>
          <w:color w:val="auto"/>
          <w:sz w:val="24"/>
          <w:szCs w:val="24"/>
          <w:highlight w:val="none"/>
        </w:rPr>
      </w:pPr>
      <w:bookmarkStart w:id="762" w:name="_Toc393546359"/>
      <w:bookmarkEnd w:id="762"/>
      <w:bookmarkStart w:id="763" w:name="_Toc43475833"/>
      <w:bookmarkEnd w:id="763"/>
      <w:bookmarkStart w:id="764" w:name="_Toc386467105"/>
      <w:bookmarkEnd w:id="764"/>
      <w:r>
        <w:rPr>
          <w:rFonts w:hint="eastAsia" w:ascii="宋体" w:hAnsi="宋体"/>
          <w:color w:val="auto"/>
          <w:sz w:val="24"/>
          <w:szCs w:val="24"/>
          <w:highlight w:val="none"/>
        </w:rPr>
        <w:t>13. 工程质量</w:t>
      </w:r>
    </w:p>
    <w:p w14:paraId="0E5DD5BC">
      <w:pPr>
        <w:pStyle w:val="67"/>
        <w:shd w:val="clear" w:fill="FFFFFF" w:themeFill="background1"/>
        <w:ind w:firstLine="118"/>
        <w:rPr>
          <w:rFonts w:ascii="宋体" w:eastAsia="宋体"/>
          <w:color w:val="auto"/>
          <w:szCs w:val="24"/>
          <w:highlight w:val="none"/>
        </w:rPr>
      </w:pPr>
      <w:bookmarkStart w:id="765" w:name="_Toc386467106"/>
      <w:bookmarkEnd w:id="765"/>
      <w:bookmarkStart w:id="766" w:name="_Toc43475834"/>
      <w:bookmarkEnd w:id="766"/>
      <w:bookmarkStart w:id="767" w:name="_Toc393546360"/>
      <w:bookmarkEnd w:id="767"/>
      <w:r>
        <w:rPr>
          <w:rFonts w:hint="eastAsia" w:ascii="宋体" w:eastAsia="宋体"/>
          <w:color w:val="auto"/>
          <w:szCs w:val="24"/>
          <w:highlight w:val="none"/>
        </w:rPr>
        <w:t>13.1 工程质量要求</w:t>
      </w:r>
    </w:p>
    <w:p w14:paraId="4492583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13.1.1 工程质量验收按合同约定验收标准执行。</w:t>
      </w:r>
    </w:p>
    <w:p w14:paraId="7134325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13.1.2 因承包人原因造成工程质量达不到合同约定验收标准的，监理人有权要求承包人返工直至符合合同要求为止，由此造成的费用增加和（或）工期延误由承包人承担。</w:t>
      </w:r>
    </w:p>
    <w:p w14:paraId="1C1884A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13.1.3 因发包人原因造成工程质量达不到合同约定验收标准的，发包人应承担由于承包人返工造成的费用增加和（或）工期延误，并支付承包人合理利润。</w:t>
      </w:r>
    </w:p>
    <w:p w14:paraId="72A073A8">
      <w:pPr>
        <w:pStyle w:val="67"/>
        <w:shd w:val="clear" w:fill="FFFFFF" w:themeFill="background1"/>
        <w:ind w:firstLine="118"/>
        <w:rPr>
          <w:rFonts w:ascii="宋体" w:eastAsia="宋体"/>
          <w:color w:val="auto"/>
          <w:szCs w:val="24"/>
          <w:highlight w:val="none"/>
        </w:rPr>
      </w:pPr>
      <w:bookmarkStart w:id="768" w:name="_Toc43475835"/>
      <w:bookmarkEnd w:id="768"/>
      <w:bookmarkStart w:id="769" w:name="_Toc386467107"/>
      <w:bookmarkEnd w:id="769"/>
      <w:bookmarkStart w:id="770" w:name="_Toc393546361"/>
      <w:bookmarkEnd w:id="770"/>
      <w:r>
        <w:rPr>
          <w:rFonts w:hint="eastAsia" w:ascii="宋体" w:eastAsia="宋体"/>
          <w:color w:val="auto"/>
          <w:szCs w:val="24"/>
          <w:highlight w:val="none"/>
        </w:rPr>
        <w:t>13.2 承包人的质量管理</w:t>
      </w:r>
    </w:p>
    <w:p w14:paraId="4BA0D22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13.2.1 承包人应在施工场地设置专门的质量检查机构，配备专职质量检查人员，建立完善的质量检查制度。承包人应在合同约定的期限内，提交工程质量保证措施文件，包括质量检查机构的组织和岗位责任、质检人员的组成、质量检查程序和实施细则等，报送监理人审批。</w:t>
      </w:r>
    </w:p>
    <w:p w14:paraId="518E976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13.2.2 承包人应加强对施工人员的质量教育和技术培训，定期考核施工人员的劳动技能，严格执行规范和操作规程。</w:t>
      </w:r>
    </w:p>
    <w:p w14:paraId="1ED5D298">
      <w:pPr>
        <w:pStyle w:val="67"/>
        <w:shd w:val="clear" w:fill="FFFFFF" w:themeFill="background1"/>
        <w:ind w:firstLine="118"/>
        <w:rPr>
          <w:rFonts w:ascii="宋体" w:eastAsia="宋体"/>
          <w:color w:val="auto"/>
          <w:szCs w:val="24"/>
          <w:highlight w:val="none"/>
        </w:rPr>
      </w:pPr>
      <w:bookmarkStart w:id="771" w:name="_Toc152042476"/>
      <w:bookmarkEnd w:id="771"/>
      <w:bookmarkStart w:id="772" w:name="_Toc393546362"/>
      <w:bookmarkEnd w:id="772"/>
      <w:bookmarkStart w:id="773" w:name="_Toc152045698"/>
      <w:bookmarkEnd w:id="773"/>
      <w:bookmarkStart w:id="774" w:name="_Toc144974667"/>
      <w:bookmarkEnd w:id="774"/>
      <w:bookmarkStart w:id="775" w:name="_Toc330406303"/>
      <w:bookmarkEnd w:id="775"/>
      <w:bookmarkStart w:id="776" w:name="_Toc43475836"/>
      <w:bookmarkEnd w:id="776"/>
      <w:bookmarkStart w:id="777" w:name="_Toc179632716"/>
      <w:bookmarkEnd w:id="777"/>
      <w:bookmarkStart w:id="778" w:name="_Toc386467108"/>
      <w:bookmarkEnd w:id="778"/>
      <w:r>
        <w:rPr>
          <w:rFonts w:hint="eastAsia" w:ascii="宋体" w:eastAsia="宋体"/>
          <w:color w:val="auto"/>
          <w:szCs w:val="24"/>
          <w:highlight w:val="none"/>
        </w:rPr>
        <w:t>13.3 承包人的质量检查</w:t>
      </w:r>
    </w:p>
    <w:p w14:paraId="73BB913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承包人应按合同约定对材料、工程设备以及工程的所有部位及其施工工艺进行全过程的质量检查和检验，并作详细记录，编制工程质量报表，报送监理人审查。</w:t>
      </w:r>
    </w:p>
    <w:p w14:paraId="062356D6">
      <w:pPr>
        <w:pStyle w:val="67"/>
        <w:shd w:val="clear" w:fill="FFFFFF" w:themeFill="background1"/>
        <w:ind w:firstLine="118"/>
        <w:rPr>
          <w:rFonts w:ascii="宋体" w:eastAsia="宋体"/>
          <w:color w:val="auto"/>
          <w:szCs w:val="24"/>
          <w:highlight w:val="none"/>
        </w:rPr>
      </w:pPr>
      <w:bookmarkStart w:id="779" w:name="_Toc386467109"/>
      <w:bookmarkEnd w:id="779"/>
      <w:bookmarkStart w:id="780" w:name="_Toc393546363"/>
      <w:bookmarkEnd w:id="780"/>
      <w:bookmarkStart w:id="781" w:name="_Toc43475837"/>
      <w:bookmarkEnd w:id="781"/>
      <w:r>
        <w:rPr>
          <w:rFonts w:hint="eastAsia" w:ascii="宋体" w:eastAsia="宋体"/>
          <w:color w:val="auto"/>
          <w:szCs w:val="24"/>
          <w:highlight w:val="none"/>
        </w:rPr>
        <w:t>13.4 监理人的质量检查</w:t>
      </w:r>
    </w:p>
    <w:p w14:paraId="55206F0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0E356DA4">
      <w:pPr>
        <w:pStyle w:val="67"/>
        <w:shd w:val="clear" w:fill="FFFFFF" w:themeFill="background1"/>
        <w:ind w:firstLine="118"/>
        <w:rPr>
          <w:rFonts w:ascii="宋体" w:eastAsia="宋体"/>
          <w:color w:val="auto"/>
          <w:szCs w:val="24"/>
          <w:highlight w:val="none"/>
        </w:rPr>
      </w:pPr>
      <w:bookmarkStart w:id="782" w:name="_Toc393546364"/>
      <w:bookmarkEnd w:id="782"/>
      <w:bookmarkStart w:id="783" w:name="_Toc43475838"/>
      <w:bookmarkEnd w:id="783"/>
      <w:bookmarkStart w:id="784" w:name="_Toc386467110"/>
      <w:bookmarkEnd w:id="784"/>
      <w:r>
        <w:rPr>
          <w:rFonts w:hint="eastAsia" w:ascii="宋体" w:eastAsia="宋体"/>
          <w:color w:val="auto"/>
          <w:szCs w:val="24"/>
          <w:highlight w:val="none"/>
        </w:rPr>
        <w:t>13.5 工程隐蔽部位覆盖前的检查</w:t>
      </w:r>
    </w:p>
    <w:p w14:paraId="0FF7F5F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13.5.1 通知监理人检查</w:t>
      </w:r>
    </w:p>
    <w:p w14:paraId="0B1436E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5E192E5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13.5.2 监理人未到场检查</w:t>
      </w:r>
    </w:p>
    <w:p w14:paraId="7EB0680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监理人未按第13.5.1项约定的时间进行检查的，除监理人另有指示外，承包人可自行完成覆盖工作，并作相应记录报送监理人，监理人应签字确认。监理人事后对检查记录有疑问的，可按第13.5.3项的约定重新检查。</w:t>
      </w:r>
    </w:p>
    <w:p w14:paraId="111ED2A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13.5.3 监理人重新检查</w:t>
      </w:r>
    </w:p>
    <w:p w14:paraId="66A35BD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按第13.5.1项或第13.5.2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65F8FFC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13.5.4 承包人私自覆盖</w:t>
      </w:r>
    </w:p>
    <w:p w14:paraId="5A6ECDC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承包人未通知监理人到场检查，私自将工程隐蔽部位覆盖的，监理人有权指示承包人钻孔探测或揭开检查，由此增加的费用和（或）工期延误由承包人承担。</w:t>
      </w:r>
    </w:p>
    <w:p w14:paraId="31060A91">
      <w:pPr>
        <w:pStyle w:val="67"/>
        <w:shd w:val="clear" w:fill="FFFFFF" w:themeFill="background1"/>
        <w:ind w:firstLine="118"/>
        <w:rPr>
          <w:rFonts w:ascii="宋体" w:eastAsia="宋体"/>
          <w:color w:val="auto"/>
          <w:szCs w:val="24"/>
          <w:highlight w:val="none"/>
        </w:rPr>
      </w:pPr>
      <w:bookmarkStart w:id="785" w:name="_Toc43475839"/>
      <w:bookmarkEnd w:id="785"/>
      <w:bookmarkStart w:id="786" w:name="_Toc386467111"/>
      <w:bookmarkEnd w:id="786"/>
      <w:bookmarkStart w:id="787" w:name="_Toc393546365"/>
      <w:bookmarkEnd w:id="787"/>
      <w:r>
        <w:rPr>
          <w:rFonts w:hint="eastAsia" w:ascii="宋体" w:eastAsia="宋体"/>
          <w:color w:val="auto"/>
          <w:szCs w:val="24"/>
          <w:highlight w:val="none"/>
        </w:rPr>
        <w:t>13.6 清除不合格工程</w:t>
      </w:r>
    </w:p>
    <w:p w14:paraId="633AE2D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13.6.1 承包人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7F80F4B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13.6.2 由于发包人提供的材料或工程设备不合格造成的工程不合格，需要承包人采取措施补救的，发包人应承担由此增加的费用和（或）工期延误，并支付承包人合理利润。</w:t>
      </w:r>
    </w:p>
    <w:p w14:paraId="76C3AC11">
      <w:pPr>
        <w:pStyle w:val="78"/>
        <w:shd w:val="clear" w:fill="FFFFFF" w:themeFill="background1"/>
        <w:rPr>
          <w:rFonts w:ascii="宋体" w:hAnsi="宋体"/>
          <w:color w:val="auto"/>
          <w:sz w:val="24"/>
          <w:szCs w:val="24"/>
          <w:highlight w:val="none"/>
        </w:rPr>
      </w:pPr>
      <w:bookmarkStart w:id="788" w:name="_Toc43475840"/>
      <w:bookmarkEnd w:id="788"/>
      <w:bookmarkStart w:id="789" w:name="_Toc393546366"/>
      <w:bookmarkEnd w:id="789"/>
      <w:bookmarkStart w:id="790" w:name="_Toc386467112"/>
      <w:bookmarkEnd w:id="790"/>
      <w:r>
        <w:rPr>
          <w:rFonts w:hint="eastAsia" w:ascii="宋体" w:hAnsi="宋体"/>
          <w:color w:val="auto"/>
          <w:sz w:val="24"/>
          <w:szCs w:val="24"/>
          <w:highlight w:val="none"/>
        </w:rPr>
        <w:t>14. 试验和检验</w:t>
      </w:r>
    </w:p>
    <w:p w14:paraId="7559C69A">
      <w:pPr>
        <w:pStyle w:val="67"/>
        <w:shd w:val="clear" w:fill="FFFFFF" w:themeFill="background1"/>
        <w:ind w:firstLine="118"/>
        <w:rPr>
          <w:rFonts w:ascii="宋体" w:eastAsia="宋体"/>
          <w:color w:val="auto"/>
          <w:szCs w:val="24"/>
          <w:highlight w:val="none"/>
        </w:rPr>
      </w:pPr>
      <w:bookmarkStart w:id="791" w:name="_Toc43475841"/>
      <w:bookmarkEnd w:id="791"/>
      <w:bookmarkStart w:id="792" w:name="_Toc330406308"/>
      <w:bookmarkEnd w:id="792"/>
      <w:bookmarkStart w:id="793" w:name="_Toc393546367"/>
      <w:bookmarkEnd w:id="793"/>
      <w:bookmarkStart w:id="794" w:name="_Toc386467113"/>
      <w:bookmarkEnd w:id="794"/>
      <w:bookmarkStart w:id="795" w:name="_Toc152045703"/>
      <w:bookmarkEnd w:id="795"/>
      <w:bookmarkStart w:id="796" w:name="_Toc152042481"/>
      <w:bookmarkEnd w:id="796"/>
      <w:bookmarkStart w:id="797" w:name="_Toc179632721"/>
      <w:bookmarkEnd w:id="797"/>
      <w:bookmarkStart w:id="798" w:name="_Toc144974672"/>
      <w:bookmarkEnd w:id="798"/>
      <w:r>
        <w:rPr>
          <w:rFonts w:hint="eastAsia" w:ascii="宋体" w:eastAsia="宋体"/>
          <w:color w:val="auto"/>
          <w:szCs w:val="24"/>
          <w:highlight w:val="none"/>
        </w:rPr>
        <w:t>14.1 材料、工程设备和工程的试验和检验</w:t>
      </w:r>
    </w:p>
    <w:p w14:paraId="4F694D4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14.1.1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6C5164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14.1.2 监理人未按合同约定派员参加试验和检验的，除监理人另有指示外，承包人可自行试验和检验，并应立即将试验和检验结果报送监理人，监理人应签字确认。</w:t>
      </w:r>
    </w:p>
    <w:p w14:paraId="326DC40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14.1.3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6B507AB">
      <w:pPr>
        <w:pStyle w:val="67"/>
        <w:shd w:val="clear" w:fill="FFFFFF" w:themeFill="background1"/>
        <w:ind w:firstLine="118"/>
        <w:rPr>
          <w:rFonts w:ascii="宋体" w:eastAsia="宋体"/>
          <w:color w:val="auto"/>
          <w:szCs w:val="24"/>
          <w:highlight w:val="none"/>
        </w:rPr>
      </w:pPr>
      <w:bookmarkStart w:id="799" w:name="_Toc144974673"/>
      <w:bookmarkEnd w:id="799"/>
      <w:bookmarkStart w:id="800" w:name="_Toc393546368"/>
      <w:bookmarkEnd w:id="800"/>
      <w:bookmarkStart w:id="801" w:name="_Toc386467114"/>
      <w:bookmarkEnd w:id="801"/>
      <w:bookmarkStart w:id="802" w:name="_Toc43475842"/>
      <w:bookmarkEnd w:id="802"/>
      <w:bookmarkStart w:id="803" w:name="_Toc152045704"/>
      <w:bookmarkEnd w:id="803"/>
      <w:bookmarkStart w:id="804" w:name="_Toc152042482"/>
      <w:bookmarkEnd w:id="804"/>
      <w:bookmarkStart w:id="805" w:name="_Toc179632722"/>
      <w:bookmarkEnd w:id="805"/>
      <w:bookmarkStart w:id="806" w:name="_Toc330406309"/>
      <w:bookmarkEnd w:id="806"/>
      <w:r>
        <w:rPr>
          <w:rFonts w:hint="eastAsia" w:ascii="宋体" w:eastAsia="宋体"/>
          <w:color w:val="auto"/>
          <w:szCs w:val="24"/>
          <w:highlight w:val="none"/>
        </w:rPr>
        <w:t>14.2 现场材料试验</w:t>
      </w:r>
    </w:p>
    <w:p w14:paraId="4F3AAB5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14.2.1 承包人根据合同约定或监理人指示进行的现场材料试验，应由承包人提供试验场所、试验人员、试验设备器材以及其他必要的试验条件。</w:t>
      </w:r>
    </w:p>
    <w:p w14:paraId="0CB13DE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14.2.2 监理人在必要时可以使用承包人的试验场所、试验设备器材以及其他试验条件，进行以工程质量检查为目的的复核性材料试验，承包人应予以协助。</w:t>
      </w:r>
    </w:p>
    <w:p w14:paraId="3FD760E9">
      <w:pPr>
        <w:pStyle w:val="67"/>
        <w:shd w:val="clear" w:fill="FFFFFF" w:themeFill="background1"/>
        <w:ind w:firstLine="118"/>
        <w:rPr>
          <w:rFonts w:ascii="宋体" w:eastAsia="宋体"/>
          <w:color w:val="auto"/>
          <w:szCs w:val="24"/>
          <w:highlight w:val="none"/>
        </w:rPr>
      </w:pPr>
      <w:bookmarkStart w:id="807" w:name="_Toc393546369"/>
      <w:bookmarkEnd w:id="807"/>
      <w:bookmarkStart w:id="808" w:name="_Toc43475843"/>
      <w:bookmarkEnd w:id="808"/>
      <w:bookmarkStart w:id="809" w:name="_Toc386467115"/>
      <w:bookmarkEnd w:id="809"/>
      <w:r>
        <w:rPr>
          <w:rFonts w:hint="eastAsia" w:ascii="宋体" w:eastAsia="宋体"/>
          <w:color w:val="auto"/>
          <w:szCs w:val="24"/>
          <w:highlight w:val="none"/>
        </w:rPr>
        <w:t>14.3 现场工艺试验</w:t>
      </w:r>
    </w:p>
    <w:p w14:paraId="2B3F8B1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1CA0CA6F">
      <w:pPr>
        <w:pStyle w:val="78"/>
        <w:shd w:val="clear" w:fill="FFFFFF" w:themeFill="background1"/>
        <w:rPr>
          <w:rFonts w:ascii="宋体" w:hAnsi="宋体"/>
          <w:color w:val="auto"/>
          <w:sz w:val="24"/>
          <w:szCs w:val="24"/>
          <w:highlight w:val="none"/>
        </w:rPr>
      </w:pPr>
      <w:bookmarkStart w:id="810" w:name="_Toc386467116"/>
      <w:bookmarkEnd w:id="810"/>
      <w:bookmarkStart w:id="811" w:name="_Toc393546370"/>
      <w:bookmarkEnd w:id="811"/>
      <w:bookmarkStart w:id="812" w:name="_Toc43475844"/>
      <w:bookmarkEnd w:id="812"/>
      <w:r>
        <w:rPr>
          <w:rFonts w:hint="eastAsia" w:ascii="宋体" w:hAnsi="宋体"/>
          <w:color w:val="auto"/>
          <w:sz w:val="24"/>
          <w:szCs w:val="24"/>
          <w:highlight w:val="none"/>
        </w:rPr>
        <w:t>15. 变更</w:t>
      </w:r>
    </w:p>
    <w:p w14:paraId="2F5904A5">
      <w:pPr>
        <w:pStyle w:val="67"/>
        <w:shd w:val="clear" w:fill="FFFFFF" w:themeFill="background1"/>
        <w:ind w:firstLine="118"/>
        <w:rPr>
          <w:rFonts w:ascii="宋体" w:eastAsia="宋体"/>
          <w:color w:val="auto"/>
          <w:szCs w:val="24"/>
          <w:highlight w:val="none"/>
        </w:rPr>
      </w:pPr>
      <w:bookmarkStart w:id="813" w:name="_Toc393546371"/>
      <w:bookmarkEnd w:id="813"/>
      <w:bookmarkStart w:id="814" w:name="_Toc386467117"/>
      <w:bookmarkEnd w:id="814"/>
      <w:bookmarkStart w:id="815" w:name="_Toc43475845"/>
      <w:bookmarkEnd w:id="815"/>
      <w:r>
        <w:rPr>
          <w:rFonts w:hint="eastAsia" w:ascii="宋体" w:eastAsia="宋体"/>
          <w:color w:val="auto"/>
          <w:szCs w:val="24"/>
          <w:highlight w:val="none"/>
        </w:rPr>
        <w:t>15.1 变更的范围和内容</w:t>
      </w:r>
    </w:p>
    <w:p w14:paraId="5174C26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除专用合同条款另有约定外，在履行合同中发生以下情形之一，应按照本条规定进行变更。</w:t>
      </w:r>
    </w:p>
    <w:p w14:paraId="7C605CC5">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（1）取消合同中任何一项工作，但被取消的工作不能转由发包人或其他人实施；</w:t>
      </w:r>
    </w:p>
    <w:p w14:paraId="525A477B">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（2）改变合同中任何一项工作的质量或其他特性；</w:t>
      </w:r>
    </w:p>
    <w:p w14:paraId="05211F93">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（3）改变合同工程的基线、标高、位置或尺寸；</w:t>
      </w:r>
    </w:p>
    <w:p w14:paraId="093E1E70">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（4）改变合同中任何一项工作的施工时间或改变已批准的施工工艺或顺序；</w:t>
      </w:r>
    </w:p>
    <w:p w14:paraId="021AB6B7">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（5）为完成工程需要追加的额外工作。</w:t>
      </w:r>
    </w:p>
    <w:p w14:paraId="6B46D6C7">
      <w:pPr>
        <w:pStyle w:val="67"/>
        <w:shd w:val="clear" w:fill="FFFFFF" w:themeFill="background1"/>
        <w:ind w:firstLine="118"/>
        <w:rPr>
          <w:rFonts w:ascii="宋体" w:eastAsia="宋体"/>
          <w:color w:val="auto"/>
          <w:szCs w:val="24"/>
          <w:highlight w:val="none"/>
        </w:rPr>
      </w:pPr>
      <w:bookmarkStart w:id="816" w:name="_Toc386467118"/>
      <w:bookmarkEnd w:id="816"/>
      <w:bookmarkStart w:id="817" w:name="_Toc43475846"/>
      <w:bookmarkEnd w:id="817"/>
      <w:bookmarkStart w:id="818" w:name="_Toc152042486"/>
      <w:bookmarkEnd w:id="818"/>
      <w:bookmarkStart w:id="819" w:name="_Toc330406313"/>
      <w:bookmarkEnd w:id="819"/>
      <w:bookmarkStart w:id="820" w:name="_Toc152045708"/>
      <w:bookmarkEnd w:id="820"/>
      <w:bookmarkStart w:id="821" w:name="_Toc393546372"/>
      <w:bookmarkEnd w:id="821"/>
      <w:bookmarkStart w:id="822" w:name="_Toc179632726"/>
      <w:bookmarkEnd w:id="822"/>
      <w:bookmarkStart w:id="823" w:name="_Toc144974677"/>
      <w:bookmarkEnd w:id="823"/>
      <w:r>
        <w:rPr>
          <w:rFonts w:hint="eastAsia" w:ascii="宋体" w:eastAsia="宋体"/>
          <w:color w:val="auto"/>
          <w:szCs w:val="24"/>
          <w:highlight w:val="none"/>
        </w:rPr>
        <w:t>15.2 变更权</w:t>
      </w:r>
    </w:p>
    <w:p w14:paraId="76E1893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在履行合同过程中，经发包人同意，监理人可按第15.3款约定的变更程序向承包人作出变更指示，承包人应遵照执行。没有监理人的变更指示，承包人不得擅自变更。</w:t>
      </w:r>
    </w:p>
    <w:p w14:paraId="11466854">
      <w:pPr>
        <w:pStyle w:val="67"/>
        <w:shd w:val="clear" w:fill="FFFFFF" w:themeFill="background1"/>
        <w:ind w:firstLine="118"/>
        <w:rPr>
          <w:rFonts w:ascii="宋体" w:eastAsia="宋体"/>
          <w:color w:val="auto"/>
          <w:szCs w:val="24"/>
          <w:highlight w:val="none"/>
        </w:rPr>
      </w:pPr>
      <w:bookmarkStart w:id="824" w:name="_Toc386467119"/>
      <w:bookmarkEnd w:id="824"/>
      <w:bookmarkStart w:id="825" w:name="_Toc43475847"/>
      <w:bookmarkEnd w:id="825"/>
      <w:bookmarkStart w:id="826" w:name="_Toc393546373"/>
      <w:bookmarkEnd w:id="826"/>
      <w:r>
        <w:rPr>
          <w:rFonts w:hint="eastAsia" w:ascii="宋体" w:eastAsia="宋体"/>
          <w:color w:val="auto"/>
          <w:szCs w:val="24"/>
          <w:highlight w:val="none"/>
        </w:rPr>
        <w:t>15.3 变更程序</w:t>
      </w:r>
    </w:p>
    <w:p w14:paraId="16D6BF1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15.3.1 变更的提出</w:t>
      </w:r>
    </w:p>
    <w:p w14:paraId="556FED8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在合同履行过程中，可能发生第15.1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15.3.3项约定发出变更指示。 </w:t>
      </w:r>
    </w:p>
    <w:p w14:paraId="16E303C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（2）在合同履行过程中，发生第15.1款约定情形的，监理人应按照第15.3.3项约定向承包人发出变更指示。</w:t>
      </w:r>
    </w:p>
    <w:p w14:paraId="6287628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承包人收到监理人按合同约定发出的图纸和文件，经检查认为其中存在第15.1款约定情形的，可向监理人提出书面变更建议。变更建议应阐明要求变更的依据，并附必要的图纸和说明。监理人收到承包人书面建议后，应与发包人共同研究，确认存在变更的，应在收到承包人书面建议后的14天内作出变更指示。经研究后不同意作为变更的，应由监理人书面答复承包人。</w:t>
      </w:r>
    </w:p>
    <w:p w14:paraId="532F358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（4）若承包人收到监理人的变更意向书后认为难以实施此项变更，应立即通知监理人，说明原因并附详细依据。监理人与承包人和发包人协商后确定撤销、改变或不改变原变更意向书。</w:t>
      </w:r>
    </w:p>
    <w:p w14:paraId="744A795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15.3.2 变更估价</w:t>
      </w:r>
    </w:p>
    <w:p w14:paraId="46CF37D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除专用合同条款对期限另有约定外，承包人应在收到变更指示或变更意向书后的14天内，向监理人提交变更报价书，报价内容应根据第15.4款约定的估价原则，详细开列变更工作的价格组成及其依据，并附必要的施工方法说明和有关图纸。</w:t>
      </w:r>
    </w:p>
    <w:p w14:paraId="723497F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（2）变更工作影响工期的，承包人应提出调整工期的具体细节。监理人认为有必要时，可要求承包人提交要求提前或延长工期的施工进度计划及相应施工措施等详细资料。</w:t>
      </w:r>
    </w:p>
    <w:p w14:paraId="7284A49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（3）除专用合同条款对期限另有约定外，监理人收到承包人变更报价书后的14天内，根据第15.4款约定的估价原则，按照第3.5款商定或确定变更价格。</w:t>
      </w:r>
    </w:p>
    <w:p w14:paraId="7FA5431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15.3.3 变更指示</w:t>
      </w:r>
    </w:p>
    <w:p w14:paraId="2CF7A19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（1）变更指示只能由监理人发出。</w:t>
      </w:r>
    </w:p>
    <w:p w14:paraId="7ACC566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（2）变更指示应说明变更的目的、范围、变更内容以及变更的工程量及其进度和技术要求，并附有关图纸和文件。承包人收到变更指示后，应按变更指示进行变更工作。</w:t>
      </w:r>
    </w:p>
    <w:p w14:paraId="4775E5D5">
      <w:pPr>
        <w:pStyle w:val="67"/>
        <w:shd w:val="clear" w:fill="FFFFFF" w:themeFill="background1"/>
        <w:ind w:firstLine="118"/>
        <w:rPr>
          <w:rFonts w:ascii="宋体" w:eastAsia="宋体"/>
          <w:color w:val="auto"/>
          <w:szCs w:val="24"/>
          <w:highlight w:val="none"/>
        </w:rPr>
      </w:pPr>
      <w:bookmarkStart w:id="827" w:name="_Toc393546374"/>
      <w:bookmarkEnd w:id="827"/>
      <w:bookmarkStart w:id="828" w:name="_Toc386467120"/>
      <w:bookmarkEnd w:id="828"/>
      <w:bookmarkStart w:id="829" w:name="_Toc43475848"/>
      <w:bookmarkEnd w:id="829"/>
      <w:r>
        <w:rPr>
          <w:rFonts w:hint="eastAsia" w:ascii="宋体" w:eastAsia="宋体"/>
          <w:color w:val="auto"/>
          <w:szCs w:val="24"/>
          <w:highlight w:val="none"/>
        </w:rPr>
        <w:t>15.4 变更的估价原则</w:t>
      </w:r>
    </w:p>
    <w:p w14:paraId="069989B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除专用合同条款另有约定外，因变更引起的价格调整按照本款约定处理。</w:t>
      </w:r>
    </w:p>
    <w:p w14:paraId="5B345EE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15.4.1 已标价工程量清单中有适用于变更工作的子目的，采用该子目的单价。</w:t>
      </w:r>
    </w:p>
    <w:p w14:paraId="2C55F82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15.4.2 已标价工程量清单中无适用于变更工作的子目，但有类似子目的，可在合理范围内参照类似子目的单价，由监理人按第3.5款商定或确定变更工作的单价。</w:t>
      </w:r>
    </w:p>
    <w:p w14:paraId="74C8184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15.4.3 已标价工程量清单中无适用或类似子目的单价，可按照成本加利润的原则，由监理人按第3.5款商定或确定变更工作的单价。</w:t>
      </w:r>
    </w:p>
    <w:p w14:paraId="69533BDB">
      <w:pPr>
        <w:pStyle w:val="67"/>
        <w:shd w:val="clear" w:fill="FFFFFF" w:themeFill="background1"/>
        <w:ind w:firstLine="118"/>
        <w:rPr>
          <w:rFonts w:ascii="宋体" w:eastAsia="宋体"/>
          <w:color w:val="auto"/>
          <w:szCs w:val="24"/>
          <w:highlight w:val="none"/>
        </w:rPr>
      </w:pPr>
      <w:bookmarkStart w:id="830" w:name="_Toc43475849"/>
      <w:bookmarkEnd w:id="830"/>
      <w:bookmarkStart w:id="831" w:name="_Toc386467121"/>
      <w:bookmarkEnd w:id="831"/>
      <w:bookmarkStart w:id="832" w:name="_Toc393546375"/>
      <w:bookmarkEnd w:id="832"/>
      <w:r>
        <w:rPr>
          <w:rFonts w:hint="eastAsia" w:ascii="宋体" w:eastAsia="宋体"/>
          <w:color w:val="auto"/>
          <w:szCs w:val="24"/>
          <w:highlight w:val="none"/>
        </w:rPr>
        <w:t>15.5 承包人的合理化建议</w:t>
      </w:r>
    </w:p>
    <w:p w14:paraId="715E60A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15.5.1 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15.3.3项约定向承包人发出变更指示。</w:t>
      </w:r>
    </w:p>
    <w:p w14:paraId="68B185E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15.5.2 承包人提出的合理化建议降低了合同价格、缩短了工期或者提高了工程经济效益的，发包人可按国家有关规定在专用合同条款中约定给予奖励。</w:t>
      </w:r>
    </w:p>
    <w:p w14:paraId="07BE0CFE">
      <w:pPr>
        <w:pStyle w:val="67"/>
        <w:shd w:val="clear" w:fill="FFFFFF" w:themeFill="background1"/>
        <w:ind w:firstLine="118"/>
        <w:rPr>
          <w:rFonts w:ascii="宋体" w:eastAsia="宋体"/>
          <w:color w:val="auto"/>
          <w:szCs w:val="24"/>
          <w:highlight w:val="none"/>
        </w:rPr>
      </w:pPr>
      <w:bookmarkStart w:id="833" w:name="_Toc386467122"/>
      <w:bookmarkEnd w:id="833"/>
      <w:bookmarkStart w:id="834" w:name="_Toc43475850"/>
      <w:bookmarkEnd w:id="834"/>
      <w:bookmarkStart w:id="835" w:name="_Toc393546376"/>
      <w:bookmarkEnd w:id="835"/>
      <w:r>
        <w:rPr>
          <w:rFonts w:hint="eastAsia" w:ascii="宋体" w:eastAsia="宋体"/>
          <w:color w:val="auto"/>
          <w:szCs w:val="24"/>
          <w:highlight w:val="none"/>
        </w:rPr>
        <w:t>15.6 暂列金额</w:t>
      </w:r>
    </w:p>
    <w:p w14:paraId="777383C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暂列金额只能按照监理人的指示使用，并对合同价格进行相应调整。</w:t>
      </w:r>
    </w:p>
    <w:p w14:paraId="47D08919">
      <w:pPr>
        <w:pStyle w:val="67"/>
        <w:shd w:val="clear" w:fill="FFFFFF" w:themeFill="background1"/>
        <w:ind w:firstLine="118"/>
        <w:rPr>
          <w:rFonts w:ascii="宋体" w:eastAsia="宋体"/>
          <w:color w:val="auto"/>
          <w:szCs w:val="24"/>
          <w:highlight w:val="none"/>
        </w:rPr>
      </w:pPr>
      <w:bookmarkStart w:id="836" w:name="_Toc179632731"/>
      <w:bookmarkEnd w:id="836"/>
      <w:bookmarkStart w:id="837" w:name="_Toc144974682"/>
      <w:bookmarkEnd w:id="837"/>
      <w:bookmarkStart w:id="838" w:name="_Toc393546377"/>
      <w:bookmarkEnd w:id="838"/>
      <w:bookmarkStart w:id="839" w:name="_Toc152045713"/>
      <w:bookmarkEnd w:id="839"/>
      <w:bookmarkStart w:id="840" w:name="_Toc386467123"/>
      <w:bookmarkEnd w:id="840"/>
      <w:bookmarkStart w:id="841" w:name="_Toc43475851"/>
      <w:bookmarkEnd w:id="841"/>
      <w:bookmarkStart w:id="842" w:name="_Toc330406318"/>
      <w:bookmarkEnd w:id="842"/>
      <w:bookmarkStart w:id="843" w:name="_Toc152042491"/>
      <w:bookmarkEnd w:id="843"/>
      <w:r>
        <w:rPr>
          <w:rFonts w:hint="eastAsia" w:ascii="宋体" w:eastAsia="宋体"/>
          <w:color w:val="auto"/>
          <w:szCs w:val="24"/>
          <w:highlight w:val="none"/>
        </w:rPr>
        <w:t>15.7 计日工</w:t>
      </w:r>
    </w:p>
    <w:p w14:paraId="0E0EB690">
      <w:pPr>
        <w:shd w:val="clear" w:fill="FFFFFF" w:themeFill="background1"/>
        <w:spacing w:line="400" w:lineRule="exact"/>
        <w:ind w:firstLine="480" w:firstLineChars="200"/>
        <w:rPr>
          <w:rFonts w:ascii="宋体" w:hAnsi="宋体" w:cs="宋体"/>
          <w:color w:val="auto"/>
          <w:sz w:val="24"/>
          <w:highlight w:val="none"/>
          <w:shd w:val="pct10" w:color="auto" w:fill="FFFFFF"/>
        </w:rPr>
      </w:pPr>
      <w:r>
        <w:rPr>
          <w:rFonts w:hint="eastAsia" w:ascii="宋体" w:hAnsi="宋体" w:cs="宋体"/>
          <w:color w:val="auto"/>
          <w:sz w:val="24"/>
          <w:highlight w:val="none"/>
        </w:rPr>
        <w:t>15.7.1 发包人认为有必要时，由监理人通知承包人以计日工方式实施变更的零星工作。其价款按列入已标价工程量清单中的计日工计价子目及其单价进行计算。</w:t>
      </w:r>
    </w:p>
    <w:p w14:paraId="115B0A0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15.7.2 采用计日工计价的任何一项变更工作，应从暂列金额中支付，承包人应在该项变更的实施过程中，每天提交以下报表和有关凭证报送监理人审批：</w:t>
      </w:r>
    </w:p>
    <w:p w14:paraId="43542BBF">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（1）工作名称、内容和数量；</w:t>
      </w:r>
    </w:p>
    <w:p w14:paraId="72B7765F">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（2）投入该工作所有人员的姓名、工种、级别和耗用工时；</w:t>
      </w:r>
    </w:p>
    <w:p w14:paraId="368EE91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（3）投入该工作的材料类别和数量；</w:t>
      </w:r>
    </w:p>
    <w:p w14:paraId="1E8689F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（4）投入该工作的施工设备型号、台数和耗用台时；</w:t>
      </w:r>
    </w:p>
    <w:p w14:paraId="391706A4">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（5）监理人要求提交的其他资料和凭证。</w:t>
      </w:r>
    </w:p>
    <w:p w14:paraId="5FFF3D0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15.7.3 计日工由承包人汇总后，按第17.3.2项的约定列入进度付款申请单，由监理人复核并经发包人同意后列入进度付款。</w:t>
      </w:r>
    </w:p>
    <w:p w14:paraId="60B00BA3">
      <w:pPr>
        <w:pStyle w:val="67"/>
        <w:shd w:val="clear" w:fill="FFFFFF" w:themeFill="background1"/>
        <w:ind w:firstLine="118"/>
        <w:rPr>
          <w:rFonts w:ascii="宋体" w:eastAsia="宋体"/>
          <w:color w:val="auto"/>
          <w:szCs w:val="24"/>
          <w:highlight w:val="none"/>
        </w:rPr>
      </w:pPr>
      <w:bookmarkStart w:id="844" w:name="_Toc386467124"/>
      <w:bookmarkEnd w:id="844"/>
      <w:bookmarkStart w:id="845" w:name="_Toc43475852"/>
      <w:bookmarkEnd w:id="845"/>
      <w:bookmarkStart w:id="846" w:name="_Toc144974683"/>
      <w:bookmarkEnd w:id="846"/>
      <w:bookmarkStart w:id="847" w:name="_Toc330406319"/>
      <w:bookmarkEnd w:id="847"/>
      <w:bookmarkStart w:id="848" w:name="_Toc179632732"/>
      <w:bookmarkEnd w:id="848"/>
      <w:bookmarkStart w:id="849" w:name="_Toc393546378"/>
      <w:bookmarkEnd w:id="849"/>
      <w:bookmarkStart w:id="850" w:name="_Toc152045714"/>
      <w:bookmarkEnd w:id="850"/>
      <w:bookmarkStart w:id="851" w:name="_Toc152042492"/>
      <w:bookmarkEnd w:id="851"/>
      <w:r>
        <w:rPr>
          <w:rFonts w:hint="eastAsia" w:ascii="宋体" w:eastAsia="宋体"/>
          <w:color w:val="auto"/>
          <w:szCs w:val="24"/>
          <w:highlight w:val="none"/>
        </w:rPr>
        <w:t>15.8 暂估价</w:t>
      </w:r>
    </w:p>
    <w:p w14:paraId="20F80E4E">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xml:space="preserve">    15.8.1 发包人在工程量清单中给定暂估价的材料、工程设备和专业工程属于依法必须招标的范围并达到规定的规模标准的，由发包人和承包人以招标的方式选择供应商或分包人。发包人和承包人的权利义务关系在专用合同条款中约定。中标金额与工程量清单中所列的暂估价的金额差以及相应的税金等其他费用列入合同价格。</w:t>
      </w:r>
    </w:p>
    <w:p w14:paraId="51415F4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15.8.2 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21D2F2B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15.8.3 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0ADB08FD">
      <w:pPr>
        <w:pStyle w:val="78"/>
        <w:shd w:val="clear" w:fill="FFFFFF" w:themeFill="background1"/>
        <w:rPr>
          <w:rFonts w:ascii="宋体" w:hAnsi="宋体"/>
          <w:color w:val="auto"/>
          <w:sz w:val="24"/>
          <w:szCs w:val="24"/>
          <w:highlight w:val="none"/>
        </w:rPr>
      </w:pPr>
      <w:bookmarkStart w:id="852" w:name="_Toc386467125"/>
      <w:bookmarkEnd w:id="852"/>
      <w:bookmarkStart w:id="853" w:name="_Toc393546379"/>
      <w:bookmarkEnd w:id="853"/>
      <w:bookmarkStart w:id="854" w:name="_Toc43475853"/>
      <w:bookmarkEnd w:id="854"/>
      <w:r>
        <w:rPr>
          <w:rFonts w:hint="eastAsia" w:ascii="宋体" w:hAnsi="宋体"/>
          <w:color w:val="auto"/>
          <w:sz w:val="24"/>
          <w:szCs w:val="24"/>
          <w:highlight w:val="none"/>
        </w:rPr>
        <w:t>16. 价格调整</w:t>
      </w:r>
    </w:p>
    <w:p w14:paraId="173ED813">
      <w:pPr>
        <w:pStyle w:val="67"/>
        <w:shd w:val="clear" w:fill="FFFFFF" w:themeFill="background1"/>
        <w:ind w:firstLine="118"/>
        <w:rPr>
          <w:rFonts w:ascii="宋体" w:eastAsia="宋体"/>
          <w:color w:val="auto"/>
          <w:szCs w:val="24"/>
          <w:highlight w:val="none"/>
        </w:rPr>
      </w:pPr>
      <w:bookmarkStart w:id="855" w:name="_Toc386467126"/>
      <w:bookmarkEnd w:id="855"/>
      <w:bookmarkStart w:id="856" w:name="_Toc393546380"/>
      <w:bookmarkEnd w:id="856"/>
      <w:bookmarkStart w:id="857" w:name="_Toc43475854"/>
      <w:bookmarkEnd w:id="857"/>
      <w:r>
        <w:rPr>
          <w:rFonts w:hint="eastAsia" w:ascii="宋体" w:eastAsia="宋体"/>
          <w:color w:val="auto"/>
          <w:szCs w:val="24"/>
          <w:highlight w:val="none"/>
        </w:rPr>
        <w:t>16.1 物价波动引起的价格调整</w:t>
      </w:r>
    </w:p>
    <w:p w14:paraId="624BFC2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除专用合同条款另有约定外，因物价波动引起的价格调整按照本款约定处理。</w:t>
      </w:r>
    </w:p>
    <w:p w14:paraId="1C56EA7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 采用价格指数调整价格差额</w:t>
      </w:r>
    </w:p>
    <w:p w14:paraId="3F39788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16.1.1.1 价格调整公式</w:t>
      </w:r>
    </w:p>
    <w:p w14:paraId="0FF62A1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因人工、材料和设备等价格波动影响合同价格时，根据投标函附录中的价格指数和权重表约定的数据，按以下公式计算差额并调整合同价格。</w:t>
      </w:r>
    </w:p>
    <w:p w14:paraId="70607B5C">
      <w:pPr>
        <w:shd w:val="clear" w:fill="FFFFFF" w:themeFill="background1"/>
        <w:autoSpaceDE w:val="0"/>
        <w:autoSpaceDN w:val="0"/>
        <w:adjustRightInd w:val="0"/>
        <w:spacing w:line="1200" w:lineRule="exact"/>
        <w:ind w:right="248" w:firstLine="955" w:firstLineChars="398"/>
        <w:rPr>
          <w:rFonts w:ascii="宋体" w:hAnsi="宋体" w:cs="宋体"/>
          <w:color w:val="auto"/>
          <w:sz w:val="24"/>
          <w:highlight w:val="none"/>
        </w:rPr>
      </w:pPr>
      <w:r>
        <w:rPr>
          <w:rFonts w:hint="eastAsia" w:ascii="宋体" w:hAnsi="宋体" w:cs="宋体"/>
          <w:color w:val="auto"/>
          <w:position w:val="-34"/>
          <w:sz w:val="24"/>
          <w:highlight w:val="none"/>
        </w:rPr>
        <w:drawing>
          <wp:inline distT="0" distB="0" distL="0" distR="0">
            <wp:extent cx="3891280" cy="520700"/>
            <wp:effectExtent l="0" t="0" r="13970" b="13335"/>
            <wp:docPr id="1" name="_x0000_i1025"/>
            <wp:cNvGraphicFramePr/>
            <a:graphic xmlns:a="http://schemas.openxmlformats.org/drawingml/2006/main">
              <a:graphicData uri="http://schemas.openxmlformats.org/drawingml/2006/picture">
                <pic:pic xmlns:pic="http://schemas.openxmlformats.org/drawingml/2006/picture">
                  <pic:nvPicPr>
                    <pic:cNvPr id="1" name="_x0000_i1025"/>
                    <pic:cNvPicPr/>
                  </pic:nvPicPr>
                  <pic:blipFill>
                    <a:blip r:embed="rId21" cstate="print"/>
                    <a:stretch>
                      <a:fillRect/>
                    </a:stretch>
                  </pic:blipFill>
                  <pic:spPr>
                    <a:xfrm>
                      <a:off x="0" y="0"/>
                      <a:ext cx="3891280" cy="520700"/>
                    </a:xfrm>
                    <a:prstGeom prst="rect">
                      <a:avLst/>
                    </a:prstGeom>
                  </pic:spPr>
                </pic:pic>
              </a:graphicData>
            </a:graphic>
          </wp:inline>
        </w:drawing>
      </w:r>
    </w:p>
    <w:p w14:paraId="0E026337">
      <w:pPr>
        <w:shd w:val="clear" w:fill="FFFFFF" w:themeFill="background1"/>
        <w:tabs>
          <w:tab w:val="left" w:pos="1260"/>
        </w:tabs>
        <w:spacing w:line="400" w:lineRule="exact"/>
        <w:ind w:firstLine="480" w:firstLineChars="200"/>
        <w:rPr>
          <w:rFonts w:ascii="宋体" w:hAnsi="宋体" w:cs="宋体"/>
          <w:color w:val="auto"/>
          <w:sz w:val="24"/>
          <w:highlight w:val="none"/>
        </w:rPr>
      </w:pPr>
    </w:p>
    <w:p w14:paraId="4DEB8461">
      <w:pPr>
        <w:shd w:val="clear" w:fill="FFFFFF" w:themeFill="background1"/>
        <w:tabs>
          <w:tab w:val="left" w:pos="1260"/>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式中： △P -- 需调整的价格差额；</w:t>
      </w:r>
    </w:p>
    <w:p w14:paraId="39D74502">
      <w:pPr>
        <w:shd w:val="clear" w:fill="FFFFFF" w:themeFill="background1"/>
        <w:tabs>
          <w:tab w:val="left" w:pos="1260"/>
        </w:tabs>
        <w:spacing w:line="400" w:lineRule="exact"/>
        <w:rPr>
          <w:rFonts w:ascii="宋体" w:hAnsi="宋体" w:cs="宋体"/>
          <w:color w:val="auto"/>
          <w:sz w:val="24"/>
          <w:highlight w:val="none"/>
        </w:rPr>
      </w:pPr>
      <w:r>
        <w:rPr>
          <w:rFonts w:hint="eastAsia" w:ascii="宋体" w:hAnsi="宋体" w:cs="宋体"/>
          <w:color w:val="auto"/>
          <w:sz w:val="24"/>
          <w:highlight w:val="none"/>
        </w:rPr>
        <w:tab/>
      </w:r>
      <w:r>
        <w:rPr>
          <w:rFonts w:hint="eastAsia" w:ascii="宋体" w:hAnsi="宋体" w:cs="宋体"/>
          <w:color w:val="auto"/>
          <w:sz w:val="24"/>
          <w:highlight w:val="none"/>
        </w:rPr>
        <w:t>P</w:t>
      </w:r>
      <w:r>
        <w:rPr>
          <w:rFonts w:hint="eastAsia" w:ascii="宋体" w:hAnsi="宋体" w:cs="宋体"/>
          <w:color w:val="auto"/>
          <w:sz w:val="24"/>
          <w:highlight w:val="none"/>
          <w:vertAlign w:val="subscript"/>
        </w:rPr>
        <w:t>0</w:t>
      </w:r>
      <w:r>
        <w:rPr>
          <w:rFonts w:hint="eastAsia" w:ascii="宋体" w:hAnsi="宋体" w:cs="宋体"/>
          <w:color w:val="auto"/>
          <w:sz w:val="24"/>
          <w:highlight w:val="none"/>
        </w:rPr>
        <w:t xml:space="preserve"> -- 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2B7E583A">
      <w:pPr>
        <w:shd w:val="clear" w:fill="FFFFFF" w:themeFill="background1"/>
        <w:tabs>
          <w:tab w:val="left" w:pos="1260"/>
        </w:tabs>
        <w:spacing w:line="400" w:lineRule="exact"/>
        <w:rPr>
          <w:rFonts w:ascii="宋体" w:hAnsi="宋体" w:cs="宋体"/>
          <w:color w:val="auto"/>
          <w:sz w:val="24"/>
          <w:highlight w:val="none"/>
        </w:rPr>
      </w:pPr>
      <w:bookmarkStart w:id="858" w:name="_Toc144974686"/>
      <w:bookmarkEnd w:id="858"/>
      <w:bookmarkStart w:id="859" w:name="_Toc152042495"/>
      <w:bookmarkEnd w:id="859"/>
      <w:r>
        <w:rPr>
          <w:rFonts w:hint="eastAsia" w:ascii="宋体" w:hAnsi="宋体" w:cs="宋体"/>
          <w:color w:val="auto"/>
          <w:sz w:val="24"/>
          <w:highlight w:val="none"/>
        </w:rPr>
        <w:tab/>
      </w:r>
      <w:r>
        <w:rPr>
          <w:rFonts w:hint="eastAsia" w:ascii="宋体" w:hAnsi="宋体" w:cs="宋体"/>
          <w:color w:val="auto"/>
          <w:sz w:val="24"/>
          <w:highlight w:val="none"/>
        </w:rPr>
        <w:t>A -- 定值权重(即不调部分的权重)；</w:t>
      </w:r>
    </w:p>
    <w:p w14:paraId="3A96251C">
      <w:pPr>
        <w:shd w:val="clear" w:fill="FFFFFF" w:themeFill="background1"/>
        <w:tabs>
          <w:tab w:val="left" w:pos="1260"/>
        </w:tabs>
        <w:spacing w:line="400" w:lineRule="exact"/>
        <w:rPr>
          <w:rFonts w:ascii="宋体" w:hAnsi="宋体" w:cs="宋体"/>
          <w:color w:val="auto"/>
          <w:sz w:val="24"/>
          <w:highlight w:val="none"/>
        </w:rPr>
      </w:pPr>
      <w:r>
        <w:rPr>
          <w:rFonts w:hint="eastAsia" w:ascii="宋体" w:hAnsi="宋体" w:cs="宋体"/>
          <w:color w:val="auto"/>
          <w:sz w:val="24"/>
          <w:highlight w:val="none"/>
        </w:rPr>
        <w:tab/>
      </w:r>
      <w:r>
        <w:rPr>
          <w:rFonts w:hint="eastAsia" w:ascii="宋体" w:hAnsi="宋体" w:cs="宋体"/>
          <w:color w:val="auto"/>
          <w:sz w:val="24"/>
          <w:highlight w:val="none"/>
        </w:rPr>
        <w:t>B</w:t>
      </w:r>
      <w:r>
        <w:rPr>
          <w:rFonts w:hint="eastAsia" w:ascii="宋体" w:hAnsi="宋体" w:cs="宋体"/>
          <w:color w:val="auto"/>
          <w:sz w:val="24"/>
          <w:highlight w:val="none"/>
          <w:vertAlign w:val="subscript"/>
        </w:rPr>
        <w:t>1</w:t>
      </w:r>
      <w:r>
        <w:rPr>
          <w:rFonts w:hint="eastAsia" w:ascii="宋体" w:hAnsi="宋体" w:cs="宋体"/>
          <w:color w:val="auto"/>
          <w:sz w:val="24"/>
          <w:highlight w:val="none"/>
        </w:rPr>
        <w:t>； B</w:t>
      </w:r>
      <w:r>
        <w:rPr>
          <w:rFonts w:hint="eastAsia" w:ascii="宋体" w:hAnsi="宋体" w:cs="宋体"/>
          <w:color w:val="auto"/>
          <w:sz w:val="24"/>
          <w:highlight w:val="none"/>
          <w:vertAlign w:val="subscript"/>
        </w:rPr>
        <w:t>2</w:t>
      </w:r>
      <w:r>
        <w:rPr>
          <w:rFonts w:hint="eastAsia" w:ascii="宋体" w:hAnsi="宋体" w:cs="宋体"/>
          <w:color w:val="auto"/>
          <w:sz w:val="24"/>
          <w:highlight w:val="none"/>
        </w:rPr>
        <w:t xml:space="preserve"> ；B</w:t>
      </w:r>
      <w:r>
        <w:rPr>
          <w:rFonts w:hint="eastAsia" w:ascii="宋体" w:hAnsi="宋体" w:cs="宋体"/>
          <w:color w:val="auto"/>
          <w:sz w:val="24"/>
          <w:highlight w:val="none"/>
          <w:vertAlign w:val="subscript"/>
        </w:rPr>
        <w:t>3</w:t>
      </w:r>
      <w:r>
        <w:rPr>
          <w:rFonts w:hint="eastAsia" w:ascii="宋体" w:hAnsi="宋体" w:cs="宋体"/>
          <w:color w:val="auto"/>
          <w:sz w:val="24"/>
          <w:highlight w:val="none"/>
        </w:rPr>
        <w:t>·····B</w:t>
      </w:r>
      <w:r>
        <w:rPr>
          <w:rFonts w:hint="eastAsia" w:ascii="宋体" w:hAnsi="宋体" w:cs="宋体"/>
          <w:color w:val="auto"/>
          <w:sz w:val="24"/>
          <w:highlight w:val="none"/>
          <w:vertAlign w:val="subscript"/>
        </w:rPr>
        <w:t>n</w:t>
      </w:r>
      <w:r>
        <w:rPr>
          <w:rFonts w:hint="eastAsia" w:ascii="宋体" w:hAnsi="宋体" w:cs="宋体"/>
          <w:color w:val="auto"/>
          <w:sz w:val="24"/>
          <w:highlight w:val="none"/>
        </w:rPr>
        <w:t xml:space="preserve"> -- 各可调因子的变值权重(即可调部分的权重)为各可调因子在投标函投标总报价中所占的比例；</w:t>
      </w:r>
    </w:p>
    <w:p w14:paraId="67F1E51E">
      <w:pPr>
        <w:shd w:val="clear" w:fill="FFFFFF" w:themeFill="background1"/>
        <w:tabs>
          <w:tab w:val="left" w:pos="1260"/>
        </w:tabs>
        <w:spacing w:line="400" w:lineRule="exact"/>
        <w:rPr>
          <w:rFonts w:ascii="宋体" w:hAnsi="宋体" w:cs="宋体"/>
          <w:color w:val="auto"/>
          <w:sz w:val="24"/>
          <w:highlight w:val="none"/>
        </w:rPr>
      </w:pPr>
      <w:r>
        <w:rPr>
          <w:rFonts w:hint="eastAsia" w:ascii="宋体" w:hAnsi="宋体" w:cs="宋体"/>
          <w:color w:val="auto"/>
          <w:sz w:val="24"/>
          <w:highlight w:val="none"/>
        </w:rPr>
        <w:tab/>
      </w:r>
      <w:r>
        <w:rPr>
          <w:rFonts w:hint="eastAsia" w:ascii="宋体" w:hAnsi="宋体" w:cs="宋体"/>
          <w:color w:val="auto"/>
          <w:sz w:val="24"/>
          <w:highlight w:val="none"/>
        </w:rPr>
        <w:t>F</w:t>
      </w:r>
      <w:r>
        <w:rPr>
          <w:rFonts w:hint="eastAsia" w:ascii="宋体" w:hAnsi="宋体" w:cs="宋体"/>
          <w:color w:val="auto"/>
          <w:sz w:val="24"/>
          <w:highlight w:val="none"/>
          <w:vertAlign w:val="subscript"/>
        </w:rPr>
        <w:t>t1</w:t>
      </w:r>
      <w:r>
        <w:rPr>
          <w:rFonts w:hint="eastAsia" w:ascii="宋体" w:hAnsi="宋体" w:cs="宋体"/>
          <w:color w:val="auto"/>
          <w:sz w:val="24"/>
          <w:highlight w:val="none"/>
        </w:rPr>
        <w:t xml:space="preserve"> ；F</w:t>
      </w:r>
      <w:r>
        <w:rPr>
          <w:rFonts w:hint="eastAsia" w:ascii="宋体" w:hAnsi="宋体" w:cs="宋体"/>
          <w:color w:val="auto"/>
          <w:sz w:val="24"/>
          <w:highlight w:val="none"/>
          <w:vertAlign w:val="subscript"/>
        </w:rPr>
        <w:t>t2</w:t>
      </w:r>
      <w:r>
        <w:rPr>
          <w:rFonts w:hint="eastAsia" w:ascii="宋体" w:hAnsi="宋体" w:cs="宋体"/>
          <w:color w:val="auto"/>
          <w:sz w:val="24"/>
          <w:highlight w:val="none"/>
        </w:rPr>
        <w:t xml:space="preserve"> ；F</w:t>
      </w:r>
      <w:r>
        <w:rPr>
          <w:rFonts w:hint="eastAsia" w:ascii="宋体" w:hAnsi="宋体" w:cs="宋体"/>
          <w:color w:val="auto"/>
          <w:sz w:val="24"/>
          <w:highlight w:val="none"/>
          <w:vertAlign w:val="subscript"/>
        </w:rPr>
        <w:t>t3</w:t>
      </w:r>
      <w:r>
        <w:rPr>
          <w:rFonts w:hint="eastAsia" w:ascii="宋体" w:hAnsi="宋体" w:cs="宋体"/>
          <w:color w:val="auto"/>
          <w:sz w:val="24"/>
          <w:highlight w:val="none"/>
        </w:rPr>
        <w:t>·····F</w:t>
      </w:r>
      <w:r>
        <w:rPr>
          <w:rFonts w:hint="eastAsia" w:ascii="宋体" w:hAnsi="宋体" w:cs="宋体"/>
          <w:color w:val="auto"/>
          <w:sz w:val="24"/>
          <w:highlight w:val="none"/>
          <w:vertAlign w:val="subscript"/>
        </w:rPr>
        <w:t>tn</w:t>
      </w:r>
      <w:r>
        <w:rPr>
          <w:rFonts w:hint="eastAsia" w:ascii="宋体" w:hAnsi="宋体" w:cs="宋体"/>
          <w:color w:val="auto"/>
          <w:sz w:val="24"/>
          <w:highlight w:val="none"/>
        </w:rPr>
        <w:t xml:space="preserve"> -- 各可调因子的现行价格指数，指第17.3.3项、第17.5.2项和第17.6.2项约定的付款证书相关周期最后一天的前42天的各可调因子的价格指数；</w:t>
      </w:r>
    </w:p>
    <w:p w14:paraId="43FF6133">
      <w:pPr>
        <w:shd w:val="clear" w:fill="FFFFFF" w:themeFill="background1"/>
        <w:tabs>
          <w:tab w:val="left" w:pos="1260"/>
        </w:tabs>
        <w:spacing w:line="400" w:lineRule="exact"/>
        <w:rPr>
          <w:rFonts w:ascii="宋体" w:hAnsi="宋体" w:cs="宋体"/>
          <w:color w:val="auto"/>
          <w:sz w:val="24"/>
          <w:highlight w:val="none"/>
        </w:rPr>
      </w:pPr>
      <w:r>
        <w:rPr>
          <w:rFonts w:hint="eastAsia" w:ascii="宋体" w:hAnsi="宋体" w:cs="宋体"/>
          <w:color w:val="auto"/>
          <w:sz w:val="24"/>
          <w:highlight w:val="none"/>
        </w:rPr>
        <w:tab/>
      </w:r>
      <w:r>
        <w:rPr>
          <w:rFonts w:hint="eastAsia" w:ascii="宋体" w:hAnsi="宋体" w:cs="宋体"/>
          <w:color w:val="auto"/>
          <w:sz w:val="24"/>
          <w:highlight w:val="none"/>
        </w:rPr>
        <w:t>F</w:t>
      </w:r>
      <w:r>
        <w:rPr>
          <w:rFonts w:hint="eastAsia" w:ascii="宋体" w:hAnsi="宋体" w:cs="宋体"/>
          <w:color w:val="auto"/>
          <w:sz w:val="24"/>
          <w:highlight w:val="none"/>
          <w:vertAlign w:val="subscript"/>
        </w:rPr>
        <w:t>o1</w:t>
      </w:r>
      <w:r>
        <w:rPr>
          <w:rFonts w:hint="eastAsia" w:ascii="宋体" w:hAnsi="宋体" w:cs="宋体"/>
          <w:color w:val="auto"/>
          <w:sz w:val="24"/>
          <w:highlight w:val="none"/>
        </w:rPr>
        <w:t>； F</w:t>
      </w:r>
      <w:r>
        <w:rPr>
          <w:rFonts w:hint="eastAsia" w:ascii="宋体" w:hAnsi="宋体" w:cs="宋体"/>
          <w:color w:val="auto"/>
          <w:sz w:val="24"/>
          <w:highlight w:val="none"/>
          <w:vertAlign w:val="subscript"/>
        </w:rPr>
        <w:t>o2</w:t>
      </w:r>
      <w:r>
        <w:rPr>
          <w:rFonts w:hint="eastAsia" w:ascii="宋体" w:hAnsi="宋体" w:cs="宋体"/>
          <w:color w:val="auto"/>
          <w:sz w:val="24"/>
          <w:highlight w:val="none"/>
        </w:rPr>
        <w:t>； F</w:t>
      </w:r>
      <w:r>
        <w:rPr>
          <w:rFonts w:hint="eastAsia" w:ascii="宋体" w:hAnsi="宋体" w:cs="宋体"/>
          <w:color w:val="auto"/>
          <w:sz w:val="24"/>
          <w:highlight w:val="none"/>
          <w:vertAlign w:val="subscript"/>
        </w:rPr>
        <w:t>o3</w:t>
      </w:r>
      <w:r>
        <w:rPr>
          <w:rFonts w:hint="eastAsia" w:ascii="宋体" w:hAnsi="宋体" w:cs="宋体"/>
          <w:color w:val="auto"/>
          <w:sz w:val="24"/>
          <w:highlight w:val="none"/>
        </w:rPr>
        <w:t>·····F</w:t>
      </w:r>
      <w:r>
        <w:rPr>
          <w:rFonts w:hint="eastAsia" w:ascii="宋体" w:hAnsi="宋体" w:cs="宋体"/>
          <w:color w:val="auto"/>
          <w:sz w:val="24"/>
          <w:highlight w:val="none"/>
          <w:vertAlign w:val="subscript"/>
        </w:rPr>
        <w:t>on</w:t>
      </w:r>
      <w:r>
        <w:rPr>
          <w:rFonts w:hint="eastAsia" w:ascii="宋体" w:hAnsi="宋体" w:cs="宋体"/>
          <w:color w:val="auto"/>
          <w:sz w:val="24"/>
          <w:highlight w:val="none"/>
        </w:rPr>
        <w:t xml:space="preserve"> -- 各可调因子的基本价格指数，指基准日期的各可调因子的价格指数。</w:t>
      </w:r>
    </w:p>
    <w:p w14:paraId="61117F1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433E86A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16.1.1.2 暂时确定调整差额</w:t>
      </w:r>
    </w:p>
    <w:p w14:paraId="30E2CE5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在计算调整差额时得不到现行价格指数的，可暂用上一次价格指数计算，并在以后的付款中再按实际价格指数进行调整。</w:t>
      </w:r>
    </w:p>
    <w:p w14:paraId="54B86AF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16.1.1.3 权重的调整</w:t>
      </w:r>
    </w:p>
    <w:p w14:paraId="4CEF566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按第15.1款约定的变更导致原定合同中的权重不合理时，由监理人与承包人和发包人协商后进行调整。</w:t>
      </w:r>
    </w:p>
    <w:p w14:paraId="22E08F1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16.1.1.4 承包人工期延误后的价格调整</w:t>
      </w:r>
    </w:p>
    <w:p w14:paraId="1F1D079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由于承包人原因未在约定的工期内竣工的，则对原约定竣工日期后继续施工的工程，在使用第16.1.1.1目价格调整公式时，应采用原约定竣工日期与实际竣工日期的两个价格指数中较低的一个作为现行价格指数。</w:t>
      </w:r>
    </w:p>
    <w:p w14:paraId="29C7DCA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16.1.2 采用造价信息调整价格差额</w:t>
      </w:r>
    </w:p>
    <w:p w14:paraId="6738A0F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数量，作为调整工程合同价格差额的依据。</w:t>
      </w:r>
    </w:p>
    <w:p w14:paraId="4095FCC7">
      <w:pPr>
        <w:pStyle w:val="67"/>
        <w:shd w:val="clear" w:fill="FFFFFF" w:themeFill="background1"/>
        <w:ind w:firstLine="118"/>
        <w:rPr>
          <w:rFonts w:ascii="宋体" w:eastAsia="宋体"/>
          <w:color w:val="auto"/>
          <w:szCs w:val="24"/>
          <w:highlight w:val="none"/>
        </w:rPr>
      </w:pPr>
      <w:bookmarkStart w:id="860" w:name="_Toc393546381"/>
      <w:bookmarkEnd w:id="860"/>
      <w:bookmarkStart w:id="861" w:name="_Toc330406322"/>
      <w:bookmarkEnd w:id="861"/>
      <w:bookmarkStart w:id="862" w:name="_Toc179632735"/>
      <w:bookmarkEnd w:id="862"/>
      <w:bookmarkStart w:id="863" w:name="_Toc144974688"/>
      <w:bookmarkEnd w:id="863"/>
      <w:bookmarkStart w:id="864" w:name="_Toc152042496"/>
      <w:bookmarkEnd w:id="864"/>
      <w:bookmarkStart w:id="865" w:name="_Toc152045717"/>
      <w:bookmarkEnd w:id="865"/>
      <w:bookmarkStart w:id="866" w:name="_Toc386467127"/>
      <w:bookmarkEnd w:id="866"/>
      <w:bookmarkStart w:id="867" w:name="_Toc43475855"/>
      <w:bookmarkEnd w:id="867"/>
      <w:r>
        <w:rPr>
          <w:rFonts w:hint="eastAsia" w:ascii="宋体" w:eastAsia="宋体"/>
          <w:color w:val="auto"/>
          <w:szCs w:val="24"/>
          <w:highlight w:val="none"/>
        </w:rPr>
        <w:t>16.2 法律变化引起的价格调整</w:t>
      </w:r>
    </w:p>
    <w:p w14:paraId="73EF513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在基准日后，因法律变化导致承包人在合同履行中所需要的工程费用发生除第16.1款约定以外的增减时，监理人应根据法律、国家或省、自治区、直辖市有关部门的规定，按第3.5款商定或确定需调整的合同价款。</w:t>
      </w:r>
    </w:p>
    <w:p w14:paraId="18F3A0E8">
      <w:pPr>
        <w:pStyle w:val="78"/>
        <w:shd w:val="clear" w:fill="FFFFFF" w:themeFill="background1"/>
        <w:rPr>
          <w:rFonts w:ascii="宋体" w:hAnsi="宋体"/>
          <w:color w:val="auto"/>
          <w:sz w:val="24"/>
          <w:szCs w:val="24"/>
          <w:highlight w:val="none"/>
        </w:rPr>
      </w:pPr>
      <w:bookmarkStart w:id="868" w:name="_Toc386467128"/>
      <w:bookmarkEnd w:id="868"/>
      <w:bookmarkStart w:id="869" w:name="_Toc393546382"/>
      <w:bookmarkEnd w:id="869"/>
      <w:bookmarkStart w:id="870" w:name="_Toc43475856"/>
      <w:bookmarkEnd w:id="870"/>
      <w:r>
        <w:rPr>
          <w:rFonts w:hint="eastAsia" w:ascii="宋体" w:hAnsi="宋体"/>
          <w:color w:val="auto"/>
          <w:sz w:val="24"/>
          <w:szCs w:val="24"/>
          <w:highlight w:val="none"/>
        </w:rPr>
        <w:t>17. 计量与支付</w:t>
      </w:r>
    </w:p>
    <w:p w14:paraId="36F063EC">
      <w:pPr>
        <w:pStyle w:val="67"/>
        <w:shd w:val="clear" w:fill="FFFFFF" w:themeFill="background1"/>
        <w:ind w:firstLine="118"/>
        <w:rPr>
          <w:rFonts w:ascii="宋体" w:eastAsia="宋体"/>
          <w:color w:val="auto"/>
          <w:szCs w:val="24"/>
          <w:highlight w:val="none"/>
        </w:rPr>
      </w:pPr>
      <w:bookmarkStart w:id="871" w:name="_Toc43475857"/>
      <w:bookmarkEnd w:id="871"/>
      <w:bookmarkStart w:id="872" w:name="_Toc386467129"/>
      <w:bookmarkEnd w:id="872"/>
      <w:bookmarkStart w:id="873" w:name="_Toc393546383"/>
      <w:bookmarkEnd w:id="873"/>
      <w:r>
        <w:rPr>
          <w:rFonts w:hint="eastAsia" w:ascii="宋体" w:eastAsia="宋体"/>
          <w:color w:val="auto"/>
          <w:szCs w:val="24"/>
          <w:highlight w:val="none"/>
        </w:rPr>
        <w:t>17.1 计量</w:t>
      </w:r>
    </w:p>
    <w:p w14:paraId="297A6E4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17.1.1 计量单位</w:t>
      </w:r>
    </w:p>
    <w:p w14:paraId="089F149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计量采用国家法定的计量单位。</w:t>
      </w:r>
    </w:p>
    <w:p w14:paraId="42628B1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17.1.2 计量方法</w:t>
      </w:r>
    </w:p>
    <w:p w14:paraId="5861FBC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工程量清单中的工程量计算规则应按有关国家标准、行业标准的规定，并在合同中约定执行。</w:t>
      </w:r>
    </w:p>
    <w:p w14:paraId="5626821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17.1.3 计量周期</w:t>
      </w:r>
    </w:p>
    <w:p w14:paraId="710AC7D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除专用合同条款另有约定外，单价子目已完成工程量按月计量，总价子目的计量周期按批准的支付分解报告确定。</w:t>
      </w:r>
    </w:p>
    <w:p w14:paraId="5D0734C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17.1.4 单价子目的计量</w:t>
      </w:r>
    </w:p>
    <w:p w14:paraId="0CE4456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（1）已标价工程量清单中的单价子目工程量为估算工程量。结算工程量是承包人实际完成的，并按合同约定的计量方法进行计量的工程量。</w:t>
      </w:r>
    </w:p>
    <w:p w14:paraId="110681F1">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（2）承包人对已完成的工程进行计量，向监理人提交进度付款申请单、已完成工程量报表和有关计量资料。</w:t>
      </w:r>
    </w:p>
    <w:p w14:paraId="53D05AB6">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监理人对承包人提交的工程量报表进行复核，以确定实际完成的工程量。对数量有异议的，可要求承包人按第8.2款约定进行共同复核和抽样复测。承包人应协助监理人进行复核并按监理人要求提供补充计量资料。承包人未按监理人要求参加复核，监理人复核或修正的工程量视为承包人实际完成的工程量。</w:t>
      </w:r>
    </w:p>
    <w:p w14:paraId="461BC95D">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（4）监理人认为有必要时，可通知承包人共同进行联合测量、计量，承包人应遵照执行。</w:t>
      </w:r>
    </w:p>
    <w:p w14:paraId="4C54DE0D">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607CF58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（6）监理人应在收到承包人提交的工程量报表后的7天内进行复核，监理人未在约定时间内复核的，承包人提交的工程量报表中的工程量视为承包人实际完成的工程量，据此计算工程价款。</w:t>
      </w:r>
    </w:p>
    <w:p w14:paraId="4311F05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17.1.5 总价子目的计量</w:t>
      </w:r>
    </w:p>
    <w:p w14:paraId="11CC0645">
      <w:pPr>
        <w:shd w:val="clear" w:fill="FFFFFF" w:themeFill="background1"/>
        <w:spacing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除专用合同条款另有约定外，总价子目的分解和计量按照下述约定进行。</w:t>
      </w:r>
    </w:p>
    <w:p w14:paraId="2576B9BB">
      <w:pPr>
        <w:shd w:val="clear" w:fill="FFFFFF" w:themeFill="background1"/>
        <w:spacing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（1）总价子目的计量和支付应以总价为基础，不因第16.1款中的因素而进行调整。承包人实际完成的工程量，是进行工程目标管理和控制进度支付的依据。</w:t>
      </w:r>
    </w:p>
    <w:p w14:paraId="75DC676C">
      <w:pPr>
        <w:shd w:val="clear" w:fill="FFFFFF" w:themeFill="background1"/>
        <w:spacing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2）承包人在合同约定的每个计量周期内，对已完成的工程进行计量，并向监理人提交进度付款申请单、专用合同条款约定的合同总价支付分解表所表示的阶段性或分项计量的支持性资料，以及所达到工程形象目标或分阶段需完成的工程量和有关计量资料。</w:t>
      </w:r>
    </w:p>
    <w:p w14:paraId="5659E032">
      <w:pPr>
        <w:shd w:val="clear" w:fill="FFFFFF" w:themeFill="background1"/>
        <w:spacing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（3）监理人对承包人提交的上述资料进行复核，以确定分阶段实际完成的工程量和工程形象目标。对其有异议的，可要求承包人按第8.2款约定进行共同复核和抽样复测。</w:t>
      </w:r>
    </w:p>
    <w:p w14:paraId="70733BCD">
      <w:pPr>
        <w:shd w:val="clear" w:fill="FFFFFF" w:themeFill="background1"/>
        <w:spacing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（4）除按照第15条约定的变更外，总价子目的工程量是承包人用于结算的最终工程量。 </w:t>
      </w:r>
    </w:p>
    <w:p w14:paraId="5AE29B85">
      <w:pPr>
        <w:pStyle w:val="67"/>
        <w:shd w:val="clear" w:fill="FFFFFF" w:themeFill="background1"/>
        <w:ind w:firstLine="118"/>
        <w:rPr>
          <w:rFonts w:ascii="宋体" w:eastAsia="宋体"/>
          <w:color w:val="auto"/>
          <w:szCs w:val="24"/>
          <w:highlight w:val="none"/>
        </w:rPr>
      </w:pPr>
      <w:bookmarkStart w:id="874" w:name="_Toc43475858"/>
      <w:bookmarkEnd w:id="874"/>
      <w:bookmarkStart w:id="875" w:name="_Toc393546384"/>
      <w:bookmarkEnd w:id="875"/>
      <w:bookmarkStart w:id="876" w:name="_Toc386467130"/>
      <w:bookmarkEnd w:id="876"/>
      <w:r>
        <w:rPr>
          <w:rFonts w:hint="eastAsia" w:ascii="宋体" w:eastAsia="宋体"/>
          <w:color w:val="auto"/>
          <w:szCs w:val="24"/>
          <w:highlight w:val="none"/>
        </w:rPr>
        <w:t>17.2 预付款</w:t>
      </w:r>
    </w:p>
    <w:p w14:paraId="6337179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17.2.1 预付款</w:t>
      </w:r>
    </w:p>
    <w:p w14:paraId="7E7896A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预付款用于承包人为合同工程施工购置材料、工程设备、施工设备、修建临时设施以及组织施工队伍进场等。预付款的额度和预付办法在专用合同条款中约定。预付款必须专用于合同工程。</w:t>
      </w:r>
    </w:p>
    <w:p w14:paraId="6618A60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17.2.2 预付款保函</w:t>
      </w:r>
    </w:p>
    <w:p w14:paraId="574773A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除专用合同条款另有约定外，承包人应在收到预付款的同时向发包人提交预付款保函，预付款保函的担保金额应与预付款金额相同。保函的担保金额可根据预付款扣回的金额相应递减。</w:t>
      </w:r>
    </w:p>
    <w:p w14:paraId="11C0BDC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17.2.3 预付款的扣回与还清</w:t>
      </w:r>
    </w:p>
    <w:p w14:paraId="3DCC033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预付款在进度付款中扣回，扣回办法在专用合同条款中约定。在颁发工程接收证书前，由于不可抗力或其他原因解除合同时，预付款尚未扣清的，尚未扣清的预付款余额应作为承包人的到期应付款。</w:t>
      </w:r>
    </w:p>
    <w:p w14:paraId="24BFE2F7">
      <w:pPr>
        <w:pStyle w:val="67"/>
        <w:shd w:val="clear" w:fill="FFFFFF" w:themeFill="background1"/>
        <w:ind w:firstLine="118"/>
        <w:rPr>
          <w:rFonts w:ascii="宋体" w:eastAsia="宋体"/>
          <w:color w:val="auto"/>
          <w:szCs w:val="24"/>
          <w:highlight w:val="none"/>
        </w:rPr>
      </w:pPr>
      <w:bookmarkStart w:id="877" w:name="_Toc393546385"/>
      <w:bookmarkEnd w:id="877"/>
      <w:bookmarkStart w:id="878" w:name="_Toc386467131"/>
      <w:bookmarkEnd w:id="878"/>
      <w:bookmarkStart w:id="879" w:name="_Toc43475859"/>
      <w:bookmarkEnd w:id="879"/>
      <w:r>
        <w:rPr>
          <w:rFonts w:hint="eastAsia" w:ascii="宋体" w:eastAsia="宋体"/>
          <w:color w:val="auto"/>
          <w:szCs w:val="24"/>
          <w:highlight w:val="none"/>
        </w:rPr>
        <w:t>17.3 工程进度付款</w:t>
      </w:r>
    </w:p>
    <w:p w14:paraId="52FBC00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17.3.1 付款周期</w:t>
      </w:r>
    </w:p>
    <w:p w14:paraId="406EC54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付款周期同计量周期。</w:t>
      </w:r>
    </w:p>
    <w:p w14:paraId="7696527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17.3.2 进度付款申请单</w:t>
      </w:r>
    </w:p>
    <w:p w14:paraId="2B854435">
      <w:pPr>
        <w:shd w:val="clear" w:fill="FFFFFF" w:themeFill="background1"/>
        <w:spacing w:line="400" w:lineRule="exact"/>
        <w:ind w:firstLine="480" w:firstLineChars="200"/>
        <w:rPr>
          <w:rFonts w:ascii="宋体" w:hAnsi="宋体" w:cs="宋体"/>
          <w:dstrike/>
          <w:color w:val="auto"/>
          <w:sz w:val="24"/>
          <w:highlight w:val="none"/>
        </w:rPr>
      </w:pPr>
      <w:r>
        <w:rPr>
          <w:rFonts w:hint="eastAsia" w:ascii="宋体" w:hAnsi="宋体" w:cs="宋体"/>
          <w:color w:val="auto"/>
          <w:sz w:val="24"/>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7E50E97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（1）截至本次付款周期末已实施工程的价款；</w:t>
      </w:r>
    </w:p>
    <w:p w14:paraId="08AD556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（2）根据第15条应增加和扣减的变更金额；</w:t>
      </w:r>
    </w:p>
    <w:p w14:paraId="2568DA9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（3）根据第23条应增加和扣减的索赔金额；</w:t>
      </w:r>
    </w:p>
    <w:p w14:paraId="16564C9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（4）根据第17.2款约定应支付的预付款和扣减的返还预付款；</w:t>
      </w:r>
    </w:p>
    <w:p w14:paraId="19E72E7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（5）根据第17.4.1项约定应扣减的质量保证金；</w:t>
      </w:r>
    </w:p>
    <w:p w14:paraId="347027D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（6）根据合同应增加和扣减的其他金额。</w:t>
      </w:r>
    </w:p>
    <w:p w14:paraId="75B3ED1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17.3.3 进度付款证书和支付时间</w:t>
      </w:r>
    </w:p>
    <w:p w14:paraId="2A6ACEB8">
      <w:pPr>
        <w:shd w:val="clear" w:fill="FFFFFF" w:themeFill="background1"/>
        <w:spacing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1）监理人在收到承包人进度付款申请单以及相应的支持性证明文件后的14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45DAFB62">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（2）发包人应在监理人收到进度付款申请单后的28天内，将进度应付款支付给承包人。发包人不按期支付的，按专用合同条款的约定支付逾期付款违约金。</w:t>
      </w:r>
    </w:p>
    <w:p w14:paraId="74C8C644">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（3）监理人出具进度付款证书，不应视为监理人已同意、批准或接受了承包人完成的该部分工作。</w:t>
      </w:r>
    </w:p>
    <w:p w14:paraId="56B2E03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（4）进度付款涉及政府投资资金的，按照国库集中支付等国家相关规定和专用合同条款的约定办理。</w:t>
      </w:r>
    </w:p>
    <w:p w14:paraId="3391F94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17.3.4 工程进度付款的修正</w:t>
      </w:r>
    </w:p>
    <w:p w14:paraId="35084BA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0FAA8C30">
      <w:pPr>
        <w:pStyle w:val="67"/>
        <w:shd w:val="clear" w:fill="FFFFFF" w:themeFill="background1"/>
        <w:ind w:firstLine="118"/>
        <w:rPr>
          <w:rFonts w:ascii="宋体" w:eastAsia="宋体"/>
          <w:color w:val="auto"/>
          <w:szCs w:val="24"/>
          <w:highlight w:val="none"/>
        </w:rPr>
      </w:pPr>
      <w:bookmarkStart w:id="880" w:name="_Toc43475860"/>
      <w:bookmarkEnd w:id="880"/>
      <w:bookmarkStart w:id="881" w:name="_Toc386467132"/>
      <w:bookmarkEnd w:id="881"/>
      <w:bookmarkStart w:id="882" w:name="_Toc393546386"/>
      <w:bookmarkEnd w:id="882"/>
      <w:r>
        <w:rPr>
          <w:rFonts w:hint="eastAsia" w:ascii="宋体" w:eastAsia="宋体"/>
          <w:color w:val="auto"/>
          <w:szCs w:val="24"/>
          <w:highlight w:val="none"/>
        </w:rPr>
        <w:t>17.4 质量保证金</w:t>
      </w:r>
    </w:p>
    <w:p w14:paraId="7AC290F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17.4.1 监理人应从第一个付款周期开始，在发包人的进度付款中，按专用合同条款的约定扣留质量保证金，直至扣留的质量保证金总额达到专用合同条款约定的金额或比例为止。质量保证金的计算额度不包括预付款的支付、扣回以及价格调整的金额。</w:t>
      </w:r>
    </w:p>
    <w:p w14:paraId="4742B36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17.4.2 在第1.1.4.5目约定的缺陷责任期满时，承包人向发包人申请到期应返还承包人剩余的质量保证金金额，发包人应在14天内会同承包人按照合同约定的内容核实承包人是否完成缺陷责任。如无异议，发包人应当在核实后将剩余保证金返还承包人。</w:t>
      </w:r>
    </w:p>
    <w:p w14:paraId="276C0EE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17.4.3 在第1.1.4.5目约定的缺陷责任期满时，承包人没有完成缺陷责任的，发包人有权扣留与未履行责任剩余工作所需金额相应的质量保证金余额，并有权根据第19.3款约定要求延长缺陷责任期，直至完成剩余工作为止。 </w:t>
      </w:r>
    </w:p>
    <w:p w14:paraId="0605D583">
      <w:pPr>
        <w:pStyle w:val="67"/>
        <w:shd w:val="clear" w:fill="FFFFFF" w:themeFill="background1"/>
        <w:ind w:firstLine="118"/>
        <w:rPr>
          <w:rFonts w:ascii="宋体" w:eastAsia="宋体"/>
          <w:color w:val="auto"/>
          <w:szCs w:val="24"/>
          <w:highlight w:val="none"/>
        </w:rPr>
      </w:pPr>
      <w:bookmarkStart w:id="883" w:name="_Toc43475861"/>
      <w:bookmarkEnd w:id="883"/>
      <w:bookmarkStart w:id="884" w:name="_Toc386467133"/>
      <w:bookmarkEnd w:id="884"/>
      <w:bookmarkStart w:id="885" w:name="_Toc393546387"/>
      <w:bookmarkEnd w:id="885"/>
      <w:r>
        <w:rPr>
          <w:rFonts w:hint="eastAsia" w:ascii="宋体" w:eastAsia="宋体"/>
          <w:color w:val="auto"/>
          <w:szCs w:val="24"/>
          <w:highlight w:val="none"/>
        </w:rPr>
        <w:t>17.5 竣工结算</w:t>
      </w:r>
    </w:p>
    <w:p w14:paraId="68EAB43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17.5.1 竣工付款申请单</w:t>
      </w:r>
    </w:p>
    <w:p w14:paraId="14BAD21A">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2374AED8">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（2）监理人对竣工付款申请单有异议的，有权要求承包人进行修正和提供补充资料。经监理人和承包人协商后，由承包人向监理人提交修正后的竣工付款申请单。</w:t>
      </w:r>
    </w:p>
    <w:p w14:paraId="1CF3991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17.5.2 竣工付款证书及支付时间</w:t>
      </w:r>
    </w:p>
    <w:p w14:paraId="2828A2E8">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184BF9DD">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（2）发包人应在监理人出具竣工付款证书后的14天内，将应支付款支付给承包人。发包人不按期支付的，按第17.3.3（2）目的约定，将逾期付款违约金支付给承包人。</w:t>
      </w:r>
    </w:p>
    <w:p w14:paraId="2F2F09C1">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（3）承包人对发包人签认的竣工付款证书有异议的，发包人可出具竣工付款申请单中承包人已同意部分的临时付款证书。存在争议的部分，按第24条的约定办理。</w:t>
      </w:r>
    </w:p>
    <w:p w14:paraId="30921491">
      <w:pPr>
        <w:shd w:val="clear" w:fill="FFFFFF" w:themeFill="background1"/>
        <w:spacing w:line="400" w:lineRule="exact"/>
        <w:ind w:firstLine="720" w:firstLineChars="300"/>
        <w:rPr>
          <w:rFonts w:ascii="宋体" w:hAnsi="宋体" w:cs="宋体"/>
          <w:color w:val="auto"/>
          <w:sz w:val="24"/>
          <w:highlight w:val="none"/>
        </w:rPr>
      </w:pPr>
      <w:r>
        <w:rPr>
          <w:rFonts w:hint="eastAsia" w:ascii="宋体" w:hAnsi="宋体" w:cs="宋体"/>
          <w:color w:val="auto"/>
          <w:sz w:val="24"/>
          <w:highlight w:val="none"/>
        </w:rPr>
        <w:t>（4）竣工付款涉及政府投资资金的，按第17.3.3（4）目的约定办理。</w:t>
      </w:r>
    </w:p>
    <w:p w14:paraId="37B71C14">
      <w:pPr>
        <w:pStyle w:val="67"/>
        <w:shd w:val="clear" w:fill="FFFFFF" w:themeFill="background1"/>
        <w:ind w:firstLine="118"/>
        <w:rPr>
          <w:rFonts w:ascii="宋体" w:eastAsia="宋体"/>
          <w:color w:val="auto"/>
          <w:szCs w:val="24"/>
          <w:highlight w:val="none"/>
        </w:rPr>
      </w:pPr>
      <w:bookmarkStart w:id="886" w:name="_Toc386467134"/>
      <w:bookmarkEnd w:id="886"/>
      <w:bookmarkStart w:id="887" w:name="_Toc43475862"/>
      <w:bookmarkEnd w:id="887"/>
      <w:bookmarkStart w:id="888" w:name="_Toc393546388"/>
      <w:bookmarkEnd w:id="888"/>
      <w:r>
        <w:rPr>
          <w:rFonts w:hint="eastAsia" w:ascii="宋体" w:eastAsia="宋体"/>
          <w:color w:val="auto"/>
          <w:szCs w:val="24"/>
          <w:highlight w:val="none"/>
        </w:rPr>
        <w:t>17.6 最终结清</w:t>
      </w:r>
    </w:p>
    <w:p w14:paraId="55BBA8A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17.6.1 最终结清申请单</w:t>
      </w:r>
    </w:p>
    <w:p w14:paraId="1E51F36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（1）缺陷责任期终止证书签发后，承包人可按专用合同条款约定的份数和期限向监理人提交最终结清申请单，并提供相关证明材料。</w:t>
      </w:r>
    </w:p>
    <w:p w14:paraId="6FEC022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（2）发包人对最终结清申请单内容有异议的，有权要求承包人进行修正和提供补充资料，由承包人向监理人提交修正后的最终结清申请单。</w:t>
      </w:r>
    </w:p>
    <w:p w14:paraId="2906F57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17.6.2 最终结清证书和支付时间</w:t>
      </w:r>
    </w:p>
    <w:p w14:paraId="7023BF38">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56961B0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（2）发包人应在监理人出具最终结清证书后的14天内，将应支付款支付给承包人。发包人不按期支付的，按第17.3.3（2）目的约定，将逾期付款违约金支付给承包人。</w:t>
      </w:r>
    </w:p>
    <w:p w14:paraId="7B993A0D">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（3）承包人对发包人签认的最终结清证书有异议的，按第24条的约定办理。</w:t>
      </w:r>
    </w:p>
    <w:p w14:paraId="0E366E3B">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（4）最终结清付款涉及政府投资资金的，按第17.3.3（4）目的约定办理。</w:t>
      </w:r>
    </w:p>
    <w:p w14:paraId="179AB95F">
      <w:pPr>
        <w:pStyle w:val="78"/>
        <w:shd w:val="clear" w:fill="FFFFFF" w:themeFill="background1"/>
        <w:rPr>
          <w:rFonts w:ascii="宋体" w:hAnsi="宋体"/>
          <w:color w:val="auto"/>
          <w:sz w:val="24"/>
          <w:szCs w:val="24"/>
          <w:highlight w:val="none"/>
        </w:rPr>
      </w:pPr>
      <w:bookmarkStart w:id="889" w:name="_Toc386467135"/>
      <w:bookmarkEnd w:id="889"/>
      <w:bookmarkStart w:id="890" w:name="_Toc393546389"/>
      <w:bookmarkEnd w:id="890"/>
      <w:bookmarkStart w:id="891" w:name="_Toc43475863"/>
      <w:bookmarkEnd w:id="891"/>
      <w:r>
        <w:rPr>
          <w:rFonts w:hint="eastAsia" w:ascii="宋体" w:hAnsi="宋体"/>
          <w:color w:val="auto"/>
          <w:sz w:val="24"/>
          <w:szCs w:val="24"/>
          <w:highlight w:val="none"/>
        </w:rPr>
        <w:t>18. 竣工验收</w:t>
      </w:r>
    </w:p>
    <w:p w14:paraId="2BA7F6BD">
      <w:pPr>
        <w:pStyle w:val="67"/>
        <w:shd w:val="clear" w:fill="FFFFFF" w:themeFill="background1"/>
        <w:ind w:firstLine="118"/>
        <w:rPr>
          <w:rFonts w:ascii="宋体" w:eastAsia="宋体"/>
          <w:color w:val="auto"/>
          <w:szCs w:val="24"/>
          <w:highlight w:val="none"/>
        </w:rPr>
      </w:pPr>
      <w:bookmarkStart w:id="892" w:name="_Toc43475864"/>
      <w:bookmarkEnd w:id="892"/>
      <w:bookmarkStart w:id="893" w:name="_Toc330406331"/>
      <w:bookmarkEnd w:id="893"/>
      <w:bookmarkStart w:id="894" w:name="_Toc386467136"/>
      <w:bookmarkEnd w:id="894"/>
      <w:bookmarkStart w:id="895" w:name="_Toc179632744"/>
      <w:bookmarkEnd w:id="895"/>
      <w:bookmarkStart w:id="896" w:name="_Toc393546390"/>
      <w:bookmarkEnd w:id="896"/>
      <w:bookmarkStart w:id="897" w:name="_Toc144974697"/>
      <w:bookmarkEnd w:id="897"/>
      <w:bookmarkStart w:id="898" w:name="_Toc152042505"/>
      <w:bookmarkEnd w:id="898"/>
      <w:bookmarkStart w:id="899" w:name="_Toc152045726"/>
      <w:bookmarkEnd w:id="899"/>
      <w:r>
        <w:rPr>
          <w:rFonts w:hint="eastAsia" w:ascii="宋体" w:eastAsia="宋体"/>
          <w:color w:val="auto"/>
          <w:szCs w:val="24"/>
          <w:highlight w:val="none"/>
        </w:rPr>
        <w:t>18.1 竣工验收的含义</w:t>
      </w:r>
    </w:p>
    <w:p w14:paraId="44933D7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18.1.1 竣工验收指承包人完成了全部合同工作后，发包人按合同要求进行的验收。</w:t>
      </w:r>
    </w:p>
    <w:p w14:paraId="3DED8C0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18.1.2 国家验收是政府有关部门根据法律、规范、规程和政策要求，针对发包人全面组织实施的整个工程正式交付投运前的验收。</w:t>
      </w:r>
    </w:p>
    <w:p w14:paraId="17BBAD6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18.1.3 需要进行国家验收的，竣工验收是国家验收的一部分。竣工验收所采用的各项验收和评定标准应符合国家验收标准。发包人和承包人为竣工验收提供的各项竣工验收资料应符合国家验收的要求。 </w:t>
      </w:r>
    </w:p>
    <w:p w14:paraId="19687090">
      <w:pPr>
        <w:pStyle w:val="67"/>
        <w:shd w:val="clear" w:fill="FFFFFF" w:themeFill="background1"/>
        <w:ind w:firstLine="118"/>
        <w:rPr>
          <w:rFonts w:ascii="宋体" w:eastAsia="宋体"/>
          <w:color w:val="auto"/>
          <w:szCs w:val="24"/>
          <w:highlight w:val="none"/>
        </w:rPr>
      </w:pPr>
      <w:bookmarkStart w:id="900" w:name="_Toc393546391"/>
      <w:bookmarkEnd w:id="900"/>
      <w:bookmarkStart w:id="901" w:name="_Toc386467137"/>
      <w:bookmarkEnd w:id="901"/>
      <w:bookmarkStart w:id="902" w:name="_Toc43475865"/>
      <w:bookmarkEnd w:id="902"/>
      <w:r>
        <w:rPr>
          <w:rFonts w:hint="eastAsia" w:ascii="宋体" w:eastAsia="宋体"/>
          <w:color w:val="auto"/>
          <w:szCs w:val="24"/>
          <w:highlight w:val="none"/>
        </w:rPr>
        <w:t>18.2 竣工验收申请报告</w:t>
      </w:r>
    </w:p>
    <w:p w14:paraId="2371043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当工程具备以下条件时，承包人即可向监理人报送竣工验收申请报告：</w:t>
      </w:r>
    </w:p>
    <w:p w14:paraId="0AC804FF">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（1）除监理人同意列入缺陷责任期内完成的尾工（甩项）工程和缺陷修补工作外，合同范围内的全部单位工程以及有关工作，包括合同要求的试验、试运行以及检验和验收均已完成，并符合合同要求；</w:t>
      </w:r>
    </w:p>
    <w:p w14:paraId="044B1122">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 xml:space="preserve">（2）已按合同约定的内容和份数备齐了符合要求的竣工资料； </w:t>
      </w:r>
    </w:p>
    <w:p w14:paraId="5F6C74FB">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（3）已按监理人的要求编制了在缺陷责任期内完成的尾工（甩项）工程和缺陷修补工作清单以及相应施工计划；</w:t>
      </w:r>
    </w:p>
    <w:p w14:paraId="0678FCEA">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（4）监理人要求在竣工验收前应完成的其他工作；</w:t>
      </w:r>
    </w:p>
    <w:p w14:paraId="570F8D28">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（5）监理人要求提交的竣工验收资料清单。</w:t>
      </w:r>
    </w:p>
    <w:p w14:paraId="61A14C48">
      <w:pPr>
        <w:pStyle w:val="67"/>
        <w:shd w:val="clear" w:fill="FFFFFF" w:themeFill="background1"/>
        <w:ind w:firstLine="118"/>
        <w:rPr>
          <w:rFonts w:ascii="宋体" w:eastAsia="宋体"/>
          <w:color w:val="auto"/>
          <w:szCs w:val="24"/>
          <w:highlight w:val="none"/>
        </w:rPr>
      </w:pPr>
      <w:bookmarkStart w:id="903" w:name="_Toc43475866"/>
      <w:bookmarkEnd w:id="903"/>
      <w:bookmarkStart w:id="904" w:name="_Toc393546392"/>
      <w:bookmarkEnd w:id="904"/>
      <w:bookmarkStart w:id="905" w:name="_Toc386467138"/>
      <w:bookmarkEnd w:id="905"/>
      <w:r>
        <w:rPr>
          <w:rFonts w:hint="eastAsia" w:ascii="宋体" w:eastAsia="宋体"/>
          <w:color w:val="auto"/>
          <w:szCs w:val="24"/>
          <w:highlight w:val="none"/>
        </w:rPr>
        <w:t>18.3 验收</w:t>
      </w:r>
    </w:p>
    <w:p w14:paraId="79C0DB5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监理人收到承包人按第18.2款约定提交的竣工验收申请报告后，应审查申请报告的各项内容，并按以下不同情况进行处理。</w:t>
      </w:r>
    </w:p>
    <w:p w14:paraId="7A885C0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w:t>
      </w:r>
    </w:p>
    <w:p w14:paraId="40A0F98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18.3.2 监理人审查后认为已具备竣工验收条件的，应在收到竣工验收申请报告后的28天内提请发包人进行工程验收。</w:t>
      </w:r>
    </w:p>
    <w:p w14:paraId="60BE882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18.3.3发包人经过验收后同意接受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1076252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18.3.4 发包人验收后不同意接收工程的，监理人应按照发包人的验收意见发出指示，要求承包人对不合格工程认真返工重作或进行补救处理，并承担由此产生的费用。承包人在完成不合格工程的返工重作或补救工作后，应重新提交竣工验收申请报告，按第18.3.1项、第18.3.2项和第18.3.3项的约定进行。</w:t>
      </w:r>
    </w:p>
    <w:p w14:paraId="419562F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18.3.5 除专用合同条款另有约定外，经验收合格工程的实际竣工日期，以提交竣工验收申请报告的日期为准，并在工程接收证书中写明。</w:t>
      </w:r>
    </w:p>
    <w:p w14:paraId="77C289C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18.3.6 发包人在收到承包人竣工验收申请报告56天后未进行验收的，视为验收合格，实际竣工日期以提交竣工验收申请报告的日期为准，但发包人由于不可抗力不能进行验收的除外。</w:t>
      </w:r>
    </w:p>
    <w:p w14:paraId="43E45BC8">
      <w:pPr>
        <w:pStyle w:val="67"/>
        <w:shd w:val="clear" w:fill="FFFFFF" w:themeFill="background1"/>
        <w:ind w:firstLine="118"/>
        <w:rPr>
          <w:rFonts w:ascii="宋体" w:eastAsia="宋体"/>
          <w:color w:val="auto"/>
          <w:szCs w:val="24"/>
          <w:highlight w:val="none"/>
        </w:rPr>
      </w:pPr>
      <w:bookmarkStart w:id="906" w:name="_Toc179632747"/>
      <w:bookmarkEnd w:id="906"/>
      <w:bookmarkStart w:id="907" w:name="_Toc144974700"/>
      <w:bookmarkEnd w:id="907"/>
      <w:bookmarkStart w:id="908" w:name="_Toc386467139"/>
      <w:bookmarkEnd w:id="908"/>
      <w:bookmarkStart w:id="909" w:name="_Toc152042508"/>
      <w:bookmarkEnd w:id="909"/>
      <w:bookmarkStart w:id="910" w:name="_Toc330406334"/>
      <w:bookmarkEnd w:id="910"/>
      <w:bookmarkStart w:id="911" w:name="_Toc393546393"/>
      <w:bookmarkEnd w:id="911"/>
      <w:bookmarkStart w:id="912" w:name="_Toc152045729"/>
      <w:bookmarkEnd w:id="912"/>
      <w:bookmarkStart w:id="913" w:name="_Toc43475867"/>
      <w:bookmarkEnd w:id="913"/>
      <w:r>
        <w:rPr>
          <w:rFonts w:hint="eastAsia" w:ascii="宋体" w:eastAsia="宋体"/>
          <w:color w:val="auto"/>
          <w:szCs w:val="24"/>
          <w:highlight w:val="none"/>
        </w:rPr>
        <w:t>18.4 单位工程验收</w:t>
      </w:r>
    </w:p>
    <w:p w14:paraId="7652074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18.4.1 发包人根据合同进度计划安排，在全部工程竣工前需要使用已经竣工的单位工程时，或承包人提出经发包人同意时，可进行单位工程验收。验收的程序可参照第18.2款与第18.3款的约定进行。验收合格后，由监理人向承包人出具经发包人签认的单位工程验收证书。已签发单位工程接收证书的单位工程由发包人负责照管。单位工程的验收成果和结论作为全部工程竣工验收申请报告的附件。</w:t>
      </w:r>
    </w:p>
    <w:p w14:paraId="3F4E1C6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18.4.2 发包人在全部工程竣工前，使用已接收的单位工程导致承包人费用增加的，发包人应承担由此增加的费用和（或）工期延误，并支付承包人合理利润。</w:t>
      </w:r>
    </w:p>
    <w:p w14:paraId="326F767C">
      <w:pPr>
        <w:pStyle w:val="67"/>
        <w:shd w:val="clear" w:fill="FFFFFF" w:themeFill="background1"/>
        <w:ind w:firstLine="118"/>
        <w:rPr>
          <w:rFonts w:ascii="宋体" w:eastAsia="宋体"/>
          <w:color w:val="auto"/>
          <w:szCs w:val="24"/>
          <w:highlight w:val="none"/>
        </w:rPr>
      </w:pPr>
      <w:bookmarkStart w:id="914" w:name="_Toc393546394"/>
      <w:bookmarkEnd w:id="914"/>
      <w:bookmarkStart w:id="915" w:name="_Toc330406335"/>
      <w:bookmarkEnd w:id="915"/>
      <w:bookmarkStart w:id="916" w:name="_Toc179632748"/>
      <w:bookmarkEnd w:id="916"/>
      <w:bookmarkStart w:id="917" w:name="_Toc43475868"/>
      <w:bookmarkEnd w:id="917"/>
      <w:bookmarkStart w:id="918" w:name="_Toc386467140"/>
      <w:bookmarkEnd w:id="918"/>
      <w:bookmarkStart w:id="919" w:name="_Toc144974701"/>
      <w:bookmarkEnd w:id="919"/>
      <w:bookmarkStart w:id="920" w:name="_Toc152042509"/>
      <w:bookmarkEnd w:id="920"/>
      <w:bookmarkStart w:id="921" w:name="_Toc152045730"/>
      <w:bookmarkEnd w:id="921"/>
      <w:r>
        <w:rPr>
          <w:rFonts w:hint="eastAsia" w:ascii="宋体" w:eastAsia="宋体"/>
          <w:color w:val="auto"/>
          <w:szCs w:val="24"/>
          <w:highlight w:val="none"/>
        </w:rPr>
        <w:t>18.5 施工期运行</w:t>
      </w:r>
    </w:p>
    <w:p w14:paraId="7CAEF4D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18.5.1 施工期运行是指合同工程尚未全部竣工，其中某项或某几项单位工程或工程设备安装已竣工，根据专用合同条款约定，需要投入施工期运行的，经发包人按第18.4款的约定验收合格，证明能确保安全后，才能在施工期投入运行。</w:t>
      </w:r>
    </w:p>
    <w:p w14:paraId="092E017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18.5.2 在施工期运行中发现工程或工程设备损坏或存在缺陷的，由承包人按第19.2款约定进行修复。</w:t>
      </w:r>
    </w:p>
    <w:p w14:paraId="0DE235D9">
      <w:pPr>
        <w:pStyle w:val="67"/>
        <w:shd w:val="clear" w:fill="FFFFFF" w:themeFill="background1"/>
        <w:ind w:firstLine="118"/>
        <w:rPr>
          <w:rFonts w:ascii="宋体" w:eastAsia="宋体"/>
          <w:color w:val="auto"/>
          <w:szCs w:val="24"/>
          <w:highlight w:val="none"/>
        </w:rPr>
      </w:pPr>
      <w:bookmarkStart w:id="922" w:name="_Toc43475869"/>
      <w:bookmarkEnd w:id="922"/>
      <w:bookmarkStart w:id="923" w:name="_Toc393546395"/>
      <w:bookmarkEnd w:id="923"/>
      <w:bookmarkStart w:id="924" w:name="_Toc179632749"/>
      <w:bookmarkEnd w:id="924"/>
      <w:bookmarkStart w:id="925" w:name="_Toc152045731"/>
      <w:bookmarkEnd w:id="925"/>
      <w:bookmarkStart w:id="926" w:name="_Toc144974702"/>
      <w:bookmarkEnd w:id="926"/>
      <w:bookmarkStart w:id="927" w:name="_Toc386467141"/>
      <w:bookmarkEnd w:id="927"/>
      <w:bookmarkStart w:id="928" w:name="_Toc330406336"/>
      <w:bookmarkEnd w:id="928"/>
      <w:bookmarkStart w:id="929" w:name="_Toc152042510"/>
      <w:bookmarkEnd w:id="929"/>
      <w:r>
        <w:rPr>
          <w:rFonts w:hint="eastAsia" w:ascii="宋体" w:eastAsia="宋体"/>
          <w:color w:val="auto"/>
          <w:szCs w:val="24"/>
          <w:highlight w:val="none"/>
        </w:rPr>
        <w:t>18.6 试运行</w:t>
      </w:r>
    </w:p>
    <w:p w14:paraId="7A57283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18.6.1 除专用合同条款另有约定外，承包人应按专用合同条款约定进行工程及工程设备试运行，负责提供试运行所需的人员、器材和必要的条件，并承担全部试运行费用。</w:t>
      </w:r>
    </w:p>
    <w:p w14:paraId="3B45A80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18.6.2 由于承包人的原因导致试运行失败的，承包人应采取措施保证试运行合格，并承担相应费用。由于发包人的原因导致试运行失败的，承包人应当采取措施保证试运行合格，发包人应承担由此产生的费用，并支付承包人合理利润。</w:t>
      </w:r>
    </w:p>
    <w:p w14:paraId="7A0DB8E4">
      <w:pPr>
        <w:pStyle w:val="67"/>
        <w:shd w:val="clear" w:fill="FFFFFF" w:themeFill="background1"/>
        <w:ind w:firstLine="118"/>
        <w:rPr>
          <w:rFonts w:ascii="宋体" w:eastAsia="宋体"/>
          <w:color w:val="auto"/>
          <w:szCs w:val="24"/>
          <w:highlight w:val="none"/>
        </w:rPr>
      </w:pPr>
      <w:bookmarkStart w:id="930" w:name="_Toc386467142"/>
      <w:bookmarkEnd w:id="930"/>
      <w:bookmarkStart w:id="931" w:name="_Toc179632750"/>
      <w:bookmarkEnd w:id="931"/>
      <w:bookmarkStart w:id="932" w:name="_Toc43475870"/>
      <w:bookmarkEnd w:id="932"/>
      <w:bookmarkStart w:id="933" w:name="_Toc393546396"/>
      <w:bookmarkEnd w:id="933"/>
      <w:bookmarkStart w:id="934" w:name="_Toc152045732"/>
      <w:bookmarkEnd w:id="934"/>
      <w:bookmarkStart w:id="935" w:name="_Toc152042511"/>
      <w:bookmarkEnd w:id="935"/>
      <w:bookmarkStart w:id="936" w:name="_Toc144974703"/>
      <w:bookmarkEnd w:id="936"/>
      <w:bookmarkStart w:id="937" w:name="_Toc330406337"/>
      <w:bookmarkEnd w:id="937"/>
      <w:r>
        <w:rPr>
          <w:rFonts w:hint="eastAsia" w:ascii="宋体" w:eastAsia="宋体"/>
          <w:color w:val="auto"/>
          <w:szCs w:val="24"/>
          <w:highlight w:val="none"/>
        </w:rPr>
        <w:t>18.7 竣工清场</w:t>
      </w:r>
    </w:p>
    <w:p w14:paraId="48764C6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18.7.1 除合同另有约定外，工程接收证书颁发后，承包人应按以下要求对施工场地进行清理，直至监理人检验合格为止。竣工清场费用由承包人承担。</w:t>
      </w:r>
    </w:p>
    <w:p w14:paraId="5B4E92E1">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（1）施工场地内残留的垃圾已全部清除出场；</w:t>
      </w:r>
    </w:p>
    <w:p w14:paraId="7C7F9D0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（2）临时工程已拆除，场地已按合同要求进行清理、平整或复原；</w:t>
      </w:r>
    </w:p>
    <w:p w14:paraId="4AB01433">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（3）按合同约定应撤离的承包人设备和剩余的材料，包括废弃的施工设备和材料，已按计划撤离施工场地；</w:t>
      </w:r>
    </w:p>
    <w:p w14:paraId="300F07D6">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（4）工程建筑物周边及其附近道路、河道的施工堆积物，已按监理人指示全部清理；</w:t>
      </w:r>
    </w:p>
    <w:p w14:paraId="78CEBA20">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（5）监理人指示的其他场地清理工作已全部完成。</w:t>
      </w:r>
    </w:p>
    <w:p w14:paraId="569F0A0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18.7.2 承包人未按监理人的要求恢复临时占地，或者场地清理未达到合同约定的，发包人有权委托其他人恢复或清理，所发生的金额从拟支付给承包人的款项中扣除。</w:t>
      </w:r>
    </w:p>
    <w:p w14:paraId="7A526A41">
      <w:pPr>
        <w:pStyle w:val="67"/>
        <w:shd w:val="clear" w:fill="FFFFFF" w:themeFill="background1"/>
        <w:ind w:firstLine="118"/>
        <w:rPr>
          <w:rFonts w:ascii="宋体" w:eastAsia="宋体"/>
          <w:color w:val="auto"/>
          <w:szCs w:val="24"/>
          <w:highlight w:val="none"/>
        </w:rPr>
      </w:pPr>
      <w:bookmarkStart w:id="938" w:name="_Toc393546397"/>
      <w:bookmarkEnd w:id="938"/>
      <w:bookmarkStart w:id="939" w:name="_Toc43475871"/>
      <w:bookmarkEnd w:id="939"/>
      <w:bookmarkStart w:id="940" w:name="_Toc386467143"/>
      <w:bookmarkEnd w:id="940"/>
      <w:r>
        <w:rPr>
          <w:rFonts w:hint="eastAsia" w:ascii="宋体" w:eastAsia="宋体"/>
          <w:color w:val="auto"/>
          <w:szCs w:val="24"/>
          <w:highlight w:val="none"/>
        </w:rPr>
        <w:t>18.8 施工队伍的撤离</w:t>
      </w:r>
    </w:p>
    <w:p w14:paraId="27B95E7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4AEE3E41">
      <w:pPr>
        <w:pStyle w:val="78"/>
        <w:shd w:val="clear" w:fill="FFFFFF" w:themeFill="background1"/>
        <w:rPr>
          <w:rFonts w:ascii="宋体" w:hAnsi="宋体"/>
          <w:color w:val="auto"/>
          <w:sz w:val="24"/>
          <w:szCs w:val="24"/>
          <w:highlight w:val="none"/>
        </w:rPr>
      </w:pPr>
      <w:bookmarkStart w:id="941" w:name="_Toc43475872"/>
      <w:bookmarkEnd w:id="941"/>
      <w:bookmarkStart w:id="942" w:name="_Toc393546398"/>
      <w:bookmarkEnd w:id="942"/>
      <w:bookmarkStart w:id="943" w:name="_Toc386467144"/>
      <w:bookmarkEnd w:id="943"/>
      <w:r>
        <w:rPr>
          <w:rFonts w:hint="eastAsia" w:ascii="宋体" w:hAnsi="宋体"/>
          <w:color w:val="auto"/>
          <w:sz w:val="24"/>
          <w:szCs w:val="24"/>
          <w:highlight w:val="none"/>
        </w:rPr>
        <w:t>19. 缺陷责任与保修责任</w:t>
      </w:r>
    </w:p>
    <w:p w14:paraId="0C512681">
      <w:pPr>
        <w:pStyle w:val="67"/>
        <w:shd w:val="clear" w:fill="FFFFFF" w:themeFill="background1"/>
        <w:ind w:firstLine="118"/>
        <w:rPr>
          <w:rFonts w:ascii="宋体" w:eastAsia="宋体"/>
          <w:color w:val="auto"/>
          <w:szCs w:val="24"/>
          <w:highlight w:val="none"/>
        </w:rPr>
      </w:pPr>
      <w:bookmarkStart w:id="944" w:name="_Toc43475873"/>
      <w:bookmarkEnd w:id="944"/>
      <w:bookmarkStart w:id="945" w:name="_Toc144974706"/>
      <w:bookmarkEnd w:id="945"/>
      <w:bookmarkStart w:id="946" w:name="_Toc386467145"/>
      <w:bookmarkEnd w:id="946"/>
      <w:bookmarkStart w:id="947" w:name="_Toc330406340"/>
      <w:bookmarkEnd w:id="947"/>
      <w:bookmarkStart w:id="948" w:name="_Toc179632753"/>
      <w:bookmarkEnd w:id="948"/>
      <w:bookmarkStart w:id="949" w:name="_Toc152045735"/>
      <w:bookmarkEnd w:id="949"/>
      <w:bookmarkStart w:id="950" w:name="_Toc393546399"/>
      <w:bookmarkEnd w:id="950"/>
      <w:bookmarkStart w:id="951" w:name="_Toc152042514"/>
      <w:bookmarkEnd w:id="951"/>
      <w:r>
        <w:rPr>
          <w:rFonts w:hint="eastAsia" w:ascii="宋体" w:eastAsia="宋体"/>
          <w:color w:val="auto"/>
          <w:szCs w:val="24"/>
          <w:highlight w:val="none"/>
        </w:rPr>
        <w:t>19.1 缺陷责任期的起算时间</w:t>
      </w:r>
    </w:p>
    <w:p w14:paraId="5606EC1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缺陷责任期自实际竣工日期起计算。在全部工程竣工验收前，已经发包人提前验收的单位工程，其缺陷责任期的起算日期相应提前。</w:t>
      </w:r>
    </w:p>
    <w:p w14:paraId="084519EB">
      <w:pPr>
        <w:pStyle w:val="67"/>
        <w:shd w:val="clear" w:fill="FFFFFF" w:themeFill="background1"/>
        <w:ind w:firstLine="118"/>
        <w:rPr>
          <w:rFonts w:ascii="宋体" w:eastAsia="宋体"/>
          <w:color w:val="auto"/>
          <w:szCs w:val="24"/>
          <w:highlight w:val="none"/>
        </w:rPr>
      </w:pPr>
      <w:bookmarkStart w:id="952" w:name="_Toc386467146"/>
      <w:bookmarkEnd w:id="952"/>
      <w:bookmarkStart w:id="953" w:name="_Toc393546400"/>
      <w:bookmarkEnd w:id="953"/>
      <w:bookmarkStart w:id="954" w:name="_Toc43475874"/>
      <w:bookmarkEnd w:id="954"/>
      <w:r>
        <w:rPr>
          <w:rFonts w:hint="eastAsia" w:ascii="宋体" w:eastAsia="宋体"/>
          <w:color w:val="auto"/>
          <w:szCs w:val="24"/>
          <w:highlight w:val="none"/>
        </w:rPr>
        <w:t>19.2 缺陷责任</w:t>
      </w:r>
    </w:p>
    <w:p w14:paraId="7A5AD27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19.2.1 承包人应在缺陷责任期内对已交付使用的工程承担缺陷责任。</w:t>
      </w:r>
    </w:p>
    <w:p w14:paraId="57CF244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798E8C5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5D7B1D5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19.2.4 承包人不能在合理时间内修复缺陷的，发包人可自行修复或委托其他人修复，所需费用和利润的承担，按第19.2.3项约定办理。</w:t>
      </w:r>
    </w:p>
    <w:p w14:paraId="317D1A65">
      <w:pPr>
        <w:pStyle w:val="67"/>
        <w:shd w:val="clear" w:fill="FFFFFF" w:themeFill="background1"/>
        <w:ind w:firstLine="118"/>
        <w:rPr>
          <w:rFonts w:ascii="宋体" w:eastAsia="宋体"/>
          <w:color w:val="auto"/>
          <w:szCs w:val="24"/>
          <w:highlight w:val="none"/>
        </w:rPr>
      </w:pPr>
      <w:bookmarkStart w:id="955" w:name="_Toc43475875"/>
      <w:bookmarkEnd w:id="955"/>
      <w:bookmarkStart w:id="956" w:name="_Toc386467147"/>
      <w:bookmarkEnd w:id="956"/>
      <w:bookmarkStart w:id="957" w:name="_Toc179632755"/>
      <w:bookmarkEnd w:id="957"/>
      <w:bookmarkStart w:id="958" w:name="_Toc144974708"/>
      <w:bookmarkEnd w:id="958"/>
      <w:bookmarkStart w:id="959" w:name="_Toc152042516"/>
      <w:bookmarkEnd w:id="959"/>
      <w:bookmarkStart w:id="960" w:name="_Toc393546401"/>
      <w:bookmarkEnd w:id="960"/>
      <w:bookmarkStart w:id="961" w:name="_Toc330406342"/>
      <w:bookmarkEnd w:id="961"/>
      <w:bookmarkStart w:id="962" w:name="_Toc152045737"/>
      <w:bookmarkEnd w:id="962"/>
      <w:r>
        <w:rPr>
          <w:rFonts w:hint="eastAsia" w:ascii="宋体" w:eastAsia="宋体"/>
          <w:color w:val="auto"/>
          <w:szCs w:val="24"/>
          <w:highlight w:val="none"/>
        </w:rPr>
        <w:t>19.3 缺陷责任期的延长</w:t>
      </w:r>
    </w:p>
    <w:p w14:paraId="240445E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由于承包人原因造成某项缺陷或损坏使某项工程或工程设备不能按原定目标使用而需要再次检查、检验和修复的，发包人有权要求承包人相应延长缺陷责任期，但缺陷责任期最长不超过2年。</w:t>
      </w:r>
    </w:p>
    <w:p w14:paraId="5BEDBB98">
      <w:pPr>
        <w:pStyle w:val="67"/>
        <w:shd w:val="clear" w:fill="FFFFFF" w:themeFill="background1"/>
        <w:ind w:firstLine="118"/>
        <w:rPr>
          <w:rFonts w:ascii="宋体" w:eastAsia="宋体"/>
          <w:color w:val="auto"/>
          <w:szCs w:val="24"/>
          <w:highlight w:val="none"/>
        </w:rPr>
      </w:pPr>
      <w:bookmarkStart w:id="963" w:name="_Toc393546402"/>
      <w:bookmarkEnd w:id="963"/>
      <w:bookmarkStart w:id="964" w:name="_Toc43475876"/>
      <w:bookmarkEnd w:id="964"/>
      <w:bookmarkStart w:id="965" w:name="_Toc152042517"/>
      <w:bookmarkEnd w:id="965"/>
      <w:bookmarkStart w:id="966" w:name="_Toc386467148"/>
      <w:bookmarkEnd w:id="966"/>
      <w:bookmarkStart w:id="967" w:name="_Toc179632756"/>
      <w:bookmarkEnd w:id="967"/>
      <w:bookmarkStart w:id="968" w:name="_Toc152045738"/>
      <w:bookmarkEnd w:id="968"/>
      <w:bookmarkStart w:id="969" w:name="_Toc144974709"/>
      <w:bookmarkEnd w:id="969"/>
      <w:bookmarkStart w:id="970" w:name="_Toc330406343"/>
      <w:bookmarkEnd w:id="970"/>
      <w:r>
        <w:rPr>
          <w:rFonts w:hint="eastAsia" w:ascii="宋体" w:eastAsia="宋体"/>
          <w:color w:val="auto"/>
          <w:szCs w:val="24"/>
          <w:highlight w:val="none"/>
        </w:rPr>
        <w:t>19.4 进一步试验和试运行</w:t>
      </w:r>
    </w:p>
    <w:p w14:paraId="37C86ED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任何一项缺陷或损坏修复后，经检查证明其影响了工程或工程设备的使用性能，承包人应重新进行合同约定的试验和试运行，试验和试运行的全部费用应由责任方承担。</w:t>
      </w:r>
    </w:p>
    <w:p w14:paraId="7A79226B">
      <w:pPr>
        <w:pStyle w:val="67"/>
        <w:shd w:val="clear" w:fill="FFFFFF" w:themeFill="background1"/>
        <w:ind w:firstLine="118"/>
        <w:rPr>
          <w:rFonts w:ascii="宋体" w:eastAsia="宋体"/>
          <w:color w:val="auto"/>
          <w:szCs w:val="24"/>
          <w:highlight w:val="none"/>
        </w:rPr>
      </w:pPr>
      <w:bookmarkStart w:id="971" w:name="_Toc386467149"/>
      <w:bookmarkEnd w:id="971"/>
      <w:bookmarkStart w:id="972" w:name="_Toc43475877"/>
      <w:bookmarkEnd w:id="972"/>
      <w:bookmarkStart w:id="973" w:name="_Toc393546403"/>
      <w:bookmarkEnd w:id="973"/>
      <w:r>
        <w:rPr>
          <w:rFonts w:hint="eastAsia" w:ascii="宋体" w:eastAsia="宋体"/>
          <w:color w:val="auto"/>
          <w:szCs w:val="24"/>
          <w:highlight w:val="none"/>
        </w:rPr>
        <w:t>19.5 承包人的进入权</w:t>
      </w:r>
    </w:p>
    <w:p w14:paraId="342CF6F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缺陷责任期内承包人为缺陷修复工作需要，有权进入工程现场，但应遵守发包人的保安和保密规定。</w:t>
      </w:r>
    </w:p>
    <w:p w14:paraId="147DD7C1">
      <w:pPr>
        <w:pStyle w:val="67"/>
        <w:shd w:val="clear" w:fill="FFFFFF" w:themeFill="background1"/>
        <w:ind w:firstLine="118"/>
        <w:rPr>
          <w:rFonts w:ascii="宋体" w:eastAsia="宋体"/>
          <w:color w:val="auto"/>
          <w:szCs w:val="24"/>
          <w:highlight w:val="none"/>
        </w:rPr>
      </w:pPr>
      <w:bookmarkStart w:id="974" w:name="_Toc152045740"/>
      <w:bookmarkEnd w:id="974"/>
      <w:bookmarkStart w:id="975" w:name="_Toc386467150"/>
      <w:bookmarkEnd w:id="975"/>
      <w:bookmarkStart w:id="976" w:name="_Toc393546404"/>
      <w:bookmarkEnd w:id="976"/>
      <w:bookmarkStart w:id="977" w:name="_Toc43475878"/>
      <w:bookmarkEnd w:id="977"/>
      <w:bookmarkStart w:id="978" w:name="_Toc179632758"/>
      <w:bookmarkEnd w:id="978"/>
      <w:bookmarkStart w:id="979" w:name="_Toc144974711"/>
      <w:bookmarkEnd w:id="979"/>
      <w:bookmarkStart w:id="980" w:name="_Toc330406345"/>
      <w:bookmarkEnd w:id="980"/>
      <w:bookmarkStart w:id="981" w:name="_Toc152042519"/>
      <w:bookmarkEnd w:id="981"/>
      <w:r>
        <w:rPr>
          <w:rFonts w:hint="eastAsia" w:ascii="宋体" w:eastAsia="宋体"/>
          <w:color w:val="auto"/>
          <w:szCs w:val="24"/>
          <w:highlight w:val="none"/>
        </w:rPr>
        <w:t>19.6 缺陷责任期终止证书</w:t>
      </w:r>
    </w:p>
    <w:p w14:paraId="3DEBE57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在第1.1.4.5目约定的缺陷责任期，包括根据第19.3款延长的期限终止后14天内，由监理人向承包人出具经发包人签认的缺陷责任期终止证书，并退还剩余的质量保证金。</w:t>
      </w:r>
    </w:p>
    <w:p w14:paraId="46850AA7">
      <w:pPr>
        <w:pStyle w:val="67"/>
        <w:shd w:val="clear" w:fill="FFFFFF" w:themeFill="background1"/>
        <w:ind w:firstLine="118"/>
        <w:rPr>
          <w:rFonts w:ascii="宋体" w:eastAsia="宋体"/>
          <w:color w:val="auto"/>
          <w:szCs w:val="24"/>
          <w:highlight w:val="none"/>
        </w:rPr>
      </w:pPr>
      <w:bookmarkStart w:id="982" w:name="_Toc393546405"/>
      <w:bookmarkEnd w:id="982"/>
      <w:bookmarkStart w:id="983" w:name="_Toc43475879"/>
      <w:bookmarkEnd w:id="983"/>
      <w:bookmarkStart w:id="984" w:name="_Toc386467151"/>
      <w:bookmarkEnd w:id="984"/>
      <w:r>
        <w:rPr>
          <w:rFonts w:hint="eastAsia" w:ascii="宋体" w:eastAsia="宋体"/>
          <w:color w:val="auto"/>
          <w:szCs w:val="24"/>
          <w:highlight w:val="none"/>
        </w:rPr>
        <w:t>19.7 保修责任</w:t>
      </w:r>
    </w:p>
    <w:p w14:paraId="1EEC7EA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合同当事人根据有关法律规定，在专用合同条款中约定工程质量保修范围、期限和责任。保修期自实际竣工日期起计算。在全部工程竣工验收前，已经发包人提前验收的单位工程，其保修期的起算日期相应提前。</w:t>
      </w:r>
    </w:p>
    <w:p w14:paraId="1D215408">
      <w:pPr>
        <w:pStyle w:val="78"/>
        <w:shd w:val="clear" w:fill="FFFFFF" w:themeFill="background1"/>
        <w:rPr>
          <w:rFonts w:ascii="宋体" w:hAnsi="宋体"/>
          <w:color w:val="auto"/>
          <w:sz w:val="24"/>
          <w:szCs w:val="24"/>
          <w:highlight w:val="none"/>
        </w:rPr>
      </w:pPr>
      <w:bookmarkStart w:id="985" w:name="_Toc386467152"/>
      <w:bookmarkEnd w:id="985"/>
      <w:bookmarkStart w:id="986" w:name="_Toc43475880"/>
      <w:bookmarkEnd w:id="986"/>
      <w:bookmarkStart w:id="987" w:name="_Toc393546406"/>
      <w:bookmarkEnd w:id="987"/>
      <w:r>
        <w:rPr>
          <w:rFonts w:hint="eastAsia" w:ascii="宋体" w:hAnsi="宋体"/>
          <w:color w:val="auto"/>
          <w:sz w:val="24"/>
          <w:szCs w:val="24"/>
          <w:highlight w:val="none"/>
        </w:rPr>
        <w:t>20. 保险</w:t>
      </w:r>
    </w:p>
    <w:p w14:paraId="12FF0438">
      <w:pPr>
        <w:pStyle w:val="67"/>
        <w:shd w:val="clear" w:fill="FFFFFF" w:themeFill="background1"/>
        <w:ind w:firstLine="118"/>
        <w:rPr>
          <w:rFonts w:ascii="宋体" w:eastAsia="宋体"/>
          <w:color w:val="auto"/>
          <w:szCs w:val="24"/>
          <w:highlight w:val="none"/>
        </w:rPr>
      </w:pPr>
      <w:bookmarkStart w:id="988" w:name="_Toc386467153"/>
      <w:bookmarkEnd w:id="988"/>
      <w:bookmarkStart w:id="989" w:name="_Toc393546407"/>
      <w:bookmarkEnd w:id="989"/>
      <w:bookmarkStart w:id="990" w:name="_Toc43475881"/>
      <w:bookmarkEnd w:id="990"/>
      <w:r>
        <w:rPr>
          <w:rFonts w:hint="eastAsia" w:ascii="宋体" w:eastAsia="宋体"/>
          <w:color w:val="auto"/>
          <w:szCs w:val="24"/>
          <w:highlight w:val="none"/>
        </w:rPr>
        <w:t>20.1 工程保险</w:t>
      </w:r>
    </w:p>
    <w:p w14:paraId="31E6816E">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承包人应以发包人和承包人的共同名义向双方同意的保险人投保建筑工程一切险、安装工程一切险。其具体的投保内容、保险金额、保险费率、保险期限等有关内容在专用合同条款中约定。</w:t>
      </w:r>
    </w:p>
    <w:p w14:paraId="67F28B27">
      <w:pPr>
        <w:pStyle w:val="67"/>
        <w:shd w:val="clear" w:fill="FFFFFF" w:themeFill="background1"/>
        <w:ind w:firstLine="118"/>
        <w:rPr>
          <w:rFonts w:ascii="宋体" w:eastAsia="宋体"/>
          <w:color w:val="auto"/>
          <w:szCs w:val="24"/>
          <w:highlight w:val="none"/>
        </w:rPr>
      </w:pPr>
      <w:bookmarkStart w:id="991" w:name="_Toc144974715"/>
      <w:bookmarkEnd w:id="991"/>
      <w:bookmarkStart w:id="992" w:name="_Toc152045744"/>
      <w:bookmarkEnd w:id="992"/>
      <w:bookmarkStart w:id="993" w:name="_Toc43475882"/>
      <w:bookmarkEnd w:id="993"/>
      <w:bookmarkStart w:id="994" w:name="_Toc386467154"/>
      <w:bookmarkEnd w:id="994"/>
      <w:bookmarkStart w:id="995" w:name="_Toc152042523"/>
      <w:bookmarkEnd w:id="995"/>
      <w:bookmarkStart w:id="996" w:name="_Toc330406349"/>
      <w:bookmarkEnd w:id="996"/>
      <w:bookmarkStart w:id="997" w:name="_Toc393546408"/>
      <w:bookmarkEnd w:id="997"/>
      <w:bookmarkStart w:id="998" w:name="_Toc179632762"/>
      <w:bookmarkEnd w:id="998"/>
      <w:r>
        <w:rPr>
          <w:rFonts w:hint="eastAsia" w:ascii="宋体" w:eastAsia="宋体"/>
          <w:color w:val="auto"/>
          <w:szCs w:val="24"/>
          <w:highlight w:val="none"/>
        </w:rPr>
        <w:t>20.2 人员工伤事故的保险</w:t>
      </w:r>
    </w:p>
    <w:p w14:paraId="002E8B19">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20.2.1 承包人员工伤事故的保险</w:t>
      </w:r>
    </w:p>
    <w:p w14:paraId="7CC4D899">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承包人应依照有关法律规定参加工伤保险，为其履行合同所雇佣的全部人员，缴纳工伤保险费，并要求其分包人也进行此项保险。</w:t>
      </w:r>
    </w:p>
    <w:p w14:paraId="5E0D18D9">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20.2.2 发包人员工伤事故的保险</w:t>
      </w:r>
    </w:p>
    <w:p w14:paraId="0C17FE3D">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发包人应依照有关法律规定参加工伤保险，为其现场机构雇佣的全部人员，缴纳工伤保险费，并要求其监理人也进行此项保险。</w:t>
      </w:r>
    </w:p>
    <w:p w14:paraId="237D0B76">
      <w:pPr>
        <w:pStyle w:val="67"/>
        <w:shd w:val="clear" w:fill="FFFFFF" w:themeFill="background1"/>
        <w:ind w:firstLine="118"/>
        <w:rPr>
          <w:rFonts w:ascii="宋体" w:eastAsia="宋体"/>
          <w:color w:val="auto"/>
          <w:szCs w:val="24"/>
          <w:highlight w:val="none"/>
        </w:rPr>
      </w:pPr>
      <w:bookmarkStart w:id="999" w:name="_Toc43475883"/>
      <w:bookmarkEnd w:id="999"/>
      <w:bookmarkStart w:id="1000" w:name="_Toc152045745"/>
      <w:bookmarkEnd w:id="1000"/>
      <w:bookmarkStart w:id="1001" w:name="_Toc144974716"/>
      <w:bookmarkEnd w:id="1001"/>
      <w:bookmarkStart w:id="1002" w:name="_Toc386467155"/>
      <w:bookmarkEnd w:id="1002"/>
      <w:bookmarkStart w:id="1003" w:name="_Toc330406350"/>
      <w:bookmarkEnd w:id="1003"/>
      <w:bookmarkStart w:id="1004" w:name="_Toc393546409"/>
      <w:bookmarkEnd w:id="1004"/>
      <w:bookmarkStart w:id="1005" w:name="_Toc179632763"/>
      <w:bookmarkEnd w:id="1005"/>
      <w:bookmarkStart w:id="1006" w:name="_Toc152042524"/>
      <w:bookmarkEnd w:id="1006"/>
      <w:r>
        <w:rPr>
          <w:rFonts w:hint="eastAsia" w:ascii="宋体" w:eastAsia="宋体"/>
          <w:color w:val="auto"/>
          <w:szCs w:val="24"/>
          <w:highlight w:val="none"/>
        </w:rPr>
        <w:t>20.3 人身意外伤害险</w:t>
      </w:r>
    </w:p>
    <w:p w14:paraId="64D40CE4">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20.3.1 发包人应在整个施工期间为其现场机构雇用的全部人员，投保人身意外伤害险，缴纳保险费，并要求其监理人也进行此项保险。</w:t>
      </w:r>
    </w:p>
    <w:p w14:paraId="45CC4CD2">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20.3.2 承包人应在整个施工期间为其现场机构雇用的全部人员，投保人身意外伤害险，缴纳保险费，并要求其分包人也进行此项保险。</w:t>
      </w:r>
    </w:p>
    <w:p w14:paraId="6D5A9526">
      <w:pPr>
        <w:pStyle w:val="67"/>
        <w:shd w:val="clear" w:fill="FFFFFF" w:themeFill="background1"/>
        <w:ind w:firstLine="118"/>
        <w:rPr>
          <w:rFonts w:ascii="宋体" w:eastAsia="宋体"/>
          <w:color w:val="auto"/>
          <w:szCs w:val="24"/>
          <w:highlight w:val="none"/>
        </w:rPr>
      </w:pPr>
      <w:bookmarkStart w:id="1007" w:name="_Toc393546410"/>
      <w:bookmarkEnd w:id="1007"/>
      <w:bookmarkStart w:id="1008" w:name="_Toc43475884"/>
      <w:bookmarkEnd w:id="1008"/>
      <w:bookmarkStart w:id="1009" w:name="_Toc386467156"/>
      <w:bookmarkEnd w:id="1009"/>
      <w:r>
        <w:rPr>
          <w:rFonts w:hint="eastAsia" w:ascii="宋体" w:eastAsia="宋体"/>
          <w:color w:val="auto"/>
          <w:szCs w:val="24"/>
          <w:highlight w:val="none"/>
        </w:rPr>
        <w:t>20.4 第三者责任险</w:t>
      </w:r>
    </w:p>
    <w:p w14:paraId="30798355">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20.4.1 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55AE6FA9">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20.4.2 在缺陷责任期终止证书颁发前，承包人应以承包人和发包人的共同名义，投保第20.4.1项约定的第三者责任险，其保险费率、保险金额等有关内容在专用合同条款中约定。</w:t>
      </w:r>
    </w:p>
    <w:p w14:paraId="0F8C69A4">
      <w:pPr>
        <w:pStyle w:val="67"/>
        <w:shd w:val="clear" w:fill="FFFFFF" w:themeFill="background1"/>
        <w:ind w:firstLine="118"/>
        <w:rPr>
          <w:rFonts w:ascii="宋体" w:eastAsia="宋体"/>
          <w:color w:val="auto"/>
          <w:szCs w:val="24"/>
          <w:highlight w:val="none"/>
        </w:rPr>
      </w:pPr>
      <w:bookmarkStart w:id="1010" w:name="_Toc393546411"/>
      <w:bookmarkEnd w:id="1010"/>
      <w:bookmarkStart w:id="1011" w:name="_Toc43475885"/>
      <w:bookmarkEnd w:id="1011"/>
      <w:bookmarkStart w:id="1012" w:name="_Toc386467157"/>
      <w:bookmarkEnd w:id="1012"/>
      <w:r>
        <w:rPr>
          <w:rFonts w:hint="eastAsia" w:ascii="宋体" w:eastAsia="宋体"/>
          <w:color w:val="auto"/>
          <w:szCs w:val="24"/>
          <w:highlight w:val="none"/>
        </w:rPr>
        <w:t>20.5 其他保险</w:t>
      </w:r>
    </w:p>
    <w:p w14:paraId="6B462093">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除专用合同条款另有约定外，承包人应为其施工设备、进场的材料和工程设备等办理保险。</w:t>
      </w:r>
    </w:p>
    <w:p w14:paraId="1AF53551">
      <w:pPr>
        <w:pStyle w:val="67"/>
        <w:shd w:val="clear" w:fill="FFFFFF" w:themeFill="background1"/>
        <w:ind w:firstLine="118"/>
        <w:rPr>
          <w:rFonts w:ascii="宋体" w:eastAsia="宋体"/>
          <w:color w:val="auto"/>
          <w:szCs w:val="24"/>
          <w:highlight w:val="none"/>
        </w:rPr>
      </w:pPr>
      <w:bookmarkStart w:id="1013" w:name="_Toc43475886"/>
      <w:bookmarkEnd w:id="1013"/>
      <w:bookmarkStart w:id="1014" w:name="_Toc393546412"/>
      <w:bookmarkEnd w:id="1014"/>
      <w:bookmarkStart w:id="1015" w:name="_Toc386467158"/>
      <w:bookmarkEnd w:id="1015"/>
      <w:r>
        <w:rPr>
          <w:rFonts w:hint="eastAsia" w:ascii="宋体" w:eastAsia="宋体"/>
          <w:color w:val="auto"/>
          <w:szCs w:val="24"/>
          <w:highlight w:val="none"/>
        </w:rPr>
        <w:t>20.6 对各项保险的一般要求</w:t>
      </w:r>
    </w:p>
    <w:p w14:paraId="6724C0AA">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20.6.1 保险凭证</w:t>
      </w:r>
    </w:p>
    <w:p w14:paraId="3404B310">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承包人应在专用合同条款约定的期限内向发包人提交各项保险生效的证据和保险单副本，保险单必须与专用合同条款约定的条件保持一致。</w:t>
      </w:r>
    </w:p>
    <w:p w14:paraId="21347F17">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20.6.2 保险合同条款的变动</w:t>
      </w:r>
    </w:p>
    <w:p w14:paraId="7912791E">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承包人需要变动保险合同条款时，应事先征得发包人同意，并通知监理人。保险人作出变动的，承包人应在收到保险人通知后立即通知发包人和监理人。</w:t>
      </w:r>
    </w:p>
    <w:p w14:paraId="60ED52B1">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20.6.3 持续保险</w:t>
      </w:r>
    </w:p>
    <w:p w14:paraId="2EFFEF76">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承包人应与保险人保持联系，使保险人能够随时了解工程实施中的变动，并确保按保险合同条款要求持续保险。</w:t>
      </w:r>
    </w:p>
    <w:p w14:paraId="4B40169F">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20.6.4 保险金不足的补偿</w:t>
      </w:r>
    </w:p>
    <w:p w14:paraId="08668569">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保险金不足以补偿损失的，应由承包人和（或）发包人按合同约定负责补偿。</w:t>
      </w:r>
    </w:p>
    <w:p w14:paraId="320793C7">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20.6.5 未按约定投保的补救</w:t>
      </w:r>
    </w:p>
    <w:p w14:paraId="22D8F178">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（1）由于负有投保义务的一方当事人未按合同约定办理保险，或未能使保险持续有效的，另一方当事人可代为办理，所需费用由对方当事人承担。</w:t>
      </w:r>
    </w:p>
    <w:p w14:paraId="1D5369D1">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（2）由于负有投保义务的一方当事人未按合同约定办理某项保险，导致受益人未能得到保险人的赔偿，原应从该项保险得到的保险金应由负有投保义务的一方当事人支付。</w:t>
      </w:r>
    </w:p>
    <w:p w14:paraId="1960EDB4">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20.6.6 报告义务</w:t>
      </w:r>
    </w:p>
    <w:p w14:paraId="6A19389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当保险事故发生时，投保人应按照保险单规定的条件和期限及时向保险人报告。</w:t>
      </w:r>
    </w:p>
    <w:p w14:paraId="36D6C870">
      <w:pPr>
        <w:pStyle w:val="78"/>
        <w:shd w:val="clear" w:fill="FFFFFF" w:themeFill="background1"/>
        <w:rPr>
          <w:rFonts w:ascii="宋体" w:hAnsi="宋体"/>
          <w:color w:val="auto"/>
          <w:sz w:val="24"/>
          <w:szCs w:val="24"/>
          <w:highlight w:val="none"/>
        </w:rPr>
      </w:pPr>
      <w:bookmarkStart w:id="1016" w:name="_Toc393546413"/>
      <w:bookmarkEnd w:id="1016"/>
      <w:bookmarkStart w:id="1017" w:name="_Toc386467159"/>
      <w:bookmarkEnd w:id="1017"/>
      <w:bookmarkStart w:id="1018" w:name="_Toc43475887"/>
      <w:bookmarkEnd w:id="1018"/>
      <w:r>
        <w:rPr>
          <w:rFonts w:hint="eastAsia" w:ascii="宋体" w:hAnsi="宋体"/>
          <w:color w:val="auto"/>
          <w:sz w:val="24"/>
          <w:szCs w:val="24"/>
          <w:highlight w:val="none"/>
        </w:rPr>
        <w:t>21. 不可抗力</w:t>
      </w:r>
    </w:p>
    <w:p w14:paraId="2A346DB3">
      <w:pPr>
        <w:pStyle w:val="67"/>
        <w:shd w:val="clear" w:fill="FFFFFF" w:themeFill="background1"/>
        <w:ind w:firstLine="118"/>
        <w:rPr>
          <w:rFonts w:ascii="宋体" w:eastAsia="宋体"/>
          <w:color w:val="auto"/>
          <w:szCs w:val="24"/>
          <w:highlight w:val="none"/>
        </w:rPr>
      </w:pPr>
      <w:bookmarkStart w:id="1019" w:name="_Toc43475888"/>
      <w:bookmarkEnd w:id="1019"/>
      <w:bookmarkStart w:id="1020" w:name="_Toc393546414"/>
      <w:bookmarkEnd w:id="1020"/>
      <w:bookmarkStart w:id="1021" w:name="_Toc386467160"/>
      <w:bookmarkEnd w:id="1021"/>
      <w:r>
        <w:rPr>
          <w:rFonts w:hint="eastAsia" w:ascii="宋体" w:eastAsia="宋体"/>
          <w:color w:val="auto"/>
          <w:szCs w:val="24"/>
          <w:highlight w:val="none"/>
        </w:rPr>
        <w:t>21.1 不可抗力的确认</w:t>
      </w:r>
    </w:p>
    <w:p w14:paraId="67E7583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21.1.1 不可抗力是指承包人和发包人在订立合同时不可预见，在工程施工过程中不可避免发生并不能克服的自然灾害和社会性突发事件，如地震、海啸、瘟疫、水灾、骚乱、暴动、战争和专用合同条款约定的其他情形。</w:t>
      </w:r>
    </w:p>
    <w:p w14:paraId="3584C7D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21.1.2 不可抗力发生后，发包人和承包人应及时认真统计所造成的损失，收集不可抗力造成损失的证据。合同双方对是否属于不可抗力或其损失的意见不一致的，由监理人按第3.5款商定或确定。发生争议时，按第24条的约定办理。</w:t>
      </w:r>
    </w:p>
    <w:p w14:paraId="6B02F7B2">
      <w:pPr>
        <w:pStyle w:val="67"/>
        <w:shd w:val="clear" w:fill="FFFFFF" w:themeFill="background1"/>
        <w:ind w:firstLine="118"/>
        <w:rPr>
          <w:rFonts w:ascii="宋体" w:eastAsia="宋体"/>
          <w:color w:val="auto"/>
          <w:szCs w:val="24"/>
          <w:highlight w:val="none"/>
        </w:rPr>
      </w:pPr>
      <w:bookmarkStart w:id="1022" w:name="_Toc43475889"/>
      <w:bookmarkEnd w:id="1022"/>
      <w:bookmarkStart w:id="1023" w:name="_Toc386467161"/>
      <w:bookmarkEnd w:id="1023"/>
      <w:bookmarkStart w:id="1024" w:name="_Toc152045751"/>
      <w:bookmarkEnd w:id="1024"/>
      <w:bookmarkStart w:id="1025" w:name="_Toc144974722"/>
      <w:bookmarkEnd w:id="1025"/>
      <w:bookmarkStart w:id="1026" w:name="_Toc152042530"/>
      <w:bookmarkEnd w:id="1026"/>
      <w:bookmarkStart w:id="1027" w:name="_Toc179632769"/>
      <w:bookmarkEnd w:id="1027"/>
      <w:bookmarkStart w:id="1028" w:name="_Toc393546415"/>
      <w:bookmarkEnd w:id="1028"/>
      <w:bookmarkStart w:id="1029" w:name="_Toc330406356"/>
      <w:bookmarkEnd w:id="1029"/>
      <w:r>
        <w:rPr>
          <w:rFonts w:hint="eastAsia" w:ascii="宋体" w:eastAsia="宋体"/>
          <w:color w:val="auto"/>
          <w:szCs w:val="24"/>
          <w:highlight w:val="none"/>
        </w:rPr>
        <w:t>21.2 不可抗力的通知</w:t>
      </w:r>
    </w:p>
    <w:p w14:paraId="23B5C69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21.2.1 合同一方当事人遇到不可抗力事件，使其履行合同义务受到阻碍时，应立即通知合同另一方当事人和监理人，书面说明不可抗力和受阻碍的详细情况，并提供必要的证明。</w:t>
      </w:r>
    </w:p>
    <w:p w14:paraId="6084DCC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21.2.2 如不可抗力持续发生，合同一方当事人应及时向合同另一方当事人和监理人提交中间报告，说明不可抗力和履行合同受阻的情况，并于不可抗力事件结束后28天内提交最终报告及有关资料。</w:t>
      </w:r>
    </w:p>
    <w:p w14:paraId="798FCDF1">
      <w:pPr>
        <w:pStyle w:val="67"/>
        <w:shd w:val="clear" w:fill="FFFFFF" w:themeFill="background1"/>
        <w:ind w:firstLine="118"/>
        <w:rPr>
          <w:rFonts w:ascii="宋体" w:eastAsia="宋体"/>
          <w:color w:val="auto"/>
          <w:szCs w:val="24"/>
          <w:highlight w:val="none"/>
        </w:rPr>
      </w:pPr>
      <w:bookmarkStart w:id="1030" w:name="_Toc386467162"/>
      <w:bookmarkEnd w:id="1030"/>
      <w:bookmarkStart w:id="1031" w:name="_Toc43475890"/>
      <w:bookmarkEnd w:id="1031"/>
      <w:bookmarkStart w:id="1032" w:name="_Toc393546416"/>
      <w:bookmarkEnd w:id="1032"/>
      <w:r>
        <w:rPr>
          <w:rFonts w:hint="eastAsia" w:ascii="宋体" w:eastAsia="宋体"/>
          <w:color w:val="auto"/>
          <w:szCs w:val="24"/>
          <w:highlight w:val="none"/>
        </w:rPr>
        <w:t>21.3 不可抗力后果及其处理</w:t>
      </w:r>
    </w:p>
    <w:p w14:paraId="3F0FD884">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21.3.1 不可抗力造成损害的责任</w:t>
      </w:r>
    </w:p>
    <w:p w14:paraId="2D9BCB0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除专用合同条款另有约定外，不可抗力导致的人员伤亡、财产损失、费用增加和（或）工期延误等后果，由合同双方按以下原则承担：</w:t>
      </w:r>
    </w:p>
    <w:p w14:paraId="0A23B4A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（1）永久工程，包括已运至施工场地的材料和工程设备的损害，以及因工程损害造成的第三者人员伤亡和财产损失由发包人承担；</w:t>
      </w:r>
    </w:p>
    <w:p w14:paraId="00148A8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（2）承包人设备的损坏由承包人承担；</w:t>
      </w:r>
    </w:p>
    <w:p w14:paraId="458E96E6">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（3）发包人和承包人各自承担其人员伤亡和其他财产损失及其相关费用；</w:t>
      </w:r>
    </w:p>
    <w:p w14:paraId="54D2201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（4）承包人的停工损失由承包人承担，但停工期间应监理人要求照管工程和清理、修复工程的金额由发包人承担；</w:t>
      </w:r>
    </w:p>
    <w:p w14:paraId="72CB9110">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（5）不能按期竣工的，应合理延长工期，承包人不需支付逾期竣工违约金。发包人要求赶工的，承包人应采取赶工措施，赶工费用由发包人承担。</w:t>
      </w:r>
    </w:p>
    <w:p w14:paraId="2EBFF78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21.3.2 延迟履行期间发生的不可抗力</w:t>
      </w:r>
    </w:p>
    <w:p w14:paraId="11567CC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合同一方当事人延迟履行，在延迟履行期间发生不可抗力的，不免除其责任。</w:t>
      </w:r>
    </w:p>
    <w:p w14:paraId="6F69BDC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21.3.3 避免和减少不可抗力损失</w:t>
      </w:r>
    </w:p>
    <w:p w14:paraId="6AB3755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不可抗力发生后，发包人和承包人均应采取措施尽量避免和减少损失的扩大，任何一方没有采取有效措施导致损失扩大的，应对扩大的损失承担责任。</w:t>
      </w:r>
    </w:p>
    <w:p w14:paraId="5262141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21.3.4 因不可抗力解除合同</w:t>
      </w:r>
    </w:p>
    <w:p w14:paraId="1B59F17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w:t>
      </w:r>
    </w:p>
    <w:p w14:paraId="00972627">
      <w:pPr>
        <w:pStyle w:val="78"/>
        <w:shd w:val="clear" w:fill="FFFFFF" w:themeFill="background1"/>
        <w:rPr>
          <w:rFonts w:ascii="宋体" w:hAnsi="宋体"/>
          <w:color w:val="auto"/>
          <w:sz w:val="24"/>
          <w:szCs w:val="24"/>
          <w:highlight w:val="none"/>
        </w:rPr>
      </w:pPr>
      <w:bookmarkStart w:id="1033" w:name="_Toc386467163"/>
      <w:bookmarkEnd w:id="1033"/>
      <w:bookmarkStart w:id="1034" w:name="_Toc393546417"/>
      <w:bookmarkEnd w:id="1034"/>
      <w:bookmarkStart w:id="1035" w:name="_Toc43475891"/>
      <w:bookmarkEnd w:id="1035"/>
      <w:r>
        <w:rPr>
          <w:rFonts w:hint="eastAsia" w:ascii="宋体" w:hAnsi="宋体"/>
          <w:color w:val="auto"/>
          <w:sz w:val="24"/>
          <w:szCs w:val="24"/>
          <w:highlight w:val="none"/>
        </w:rPr>
        <w:t>22. 违约</w:t>
      </w:r>
    </w:p>
    <w:p w14:paraId="3E520BCF">
      <w:pPr>
        <w:pStyle w:val="67"/>
        <w:shd w:val="clear" w:fill="FFFFFF" w:themeFill="background1"/>
        <w:ind w:firstLine="118"/>
        <w:rPr>
          <w:rFonts w:ascii="宋体" w:eastAsia="宋体"/>
          <w:color w:val="auto"/>
          <w:szCs w:val="24"/>
          <w:highlight w:val="none"/>
        </w:rPr>
      </w:pPr>
      <w:bookmarkStart w:id="1036" w:name="_Toc43475892"/>
      <w:bookmarkEnd w:id="1036"/>
      <w:bookmarkStart w:id="1037" w:name="_Toc393546418"/>
      <w:bookmarkEnd w:id="1037"/>
      <w:bookmarkStart w:id="1038" w:name="_Toc386467164"/>
      <w:bookmarkEnd w:id="1038"/>
      <w:r>
        <w:rPr>
          <w:rFonts w:hint="eastAsia" w:ascii="宋体" w:eastAsia="宋体"/>
          <w:color w:val="auto"/>
          <w:szCs w:val="24"/>
          <w:highlight w:val="none"/>
        </w:rPr>
        <w:t>22.1 承包人违约</w:t>
      </w:r>
    </w:p>
    <w:p w14:paraId="075312B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22.1.1 承包人违约的情形</w:t>
      </w:r>
    </w:p>
    <w:p w14:paraId="44D1CDF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在履行合同过程中发生的下列情况属承包人违约：</w:t>
      </w:r>
    </w:p>
    <w:p w14:paraId="037A3B66">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（1）承包人违反第1.8款或第4.3款的约定，私自将合同的全部或部分权利转让给其他人，或私自将合同的全部或部分义务转移给其他人；</w:t>
      </w:r>
    </w:p>
    <w:p w14:paraId="6A70E321">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（2）承包人违反第5.3款或第6.4款的约定，未经监理人批准，私自将已按合同约定进入施工场地的施工设备、临时设施或材料撤离施工场地；</w:t>
      </w:r>
    </w:p>
    <w:p w14:paraId="6CF399A4">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（3）承包人违反第5.4款的约定使用了不合格材料或工程设备，工程质量达不到标准要求，又拒绝清除不合格工程；</w:t>
      </w:r>
    </w:p>
    <w:p w14:paraId="75615C4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（4）承包人未能按合同进度计划及时完成合同约定的工作，已造成或预期造成工期延误；</w:t>
      </w:r>
    </w:p>
    <w:p w14:paraId="4DC8B5D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（5）承包人在缺陷责任期内，未能对工程接收证书所列的缺陷清单的内容或缺陷责任期内发生的缺陷进行修复，而又拒绝按监理人指示再进行修补；</w:t>
      </w:r>
    </w:p>
    <w:p w14:paraId="5C36CD5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（6）承包人无法继续履行或明确表示不履行或实质上已停止履行合同；</w:t>
      </w:r>
    </w:p>
    <w:p w14:paraId="3AA29FF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（7）承包人不按合同约定履行义务的其他情况。</w:t>
      </w:r>
    </w:p>
    <w:p w14:paraId="2B6C13E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22.1.2 对承包人违约的处理</w:t>
      </w:r>
    </w:p>
    <w:p w14:paraId="5973B64E">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（1）承包人发生第22.1.1（6）目约定的违约情况时，发包人可通知承包人立即解除合同，并按有关法律处理。</w:t>
      </w:r>
    </w:p>
    <w:p w14:paraId="747FDC18">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（2）承包人发生除第22.1.1（6）目约定以外的其他违约情况时，监理人可向承包人发出整改通知，要求其在指定的期限内改正。承包人应承担其违约所引起的费用增加和（或）工期延误。</w:t>
      </w:r>
    </w:p>
    <w:p w14:paraId="216C8D3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（3）经检查证明承包人已采取了有效措施纠正违约行为，具备复工条件的，可由监理人签发复工通知复工。</w:t>
      </w:r>
    </w:p>
    <w:p w14:paraId="0BD9AAD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22.1.3 承包人违约解除合同</w:t>
      </w:r>
    </w:p>
    <w:p w14:paraId="0D462A7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发出整改通知28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14:paraId="36B1964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22.1.4 合同解除后的估价、付款和结清</w:t>
      </w:r>
    </w:p>
    <w:p w14:paraId="057B4B5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 xml:space="preserve">（1）合同解除后，监理人按第3.5款商定或确定承包人实际完成工作的价值，以及承包人已提供的材料、施工设备、工程设备和临时工程等的价值。 </w:t>
      </w:r>
    </w:p>
    <w:p w14:paraId="076C8D6B">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 xml:space="preserve">（2）合同解除后，发包人应暂停对承包人的一切付款，查清各项付款和已扣款金额，包括承包人应支付的违约金。 </w:t>
      </w:r>
    </w:p>
    <w:p w14:paraId="2AB939ED">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（3）合同解除后，发包人应按第23.4款的约定向承包人索赔由于解除合同给发包人造成的损失。</w:t>
      </w:r>
    </w:p>
    <w:p w14:paraId="748C855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（4）合同双方确认上述往来款项后，出具最终结清付款证书，结清全部合同款项。</w:t>
      </w:r>
    </w:p>
    <w:p w14:paraId="35C941E2">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（5）发包人和承包人未能就解除合同后的结清达成一致而形成争议的，按第24条的约定办理。</w:t>
      </w:r>
    </w:p>
    <w:p w14:paraId="630B1C3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22.1.5 协议利益的转让</w:t>
      </w:r>
    </w:p>
    <w:p w14:paraId="61B19F3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因承包人违约解除合同的，发包人有权要求承包人将其为实施合同而签订的材料和设备的订货协议或任何服务协议利益转让给发包人，并在解除合同后的14天内，依法办理转让手续。 </w:t>
      </w:r>
    </w:p>
    <w:p w14:paraId="06A75A2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22.1.6 紧急情况下无能力或不愿进行抢救</w:t>
      </w:r>
    </w:p>
    <w:p w14:paraId="117E30A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168D5AEA">
      <w:pPr>
        <w:pStyle w:val="67"/>
        <w:shd w:val="clear" w:fill="FFFFFF" w:themeFill="background1"/>
        <w:ind w:firstLine="118"/>
        <w:rPr>
          <w:rFonts w:ascii="宋体" w:eastAsia="宋体"/>
          <w:color w:val="auto"/>
          <w:szCs w:val="24"/>
          <w:highlight w:val="none"/>
        </w:rPr>
      </w:pPr>
      <w:bookmarkStart w:id="1039" w:name="_Toc43475893"/>
      <w:bookmarkEnd w:id="1039"/>
      <w:bookmarkStart w:id="1040" w:name="_Toc386467165"/>
      <w:bookmarkEnd w:id="1040"/>
      <w:bookmarkStart w:id="1041" w:name="_Toc393546419"/>
      <w:bookmarkEnd w:id="1041"/>
      <w:r>
        <w:rPr>
          <w:rFonts w:hint="eastAsia" w:ascii="宋体" w:eastAsia="宋体"/>
          <w:color w:val="auto"/>
          <w:szCs w:val="24"/>
          <w:highlight w:val="none"/>
        </w:rPr>
        <w:t>22.2 发包人违约</w:t>
      </w:r>
    </w:p>
    <w:p w14:paraId="118CCDB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22.2.1 发包人违约的情形</w:t>
      </w:r>
    </w:p>
    <w:p w14:paraId="15DCD1E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在履行合同过程中发生的下列情形，属发包人违约：</w:t>
      </w:r>
    </w:p>
    <w:p w14:paraId="2CC62DC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（1）发包人未能按合同约定支付预付款或合同价款，或拖延、拒绝批准付款申请和支付凭证，导致付款延误的；</w:t>
      </w:r>
    </w:p>
    <w:p w14:paraId="217347DE">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（2）发包人原因造成停工的；</w:t>
      </w:r>
    </w:p>
    <w:p w14:paraId="12D06DC5">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（3）监理人无正当理由没有在约定期限内发出复工指示，导致承包人无法复工的；</w:t>
      </w:r>
    </w:p>
    <w:p w14:paraId="4F174C7B">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（4）发包人无法继续履行或明确表示不履行或实质上已停止履行合同的；</w:t>
      </w:r>
    </w:p>
    <w:p w14:paraId="2E47811E">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（5）发包人不履行合同约定其他义务的。</w:t>
      </w:r>
    </w:p>
    <w:p w14:paraId="6636D3B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22.2.2 承包人有权暂停施工</w:t>
      </w:r>
    </w:p>
    <w:p w14:paraId="47CB239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发生除第22.2.1（4）目以外的违约情况时，承包人可向发包人发出通知，要求发包人采取有效措施纠正违约行为。发包人收到承包人通知后的28天内仍不履行合同义务，承包人有权暂停施工，并通知监理人，发包人应承担由此增加的费用和（或）工期延误，并支付承包人合理利润。</w:t>
      </w:r>
    </w:p>
    <w:p w14:paraId="7238E5F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22.2.3 发包人违约解除合同 </w:t>
      </w:r>
    </w:p>
    <w:p w14:paraId="0554275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 xml:space="preserve">（1）发生第22.2.1（4）目的违约情况时，承包人可书面通知发包人解除合同。   </w:t>
      </w:r>
    </w:p>
    <w:p w14:paraId="0656F0F7">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（2）承包人按22.2.2项暂停施工28天后，发包人仍不纠正违约行为的，承包人可向发包人发出解除合同通知。但承包人的这一行动不免除发包人承担的违约责任，也不影响承包人根据合同约定享有的索赔权利。</w:t>
      </w:r>
    </w:p>
    <w:p w14:paraId="376E128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22.2.4 解除合同后的付款</w:t>
      </w:r>
    </w:p>
    <w:p w14:paraId="1FD121A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因发包人违约解除合同的，发包人应在解除合同后28天内向承包人支付下列金额，承包人应在此期限内及时向发包人提交要求支付下列金额的有关资料和凭证：</w:t>
      </w:r>
    </w:p>
    <w:p w14:paraId="78E3049E">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（1）合同解除日以前所完成工作的价款；</w:t>
      </w:r>
    </w:p>
    <w:p w14:paraId="3C96C3F8">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（2）承包人为该工程施工订购并已付款的材料、工程设备和其他物品的金额。发包人付还后，该材料、工程设备和其他物品归发包人所有；</w:t>
      </w:r>
    </w:p>
    <w:p w14:paraId="3C78F009">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（3）承包人为完成工程所发生的，而发包人未支付的金额；</w:t>
      </w:r>
    </w:p>
    <w:p w14:paraId="0863078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（4）承包人撤离施工场地以及遣散承包人人员的金额；</w:t>
      </w:r>
    </w:p>
    <w:p w14:paraId="07A5D924">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（5）由于解除合同应赔偿的承包人损失；</w:t>
      </w:r>
    </w:p>
    <w:p w14:paraId="6ED0362C">
      <w:pPr>
        <w:shd w:val="clear" w:fill="FFFFFF" w:themeFill="background1"/>
        <w:spacing w:line="400" w:lineRule="exact"/>
        <w:ind w:firstLine="820" w:firstLineChars="342"/>
        <w:rPr>
          <w:rFonts w:ascii="宋体" w:hAnsi="宋体" w:cs="宋体"/>
          <w:color w:val="auto"/>
          <w:sz w:val="24"/>
          <w:highlight w:val="none"/>
        </w:rPr>
      </w:pPr>
      <w:r>
        <w:rPr>
          <w:rFonts w:hint="eastAsia" w:ascii="宋体" w:hAnsi="宋体" w:cs="宋体"/>
          <w:color w:val="auto"/>
          <w:sz w:val="24"/>
          <w:highlight w:val="none"/>
        </w:rPr>
        <w:t>（6）按合同约定在合同解除日前应支付给承包人的其他金额。</w:t>
      </w:r>
    </w:p>
    <w:p w14:paraId="1143D61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发包人应按本项约定支付上述金额并退还质量保证金和履约担保，但有权要求承包人支付应偿还给发包人的各项金额。</w:t>
      </w:r>
    </w:p>
    <w:p w14:paraId="6BD71A8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22.2.5 解除合同后的承包人撤离</w:t>
      </w:r>
    </w:p>
    <w:p w14:paraId="1374297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发包人违约而解除合同后，承包人应妥善做好已竣工工程和已购材料、设备的保护和移交工作，按发包人要求将承包人设备和人员撤出施工场地。承包人撤出施工场地应遵守第18.7.1项的约定，发包人应为承包人撤出提供必要条件。</w:t>
      </w:r>
    </w:p>
    <w:p w14:paraId="35AC3E63">
      <w:pPr>
        <w:pStyle w:val="67"/>
        <w:shd w:val="clear" w:fill="FFFFFF" w:themeFill="background1"/>
        <w:ind w:firstLine="118"/>
        <w:rPr>
          <w:rFonts w:ascii="宋体" w:eastAsia="宋体"/>
          <w:color w:val="auto"/>
          <w:szCs w:val="24"/>
          <w:highlight w:val="none"/>
        </w:rPr>
      </w:pPr>
      <w:bookmarkStart w:id="1042" w:name="_Toc330406361"/>
      <w:bookmarkEnd w:id="1042"/>
      <w:bookmarkStart w:id="1043" w:name="_Toc43475894"/>
      <w:bookmarkEnd w:id="1043"/>
      <w:bookmarkStart w:id="1044" w:name="_Toc179632774"/>
      <w:bookmarkEnd w:id="1044"/>
      <w:bookmarkStart w:id="1045" w:name="_Toc393546420"/>
      <w:bookmarkEnd w:id="1045"/>
      <w:bookmarkStart w:id="1046" w:name="_Toc386467166"/>
      <w:bookmarkEnd w:id="1046"/>
      <w:bookmarkStart w:id="1047" w:name="_Toc152045756"/>
      <w:bookmarkEnd w:id="1047"/>
      <w:bookmarkStart w:id="1048" w:name="_Toc152042535"/>
      <w:bookmarkEnd w:id="1048"/>
      <w:r>
        <w:rPr>
          <w:rFonts w:hint="eastAsia" w:ascii="宋体" w:eastAsia="宋体"/>
          <w:color w:val="auto"/>
          <w:szCs w:val="24"/>
          <w:highlight w:val="none"/>
        </w:rPr>
        <w:t>22.3 第三人造成的违约</w:t>
      </w:r>
    </w:p>
    <w:p w14:paraId="5E64B9B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在履行合同过程中，一方当事人因第三人的原因造成违约的，应当向对方当事人承担违约责任。一方当事人和第三人之间的纠纷，依照法律规定或者按照约定解决。</w:t>
      </w:r>
    </w:p>
    <w:p w14:paraId="6F058670">
      <w:pPr>
        <w:pStyle w:val="78"/>
        <w:shd w:val="clear" w:fill="FFFFFF" w:themeFill="background1"/>
        <w:rPr>
          <w:rFonts w:ascii="宋体" w:hAnsi="宋体"/>
          <w:color w:val="auto"/>
          <w:sz w:val="24"/>
          <w:szCs w:val="24"/>
          <w:highlight w:val="none"/>
        </w:rPr>
      </w:pPr>
      <w:bookmarkStart w:id="1049" w:name="_Toc43475895"/>
      <w:bookmarkEnd w:id="1049"/>
      <w:bookmarkStart w:id="1050" w:name="_Toc386467167"/>
      <w:bookmarkEnd w:id="1050"/>
      <w:bookmarkStart w:id="1051" w:name="_Toc393546421"/>
      <w:bookmarkEnd w:id="1051"/>
      <w:r>
        <w:rPr>
          <w:rFonts w:hint="eastAsia" w:ascii="宋体" w:hAnsi="宋体"/>
          <w:color w:val="auto"/>
          <w:sz w:val="24"/>
          <w:szCs w:val="24"/>
          <w:highlight w:val="none"/>
        </w:rPr>
        <w:t>23. 索赔</w:t>
      </w:r>
    </w:p>
    <w:p w14:paraId="6D65F456">
      <w:pPr>
        <w:pStyle w:val="67"/>
        <w:shd w:val="clear" w:fill="FFFFFF" w:themeFill="background1"/>
        <w:ind w:firstLine="118"/>
        <w:rPr>
          <w:rFonts w:ascii="宋体" w:eastAsia="宋体"/>
          <w:color w:val="auto"/>
          <w:szCs w:val="24"/>
          <w:highlight w:val="none"/>
        </w:rPr>
      </w:pPr>
      <w:bookmarkStart w:id="1052" w:name="_Toc393546422"/>
      <w:bookmarkEnd w:id="1052"/>
      <w:bookmarkStart w:id="1053" w:name="_Toc43475896"/>
      <w:bookmarkEnd w:id="1053"/>
      <w:bookmarkStart w:id="1054" w:name="_Toc386467168"/>
      <w:bookmarkEnd w:id="1054"/>
      <w:r>
        <w:rPr>
          <w:rFonts w:hint="eastAsia" w:ascii="宋体" w:eastAsia="宋体"/>
          <w:color w:val="auto"/>
          <w:szCs w:val="24"/>
          <w:highlight w:val="none"/>
        </w:rPr>
        <w:t>23.1 承包人索赔的提出</w:t>
      </w:r>
    </w:p>
    <w:p w14:paraId="34C5D1C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根据合同约定，承包人认为有权得到追加付款和（或）延长工期的，应按以下程序向发包人提出索赔：</w:t>
      </w:r>
    </w:p>
    <w:p w14:paraId="4B1CE195">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0CF4ADAC">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（2）承包人应在发出索赔意向通知书后28天内，向监理人正式递交索赔通知书。索赔通知书应详细说明索赔理由以及要求追加的付款金额和（或）延长的工期，并附必要的记录和证明材料；</w:t>
      </w:r>
    </w:p>
    <w:p w14:paraId="498B8E5A">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（3）索赔事件具有连续影响的，承包人应按合理时间间隔继续递交延续索赔通知，说明连续影响的实际情况和记录，列出累计的追加付款金额和（或）工期延长天数；</w:t>
      </w:r>
    </w:p>
    <w:p w14:paraId="78C60BCE">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（4）在索赔事件影响结束后的28天内，承包人应向监理人递交最终索赔通知书，说明最终要求索赔的追加付款金额和延长的工期，并附必要的记录和证明材料。</w:t>
      </w:r>
    </w:p>
    <w:p w14:paraId="10C616DE">
      <w:pPr>
        <w:pStyle w:val="67"/>
        <w:shd w:val="clear" w:fill="FFFFFF" w:themeFill="background1"/>
        <w:ind w:firstLine="118"/>
        <w:rPr>
          <w:rFonts w:ascii="宋体" w:eastAsia="宋体"/>
          <w:color w:val="auto"/>
          <w:szCs w:val="24"/>
          <w:highlight w:val="none"/>
        </w:rPr>
      </w:pPr>
      <w:bookmarkStart w:id="1055" w:name="_Toc43475897"/>
      <w:bookmarkEnd w:id="1055"/>
      <w:bookmarkStart w:id="1056" w:name="_Toc386467169"/>
      <w:bookmarkEnd w:id="1056"/>
      <w:bookmarkStart w:id="1057" w:name="_Toc393546423"/>
      <w:bookmarkEnd w:id="1057"/>
      <w:r>
        <w:rPr>
          <w:rFonts w:hint="eastAsia" w:ascii="宋体" w:eastAsia="宋体"/>
          <w:color w:val="auto"/>
          <w:szCs w:val="24"/>
          <w:highlight w:val="none"/>
        </w:rPr>
        <w:t>23.2 承包人索赔处理程序</w:t>
      </w:r>
    </w:p>
    <w:p w14:paraId="392458C4">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（1）监理人收到承包人提交的索赔通知书后，应及时审查索赔通知书的内容、查验承包人的记录和证明材料，必要时监理人可要求承包人提交全部原始记录副本。</w:t>
      </w:r>
    </w:p>
    <w:p w14:paraId="3FA90266">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（2）监理人应按第3.5款商定或确定追加的付款和（或）延长的工期，并在收到上述索赔通知书或有关索赔的进一步证明材料后的42天内，将索赔处理结果答复承包人。</w:t>
      </w:r>
    </w:p>
    <w:p w14:paraId="1164E191">
      <w:pPr>
        <w:shd w:val="clear" w:fill="FFFFFF" w:themeFill="background1"/>
        <w:spacing w:line="400" w:lineRule="exact"/>
        <w:ind w:firstLine="410" w:firstLineChars="171"/>
        <w:rPr>
          <w:rFonts w:ascii="宋体" w:hAnsi="宋体" w:cs="宋体"/>
          <w:color w:val="auto"/>
          <w:sz w:val="24"/>
          <w:highlight w:val="none"/>
        </w:rPr>
      </w:pPr>
      <w:r>
        <w:rPr>
          <w:rFonts w:hint="eastAsia" w:ascii="宋体" w:hAnsi="宋体" w:cs="宋体"/>
          <w:color w:val="auto"/>
          <w:sz w:val="24"/>
          <w:highlight w:val="none"/>
        </w:rPr>
        <w:t>（3）承包人接受索赔处理结果的，发包人应在作出索赔处理结果答复后28天内完成赔付。承包人不接受索赔处理结果的，按第24条的约定办理。</w:t>
      </w:r>
    </w:p>
    <w:p w14:paraId="13631EDA">
      <w:pPr>
        <w:pStyle w:val="67"/>
        <w:shd w:val="clear" w:fill="FFFFFF" w:themeFill="background1"/>
        <w:ind w:firstLine="118"/>
        <w:rPr>
          <w:rFonts w:ascii="宋体" w:eastAsia="宋体"/>
          <w:color w:val="auto"/>
          <w:szCs w:val="24"/>
          <w:highlight w:val="none"/>
        </w:rPr>
      </w:pPr>
      <w:bookmarkStart w:id="1058" w:name="_Toc43475898"/>
      <w:bookmarkEnd w:id="1058"/>
      <w:bookmarkStart w:id="1059" w:name="_Toc393546424"/>
      <w:bookmarkEnd w:id="1059"/>
      <w:bookmarkStart w:id="1060" w:name="_Toc152042539"/>
      <w:bookmarkEnd w:id="1060"/>
      <w:bookmarkStart w:id="1061" w:name="_Toc152045760"/>
      <w:bookmarkEnd w:id="1061"/>
      <w:bookmarkStart w:id="1062" w:name="_Toc330406365"/>
      <w:bookmarkEnd w:id="1062"/>
      <w:bookmarkStart w:id="1063" w:name="_Toc144974730"/>
      <w:bookmarkEnd w:id="1063"/>
      <w:bookmarkStart w:id="1064" w:name="_Toc179632778"/>
      <w:bookmarkEnd w:id="1064"/>
      <w:bookmarkStart w:id="1065" w:name="_Toc386467170"/>
      <w:bookmarkEnd w:id="1065"/>
      <w:r>
        <w:rPr>
          <w:rFonts w:hint="eastAsia" w:ascii="宋体" w:eastAsia="宋体"/>
          <w:color w:val="auto"/>
          <w:szCs w:val="24"/>
          <w:highlight w:val="none"/>
        </w:rPr>
        <w:t>23.3 承包人提出索赔的期限</w:t>
      </w:r>
    </w:p>
    <w:p w14:paraId="1E61868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23.3.1 承包人按第17.5款的约定接受了竣工付款证书后，应被认为已无权再提出在合同工程接收证书颁发前所发生的任何索赔。</w:t>
      </w:r>
    </w:p>
    <w:p w14:paraId="77D1DAF6">
      <w:pPr>
        <w:shd w:val="clear" w:fill="FFFFFF" w:themeFill="background1"/>
        <w:spacing w:line="380" w:lineRule="exact"/>
        <w:ind w:firstLine="480" w:firstLineChars="200"/>
        <w:rPr>
          <w:rFonts w:ascii="宋体" w:hAnsi="宋体" w:cs="宋体"/>
          <w:color w:val="auto"/>
          <w:sz w:val="24"/>
          <w:highlight w:val="none"/>
          <w:shd w:val="pct10" w:color="auto" w:fill="FFFFFF"/>
        </w:rPr>
      </w:pPr>
      <w:r>
        <w:rPr>
          <w:rFonts w:hint="eastAsia" w:ascii="宋体" w:hAnsi="宋体" w:cs="宋体"/>
          <w:color w:val="auto"/>
          <w:sz w:val="24"/>
          <w:highlight w:val="none"/>
        </w:rPr>
        <w:t xml:space="preserve">23.3.2 承包人按第17.6款的约定提交的最终结清申请单中，只限于提出工程接收证书颁发后发生的索赔。提出索赔的期限自接受最终结清证书时终止。 </w:t>
      </w:r>
    </w:p>
    <w:p w14:paraId="582D379A">
      <w:pPr>
        <w:pStyle w:val="67"/>
        <w:shd w:val="clear" w:fill="FFFFFF" w:themeFill="background1"/>
        <w:spacing w:line="380" w:lineRule="exact"/>
        <w:ind w:firstLine="118"/>
        <w:rPr>
          <w:rFonts w:ascii="宋体" w:eastAsia="宋体"/>
          <w:color w:val="auto"/>
          <w:szCs w:val="24"/>
          <w:highlight w:val="none"/>
        </w:rPr>
      </w:pPr>
      <w:bookmarkStart w:id="1066" w:name="_Toc144974731"/>
      <w:bookmarkEnd w:id="1066"/>
      <w:bookmarkStart w:id="1067" w:name="_Toc152045761"/>
      <w:bookmarkEnd w:id="1067"/>
      <w:bookmarkStart w:id="1068" w:name="_Toc179632779"/>
      <w:bookmarkEnd w:id="1068"/>
      <w:bookmarkStart w:id="1069" w:name="_Toc386467171"/>
      <w:bookmarkEnd w:id="1069"/>
      <w:bookmarkStart w:id="1070" w:name="_Toc393546425"/>
      <w:bookmarkEnd w:id="1070"/>
      <w:bookmarkStart w:id="1071" w:name="_Toc152042540"/>
      <w:bookmarkEnd w:id="1071"/>
      <w:bookmarkStart w:id="1072" w:name="_Toc43475899"/>
      <w:bookmarkEnd w:id="1072"/>
      <w:bookmarkStart w:id="1073" w:name="_Toc330406366"/>
      <w:bookmarkEnd w:id="1073"/>
      <w:r>
        <w:rPr>
          <w:rFonts w:hint="eastAsia" w:ascii="宋体" w:eastAsia="宋体"/>
          <w:color w:val="auto"/>
          <w:szCs w:val="24"/>
          <w:highlight w:val="none"/>
        </w:rPr>
        <w:t>23.4 发包人的索赔</w:t>
      </w:r>
    </w:p>
    <w:p w14:paraId="55B0A8C9">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23.4.1 发生索赔事件后，监理人应及时书面通知承包人，详细说明发包人有权得到的索赔金额和（或）延长缺陷责任期的细节和依据。发包人提出索赔的期限和要求与第23.3款的约定相同，延长缺陷责任期的通知应在缺陷责任期届满前发出。</w:t>
      </w:r>
    </w:p>
    <w:p w14:paraId="329D57A7">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23.4.2 监理人按第3.5款商定或确定发包人从承包人处得到赔付的金额和（或）缺陷责任期的延长期。承包人应付给发包人的金额可从拟支付给承包人的合同价款中扣除，或由承包人以其他方式支付给发包人。</w:t>
      </w:r>
    </w:p>
    <w:p w14:paraId="5A0893DF">
      <w:pPr>
        <w:pStyle w:val="78"/>
        <w:shd w:val="clear" w:fill="FFFFFF" w:themeFill="background1"/>
        <w:spacing w:line="380" w:lineRule="exact"/>
        <w:rPr>
          <w:rFonts w:ascii="宋体" w:hAnsi="宋体"/>
          <w:color w:val="auto"/>
          <w:sz w:val="24"/>
          <w:szCs w:val="24"/>
          <w:highlight w:val="none"/>
        </w:rPr>
      </w:pPr>
      <w:bookmarkStart w:id="1074" w:name="_Toc393546426"/>
      <w:bookmarkEnd w:id="1074"/>
      <w:bookmarkStart w:id="1075" w:name="_Toc386467172"/>
      <w:bookmarkEnd w:id="1075"/>
      <w:bookmarkStart w:id="1076" w:name="_Toc43475900"/>
      <w:bookmarkEnd w:id="1076"/>
      <w:r>
        <w:rPr>
          <w:rFonts w:hint="eastAsia" w:ascii="宋体" w:hAnsi="宋体"/>
          <w:color w:val="auto"/>
          <w:sz w:val="24"/>
          <w:szCs w:val="24"/>
          <w:highlight w:val="none"/>
        </w:rPr>
        <w:t>24. 争议的解决</w:t>
      </w:r>
    </w:p>
    <w:p w14:paraId="198C9699">
      <w:pPr>
        <w:pStyle w:val="67"/>
        <w:shd w:val="clear" w:fill="FFFFFF" w:themeFill="background1"/>
        <w:spacing w:line="380" w:lineRule="exact"/>
        <w:ind w:firstLine="118"/>
        <w:rPr>
          <w:rFonts w:ascii="宋体" w:eastAsia="宋体"/>
          <w:color w:val="auto"/>
          <w:szCs w:val="24"/>
          <w:highlight w:val="none"/>
        </w:rPr>
      </w:pPr>
      <w:bookmarkStart w:id="1077" w:name="_Toc386467175"/>
      <w:bookmarkEnd w:id="1077"/>
      <w:bookmarkStart w:id="1078" w:name="_Toc43475901"/>
      <w:bookmarkEnd w:id="1078"/>
      <w:bookmarkStart w:id="1079" w:name="_Toc179632781"/>
      <w:bookmarkEnd w:id="1079"/>
      <w:bookmarkStart w:id="1080" w:name="_Toc393546429"/>
      <w:bookmarkEnd w:id="1080"/>
      <w:bookmarkStart w:id="1081" w:name="_Toc386467173"/>
      <w:bookmarkEnd w:id="1081"/>
      <w:bookmarkStart w:id="1082" w:name="_Toc393546427"/>
      <w:bookmarkEnd w:id="1082"/>
      <w:bookmarkStart w:id="1083" w:name="_Toc152042542"/>
      <w:bookmarkEnd w:id="1083"/>
      <w:bookmarkStart w:id="1084" w:name="_Toc152045763"/>
      <w:bookmarkEnd w:id="1084"/>
      <w:bookmarkStart w:id="1085" w:name="_Toc144974733"/>
      <w:bookmarkEnd w:id="1085"/>
      <w:bookmarkStart w:id="1086" w:name="_Toc43475903"/>
      <w:bookmarkEnd w:id="1086"/>
      <w:bookmarkStart w:id="1087" w:name="_Toc330406368"/>
      <w:bookmarkEnd w:id="1087"/>
      <w:r>
        <w:rPr>
          <w:rFonts w:hint="eastAsia" w:ascii="宋体" w:eastAsia="宋体"/>
          <w:color w:val="auto"/>
          <w:szCs w:val="24"/>
          <w:highlight w:val="none"/>
        </w:rPr>
        <w:t>24.324.1 争议的解决方式</w:t>
      </w:r>
    </w:p>
    <w:p w14:paraId="0F1349C1">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2E521058">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（1）向约定的仲裁委员会申请仲裁；</w:t>
      </w:r>
    </w:p>
    <w:p w14:paraId="2EA4B774">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（2）向有管辖权的人民法院提起诉讼。</w:t>
      </w:r>
    </w:p>
    <w:p w14:paraId="248FC1E8">
      <w:pPr>
        <w:pStyle w:val="67"/>
        <w:shd w:val="clear" w:fill="FFFFFF" w:themeFill="background1"/>
        <w:spacing w:line="380" w:lineRule="exact"/>
        <w:ind w:firstLine="118"/>
        <w:rPr>
          <w:rFonts w:ascii="宋体" w:eastAsia="宋体"/>
          <w:color w:val="auto"/>
          <w:szCs w:val="24"/>
          <w:highlight w:val="none"/>
        </w:rPr>
      </w:pPr>
      <w:bookmarkStart w:id="1088" w:name="_Toc152045764"/>
      <w:bookmarkEnd w:id="1088"/>
      <w:bookmarkStart w:id="1089" w:name="_Toc152042543"/>
      <w:bookmarkEnd w:id="1089"/>
      <w:bookmarkStart w:id="1090" w:name="_Toc330406369"/>
      <w:bookmarkEnd w:id="1090"/>
      <w:bookmarkStart w:id="1091" w:name="_Toc386467174"/>
      <w:bookmarkEnd w:id="1091"/>
      <w:bookmarkStart w:id="1092" w:name="_Toc179632782"/>
      <w:bookmarkEnd w:id="1092"/>
      <w:bookmarkStart w:id="1093" w:name="_Toc43475902"/>
      <w:bookmarkEnd w:id="1093"/>
      <w:bookmarkStart w:id="1094" w:name="_Toc144974734"/>
      <w:bookmarkEnd w:id="1094"/>
      <w:bookmarkStart w:id="1095" w:name="_Toc393546428"/>
      <w:bookmarkEnd w:id="1095"/>
      <w:r>
        <w:rPr>
          <w:rFonts w:hint="eastAsia" w:ascii="宋体" w:eastAsia="宋体"/>
          <w:color w:val="auto"/>
          <w:szCs w:val="24"/>
          <w:highlight w:val="none"/>
        </w:rPr>
        <w:t>24.2 友好解决</w:t>
      </w:r>
    </w:p>
    <w:p w14:paraId="2DA0C7DF">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在提请争议评审、仲裁或者诉讼前，以及在争议评审、仲裁或诉讼过程中，发包人和承包人均可共同努力友好协商解决争议。</w:t>
      </w:r>
    </w:p>
    <w:p w14:paraId="7AE36ADB">
      <w:pPr>
        <w:pStyle w:val="67"/>
        <w:shd w:val="clear" w:fill="FFFFFF" w:themeFill="background1"/>
        <w:spacing w:line="380" w:lineRule="exact"/>
        <w:ind w:firstLine="118"/>
        <w:rPr>
          <w:rFonts w:ascii="宋体" w:eastAsia="宋体"/>
          <w:color w:val="auto"/>
          <w:szCs w:val="24"/>
          <w:highlight w:val="none"/>
        </w:rPr>
      </w:pPr>
      <w:r>
        <w:rPr>
          <w:rFonts w:hint="eastAsia" w:ascii="宋体" w:eastAsia="宋体"/>
          <w:color w:val="auto"/>
          <w:szCs w:val="24"/>
          <w:highlight w:val="none"/>
        </w:rPr>
        <w:t>24.3 争议评审</w:t>
      </w:r>
    </w:p>
    <w:p w14:paraId="62D89AA3">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24.3.1 采用争议评审的，发包人和承包人应在开工日后的28天内或在争议发生后，协商成立争议评审组。争议评审组由有合同管理和工程实践经验的专家组成。</w:t>
      </w:r>
    </w:p>
    <w:p w14:paraId="74D340CD">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24.3.2 合同双方的争议，应首先由申请人向争议评审组提交一份详细的评审申请报告，并附必要的文件、图纸和证明材料，申请人还应将上述报告的副本同时提交给被申请人和监理人。</w:t>
      </w:r>
    </w:p>
    <w:p w14:paraId="7560FD42">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24.3.3 被申请人在收到申请人评审申请报告副本后的28天内，向争议评审组提交一份答辩报告，并附证明材料。被申请人应将答辩报告的副本同时提交给申请人和监理人。</w:t>
      </w:r>
    </w:p>
    <w:p w14:paraId="4A351587">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24.3.4 除专用合同条款另有约定外，争议评审组在收到合同双方报告后的14天内，邀请双方代表和有关人员举行调查会，向双方调查争议细节；必要时争议评审组可要求双方进一步提供补充材料。</w:t>
      </w:r>
    </w:p>
    <w:p w14:paraId="042CD83C">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0A5FB688">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24.3.6 发包人和承包人接受评审意见的，由监理人根据评审意见拟定执行协议，经争议双方签字后作为合同的补充文件，并遵照执行。</w:t>
      </w:r>
    </w:p>
    <w:p w14:paraId="788F31CD">
      <w:pPr>
        <w:shd w:val="clear" w:fill="FFFFFF" w:themeFill="background1"/>
        <w:spacing w:line="3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2A6D28FF">
      <w:pPr>
        <w:shd w:val="clear" w:fill="FFFFFF" w:themeFill="background1"/>
        <w:spacing w:line="400" w:lineRule="exact"/>
        <w:ind w:firstLine="480" w:firstLineChars="200"/>
        <w:rPr>
          <w:rFonts w:ascii="宋体" w:hAnsi="宋体" w:cs="宋体"/>
          <w:color w:val="auto"/>
          <w:sz w:val="24"/>
          <w:highlight w:val="none"/>
        </w:rPr>
      </w:pPr>
    </w:p>
    <w:p w14:paraId="0A427AD2">
      <w:pPr>
        <w:pStyle w:val="5"/>
        <w:shd w:val="clear" w:fill="FFFFFF" w:themeFill="background1"/>
        <w:jc w:val="center"/>
        <w:rPr>
          <w:rFonts w:ascii="宋体" w:hAnsi="宋体" w:eastAsia="宋体" w:cs="宋体"/>
          <w:color w:val="auto"/>
          <w:highlight w:val="none"/>
        </w:rPr>
      </w:pPr>
      <w:bookmarkStart w:id="1096" w:name="_Toc11537"/>
      <w:bookmarkStart w:id="1097" w:name="_Toc184635122"/>
      <w:bookmarkStart w:id="1098" w:name="_Toc247514197"/>
      <w:bookmarkStart w:id="1099" w:name="_Toc426012248"/>
      <w:bookmarkStart w:id="1100" w:name="_Toc247527798"/>
    </w:p>
    <w:p w14:paraId="6F9792F5">
      <w:pPr>
        <w:pStyle w:val="5"/>
        <w:shd w:val="clear" w:fill="FFFFFF" w:themeFill="background1"/>
        <w:jc w:val="center"/>
        <w:rPr>
          <w:rFonts w:ascii="宋体" w:hAnsi="宋体" w:eastAsia="宋体" w:cs="宋体"/>
          <w:color w:val="auto"/>
          <w:highlight w:val="none"/>
        </w:rPr>
      </w:pPr>
    </w:p>
    <w:p w14:paraId="5C94FD22">
      <w:pPr>
        <w:pStyle w:val="5"/>
        <w:shd w:val="clear" w:fill="FFFFFF" w:themeFill="background1"/>
        <w:jc w:val="center"/>
        <w:rPr>
          <w:rFonts w:ascii="宋体" w:hAnsi="宋体" w:eastAsia="宋体" w:cs="宋体"/>
          <w:color w:val="auto"/>
          <w:highlight w:val="none"/>
        </w:rPr>
      </w:pPr>
    </w:p>
    <w:p w14:paraId="4CC771BE">
      <w:pPr>
        <w:pStyle w:val="5"/>
        <w:shd w:val="clear" w:fill="FFFFFF" w:themeFill="background1"/>
        <w:jc w:val="center"/>
        <w:rPr>
          <w:rFonts w:ascii="宋体" w:hAnsi="宋体" w:eastAsia="宋体" w:cs="宋体"/>
          <w:color w:val="auto"/>
          <w:highlight w:val="none"/>
        </w:rPr>
      </w:pPr>
    </w:p>
    <w:bookmarkEnd w:id="1096"/>
    <w:bookmarkEnd w:id="1097"/>
    <w:bookmarkEnd w:id="1098"/>
    <w:bookmarkEnd w:id="1099"/>
    <w:bookmarkEnd w:id="1100"/>
    <w:p w14:paraId="6FFFC016">
      <w:pPr>
        <w:pStyle w:val="5"/>
        <w:shd w:val="clear" w:fill="FFFFFF" w:themeFill="background1"/>
        <w:jc w:val="center"/>
        <w:rPr>
          <w:rFonts w:ascii="宋体" w:hAnsi="宋体" w:eastAsia="宋体" w:cs="宋体"/>
          <w:color w:val="auto"/>
          <w:highlight w:val="none"/>
        </w:rPr>
      </w:pPr>
      <w:bookmarkStart w:id="1101" w:name="_Toc43475904"/>
      <w:bookmarkEnd w:id="1101"/>
      <w:r>
        <w:rPr>
          <w:rFonts w:hint="eastAsia" w:ascii="宋体" w:hAnsi="宋体" w:eastAsia="宋体" w:cs="宋体"/>
          <w:color w:val="auto"/>
          <w:highlight w:val="none"/>
        </w:rPr>
        <w:t>第二节 专用合同条款</w:t>
      </w:r>
    </w:p>
    <w:p w14:paraId="05FD2434">
      <w:pPr>
        <w:shd w:val="clear" w:fill="FFFFFF" w:themeFill="background1"/>
        <w:spacing w:line="360" w:lineRule="auto"/>
        <w:rPr>
          <w:rFonts w:ascii="宋体" w:hAnsi="宋体" w:cs="宋体"/>
          <w:color w:val="auto"/>
          <w:sz w:val="28"/>
          <w:szCs w:val="28"/>
          <w:highlight w:val="none"/>
        </w:rPr>
      </w:pPr>
      <w:r>
        <w:rPr>
          <w:rFonts w:hint="eastAsia" w:ascii="宋体" w:hAnsi="宋体" w:cs="宋体"/>
          <w:color w:val="auto"/>
          <w:sz w:val="28"/>
          <w:szCs w:val="28"/>
          <w:highlight w:val="none"/>
        </w:rPr>
        <w:t>包括：</w:t>
      </w:r>
    </w:p>
    <w:p w14:paraId="1C237B4E">
      <w:pPr>
        <w:shd w:val="clear" w:fill="FFFFFF" w:themeFill="background1"/>
        <w:spacing w:line="360" w:lineRule="auto"/>
        <w:rPr>
          <w:rFonts w:ascii="宋体" w:hAnsi="宋体" w:cs="宋体"/>
          <w:color w:val="auto"/>
          <w:sz w:val="28"/>
          <w:szCs w:val="28"/>
          <w:highlight w:val="none"/>
        </w:rPr>
      </w:pPr>
      <w:r>
        <w:rPr>
          <w:rFonts w:hint="eastAsia" w:ascii="宋体" w:hAnsi="宋体" w:cs="宋体"/>
          <w:color w:val="auto"/>
          <w:sz w:val="28"/>
          <w:szCs w:val="28"/>
          <w:highlight w:val="none"/>
        </w:rPr>
        <w:t xml:space="preserve">    A  公路工程专用合同条款详见«公路工程标准施工招标文件»</w:t>
      </w:r>
    </w:p>
    <w:p w14:paraId="20C816ED">
      <w:pPr>
        <w:shd w:val="clear" w:fill="FFFFFF" w:themeFill="background1"/>
        <w:spacing w:line="360" w:lineRule="auto"/>
        <w:rPr>
          <w:rFonts w:ascii="宋体" w:hAnsi="宋体" w:cs="宋体"/>
          <w:color w:val="auto"/>
          <w:sz w:val="28"/>
          <w:szCs w:val="28"/>
          <w:highlight w:val="none"/>
        </w:rPr>
      </w:pPr>
      <w:r>
        <w:rPr>
          <w:rFonts w:hint="eastAsia" w:ascii="宋体" w:hAnsi="宋体" w:cs="宋体"/>
          <w:color w:val="auto"/>
          <w:sz w:val="28"/>
          <w:szCs w:val="28"/>
          <w:highlight w:val="none"/>
        </w:rPr>
        <w:t xml:space="preserve">      （2018 版）的第四章第二节</w:t>
      </w:r>
    </w:p>
    <w:p w14:paraId="34455749">
      <w:pPr>
        <w:pStyle w:val="55"/>
        <w:shd w:val="clear" w:fill="FFFFFF" w:themeFill="background1"/>
        <w:rPr>
          <w:color w:val="auto"/>
          <w:highlight w:val="none"/>
        </w:rPr>
      </w:pPr>
      <w:r>
        <w:rPr>
          <w:rFonts w:hint="eastAsia" w:ascii="宋体" w:hAnsi="宋体" w:cs="宋体"/>
          <w:color w:val="auto"/>
          <w:highlight w:val="none"/>
        </w:rPr>
        <w:t xml:space="preserve">B  项目专用合同条款     </w:t>
      </w:r>
    </w:p>
    <w:p w14:paraId="3BBB6F51">
      <w:pPr>
        <w:pStyle w:val="5"/>
        <w:shd w:val="clear" w:fill="FFFFFF" w:themeFill="background1"/>
        <w:spacing w:after="120" w:line="240" w:lineRule="auto"/>
        <w:rPr>
          <w:rFonts w:ascii="宋体" w:hAnsi="宋体"/>
          <w:color w:val="auto"/>
          <w:sz w:val="44"/>
          <w:szCs w:val="44"/>
          <w:highlight w:val="none"/>
        </w:rPr>
      </w:pPr>
      <w:r>
        <w:rPr>
          <w:rFonts w:hint="eastAsia" w:ascii="宋体" w:hAnsi="宋体"/>
          <w:color w:val="auto"/>
          <w:sz w:val="44"/>
          <w:szCs w:val="44"/>
          <w:highlight w:val="none"/>
        </w:rPr>
        <w:br w:type="page"/>
      </w:r>
    </w:p>
    <w:p w14:paraId="4BAAB8C8">
      <w:pPr>
        <w:shd w:val="clear" w:fill="FFFFFF" w:themeFill="background1"/>
        <w:ind w:left="420"/>
        <w:jc w:val="center"/>
        <w:rPr>
          <w:rFonts w:ascii="宋体" w:hAnsi="宋体" w:cs="宋体"/>
          <w:color w:val="auto"/>
          <w:sz w:val="36"/>
          <w:szCs w:val="36"/>
          <w:highlight w:val="none"/>
        </w:rPr>
      </w:pPr>
      <w:r>
        <w:rPr>
          <w:rFonts w:hint="eastAsia" w:ascii="宋体" w:hAnsi="宋体" w:cs="宋体"/>
          <w:color w:val="auto"/>
          <w:sz w:val="36"/>
          <w:szCs w:val="36"/>
          <w:highlight w:val="none"/>
        </w:rPr>
        <w:t>A.公路工程专用合同条款</w:t>
      </w:r>
    </w:p>
    <w:p w14:paraId="36E862E0">
      <w:pPr>
        <w:shd w:val="clear" w:fill="FFFFFF" w:themeFill="background1"/>
        <w:rPr>
          <w:rFonts w:ascii="宋体" w:hAnsi="宋体" w:cs="宋体"/>
          <w:color w:val="auto"/>
          <w:highlight w:val="none"/>
        </w:rPr>
      </w:pPr>
    </w:p>
    <w:p w14:paraId="5292FDC8">
      <w:pPr>
        <w:shd w:val="clear" w:fill="FFFFFF" w:themeFill="background1"/>
        <w:ind w:firstLine="482" w:firstLineChars="200"/>
        <w:rPr>
          <w:rFonts w:ascii="宋体" w:hAnsi="宋体" w:cs="宋体"/>
          <w:b/>
          <w:color w:val="auto"/>
          <w:sz w:val="24"/>
          <w:highlight w:val="none"/>
        </w:rPr>
      </w:pPr>
      <w:r>
        <w:rPr>
          <w:rFonts w:hint="eastAsia" w:ascii="宋体" w:hAnsi="宋体" w:cs="宋体"/>
          <w:b/>
          <w:color w:val="auto"/>
          <w:sz w:val="24"/>
          <w:highlight w:val="none"/>
        </w:rPr>
        <w:t>(注：以下内容为“公路工程专用合同条款”，如有与“《中华人民共和国交通运输部公路工程标准施工招标文件》（2018 版）的第四章第二节”不一致之处，以“《中华人民共和国交通运输部公路工程标准施工招标文件》（2018 版）的第四章第二节”为准。)</w:t>
      </w:r>
    </w:p>
    <w:p w14:paraId="10C050F4">
      <w:pPr>
        <w:shd w:val="clear" w:fill="FFFFFF" w:themeFill="background1"/>
        <w:rPr>
          <w:rFonts w:ascii="宋体" w:hAnsi="宋体" w:cs="宋体"/>
          <w:color w:val="auto"/>
          <w:highlight w:val="none"/>
        </w:rPr>
      </w:pPr>
    </w:p>
    <w:p w14:paraId="47941B71">
      <w:pPr>
        <w:pStyle w:val="4"/>
        <w:shd w:val="clear" w:fill="FFFFFF" w:themeFill="background1"/>
        <w:spacing w:before="156" w:beforeLines="50" w:line="400" w:lineRule="exact"/>
        <w:rPr>
          <w:rFonts w:ascii="宋体" w:hAnsi="宋体" w:cs="宋体"/>
          <w:color w:val="auto"/>
          <w:sz w:val="28"/>
          <w:szCs w:val="28"/>
          <w:highlight w:val="none"/>
        </w:rPr>
      </w:pPr>
      <w:bookmarkStart w:id="1102" w:name="_Toc386467177"/>
      <w:bookmarkEnd w:id="1102"/>
      <w:bookmarkStart w:id="1103" w:name="_Toc453057091"/>
      <w:bookmarkEnd w:id="1103"/>
      <w:bookmarkStart w:id="1104" w:name="_Toc451261281"/>
      <w:bookmarkEnd w:id="1104"/>
      <w:bookmarkStart w:id="1105" w:name="_Toc43475905"/>
      <w:bookmarkEnd w:id="1105"/>
      <w:bookmarkStart w:id="1106" w:name="_Toc330406372"/>
      <w:bookmarkEnd w:id="1106"/>
      <w:bookmarkStart w:id="1107" w:name="_Toc393546431"/>
      <w:bookmarkEnd w:id="1107"/>
      <w:r>
        <w:rPr>
          <w:rFonts w:hint="eastAsia" w:ascii="宋体" w:hAnsi="宋体" w:cs="宋体"/>
          <w:color w:val="auto"/>
          <w:sz w:val="28"/>
          <w:szCs w:val="28"/>
          <w:highlight w:val="none"/>
        </w:rPr>
        <w:t>1.一般约定</w:t>
      </w:r>
    </w:p>
    <w:p w14:paraId="29366B03">
      <w:pPr>
        <w:pStyle w:val="4"/>
        <w:shd w:val="clear" w:fill="FFFFFF" w:themeFill="background1"/>
        <w:spacing w:before="156" w:beforeLines="50" w:line="400" w:lineRule="exact"/>
        <w:rPr>
          <w:rFonts w:ascii="宋体" w:hAnsi="宋体" w:cs="宋体"/>
          <w:color w:val="auto"/>
          <w:sz w:val="24"/>
          <w:szCs w:val="24"/>
          <w:highlight w:val="none"/>
        </w:rPr>
      </w:pPr>
      <w:bookmarkStart w:id="1108" w:name="_Toc43475906"/>
      <w:bookmarkEnd w:id="1108"/>
      <w:bookmarkStart w:id="1109" w:name="_Toc386467178"/>
      <w:bookmarkEnd w:id="1109"/>
      <w:bookmarkStart w:id="1110" w:name="_Toc393546432"/>
      <w:bookmarkEnd w:id="1110"/>
      <w:bookmarkStart w:id="1111" w:name="_Toc330406373"/>
      <w:bookmarkEnd w:id="1111"/>
      <w:bookmarkStart w:id="1112" w:name="_Toc451261282"/>
      <w:bookmarkEnd w:id="1112"/>
      <w:bookmarkStart w:id="1113" w:name="_Toc453057092"/>
      <w:bookmarkEnd w:id="1113"/>
      <w:r>
        <w:rPr>
          <w:rFonts w:hint="eastAsia" w:ascii="宋体" w:hAnsi="宋体" w:cs="宋体"/>
          <w:color w:val="auto"/>
          <w:sz w:val="24"/>
          <w:szCs w:val="24"/>
          <w:highlight w:val="none"/>
        </w:rPr>
        <w:t>1.1词语定义</w:t>
      </w:r>
    </w:p>
    <w:p w14:paraId="3C782BB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1.1.1合同</w:t>
      </w:r>
    </w:p>
    <w:p w14:paraId="366BBF4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第1.1.1.6目细化为：</w:t>
      </w:r>
    </w:p>
    <w:p w14:paraId="553A3F6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技术规范：指本合同所约定的技术标准和要求，是合同文件的组成部分。通用合同条款中“技术标准和要求”一词具有相同含义。</w:t>
      </w:r>
    </w:p>
    <w:p w14:paraId="773E507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第1.1.1.8目细化为：</w:t>
      </w:r>
    </w:p>
    <w:p w14:paraId="0271A9C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己标价工程量清单：指构成合同文件组成部分的己标明价格、经算术性错误 修正及其他错误修正（如有）且承包人己确认的最终的工程量清单，包括工程量清单说明、投标报价说明、计日工说明、其他说明及工程量清单各项表格（工程量清 单表</w:t>
      </w:r>
      <w:r>
        <w:rPr>
          <w:rFonts w:hint="eastAsia" w:ascii="宋体" w:hAnsi="宋体" w:cs="宋体"/>
          <w:color w:val="auto"/>
          <w:sz w:val="24"/>
          <w:highlight w:val="none"/>
        </w:rPr>
        <w:t>5.1</w:t>
      </w:r>
      <w:r>
        <w:rPr>
          <w:rFonts w:hint="eastAsia" w:ascii="宋体" w:hAnsi="宋体" w:cs="宋体"/>
          <w:color w:val="auto"/>
          <w:sz w:val="24"/>
          <w:highlight w:val="none"/>
          <w:lang w:val="zh-CN"/>
        </w:rPr>
        <w:t>〜表</w:t>
      </w:r>
      <w:r>
        <w:rPr>
          <w:rFonts w:hint="eastAsia" w:ascii="宋体" w:hAnsi="宋体" w:cs="宋体"/>
          <w:color w:val="auto"/>
          <w:sz w:val="24"/>
          <w:highlight w:val="none"/>
        </w:rPr>
        <w:t>5.5）。</w:t>
      </w:r>
    </w:p>
    <w:p w14:paraId="382A6DE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本项补充第1.1.1.10目：</w:t>
      </w:r>
    </w:p>
    <w:p w14:paraId="6137E1E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1.1.1.10补遗书：指发出招标文件之后由招标人向已取得招标文件的投标人发出的、编号的对招标文件所作的澄清、修改书。</w:t>
      </w:r>
    </w:p>
    <w:p w14:paraId="2DBFF76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1.1.2合同当事人和人员</w:t>
      </w:r>
    </w:p>
    <w:p w14:paraId="05E9612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本项补充第1.1.2.8目：</w:t>
      </w:r>
    </w:p>
    <w:p w14:paraId="329FCBD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1.1.2.8 承包人项目总工：指由承包人书面委派常驻现场负责管理本合同工程的总工程师或技术总负责人。</w:t>
      </w:r>
    </w:p>
    <w:p w14:paraId="46798B8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 工程和设备</w:t>
      </w:r>
    </w:p>
    <w:p w14:paraId="6754C19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第1.1.3.4目细化为：</w:t>
      </w:r>
    </w:p>
    <w:p w14:paraId="7F28007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单位工程：指在建设项目中，根据签订的合同，具有独立施工条件的工程。</w:t>
      </w:r>
    </w:p>
    <w:p w14:paraId="2666D24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1.1.3.10目细化为：</w:t>
      </w:r>
    </w:p>
    <w:p w14:paraId="33E18E4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永久占地：指为实施本合同工程而需要的一切永久占用的土地，包括公路两侧路权范围内的用地。</w:t>
      </w:r>
    </w:p>
    <w:p w14:paraId="27BB57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第1.1.3.11目细化为：</w:t>
      </w:r>
    </w:p>
    <w:p w14:paraId="12CA2D9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临时占地：指为实施本合同工程而需要的一切临时占用的土地，包括施工所用的临时支线、便道、便桥和现场的临时出入通道，以及生产（办公）、生活等临时设施用地等。</w:t>
      </w:r>
    </w:p>
    <w:p w14:paraId="769AD79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本项补充第1.1.3.12目、第1.1.3.13目：</w:t>
      </w:r>
    </w:p>
    <w:p w14:paraId="026E451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1.1.3.12 分部工程：指在单位工程中，按结构部位、路段长度及施工特点或施工任务划分的若干个工程。</w:t>
      </w:r>
    </w:p>
    <w:p w14:paraId="07730F9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1.1.3.13 分项工程：指在分部工程中，按不同的施工方法、材料、工序及路段长度等划分的若干个过程。</w:t>
      </w:r>
    </w:p>
    <w:p w14:paraId="55370BBF">
      <w:pPr>
        <w:shd w:val="clear" w:fill="FFFFFF" w:themeFill="background1"/>
        <w:spacing w:line="400" w:lineRule="exact"/>
        <w:ind w:firstLine="480"/>
        <w:rPr>
          <w:rFonts w:ascii="宋体" w:hAnsi="宋体" w:cs="宋体"/>
          <w:color w:val="auto"/>
          <w:sz w:val="24"/>
          <w:highlight w:val="none"/>
        </w:rPr>
      </w:pPr>
      <w:r>
        <w:rPr>
          <w:rFonts w:hint="eastAsia" w:ascii="宋体" w:hAnsi="宋体" w:cs="宋体"/>
          <w:color w:val="auto"/>
          <w:sz w:val="24"/>
          <w:highlight w:val="none"/>
        </w:rPr>
        <w:t>1.1.6 其他</w:t>
      </w:r>
    </w:p>
    <w:p w14:paraId="7B06F69E">
      <w:pPr>
        <w:shd w:val="clear" w:fill="FFFFFF" w:themeFill="background1"/>
        <w:spacing w:line="400" w:lineRule="exact"/>
        <w:ind w:firstLine="480"/>
        <w:rPr>
          <w:rFonts w:ascii="宋体" w:hAnsi="宋体" w:cs="宋体"/>
          <w:color w:val="auto"/>
          <w:sz w:val="24"/>
          <w:highlight w:val="none"/>
        </w:rPr>
      </w:pPr>
      <w:r>
        <w:rPr>
          <w:rFonts w:hint="eastAsia" w:ascii="宋体" w:hAnsi="宋体" w:cs="宋体"/>
          <w:color w:val="auto"/>
          <w:sz w:val="24"/>
          <w:highlight w:val="none"/>
        </w:rPr>
        <w:t>本项补充第1.1.6.2目～1.1.6.9目：</w:t>
      </w:r>
    </w:p>
    <w:p w14:paraId="6349E18F">
      <w:pPr>
        <w:shd w:val="clear" w:fill="FFFFFF" w:themeFill="background1"/>
        <w:spacing w:line="400" w:lineRule="exact"/>
        <w:ind w:firstLine="480"/>
        <w:rPr>
          <w:rFonts w:ascii="宋体" w:hAnsi="宋体" w:cs="宋体"/>
          <w:color w:val="auto"/>
          <w:sz w:val="24"/>
          <w:highlight w:val="none"/>
        </w:rPr>
      </w:pPr>
      <w:r>
        <w:rPr>
          <w:rFonts w:hint="eastAsia" w:ascii="宋体" w:hAnsi="宋体" w:cs="宋体"/>
          <w:color w:val="auto"/>
          <w:sz w:val="24"/>
          <w:highlight w:val="none"/>
        </w:rPr>
        <w:t>1.1.6.2 竣工验收：指《公路工程竣（交）工验收办法》中的竣工验收。通用合同条款中“国家验收”一词具有相同含义。</w:t>
      </w:r>
    </w:p>
    <w:p w14:paraId="50B17810">
      <w:pPr>
        <w:shd w:val="clear" w:fill="FFFFFF" w:themeFill="background1"/>
        <w:spacing w:line="400" w:lineRule="exact"/>
        <w:ind w:firstLine="480"/>
        <w:rPr>
          <w:rFonts w:ascii="宋体" w:hAnsi="宋体" w:cs="宋体"/>
          <w:color w:val="auto"/>
          <w:sz w:val="24"/>
          <w:highlight w:val="none"/>
        </w:rPr>
      </w:pPr>
      <w:r>
        <w:rPr>
          <w:rFonts w:hint="eastAsia" w:ascii="宋体" w:hAnsi="宋体" w:cs="宋体"/>
          <w:color w:val="auto"/>
          <w:sz w:val="24"/>
          <w:highlight w:val="none"/>
        </w:rPr>
        <w:t>1.1.6.3 交工：指《公路工程竣（交）工验收办法》中的交工通用合同条款中“竣工”一词具有相同含义。</w:t>
      </w:r>
    </w:p>
    <w:p w14:paraId="109B58C4">
      <w:pPr>
        <w:shd w:val="clear" w:fill="FFFFFF" w:themeFill="background1"/>
        <w:spacing w:line="400" w:lineRule="exact"/>
        <w:ind w:firstLine="480"/>
        <w:rPr>
          <w:rFonts w:ascii="宋体" w:hAnsi="宋体" w:cs="宋体"/>
          <w:color w:val="auto"/>
          <w:sz w:val="24"/>
          <w:highlight w:val="none"/>
        </w:rPr>
      </w:pPr>
      <w:r>
        <w:rPr>
          <w:rFonts w:hint="eastAsia" w:ascii="宋体" w:hAnsi="宋体" w:cs="宋体"/>
          <w:color w:val="auto"/>
          <w:sz w:val="24"/>
          <w:highlight w:val="none"/>
        </w:rPr>
        <w:t>1.1.6.4 交工验收：指《公路工程竣（交）工验收办法》中的交工验收。通用合同条款中“竣工验收”一词具有相同含义。</w:t>
      </w:r>
    </w:p>
    <w:p w14:paraId="2BC0851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1.1.6.5 交工验收证书：指《公路工程竣（交）工验收办法》中的交工验收证书。通用合同条款中“工程接收证书”一词具有相同含义。</w:t>
      </w:r>
    </w:p>
    <w:p w14:paraId="022D6C5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1.1.6.6 转包：指承包人违反法律和不履行合同规定的责任和义务，将中标工程全部委托或以专业分包的名义将中标工程肢解后全部委托给其他施工企业施工的行为。</w:t>
      </w:r>
    </w:p>
    <w:p w14:paraId="0D8485C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1.1.6.7 专业分包：指承包人与具有相应资格的施工企业签订专业分包合同，由分包人承担承包人委托的分部工程、分项工程或适合专业化队伍施工的其他工程，整体结算，并能独立控制工程质量、施工进度、材料采购、生产安全的施工行为。</w:t>
      </w:r>
    </w:p>
    <w:p w14:paraId="659BB9A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1.1.6.8 劳务分包：指承包人与具有劳务分包资质的劳务企业签订劳务分包，由劳务企业提供劳务人员及机具，由承包人统一组织施工，统一控制工程质量、施工进度、材料采购、生产安全的施工行为。</w:t>
      </w:r>
    </w:p>
    <w:p w14:paraId="5E7B24B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1.1.6.9 雇佣民工：指承包人与具有相应劳动能力的自然人签订劳动合同，由承包人统一组织管理，从事分项工程施工或配套工程施工的行为。</w:t>
      </w:r>
    </w:p>
    <w:p w14:paraId="19DC49A9">
      <w:pPr>
        <w:pStyle w:val="4"/>
        <w:shd w:val="clear" w:fill="FFFFFF" w:themeFill="background1"/>
        <w:spacing w:before="156" w:beforeLines="50" w:line="400" w:lineRule="exact"/>
        <w:rPr>
          <w:rFonts w:ascii="宋体" w:hAnsi="宋体" w:cs="宋体"/>
          <w:color w:val="auto"/>
          <w:sz w:val="24"/>
          <w:szCs w:val="24"/>
          <w:highlight w:val="none"/>
        </w:rPr>
      </w:pPr>
      <w:bookmarkStart w:id="1114" w:name="_Toc393546433"/>
      <w:bookmarkEnd w:id="1114"/>
      <w:bookmarkStart w:id="1115" w:name="_Toc451261283"/>
      <w:bookmarkEnd w:id="1115"/>
      <w:bookmarkStart w:id="1116" w:name="_Toc386467179"/>
      <w:bookmarkEnd w:id="1116"/>
      <w:bookmarkStart w:id="1117" w:name="_Toc43475907"/>
      <w:bookmarkEnd w:id="1117"/>
      <w:bookmarkStart w:id="1118" w:name="_Toc453057093"/>
      <w:bookmarkEnd w:id="1118"/>
      <w:bookmarkStart w:id="1119" w:name="_Toc330406374"/>
      <w:bookmarkEnd w:id="1119"/>
      <w:r>
        <w:rPr>
          <w:rFonts w:hint="eastAsia" w:ascii="宋体" w:hAnsi="宋体" w:cs="宋体"/>
          <w:color w:val="auto"/>
          <w:sz w:val="24"/>
          <w:szCs w:val="24"/>
          <w:highlight w:val="none"/>
        </w:rPr>
        <w:t>1.4合同文件的优先顺序</w:t>
      </w:r>
    </w:p>
    <w:p w14:paraId="05C7FC1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本款约定为：</w:t>
      </w:r>
    </w:p>
    <w:p w14:paraId="6C2405A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组成合同的各项文件应互相解释，互为说明。除项目专用合同条款另有约定外，解释合同文件的优先顺序如下：</w:t>
      </w:r>
    </w:p>
    <w:p w14:paraId="09F7A27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（1）合同协议书及各种合同附件（含评标期间和合同谈判过程中的澄清文件和补充资料）；</w:t>
      </w:r>
    </w:p>
    <w:p w14:paraId="3529E8A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（2）中标通知书；</w:t>
      </w:r>
    </w:p>
    <w:p w14:paraId="42A1DFB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（3）投标函及投标函附录；</w:t>
      </w:r>
    </w:p>
    <w:p w14:paraId="1DE50E8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（4）项目专用合同条款；</w:t>
      </w:r>
    </w:p>
    <w:p w14:paraId="464BA7A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（5）公路工程专用合同条款；</w:t>
      </w:r>
    </w:p>
    <w:p w14:paraId="7730DA6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（6）通用合同条款；</w:t>
      </w:r>
    </w:p>
    <w:p w14:paraId="1F8FDAF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lang w:val="zh-CN"/>
        </w:rPr>
        <w:t>工程量清单计量规则</w:t>
      </w:r>
      <w:r>
        <w:rPr>
          <w:rFonts w:hint="eastAsia" w:ascii="宋体" w:hAnsi="宋体" w:cs="宋体"/>
          <w:color w:val="auto"/>
          <w:sz w:val="24"/>
          <w:highlight w:val="none"/>
        </w:rPr>
        <w:t>；</w:t>
      </w:r>
    </w:p>
    <w:p w14:paraId="2027CA2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（8）技术规范；</w:t>
      </w:r>
    </w:p>
    <w:p w14:paraId="6A5BC12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（9）图纸；</w:t>
      </w:r>
    </w:p>
    <w:p w14:paraId="41CA001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（10）已标价工程量清单；</w:t>
      </w:r>
    </w:p>
    <w:p w14:paraId="4E60987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（11）承包人有关人员、设备投入的承诺及投标文件中的施工组织设计；</w:t>
      </w:r>
    </w:p>
    <w:p w14:paraId="46B8FE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（12）其他合同文件。</w:t>
      </w:r>
    </w:p>
    <w:p w14:paraId="4C97217F">
      <w:pPr>
        <w:pStyle w:val="4"/>
        <w:shd w:val="clear" w:fill="FFFFFF" w:themeFill="background1"/>
        <w:spacing w:before="156" w:beforeLines="50" w:line="400" w:lineRule="exact"/>
        <w:rPr>
          <w:rFonts w:ascii="宋体" w:hAnsi="宋体" w:cs="宋体"/>
          <w:color w:val="auto"/>
          <w:sz w:val="24"/>
          <w:szCs w:val="24"/>
          <w:highlight w:val="none"/>
        </w:rPr>
      </w:pPr>
      <w:bookmarkStart w:id="1120" w:name="_Toc393546434"/>
      <w:bookmarkEnd w:id="1120"/>
      <w:bookmarkStart w:id="1121" w:name="_Toc453057094"/>
      <w:bookmarkEnd w:id="1121"/>
      <w:bookmarkStart w:id="1122" w:name="_Toc386467180"/>
      <w:bookmarkEnd w:id="1122"/>
      <w:bookmarkStart w:id="1123" w:name="_Toc43475908"/>
      <w:bookmarkEnd w:id="1123"/>
      <w:bookmarkStart w:id="1124" w:name="_Toc451261284"/>
      <w:bookmarkEnd w:id="1124"/>
      <w:bookmarkStart w:id="1125" w:name="_Toc330406375"/>
      <w:bookmarkEnd w:id="1125"/>
      <w:r>
        <w:rPr>
          <w:rFonts w:hint="eastAsia" w:ascii="宋体" w:hAnsi="宋体" w:cs="宋体"/>
          <w:color w:val="auto"/>
          <w:sz w:val="24"/>
          <w:szCs w:val="24"/>
          <w:highlight w:val="none"/>
        </w:rPr>
        <w:t>1.5合同协议书</w:t>
      </w:r>
    </w:p>
    <w:p w14:paraId="6DB9B4C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3F817A1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制备本合同文件的费用由发包人承担。在合同协议书签订并生效之前，投标函和中标通知书将对双方具有约束力。</w:t>
      </w:r>
    </w:p>
    <w:p w14:paraId="2FE62E81">
      <w:pPr>
        <w:pStyle w:val="4"/>
        <w:shd w:val="clear" w:fill="FFFFFF" w:themeFill="background1"/>
        <w:spacing w:before="156" w:beforeLines="50" w:line="400" w:lineRule="exact"/>
        <w:rPr>
          <w:rFonts w:ascii="宋体" w:hAnsi="宋体" w:cs="宋体"/>
          <w:color w:val="auto"/>
          <w:sz w:val="24"/>
          <w:szCs w:val="24"/>
          <w:highlight w:val="none"/>
        </w:rPr>
      </w:pPr>
      <w:bookmarkStart w:id="1126" w:name="_Toc451261285"/>
      <w:bookmarkEnd w:id="1126"/>
      <w:bookmarkStart w:id="1127" w:name="_Toc330406376"/>
      <w:bookmarkEnd w:id="1127"/>
      <w:bookmarkStart w:id="1128" w:name="_Toc43475909"/>
      <w:bookmarkEnd w:id="1128"/>
      <w:bookmarkStart w:id="1129" w:name="_Toc386467181"/>
      <w:bookmarkEnd w:id="1129"/>
      <w:bookmarkStart w:id="1130" w:name="_Toc393546435"/>
      <w:bookmarkEnd w:id="1130"/>
      <w:bookmarkStart w:id="1131" w:name="_Toc453057095"/>
      <w:bookmarkEnd w:id="1131"/>
      <w:r>
        <w:rPr>
          <w:rFonts w:hint="eastAsia" w:ascii="宋体" w:hAnsi="宋体" w:cs="宋体"/>
          <w:color w:val="auto"/>
          <w:sz w:val="24"/>
          <w:szCs w:val="24"/>
          <w:highlight w:val="none"/>
        </w:rPr>
        <w:t>1.6图纸和承包人文件</w:t>
      </w:r>
    </w:p>
    <w:p w14:paraId="5C649F4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 图纸的提供</w:t>
      </w:r>
    </w:p>
    <w:p w14:paraId="6378FC4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6C8793A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工期延误的，按第11.3款的约定办理。</w:t>
      </w:r>
    </w:p>
    <w:p w14:paraId="53D3638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1.6.2承包人提供的文件</w:t>
      </w:r>
    </w:p>
    <w:p w14:paraId="451F049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2C0CA31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有下列情形之一的，承包人应免费向监理人提交相关部分工程的施工图纸3份，并附必要的计算书、技术资料，或施工工艺图、设备安装图及安装设备的使用和维护手册各2份供监理人批准。</w:t>
      </w:r>
    </w:p>
    <w:p w14:paraId="06E780D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（1）为使第1.6.1项所述的施工图纸适合于经现场测量后的纵、横断面；</w:t>
      </w:r>
    </w:p>
    <w:p w14:paraId="3849660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（2）为使第1.6.1项所述的施工图纸适合于现场具体地形；</w:t>
      </w:r>
    </w:p>
    <w:p w14:paraId="2192F74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（3）为使第1.6.1项所述的施工图纸适合于因尺寸与位置变化而引起局部变更；</w:t>
      </w:r>
    </w:p>
    <w:p w14:paraId="336E9E8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（4）由于合同要求与施工需要。</w:t>
      </w:r>
    </w:p>
    <w:p w14:paraId="41AD3CB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此类图纸应按监理人规定的格式和图幅绘制。监理人在收到由承包人绘制的上述工程、工艺图纸、计算书和有关技术资料后14天内应予批准或提出修改要求，承包人应按监理人提出的要求做出修改，重新向监理人提交，监理人应在7天内批准或提出进一步的修改意见。</w:t>
      </w:r>
    </w:p>
    <w:p w14:paraId="3DD6162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1.6.4图纸的错误</w:t>
      </w:r>
    </w:p>
    <w:p w14:paraId="6DBD513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7145CF6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当承包人在查阅合同文件或在本合同工程实施过程中，发现有关的工程设计、技术规范、图纸或其他资料中的任何差错、遗漏或缺陷后，应及时通知监理人。监理人接到该通知后，应立即就此做出决定，并通知承包人和发包人。</w:t>
      </w:r>
    </w:p>
    <w:p w14:paraId="4402C388">
      <w:pPr>
        <w:pStyle w:val="4"/>
        <w:shd w:val="clear" w:fill="FFFFFF" w:themeFill="background1"/>
        <w:spacing w:before="156" w:beforeLines="50" w:line="400" w:lineRule="exact"/>
        <w:rPr>
          <w:rFonts w:ascii="宋体" w:hAnsi="宋体" w:cs="宋体"/>
          <w:color w:val="auto"/>
          <w:sz w:val="24"/>
          <w:szCs w:val="24"/>
          <w:highlight w:val="none"/>
        </w:rPr>
      </w:pPr>
      <w:bookmarkStart w:id="1132" w:name="_Toc386467182"/>
      <w:bookmarkEnd w:id="1132"/>
      <w:bookmarkStart w:id="1133" w:name="_Toc330406377"/>
      <w:bookmarkEnd w:id="1133"/>
      <w:bookmarkStart w:id="1134" w:name="_Toc451261286"/>
      <w:bookmarkEnd w:id="1134"/>
      <w:bookmarkStart w:id="1135" w:name="_Toc43475910"/>
      <w:bookmarkEnd w:id="1135"/>
      <w:bookmarkStart w:id="1136" w:name="_Toc393546436"/>
      <w:bookmarkEnd w:id="1136"/>
      <w:bookmarkStart w:id="1137" w:name="_Toc453057096"/>
      <w:bookmarkEnd w:id="1137"/>
      <w:r>
        <w:rPr>
          <w:rFonts w:hint="eastAsia" w:ascii="宋体" w:hAnsi="宋体" w:cs="宋体"/>
          <w:color w:val="auto"/>
          <w:sz w:val="24"/>
          <w:szCs w:val="24"/>
          <w:highlight w:val="none"/>
        </w:rPr>
        <w:t>1.9严禁贿赂</w:t>
      </w:r>
    </w:p>
    <w:p w14:paraId="0B51703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6084B95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上述行为造成的工程损耗害、发包人的经济损失等承担一切责任，并予赔偿。情节严重者，发包人有权终止承包人在本合同项下的承包。</w:t>
      </w:r>
    </w:p>
    <w:p w14:paraId="1CAD8D14">
      <w:pPr>
        <w:pStyle w:val="4"/>
        <w:shd w:val="clear" w:fill="FFFFFF" w:themeFill="background1"/>
        <w:spacing w:before="156" w:beforeLines="50" w:line="400" w:lineRule="exact"/>
        <w:rPr>
          <w:rFonts w:ascii="宋体" w:hAnsi="宋体" w:cs="宋体"/>
          <w:color w:val="auto"/>
          <w:sz w:val="28"/>
          <w:szCs w:val="28"/>
          <w:highlight w:val="none"/>
        </w:rPr>
      </w:pPr>
      <w:bookmarkStart w:id="1138" w:name="_Toc43475911"/>
      <w:bookmarkEnd w:id="1138"/>
      <w:bookmarkStart w:id="1139" w:name="_Toc393546437"/>
      <w:bookmarkEnd w:id="1139"/>
      <w:bookmarkStart w:id="1140" w:name="_Toc451261287"/>
      <w:bookmarkEnd w:id="1140"/>
      <w:bookmarkStart w:id="1141" w:name="_Toc453057097"/>
      <w:bookmarkEnd w:id="1141"/>
      <w:bookmarkStart w:id="1142" w:name="_Toc386467183"/>
      <w:bookmarkEnd w:id="1142"/>
      <w:bookmarkStart w:id="1143" w:name="_Toc330406378"/>
      <w:bookmarkEnd w:id="1143"/>
      <w:r>
        <w:rPr>
          <w:rFonts w:hint="eastAsia" w:ascii="宋体" w:hAnsi="宋体" w:cs="宋体"/>
          <w:color w:val="auto"/>
          <w:sz w:val="28"/>
          <w:szCs w:val="28"/>
          <w:highlight w:val="none"/>
        </w:rPr>
        <w:t>2.发包人义务</w:t>
      </w:r>
    </w:p>
    <w:p w14:paraId="70CB3A97">
      <w:pPr>
        <w:pStyle w:val="4"/>
        <w:shd w:val="clear" w:fill="FFFFFF" w:themeFill="background1"/>
        <w:spacing w:before="156" w:beforeLines="50" w:line="400" w:lineRule="exact"/>
        <w:rPr>
          <w:rFonts w:ascii="宋体" w:hAnsi="宋体" w:cs="宋体"/>
          <w:color w:val="auto"/>
          <w:sz w:val="24"/>
          <w:szCs w:val="24"/>
          <w:highlight w:val="none"/>
        </w:rPr>
      </w:pPr>
      <w:bookmarkStart w:id="1144" w:name="_Toc386467184"/>
      <w:bookmarkEnd w:id="1144"/>
      <w:bookmarkStart w:id="1145" w:name="_Toc451261288"/>
      <w:bookmarkEnd w:id="1145"/>
      <w:bookmarkStart w:id="1146" w:name="_Toc43475912"/>
      <w:bookmarkEnd w:id="1146"/>
      <w:bookmarkStart w:id="1147" w:name="_Toc393546438"/>
      <w:bookmarkEnd w:id="1147"/>
      <w:bookmarkStart w:id="1148" w:name="_Toc330406379"/>
      <w:bookmarkEnd w:id="1148"/>
      <w:bookmarkStart w:id="1149" w:name="_Toc453057098"/>
      <w:bookmarkEnd w:id="1149"/>
      <w:r>
        <w:rPr>
          <w:rFonts w:hint="eastAsia" w:ascii="宋体" w:hAnsi="宋体" w:cs="宋体"/>
          <w:color w:val="auto"/>
          <w:sz w:val="24"/>
          <w:szCs w:val="24"/>
          <w:highlight w:val="none"/>
        </w:rPr>
        <w:t>2.3提供施工场地</w:t>
      </w:r>
    </w:p>
    <w:p w14:paraId="3BCF8DD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7048F09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及拆迁赔偿手续，通知承包人使用，以使承包人能够连续不间断地施工。由于承包人施工考虑不周或措施不当等原因而造成的超计划占地或拆迁等发生的征用和赔偿费用，应由承包人承担。</w:t>
      </w:r>
    </w:p>
    <w:p w14:paraId="1AAC3B3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于发包人未能按照本项规定办妥永久占地征用手续，影响承包人及时使用永久占地造成的费用增加和（或）工期延误应由发包人承担。由于承包人未能按照本项规定提交占地计划，影响发包人办理永久占地征用手续造成的费用增加和（或）工期延误由承包人承担。</w:t>
      </w:r>
    </w:p>
    <w:p w14:paraId="273A5080">
      <w:pPr>
        <w:pStyle w:val="4"/>
        <w:shd w:val="clear" w:fill="FFFFFF" w:themeFill="background1"/>
        <w:spacing w:before="156" w:beforeLines="50" w:line="400" w:lineRule="exact"/>
        <w:rPr>
          <w:rFonts w:ascii="宋体" w:hAnsi="宋体" w:cs="宋体"/>
          <w:color w:val="auto"/>
          <w:sz w:val="28"/>
          <w:szCs w:val="28"/>
          <w:highlight w:val="none"/>
        </w:rPr>
      </w:pPr>
      <w:bookmarkStart w:id="1150" w:name="_Toc330406380"/>
      <w:bookmarkEnd w:id="1150"/>
      <w:bookmarkStart w:id="1151" w:name="_Toc393546439"/>
      <w:bookmarkEnd w:id="1151"/>
      <w:bookmarkStart w:id="1152" w:name="_Toc451261289"/>
      <w:bookmarkEnd w:id="1152"/>
      <w:bookmarkStart w:id="1153" w:name="_Toc386467185"/>
      <w:bookmarkEnd w:id="1153"/>
      <w:bookmarkStart w:id="1154" w:name="_Toc453057099"/>
      <w:bookmarkEnd w:id="1154"/>
      <w:bookmarkStart w:id="1155" w:name="_Toc43475913"/>
      <w:bookmarkEnd w:id="1155"/>
      <w:r>
        <w:rPr>
          <w:rFonts w:hint="eastAsia" w:ascii="宋体" w:hAnsi="宋体" w:cs="宋体"/>
          <w:color w:val="auto"/>
          <w:sz w:val="28"/>
          <w:szCs w:val="28"/>
          <w:highlight w:val="none"/>
        </w:rPr>
        <w:t>3.监理人</w:t>
      </w:r>
    </w:p>
    <w:p w14:paraId="545A4C7A">
      <w:pPr>
        <w:pStyle w:val="4"/>
        <w:shd w:val="clear" w:fill="FFFFFF" w:themeFill="background1"/>
        <w:spacing w:before="156" w:beforeLines="50" w:line="400" w:lineRule="exact"/>
        <w:rPr>
          <w:rFonts w:ascii="宋体" w:hAnsi="宋体" w:cs="宋体"/>
          <w:color w:val="auto"/>
          <w:sz w:val="24"/>
          <w:szCs w:val="24"/>
          <w:highlight w:val="none"/>
        </w:rPr>
      </w:pPr>
      <w:bookmarkStart w:id="1156" w:name="_Toc451261290"/>
      <w:bookmarkEnd w:id="1156"/>
      <w:bookmarkStart w:id="1157" w:name="_Toc393546440"/>
      <w:bookmarkEnd w:id="1157"/>
      <w:bookmarkStart w:id="1158" w:name="_Toc453057100"/>
      <w:bookmarkEnd w:id="1158"/>
      <w:bookmarkStart w:id="1159" w:name="_Toc43475914"/>
      <w:bookmarkEnd w:id="1159"/>
      <w:bookmarkStart w:id="1160" w:name="_Toc386467186"/>
      <w:bookmarkEnd w:id="1160"/>
      <w:bookmarkStart w:id="1161" w:name="_Toc330406381"/>
      <w:bookmarkEnd w:id="1161"/>
      <w:r>
        <w:rPr>
          <w:rFonts w:hint="eastAsia" w:ascii="宋体" w:hAnsi="宋体" w:cs="宋体"/>
          <w:color w:val="auto"/>
          <w:sz w:val="24"/>
          <w:szCs w:val="24"/>
          <w:highlight w:val="none"/>
        </w:rPr>
        <w:t>3.1监理人的职责和权力</w:t>
      </w:r>
    </w:p>
    <w:p w14:paraId="05B2C5D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第3.1.1项补充：</w:t>
      </w:r>
    </w:p>
    <w:p w14:paraId="049F536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监理人在行使下列权力前需要经发包人事先批准：</w:t>
      </w:r>
    </w:p>
    <w:p w14:paraId="66F04A4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（1）根据第4.3款，同意分包</w:t>
      </w:r>
      <w:r>
        <w:rPr>
          <w:rFonts w:hint="eastAsia" w:ascii="宋体" w:hAnsi="宋体" w:cs="宋体"/>
          <w:color w:val="auto"/>
          <w:highlight w:val="none"/>
        </w:rPr>
        <w:t>本工程的某些非关键性工作或者适合专业化队伍施工的专项工程</w:t>
      </w:r>
      <w:r>
        <w:rPr>
          <w:rFonts w:hint="eastAsia" w:ascii="宋体" w:hAnsi="宋体" w:cs="宋体"/>
          <w:color w:val="auto"/>
          <w:sz w:val="24"/>
          <w:highlight w:val="none"/>
        </w:rPr>
        <w:t>；</w:t>
      </w:r>
    </w:p>
    <w:p w14:paraId="0FDC6E9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（2）确定第4.11款下产生的费用增加额；</w:t>
      </w:r>
    </w:p>
    <w:p w14:paraId="1BAFDFF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（3）根据第11.1款、第12.3款、第12.4款发布开工通知、暂停施工指示或复工通知；</w:t>
      </w:r>
    </w:p>
    <w:p w14:paraId="5148DF3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（4）决定第11.3款、第11.4款下的工期延长；</w:t>
      </w:r>
    </w:p>
    <w:p w14:paraId="5260E35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（5）审查批准技术方案设计的变更；</w:t>
      </w:r>
    </w:p>
    <w:p w14:paraId="0D5D8ED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（6）根据第15.3款发出的变更指令，其单项工程变更或累计变更涉及的金额超过了项目专用合同条款数据表中规定的金额；</w:t>
      </w:r>
    </w:p>
    <w:p w14:paraId="1934C97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（7）确定第15.4款下变更工作的单价；</w:t>
      </w:r>
    </w:p>
    <w:p w14:paraId="7E175FD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（8）按照第15.6款决定有关暂列金额的使用；</w:t>
      </w:r>
    </w:p>
    <w:p w14:paraId="2CC715D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（9）确定第15.8款项下的暂估价金额；</w:t>
      </w:r>
    </w:p>
    <w:p w14:paraId="3B31843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（10）确定第23.1款项下的索赔额。</w:t>
      </w:r>
    </w:p>
    <w:p w14:paraId="0B0CF1C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3.5款商定或确定。</w:t>
      </w:r>
    </w:p>
    <w:p w14:paraId="0B4E3FB9">
      <w:pPr>
        <w:pStyle w:val="4"/>
        <w:shd w:val="clear" w:fill="FFFFFF" w:themeFill="background1"/>
        <w:spacing w:before="156" w:beforeLines="50" w:line="400" w:lineRule="exact"/>
        <w:rPr>
          <w:rFonts w:ascii="宋体" w:hAnsi="宋体" w:cs="宋体"/>
          <w:color w:val="auto"/>
          <w:sz w:val="24"/>
          <w:szCs w:val="24"/>
          <w:highlight w:val="none"/>
        </w:rPr>
      </w:pPr>
      <w:bookmarkStart w:id="1162" w:name="_Toc451261291"/>
      <w:bookmarkEnd w:id="1162"/>
      <w:bookmarkStart w:id="1163" w:name="_Toc43475915"/>
      <w:bookmarkEnd w:id="1163"/>
      <w:bookmarkStart w:id="1164" w:name="_Toc393546441"/>
      <w:bookmarkEnd w:id="1164"/>
      <w:bookmarkStart w:id="1165" w:name="_Toc453057101"/>
      <w:bookmarkEnd w:id="1165"/>
      <w:bookmarkStart w:id="1166" w:name="_Toc330406382"/>
      <w:bookmarkEnd w:id="1166"/>
      <w:bookmarkStart w:id="1167" w:name="_Toc386467187"/>
      <w:bookmarkEnd w:id="1167"/>
      <w:r>
        <w:rPr>
          <w:rFonts w:hint="eastAsia" w:ascii="宋体" w:hAnsi="宋体" w:cs="宋体"/>
          <w:color w:val="auto"/>
          <w:sz w:val="24"/>
          <w:szCs w:val="24"/>
          <w:highlight w:val="none"/>
        </w:rPr>
        <w:t>3.5商定或确定</w:t>
      </w:r>
    </w:p>
    <w:p w14:paraId="6BFB0B6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第3.5.1 项补充：</w:t>
      </w:r>
    </w:p>
    <w:p w14:paraId="1842312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如果这项商定或确定导致费用增加和（或）工期延长，或者涉及确定变更工程的价格，则总监理工程师在发出通知前，应征得发包人的同意。</w:t>
      </w:r>
    </w:p>
    <w:p w14:paraId="7521CF2B">
      <w:pPr>
        <w:pStyle w:val="4"/>
        <w:shd w:val="clear" w:fill="FFFFFF" w:themeFill="background1"/>
        <w:spacing w:before="156" w:beforeLines="50" w:line="400" w:lineRule="exact"/>
        <w:rPr>
          <w:rFonts w:ascii="宋体" w:hAnsi="宋体" w:cs="宋体"/>
          <w:color w:val="auto"/>
          <w:sz w:val="28"/>
          <w:szCs w:val="28"/>
          <w:highlight w:val="none"/>
        </w:rPr>
      </w:pPr>
      <w:bookmarkStart w:id="1168" w:name="_Toc386467188"/>
      <w:bookmarkEnd w:id="1168"/>
      <w:bookmarkStart w:id="1169" w:name="_Toc43475916"/>
      <w:bookmarkEnd w:id="1169"/>
      <w:bookmarkStart w:id="1170" w:name="_Toc451261292"/>
      <w:bookmarkEnd w:id="1170"/>
      <w:bookmarkStart w:id="1171" w:name="_Toc453057102"/>
      <w:bookmarkEnd w:id="1171"/>
      <w:bookmarkStart w:id="1172" w:name="_Toc393546442"/>
      <w:bookmarkEnd w:id="1172"/>
      <w:bookmarkStart w:id="1173" w:name="_Toc330406383"/>
      <w:bookmarkEnd w:id="1173"/>
      <w:r>
        <w:rPr>
          <w:rFonts w:hint="eastAsia" w:ascii="宋体" w:hAnsi="宋体" w:cs="宋体"/>
          <w:color w:val="auto"/>
          <w:sz w:val="28"/>
          <w:szCs w:val="28"/>
          <w:highlight w:val="none"/>
        </w:rPr>
        <w:t>4.承包人</w:t>
      </w:r>
    </w:p>
    <w:p w14:paraId="41F7AAA3">
      <w:pPr>
        <w:pStyle w:val="4"/>
        <w:shd w:val="clear" w:fill="FFFFFF" w:themeFill="background1"/>
        <w:spacing w:before="156" w:beforeLines="50" w:line="400" w:lineRule="exact"/>
        <w:rPr>
          <w:rFonts w:ascii="宋体" w:hAnsi="宋体" w:cs="宋体"/>
          <w:color w:val="auto"/>
          <w:sz w:val="24"/>
          <w:szCs w:val="24"/>
          <w:highlight w:val="none"/>
        </w:rPr>
      </w:pPr>
      <w:bookmarkStart w:id="1174" w:name="_Toc453057103"/>
      <w:bookmarkEnd w:id="1174"/>
      <w:bookmarkStart w:id="1175" w:name="_Toc451261293"/>
      <w:bookmarkEnd w:id="1175"/>
      <w:bookmarkStart w:id="1176" w:name="_Toc43475917"/>
      <w:bookmarkEnd w:id="1176"/>
      <w:bookmarkStart w:id="1177" w:name="_Toc330406384"/>
      <w:bookmarkEnd w:id="1177"/>
      <w:bookmarkStart w:id="1178" w:name="_Toc386467189"/>
      <w:bookmarkEnd w:id="1178"/>
      <w:bookmarkStart w:id="1179" w:name="_Toc393546443"/>
      <w:bookmarkEnd w:id="1179"/>
      <w:r>
        <w:rPr>
          <w:rFonts w:hint="eastAsia" w:ascii="宋体" w:hAnsi="宋体" w:cs="宋体"/>
          <w:color w:val="auto"/>
          <w:sz w:val="24"/>
          <w:szCs w:val="24"/>
          <w:highlight w:val="none"/>
        </w:rPr>
        <w:t>4.1承包工的一般义务</w:t>
      </w:r>
    </w:p>
    <w:p w14:paraId="5B811CED">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4.1.9工程的维护和照管</w:t>
      </w:r>
    </w:p>
    <w:p w14:paraId="5F1E38C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68150BE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50CD5A5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在承包人负责照管与维护期间，如果本工程或材料、设备等发生损失或损害，除不可抗力原因之外，承包人均应自费弥补，并达到合同要求。承包人还应对按第19条规定而实施作业的过程中由承包人造成的对工程的任何损失或损害负责。</w:t>
      </w:r>
    </w:p>
    <w:p w14:paraId="1F572082">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4.1.10其他义务</w:t>
      </w:r>
    </w:p>
    <w:p w14:paraId="1A239A5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06F4B2A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（1）临时占地由承包人向当地政府土地管理部门申请，并办理租用手续，承包人按有关规定直接支付其费用，发包人对此将予以协调。</w:t>
      </w:r>
    </w:p>
    <w:p w14:paraId="6CC9F7C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100章中由承包人按总额报价。</w:t>
      </w:r>
    </w:p>
    <w:p w14:paraId="18A4307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临时占地退还前，承包人应自费恢复到临时占地使用前的状态。如因承包人撤离后未按要求对临时占地进行恢复或虽进行了恢复但未达到使用标准的，将由发包人委托第三方对其恢复，所发生的费用将从应付给承包人的任何款项内扣除。</w:t>
      </w:r>
    </w:p>
    <w:p w14:paraId="76F62ED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除项目专用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74BEB58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承包人应严格遵守国家有关解决拖欠工程款和民工工资的法律、法规，及时支付工程中的材料、设备贷款及民工工资等费用。承包人不得以任何借口拖欠材料、设备贷款及民工工资等费用，如果出现此种现象，发包人有权代为支付其拖欠的材料、设备贷款及民工工资，并从应付给承包人的工程款中扣除相应款项。对恶意拖欠和拒不按计划支付的，作为不良记录纳入公路建设市场信用信息管理系统。</w:t>
      </w:r>
    </w:p>
    <w:p w14:paraId="407EF82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23603D3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工资支付表应如实记录支付单位、支付时间、支付对象、支付数额、支付对象的身份证号和签字等信息。民工花名册和工资支付表应报监理人备查。</w:t>
      </w:r>
    </w:p>
    <w:p w14:paraId="06202F6C">
      <w:pPr>
        <w:numPr>
          <w:ilvl w:val="0"/>
          <w:numId w:val="16"/>
        </w:num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承包人应分解工程价款中的人工费用，在工程项目所在地银行开设民工工 资(劳务费)专用账户，专项用于支付民工工资。发包人应按照本合同约定的比例 或承包人提供的人工费用数额，将应付工程款中的人工费单独拨付到承包人开设的 民工工资(劳务费)专用账户。民工工资(劳务费)专用账户应向人力资源社会保 障部门和交通运输主管部门备案，并委托开户银行负责日常监管，确保专款专用。 开户银行发现账户资金不足、被挪用等情况，应及时向人力资源社会保障部门和交 通运输主管部门报告。</w:t>
      </w:r>
    </w:p>
    <w:p w14:paraId="62C136FB">
      <w:pPr>
        <w:numPr>
          <w:ilvl w:val="0"/>
          <w:numId w:val="16"/>
        </w:num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承包人应严格执行招标文件技术规范对施工标准化提出的具体要求，结合 本单位施工能力和技术优势，积极采取有利于标准化施工的组织方式和工艺流程， 加强工地建设、工艺控制、人员管理和内业资料管理，强化对施工一线操作人员的 培训，改善职工生产生活条件，与此相关的费用承包人应列入工程量清单100章中。</w:t>
      </w:r>
    </w:p>
    <w:p w14:paraId="1DE57B24">
      <w:pPr>
        <w:numPr>
          <w:ilvl w:val="0"/>
          <w:numId w:val="16"/>
        </w:num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承包人应履行项目专用合同条款约定的其他义务。</w:t>
      </w:r>
    </w:p>
    <w:p w14:paraId="047807ED">
      <w:pPr>
        <w:pStyle w:val="4"/>
        <w:shd w:val="clear" w:fill="FFFFFF" w:themeFill="background1"/>
        <w:spacing w:before="156" w:beforeLines="50" w:line="400" w:lineRule="exact"/>
        <w:rPr>
          <w:rFonts w:ascii="宋体" w:hAnsi="宋体" w:cs="宋体"/>
          <w:color w:val="auto"/>
          <w:sz w:val="24"/>
          <w:szCs w:val="24"/>
          <w:highlight w:val="none"/>
        </w:rPr>
      </w:pPr>
      <w:bookmarkStart w:id="1180" w:name="_Toc43475918"/>
      <w:bookmarkEnd w:id="1180"/>
      <w:r>
        <w:rPr>
          <w:rFonts w:hint="eastAsia" w:ascii="宋体" w:hAnsi="宋体" w:cs="宋体"/>
          <w:color w:val="auto"/>
          <w:sz w:val="24"/>
          <w:szCs w:val="24"/>
          <w:highlight w:val="none"/>
        </w:rPr>
        <w:t>4.2</w:t>
      </w:r>
      <w:r>
        <w:rPr>
          <w:rFonts w:hint="eastAsia" w:ascii="宋体" w:hAnsi="宋体" w:cs="宋体"/>
          <w:color w:val="auto"/>
          <w:sz w:val="24"/>
          <w:szCs w:val="24"/>
          <w:highlight w:val="none"/>
          <w:lang w:val="zh-CN"/>
        </w:rPr>
        <w:t>履约保证金</w:t>
      </w:r>
    </w:p>
    <w:p w14:paraId="3ED0AE9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本款细化为：</w:t>
      </w:r>
    </w:p>
    <w:p w14:paraId="5015920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承包人应保证其履约保证金在发包人签发交工验收证书且承包人按照合同约定 缴纳质量保证金前一直有效。发包人应在收到承包人缴纳的质量保证金后28天内把 履约保证金退还给承包人。</w:t>
      </w:r>
    </w:p>
    <w:p w14:paraId="5E9FA7A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承包人拒绝按照本合同约定缴纳质量保证金的，发包人有权从竣工付款证书中 扣留相应金额作为质量保证金，或者直接将履约保证金金额用于保证承包人在缺陷 责任期内履行缺陷修复义务。</w:t>
      </w:r>
    </w:p>
    <w:p w14:paraId="1708D1DA">
      <w:pPr>
        <w:pStyle w:val="4"/>
        <w:shd w:val="clear" w:fill="FFFFFF" w:themeFill="background1"/>
        <w:spacing w:before="156" w:beforeLines="50" w:line="400" w:lineRule="exact"/>
        <w:rPr>
          <w:rFonts w:ascii="宋体" w:hAnsi="宋体" w:cs="宋体"/>
          <w:color w:val="auto"/>
          <w:sz w:val="24"/>
          <w:szCs w:val="24"/>
          <w:highlight w:val="none"/>
        </w:rPr>
      </w:pPr>
      <w:bookmarkStart w:id="1181" w:name="_Toc451261294"/>
      <w:bookmarkEnd w:id="1181"/>
      <w:bookmarkStart w:id="1182" w:name="_Toc393546444"/>
      <w:bookmarkEnd w:id="1182"/>
      <w:bookmarkStart w:id="1183" w:name="_Toc386467190"/>
      <w:bookmarkEnd w:id="1183"/>
      <w:bookmarkStart w:id="1184" w:name="_Toc330406385"/>
      <w:bookmarkEnd w:id="1184"/>
      <w:bookmarkStart w:id="1185" w:name="_Toc453057104"/>
      <w:bookmarkEnd w:id="1185"/>
      <w:bookmarkStart w:id="1186" w:name="_Toc43475919"/>
      <w:bookmarkEnd w:id="1186"/>
      <w:r>
        <w:rPr>
          <w:rFonts w:hint="eastAsia" w:ascii="宋体" w:hAnsi="宋体" w:cs="宋体"/>
          <w:color w:val="auto"/>
          <w:sz w:val="24"/>
          <w:szCs w:val="24"/>
          <w:highlight w:val="none"/>
        </w:rPr>
        <w:t>4.3 分包</w:t>
      </w:r>
    </w:p>
    <w:p w14:paraId="35567A5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第4.3.2项～第4.3.4项细化为：</w:t>
      </w:r>
    </w:p>
    <w:p w14:paraId="511BEF9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4.3.2 承包人不得将4关键性工作分包给第三人。经发包人同意，承包人可将工程的其他部分或工作分包给第三人。分包包括专业分包和劳务分包。</w:t>
      </w:r>
    </w:p>
    <w:p w14:paraId="1640F3B5">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4.3.3专业分包</w:t>
      </w:r>
    </w:p>
    <w:p w14:paraId="3E5CE8D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在工程施工过程中，承包人进行专业分包必须遵守以下规定：</w:t>
      </w:r>
    </w:p>
    <w:p w14:paraId="3FE52AC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zh-CN"/>
        </w:rPr>
        <w:t>允许专业分包的工程范围仅限于非关键性工程或者适合专业化队伍施工的 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197DE412">
      <w:pPr>
        <w:shd w:val="clear" w:fill="FFFFFF" w:themeFill="background1"/>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专业分包人的资格能力(含安全生产能力)应与其分包工程的标准和规模 相适应，且应当具备如下条件：</w:t>
      </w:r>
    </w:p>
    <w:p w14:paraId="1C4DD35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a.</w:t>
      </w:r>
      <w:r>
        <w:rPr>
          <w:rFonts w:hint="eastAsia" w:ascii="宋体" w:hAnsi="宋体" w:cs="宋体"/>
          <w:color w:val="auto"/>
          <w:sz w:val="24"/>
          <w:highlight w:val="none"/>
          <w:lang w:val="zh-CN"/>
        </w:rPr>
        <w:t>具有经工商登记的法人资格；</w:t>
      </w:r>
    </w:p>
    <w:p w14:paraId="2FF881E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b.</w:t>
      </w:r>
      <w:r>
        <w:rPr>
          <w:rFonts w:hint="eastAsia" w:ascii="宋体" w:hAnsi="宋体" w:cs="宋体"/>
          <w:color w:val="auto"/>
          <w:sz w:val="24"/>
          <w:highlight w:val="none"/>
          <w:lang w:val="zh-CN"/>
        </w:rPr>
        <w:t>具有从事类似工程经验的管理与技术人员；</w:t>
      </w:r>
    </w:p>
    <w:p w14:paraId="1A7A2BD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c.</w:t>
      </w:r>
      <w:r>
        <w:rPr>
          <w:rFonts w:hint="eastAsia" w:ascii="宋体" w:hAnsi="宋体" w:cs="宋体"/>
          <w:color w:val="auto"/>
          <w:sz w:val="24"/>
          <w:highlight w:val="none"/>
          <w:lang w:val="zh-CN"/>
        </w:rPr>
        <w:t>具有(自有或租赁)分包工程所需的施工设备。</w:t>
      </w:r>
    </w:p>
    <w:p w14:paraId="616ADC21">
      <w:pPr>
        <w:shd w:val="clear" w:fill="FFFFFF" w:themeFill="background1"/>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承包人应向监理人提交专业分包人的资格能力证明材料，经监理人审查并报发 包人批准后，可以将相应专业工程分包给该专业分包人。</w:t>
      </w:r>
    </w:p>
    <w:p w14:paraId="648C837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（3）专业分工程不得再次分包。</w:t>
      </w:r>
    </w:p>
    <w:p w14:paraId="5329F1A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zh-CN"/>
        </w:rPr>
        <w:t>承包人和专业分包人应当按照交通运输主管部门制定的统一格式依法签订 专业分包合同，并履行合同约定的义务。专业分包合同必须遵循承包合同的各项原 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33E47B8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zh-CN"/>
        </w:rPr>
        <w:t>专业分包人应当设立项目管理机构，对所分包工程的施工活动实施管理。 项目管理机构应当具有与分包工程的规模、技术复杂程度相适应的技术、经济管理人员，其中项目负责人和技术、财务、计量、质量、安全等主要管理人员必须是专业分包人本单位人员。</w:t>
      </w:r>
    </w:p>
    <w:p w14:paraId="7B3F1C1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zh-CN"/>
        </w:rPr>
        <w:t>承包人应当建立健全相关分包管理制度和台账，对专业分包工程的质量、 安全、进度和专业分包人的行为等实施全过程管理，按照本办法规定和合同约定对专业分包工程的实施向发包人负责，并承担赔偿责任。专业分包合同不免除承包合同中规定的承包人的责任或者义务。</w:t>
      </w:r>
    </w:p>
    <w:p w14:paraId="345B10F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lang w:val="zh-CN"/>
        </w:rPr>
        <w:t>专业分包人应当依据专业分包合同的约定，组织分包工程的施工，并对分包工程的质量、安全和进度等实施有效控制。专业分包人对其分包的工程向承包人负责，并就所分包的工程向发包人承担连带责任。</w:t>
      </w:r>
    </w:p>
    <w:p w14:paraId="3D664EC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3135C13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违反上述规定之一者属违规分包。</w:t>
      </w:r>
    </w:p>
    <w:p w14:paraId="036BFED4">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4.3.4劳务分包</w:t>
      </w:r>
    </w:p>
    <w:p w14:paraId="3E62FF0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在工程施工过程中，承包人进行劳务分包必须遵守以下规定：</w:t>
      </w:r>
    </w:p>
    <w:p w14:paraId="22A4169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（1）劳务分包人应具有劳务分包资质。</w:t>
      </w:r>
    </w:p>
    <w:p w14:paraId="57DB3A0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5C79B76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承包人雇用的劳务作业应加入到承包人的施工班组统一管理。有关施工质量、施工安全、施工进度、环境保护、技术方案、试验检测、材料保管与供应、机械设备等都必须由承包人管理与调配，不得以包代管。</w:t>
      </w:r>
    </w:p>
    <w:p w14:paraId="454B225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（4）承包人应当对劳务分包人员进行安全培训和管理，劳务分包人不得将其分包的劳务作业再次分包。</w:t>
      </w:r>
    </w:p>
    <w:p w14:paraId="0136BBC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违反上述规定之一者属违规分包。</w:t>
      </w:r>
    </w:p>
    <w:p w14:paraId="6B8DEC7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本款补充第4.3.6项：</w:t>
      </w:r>
    </w:p>
    <w:p w14:paraId="490D617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4.3.6、发包人对承包人与分包人之间的法律与经济纠纷不承担任何责任和义务。</w:t>
      </w:r>
    </w:p>
    <w:p w14:paraId="5011F46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4.3.7、本项目的各项分包工作均应遵守《公路工程施工分包管理办法》的有关规定。</w:t>
      </w:r>
    </w:p>
    <w:p w14:paraId="3EAA125C">
      <w:pPr>
        <w:pStyle w:val="4"/>
        <w:shd w:val="clear" w:fill="FFFFFF" w:themeFill="background1"/>
        <w:spacing w:before="156" w:beforeLines="50" w:line="400" w:lineRule="exact"/>
        <w:rPr>
          <w:rFonts w:ascii="宋体" w:hAnsi="宋体" w:cs="宋体"/>
          <w:color w:val="auto"/>
          <w:sz w:val="24"/>
          <w:szCs w:val="24"/>
          <w:highlight w:val="none"/>
        </w:rPr>
      </w:pPr>
      <w:bookmarkStart w:id="1187" w:name="_Toc451261295"/>
      <w:bookmarkEnd w:id="1187"/>
      <w:bookmarkStart w:id="1188" w:name="_Toc386467191"/>
      <w:bookmarkEnd w:id="1188"/>
      <w:bookmarkStart w:id="1189" w:name="_Toc330406386"/>
      <w:bookmarkEnd w:id="1189"/>
      <w:bookmarkStart w:id="1190" w:name="_Toc453057105"/>
      <w:bookmarkEnd w:id="1190"/>
      <w:bookmarkStart w:id="1191" w:name="_Toc393546445"/>
      <w:bookmarkEnd w:id="1191"/>
      <w:bookmarkStart w:id="1192" w:name="_Toc43475920"/>
      <w:bookmarkEnd w:id="1192"/>
      <w:r>
        <w:rPr>
          <w:rFonts w:hint="eastAsia" w:ascii="宋体" w:hAnsi="宋体" w:cs="宋体"/>
          <w:color w:val="auto"/>
          <w:sz w:val="24"/>
          <w:szCs w:val="24"/>
          <w:highlight w:val="none"/>
        </w:rPr>
        <w:t>4.4联合体</w:t>
      </w:r>
    </w:p>
    <w:p w14:paraId="2983EE8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本款增加第4.4.4项：</w:t>
      </w:r>
    </w:p>
    <w:p w14:paraId="67687AA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4.4.4未经发包人事先同意，联合体的组成与结构不得变动。</w:t>
      </w:r>
    </w:p>
    <w:p w14:paraId="0E5A71DC">
      <w:pPr>
        <w:pStyle w:val="4"/>
        <w:shd w:val="clear" w:fill="FFFFFF" w:themeFill="background1"/>
        <w:spacing w:before="156" w:beforeLines="50" w:line="400" w:lineRule="exact"/>
        <w:rPr>
          <w:rFonts w:ascii="宋体" w:hAnsi="宋体" w:cs="宋体"/>
          <w:color w:val="auto"/>
          <w:sz w:val="24"/>
          <w:szCs w:val="24"/>
          <w:highlight w:val="none"/>
        </w:rPr>
      </w:pPr>
      <w:bookmarkStart w:id="1193" w:name="_Toc386467192"/>
      <w:bookmarkEnd w:id="1193"/>
      <w:bookmarkStart w:id="1194" w:name="_Toc451261296"/>
      <w:bookmarkEnd w:id="1194"/>
      <w:bookmarkStart w:id="1195" w:name="_Toc330406387"/>
      <w:bookmarkEnd w:id="1195"/>
      <w:bookmarkStart w:id="1196" w:name="_Toc43475921"/>
      <w:bookmarkEnd w:id="1196"/>
      <w:bookmarkStart w:id="1197" w:name="_Toc453057106"/>
      <w:bookmarkEnd w:id="1197"/>
      <w:bookmarkStart w:id="1198" w:name="_Toc393546446"/>
      <w:bookmarkEnd w:id="1198"/>
      <w:r>
        <w:rPr>
          <w:rFonts w:hint="eastAsia" w:ascii="宋体" w:hAnsi="宋体" w:cs="宋体"/>
          <w:color w:val="auto"/>
          <w:sz w:val="24"/>
          <w:szCs w:val="24"/>
          <w:highlight w:val="none"/>
        </w:rPr>
        <w:t>4.6承包人人员的管理</w:t>
      </w:r>
    </w:p>
    <w:p w14:paraId="5A82235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第4.6.3项细化为：</w:t>
      </w:r>
    </w:p>
    <w:p w14:paraId="5D46E80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2CD3490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本款补充第4.6.5项：</w:t>
      </w:r>
    </w:p>
    <w:p w14:paraId="46F99E2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次增加的费用和（或）工期延误由承包人承担。</w:t>
      </w:r>
    </w:p>
    <w:p w14:paraId="56A302BB">
      <w:pPr>
        <w:pStyle w:val="4"/>
        <w:shd w:val="clear" w:fill="FFFFFF" w:themeFill="background1"/>
        <w:spacing w:before="156" w:beforeLines="50" w:line="400" w:lineRule="exact"/>
        <w:rPr>
          <w:rFonts w:ascii="宋体" w:hAnsi="宋体" w:cs="宋体"/>
          <w:color w:val="auto"/>
          <w:sz w:val="24"/>
          <w:szCs w:val="24"/>
          <w:highlight w:val="none"/>
        </w:rPr>
      </w:pPr>
      <w:bookmarkStart w:id="1199" w:name="_Toc453057107"/>
      <w:bookmarkEnd w:id="1199"/>
      <w:bookmarkStart w:id="1200" w:name="_Toc330406388"/>
      <w:bookmarkEnd w:id="1200"/>
      <w:bookmarkStart w:id="1201" w:name="_Toc393546447"/>
      <w:bookmarkEnd w:id="1201"/>
      <w:bookmarkStart w:id="1202" w:name="_Toc43475922"/>
      <w:bookmarkEnd w:id="1202"/>
      <w:bookmarkStart w:id="1203" w:name="_Toc451261297"/>
      <w:bookmarkEnd w:id="1203"/>
      <w:bookmarkStart w:id="1204" w:name="_Toc386467193"/>
      <w:bookmarkEnd w:id="1204"/>
      <w:r>
        <w:rPr>
          <w:rFonts w:hint="eastAsia" w:ascii="宋体" w:hAnsi="宋体" w:cs="宋体"/>
          <w:color w:val="auto"/>
          <w:sz w:val="24"/>
          <w:szCs w:val="24"/>
          <w:highlight w:val="none"/>
        </w:rPr>
        <w:t>4.7撤换承包人项目经理和其他人员</w:t>
      </w:r>
    </w:p>
    <w:p w14:paraId="5F56C92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0421532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3A4D5DFF">
      <w:pPr>
        <w:pStyle w:val="4"/>
        <w:shd w:val="clear" w:fill="FFFFFF" w:themeFill="background1"/>
        <w:spacing w:before="156" w:beforeLines="50" w:line="400" w:lineRule="exact"/>
        <w:rPr>
          <w:rFonts w:ascii="宋体" w:hAnsi="宋体" w:cs="宋体"/>
          <w:color w:val="auto"/>
          <w:sz w:val="24"/>
          <w:szCs w:val="24"/>
          <w:highlight w:val="none"/>
        </w:rPr>
      </w:pPr>
      <w:bookmarkStart w:id="1205" w:name="_Toc330406389"/>
      <w:bookmarkEnd w:id="1205"/>
      <w:bookmarkStart w:id="1206" w:name="_Toc43475923"/>
      <w:bookmarkEnd w:id="1206"/>
      <w:bookmarkStart w:id="1207" w:name="_Toc453057108"/>
      <w:bookmarkEnd w:id="1207"/>
      <w:bookmarkStart w:id="1208" w:name="_Toc386467194"/>
      <w:bookmarkEnd w:id="1208"/>
      <w:bookmarkStart w:id="1209" w:name="_Toc451261298"/>
      <w:bookmarkEnd w:id="1209"/>
      <w:bookmarkStart w:id="1210" w:name="_Toc393546448"/>
      <w:bookmarkEnd w:id="1210"/>
      <w:r>
        <w:rPr>
          <w:rFonts w:hint="eastAsia" w:ascii="宋体" w:hAnsi="宋体" w:cs="宋体"/>
          <w:color w:val="auto"/>
          <w:sz w:val="24"/>
          <w:szCs w:val="24"/>
          <w:highlight w:val="none"/>
        </w:rPr>
        <w:t>4.9工程价款应专款专用</w:t>
      </w:r>
    </w:p>
    <w:p w14:paraId="6F48298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6C19474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021BBA93">
      <w:pPr>
        <w:pStyle w:val="4"/>
        <w:shd w:val="clear" w:fill="FFFFFF" w:themeFill="background1"/>
        <w:spacing w:before="156" w:beforeLines="50" w:line="400" w:lineRule="exact"/>
        <w:rPr>
          <w:rFonts w:ascii="宋体" w:hAnsi="宋体" w:cs="宋体"/>
          <w:color w:val="auto"/>
          <w:sz w:val="24"/>
          <w:szCs w:val="24"/>
          <w:highlight w:val="none"/>
        </w:rPr>
      </w:pPr>
      <w:bookmarkStart w:id="1211" w:name="_Toc386467195"/>
      <w:bookmarkEnd w:id="1211"/>
      <w:bookmarkStart w:id="1212" w:name="_Toc453057109"/>
      <w:bookmarkEnd w:id="1212"/>
      <w:bookmarkStart w:id="1213" w:name="_Toc330406390"/>
      <w:bookmarkEnd w:id="1213"/>
      <w:bookmarkStart w:id="1214" w:name="_Toc43475924"/>
      <w:bookmarkEnd w:id="1214"/>
      <w:bookmarkStart w:id="1215" w:name="_Toc393546449"/>
      <w:bookmarkEnd w:id="1215"/>
      <w:bookmarkStart w:id="1216" w:name="_Toc451261299"/>
      <w:bookmarkEnd w:id="1216"/>
      <w:r>
        <w:rPr>
          <w:rFonts w:hint="eastAsia" w:ascii="宋体" w:hAnsi="宋体" w:cs="宋体"/>
          <w:color w:val="auto"/>
          <w:sz w:val="24"/>
          <w:szCs w:val="24"/>
          <w:highlight w:val="none"/>
        </w:rPr>
        <w:t>4.10承包人现场查勘</w:t>
      </w:r>
    </w:p>
    <w:p w14:paraId="57D3D73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第4.10.1项细化为：</w:t>
      </w:r>
    </w:p>
    <w:p w14:paraId="2B143BD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的本合同工程的水文、地质、气象和料场分布、取土场、弃土场位置等资料均属于参考资料，并不构成合同文件的组成部分，承包人应对自己就上述资料的解释、推论和应用负责，发包人不对承包人据此做出的判断和决策承担任何责任。</w:t>
      </w:r>
    </w:p>
    <w:p w14:paraId="3B4C448E">
      <w:pPr>
        <w:pStyle w:val="4"/>
        <w:shd w:val="clear" w:fill="FFFFFF" w:themeFill="background1"/>
        <w:spacing w:before="156" w:beforeLines="50" w:line="400" w:lineRule="exact"/>
        <w:rPr>
          <w:rFonts w:ascii="宋体" w:hAnsi="宋体" w:cs="宋体"/>
          <w:color w:val="auto"/>
          <w:sz w:val="24"/>
          <w:szCs w:val="24"/>
          <w:highlight w:val="none"/>
        </w:rPr>
      </w:pPr>
      <w:bookmarkStart w:id="1217" w:name="_Toc451261300"/>
      <w:bookmarkEnd w:id="1217"/>
      <w:bookmarkStart w:id="1218" w:name="_Toc386467196"/>
      <w:bookmarkEnd w:id="1218"/>
      <w:bookmarkStart w:id="1219" w:name="_Toc453057110"/>
      <w:bookmarkEnd w:id="1219"/>
      <w:bookmarkStart w:id="1220" w:name="_Toc43475925"/>
      <w:bookmarkEnd w:id="1220"/>
      <w:bookmarkStart w:id="1221" w:name="_Toc330406391"/>
      <w:bookmarkEnd w:id="1221"/>
      <w:bookmarkStart w:id="1222" w:name="_Toc393546450"/>
      <w:bookmarkEnd w:id="1222"/>
      <w:r>
        <w:rPr>
          <w:rFonts w:hint="eastAsia" w:ascii="宋体" w:hAnsi="宋体" w:cs="宋体"/>
          <w:color w:val="auto"/>
          <w:sz w:val="24"/>
          <w:szCs w:val="24"/>
          <w:highlight w:val="none"/>
        </w:rPr>
        <w:t>4.11不利物质条件</w:t>
      </w:r>
    </w:p>
    <w:p w14:paraId="41FE1BC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第4.11.2项细化为：</w:t>
      </w:r>
    </w:p>
    <w:p w14:paraId="7B996E7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4.11.2 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工期延误，由发包人承担。</w:t>
      </w:r>
    </w:p>
    <w:p w14:paraId="124DFBF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本款补充第4.11.3项：</w:t>
      </w:r>
    </w:p>
    <w:p w14:paraId="1F06900E">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4.11.3 可预见的不利物质条件</w:t>
      </w:r>
    </w:p>
    <w:p w14:paraId="62EA796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（1）对于项目专用合同条款中已经明确指出的不利物质条件无论承包人是否有其经历和经验均视为承包人在接受合同时已预见其影响，并已在签约合同价中计入因其影响而可能发生的一切费用。</w:t>
      </w:r>
    </w:p>
    <w:p w14:paraId="3C471E0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（2）对于项目专用合同条款未明确指出，但是在不利物质条件发生之前，监理人已经指示承包人有可能发生，但承包人未能及时采取有效措施，而导致的损失和后果均由承包人承担。</w:t>
      </w:r>
    </w:p>
    <w:p w14:paraId="322CFFB6">
      <w:pPr>
        <w:shd w:val="clear" w:fill="FFFFFF" w:themeFill="background1"/>
        <w:spacing w:line="400" w:lineRule="exact"/>
        <w:ind w:firstLine="480" w:firstLineChars="200"/>
        <w:rPr>
          <w:rFonts w:ascii="宋体" w:hAnsi="宋体" w:cs="宋体"/>
          <w:color w:val="auto"/>
          <w:sz w:val="24"/>
          <w:highlight w:val="none"/>
        </w:rPr>
      </w:pPr>
    </w:p>
    <w:p w14:paraId="5E3A01B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补充第4.12、</w:t>
      </w:r>
      <w:r>
        <w:rPr>
          <w:rFonts w:hint="eastAsia" w:ascii="宋体" w:hAnsi="宋体" w:cs="宋体"/>
          <w:color w:val="auto"/>
          <w:sz w:val="24"/>
          <w:highlight w:val="none"/>
        </w:rPr>
        <w:t>4.13</w:t>
      </w:r>
      <w:r>
        <w:rPr>
          <w:rFonts w:hint="eastAsia" w:ascii="宋体" w:hAnsi="宋体" w:cs="宋体"/>
          <w:color w:val="auto"/>
          <w:sz w:val="24"/>
          <w:highlight w:val="none"/>
          <w:lang w:val="zh-CN"/>
        </w:rPr>
        <w:t>款：</w:t>
      </w:r>
    </w:p>
    <w:p w14:paraId="16648BF3">
      <w:pPr>
        <w:pStyle w:val="4"/>
        <w:shd w:val="clear" w:fill="FFFFFF" w:themeFill="background1"/>
        <w:spacing w:before="156" w:beforeLines="50" w:line="400" w:lineRule="exact"/>
        <w:rPr>
          <w:rFonts w:ascii="宋体" w:hAnsi="宋体" w:cs="宋体"/>
          <w:color w:val="auto"/>
          <w:sz w:val="24"/>
          <w:szCs w:val="24"/>
          <w:highlight w:val="none"/>
        </w:rPr>
      </w:pPr>
      <w:bookmarkStart w:id="1223" w:name="_Toc393546451"/>
      <w:bookmarkEnd w:id="1223"/>
      <w:bookmarkStart w:id="1224" w:name="_Toc451261301"/>
      <w:bookmarkEnd w:id="1224"/>
      <w:bookmarkStart w:id="1225" w:name="_Toc453057111"/>
      <w:bookmarkEnd w:id="1225"/>
      <w:bookmarkStart w:id="1226" w:name="_Toc43475926"/>
      <w:bookmarkEnd w:id="1226"/>
      <w:bookmarkStart w:id="1227" w:name="_Toc386467197"/>
      <w:bookmarkEnd w:id="1227"/>
      <w:bookmarkStart w:id="1228" w:name="_Toc330406392"/>
      <w:bookmarkEnd w:id="1228"/>
      <w:r>
        <w:rPr>
          <w:rFonts w:hint="eastAsia" w:ascii="宋体" w:hAnsi="宋体" w:cs="宋体"/>
          <w:color w:val="auto"/>
          <w:sz w:val="24"/>
          <w:szCs w:val="24"/>
          <w:highlight w:val="none"/>
        </w:rPr>
        <w:t>4.12投标文件的完备性</w:t>
      </w:r>
    </w:p>
    <w:p w14:paraId="4EB5B25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双方一致认为，承包人在递交投标文件前，对本合同工程的投标文件和已标价工程量清单中开列的单价和总额价已查明正确的和完备的。投标的单价和总额价应已包括了合同中规定的承包人的全部义务（包括提供货物、材料、设备、服务的义务，并包括了暂列金额和暂估价范围内的额外工作的义务）以及为实施和完成本合同工程和其缺陷修复所必需的一切工作和条件。</w:t>
      </w:r>
    </w:p>
    <w:p w14:paraId="28DE13F9">
      <w:pPr>
        <w:pStyle w:val="4"/>
        <w:shd w:val="clear" w:fill="FFFFFF" w:themeFill="background1"/>
        <w:spacing w:before="156" w:beforeLines="50" w:line="400" w:lineRule="exact"/>
        <w:rPr>
          <w:rFonts w:ascii="宋体" w:hAnsi="宋体" w:cs="宋体"/>
          <w:color w:val="auto"/>
          <w:sz w:val="24"/>
          <w:szCs w:val="24"/>
          <w:highlight w:val="none"/>
        </w:rPr>
      </w:pPr>
      <w:bookmarkStart w:id="1229" w:name="_Toc43475927"/>
      <w:bookmarkEnd w:id="1229"/>
      <w:bookmarkStart w:id="1230" w:name="bookmark15"/>
      <w:bookmarkEnd w:id="1230"/>
      <w:r>
        <w:rPr>
          <w:rFonts w:hint="eastAsia" w:ascii="宋体" w:hAnsi="宋体" w:cs="宋体"/>
          <w:color w:val="auto"/>
          <w:sz w:val="24"/>
          <w:szCs w:val="24"/>
          <w:highlight w:val="none"/>
        </w:rPr>
        <w:t>4.13</w:t>
      </w:r>
      <w:r>
        <w:rPr>
          <w:rFonts w:hint="eastAsia" w:ascii="宋体" w:hAnsi="宋体" w:cs="宋体"/>
          <w:color w:val="auto"/>
          <w:sz w:val="24"/>
          <w:szCs w:val="24"/>
          <w:highlight w:val="none"/>
          <w:lang w:val="zh-CN"/>
        </w:rPr>
        <w:t>开展党建工作要求</w:t>
      </w:r>
    </w:p>
    <w:p w14:paraId="32169AC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对于政府投资的国家高速公路项目，或承包人为国有控股或参股企业的，承包 人应按规定在项目现场设立基层党组织。不满足上述情形的，应创造条件使党员能够参加党组织生活并接受相应管理。</w:t>
      </w:r>
    </w:p>
    <w:p w14:paraId="2E15BED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承包人在项目现场设立基层党组织的，应明确党组织机构设置、党组织负责人 及党务工作人员配备情况，编制党务工作开展预案，并按照预案要求在项目实施过 程中同步开展党务工作，充分发挥基层党组织在项目实施中的作用。</w:t>
      </w:r>
    </w:p>
    <w:p w14:paraId="2B7BB06E">
      <w:pPr>
        <w:pStyle w:val="4"/>
        <w:shd w:val="clear" w:fill="FFFFFF" w:themeFill="background1"/>
        <w:spacing w:before="156" w:beforeLines="50" w:line="400" w:lineRule="exact"/>
        <w:rPr>
          <w:rFonts w:ascii="宋体" w:hAnsi="宋体" w:cs="宋体"/>
          <w:color w:val="auto"/>
          <w:sz w:val="28"/>
          <w:szCs w:val="28"/>
          <w:highlight w:val="none"/>
        </w:rPr>
      </w:pPr>
      <w:bookmarkStart w:id="1231" w:name="_Toc386467198"/>
      <w:bookmarkEnd w:id="1231"/>
      <w:bookmarkStart w:id="1232" w:name="_Toc453057112"/>
      <w:bookmarkEnd w:id="1232"/>
      <w:bookmarkStart w:id="1233" w:name="_Toc43475928"/>
      <w:bookmarkEnd w:id="1233"/>
      <w:bookmarkStart w:id="1234" w:name="_Toc451261302"/>
      <w:bookmarkEnd w:id="1234"/>
      <w:bookmarkStart w:id="1235" w:name="_Toc330406393"/>
      <w:bookmarkEnd w:id="1235"/>
      <w:bookmarkStart w:id="1236" w:name="_Toc393546452"/>
      <w:bookmarkEnd w:id="1236"/>
      <w:r>
        <w:rPr>
          <w:rFonts w:hint="eastAsia" w:ascii="宋体" w:hAnsi="宋体" w:cs="宋体"/>
          <w:color w:val="auto"/>
          <w:sz w:val="28"/>
          <w:szCs w:val="28"/>
          <w:highlight w:val="none"/>
        </w:rPr>
        <w:t>5.材料和工程设备</w:t>
      </w:r>
    </w:p>
    <w:p w14:paraId="18D8A2F4">
      <w:pPr>
        <w:pStyle w:val="4"/>
        <w:shd w:val="clear" w:fill="FFFFFF" w:themeFill="background1"/>
        <w:spacing w:before="156" w:beforeLines="50" w:line="400" w:lineRule="exact"/>
        <w:rPr>
          <w:rFonts w:ascii="宋体" w:hAnsi="宋体" w:cs="宋体"/>
          <w:color w:val="auto"/>
          <w:sz w:val="24"/>
          <w:szCs w:val="24"/>
          <w:highlight w:val="none"/>
        </w:rPr>
      </w:pPr>
      <w:bookmarkStart w:id="1237" w:name="_Toc453057113"/>
      <w:bookmarkEnd w:id="1237"/>
      <w:bookmarkStart w:id="1238" w:name="_Toc393546453"/>
      <w:bookmarkEnd w:id="1238"/>
      <w:bookmarkStart w:id="1239" w:name="_Toc386467199"/>
      <w:bookmarkEnd w:id="1239"/>
      <w:bookmarkStart w:id="1240" w:name="_Toc330406394"/>
      <w:bookmarkEnd w:id="1240"/>
      <w:bookmarkStart w:id="1241" w:name="_Toc451261303"/>
      <w:bookmarkEnd w:id="1241"/>
      <w:bookmarkStart w:id="1242" w:name="_Toc43475929"/>
      <w:bookmarkEnd w:id="1242"/>
      <w:r>
        <w:rPr>
          <w:rFonts w:hint="eastAsia" w:ascii="宋体" w:hAnsi="宋体" w:cs="宋体"/>
          <w:color w:val="auto"/>
          <w:sz w:val="24"/>
          <w:szCs w:val="24"/>
          <w:highlight w:val="none"/>
        </w:rPr>
        <w:t>5.2发包人提供的材料和工程设备</w:t>
      </w:r>
    </w:p>
    <w:p w14:paraId="653BAAF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第5.2.3项补充：</w:t>
      </w:r>
    </w:p>
    <w:p w14:paraId="42A75E2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4757E16A">
      <w:pPr>
        <w:pStyle w:val="4"/>
        <w:shd w:val="clear" w:fill="FFFFFF" w:themeFill="background1"/>
        <w:spacing w:before="156" w:beforeLines="50" w:line="400" w:lineRule="exact"/>
        <w:rPr>
          <w:rFonts w:ascii="宋体" w:hAnsi="宋体" w:cs="宋体"/>
          <w:color w:val="auto"/>
          <w:sz w:val="28"/>
          <w:szCs w:val="28"/>
          <w:highlight w:val="none"/>
        </w:rPr>
      </w:pPr>
      <w:bookmarkStart w:id="1243" w:name="_Toc330406395"/>
      <w:bookmarkEnd w:id="1243"/>
      <w:bookmarkStart w:id="1244" w:name="_Toc453057114"/>
      <w:bookmarkEnd w:id="1244"/>
      <w:bookmarkStart w:id="1245" w:name="_Toc386467200"/>
      <w:bookmarkEnd w:id="1245"/>
      <w:bookmarkStart w:id="1246" w:name="_Toc451261304"/>
      <w:bookmarkEnd w:id="1246"/>
      <w:bookmarkStart w:id="1247" w:name="_Toc393546454"/>
      <w:bookmarkEnd w:id="1247"/>
      <w:bookmarkStart w:id="1248" w:name="_Toc43475930"/>
      <w:bookmarkEnd w:id="1248"/>
      <w:r>
        <w:rPr>
          <w:rFonts w:hint="eastAsia" w:ascii="宋体" w:hAnsi="宋体" w:cs="宋体"/>
          <w:color w:val="auto"/>
          <w:sz w:val="28"/>
          <w:szCs w:val="28"/>
          <w:highlight w:val="none"/>
        </w:rPr>
        <w:t>6.施工设备和临时设施</w:t>
      </w:r>
    </w:p>
    <w:p w14:paraId="25416E5A">
      <w:pPr>
        <w:pStyle w:val="4"/>
        <w:shd w:val="clear" w:fill="FFFFFF" w:themeFill="background1"/>
        <w:spacing w:before="156" w:beforeLines="50" w:line="400" w:lineRule="exact"/>
        <w:rPr>
          <w:rFonts w:ascii="宋体" w:hAnsi="宋体" w:cs="宋体"/>
          <w:color w:val="auto"/>
          <w:sz w:val="24"/>
          <w:szCs w:val="24"/>
          <w:highlight w:val="none"/>
        </w:rPr>
      </w:pPr>
      <w:bookmarkStart w:id="1249" w:name="_Toc43475931"/>
      <w:bookmarkEnd w:id="1249"/>
      <w:bookmarkStart w:id="1250" w:name="_Toc386467201"/>
      <w:bookmarkEnd w:id="1250"/>
      <w:bookmarkStart w:id="1251" w:name="_Toc451261305"/>
      <w:bookmarkEnd w:id="1251"/>
      <w:bookmarkStart w:id="1252" w:name="_Toc330406396"/>
      <w:bookmarkEnd w:id="1252"/>
      <w:bookmarkStart w:id="1253" w:name="_Toc393546455"/>
      <w:bookmarkEnd w:id="1253"/>
      <w:bookmarkStart w:id="1254" w:name="_Toc453057115"/>
      <w:bookmarkEnd w:id="1254"/>
      <w:r>
        <w:rPr>
          <w:rFonts w:hint="eastAsia" w:ascii="宋体" w:hAnsi="宋体" w:cs="宋体"/>
          <w:color w:val="auto"/>
          <w:sz w:val="24"/>
          <w:szCs w:val="24"/>
          <w:highlight w:val="none"/>
        </w:rPr>
        <w:t>6.2承包人提供的施工设备和临时设施</w:t>
      </w:r>
    </w:p>
    <w:p w14:paraId="5DF8358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第6.1.2项约定为：</w:t>
      </w:r>
    </w:p>
    <w:p w14:paraId="7F6A6F6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承包人应自行承担修建临时设施的费用，需要临时占地的，应由承包人按第4.1.10项（1）目的规定办理。</w:t>
      </w:r>
    </w:p>
    <w:p w14:paraId="7BAC3E18">
      <w:pPr>
        <w:pStyle w:val="4"/>
        <w:shd w:val="clear" w:fill="FFFFFF" w:themeFill="background1"/>
        <w:spacing w:before="156" w:beforeLines="50" w:line="400" w:lineRule="exact"/>
        <w:rPr>
          <w:rFonts w:ascii="宋体" w:hAnsi="宋体" w:cs="宋体"/>
          <w:color w:val="auto"/>
          <w:sz w:val="24"/>
          <w:szCs w:val="24"/>
          <w:highlight w:val="none"/>
        </w:rPr>
      </w:pPr>
      <w:bookmarkStart w:id="1255" w:name="_Toc386467202"/>
      <w:bookmarkEnd w:id="1255"/>
      <w:bookmarkStart w:id="1256" w:name="_Toc43475932"/>
      <w:bookmarkEnd w:id="1256"/>
      <w:bookmarkStart w:id="1257" w:name="_Toc451261306"/>
      <w:bookmarkEnd w:id="1257"/>
      <w:bookmarkStart w:id="1258" w:name="_Toc453057116"/>
      <w:bookmarkEnd w:id="1258"/>
      <w:bookmarkStart w:id="1259" w:name="_Toc330406397"/>
      <w:bookmarkEnd w:id="1259"/>
      <w:bookmarkStart w:id="1260" w:name="_Toc393546456"/>
      <w:bookmarkEnd w:id="1260"/>
      <w:r>
        <w:rPr>
          <w:rFonts w:hint="eastAsia" w:ascii="宋体" w:hAnsi="宋体" w:cs="宋体"/>
          <w:color w:val="auto"/>
          <w:sz w:val="24"/>
          <w:szCs w:val="24"/>
          <w:highlight w:val="none"/>
        </w:rPr>
        <w:t>6.3要求承包人增加或更换施工设备</w:t>
      </w:r>
    </w:p>
    <w:p w14:paraId="182B5C3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7DC20F3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承诺的施工设备必须按时达到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工期延误由承包人承担。</w:t>
      </w:r>
    </w:p>
    <w:p w14:paraId="12B0CC11">
      <w:pPr>
        <w:pStyle w:val="4"/>
        <w:shd w:val="clear" w:fill="FFFFFF" w:themeFill="background1"/>
        <w:spacing w:before="156" w:beforeLines="50" w:line="400" w:lineRule="exact"/>
        <w:rPr>
          <w:rFonts w:ascii="宋体" w:hAnsi="宋体" w:cs="宋体"/>
          <w:color w:val="auto"/>
          <w:sz w:val="28"/>
          <w:szCs w:val="28"/>
          <w:highlight w:val="none"/>
        </w:rPr>
      </w:pPr>
      <w:bookmarkStart w:id="1261" w:name="_Toc330406398"/>
      <w:bookmarkEnd w:id="1261"/>
      <w:bookmarkStart w:id="1262" w:name="_Toc453057117"/>
      <w:bookmarkEnd w:id="1262"/>
      <w:bookmarkStart w:id="1263" w:name="_Toc43475933"/>
      <w:bookmarkEnd w:id="1263"/>
      <w:bookmarkStart w:id="1264" w:name="_Toc451261307"/>
      <w:bookmarkEnd w:id="1264"/>
      <w:bookmarkStart w:id="1265" w:name="_Toc393546457"/>
      <w:bookmarkEnd w:id="1265"/>
      <w:bookmarkStart w:id="1266" w:name="_Toc386467203"/>
      <w:bookmarkEnd w:id="1266"/>
      <w:r>
        <w:rPr>
          <w:rFonts w:hint="eastAsia" w:ascii="宋体" w:hAnsi="宋体" w:cs="宋体"/>
          <w:color w:val="auto"/>
          <w:sz w:val="28"/>
          <w:szCs w:val="28"/>
          <w:highlight w:val="none"/>
        </w:rPr>
        <w:t>7.交通运输</w:t>
      </w:r>
    </w:p>
    <w:p w14:paraId="17538514">
      <w:pPr>
        <w:pStyle w:val="4"/>
        <w:shd w:val="clear" w:fill="FFFFFF" w:themeFill="background1"/>
        <w:spacing w:before="156" w:beforeLines="50" w:line="400" w:lineRule="exact"/>
        <w:rPr>
          <w:rFonts w:ascii="宋体" w:hAnsi="宋体" w:cs="宋体"/>
          <w:color w:val="auto"/>
          <w:sz w:val="24"/>
          <w:szCs w:val="24"/>
          <w:highlight w:val="none"/>
        </w:rPr>
      </w:pPr>
      <w:bookmarkStart w:id="1267" w:name="_Toc453057118"/>
      <w:bookmarkEnd w:id="1267"/>
      <w:bookmarkStart w:id="1268" w:name="_Toc330406399"/>
      <w:bookmarkEnd w:id="1268"/>
      <w:bookmarkStart w:id="1269" w:name="_Toc451261308"/>
      <w:bookmarkEnd w:id="1269"/>
      <w:bookmarkStart w:id="1270" w:name="_Toc386467204"/>
      <w:bookmarkEnd w:id="1270"/>
      <w:bookmarkStart w:id="1271" w:name="_Toc393546458"/>
      <w:bookmarkEnd w:id="1271"/>
      <w:bookmarkStart w:id="1272" w:name="_Toc43475934"/>
      <w:bookmarkEnd w:id="1272"/>
      <w:r>
        <w:rPr>
          <w:rFonts w:hint="eastAsia" w:ascii="宋体" w:hAnsi="宋体" w:cs="宋体"/>
          <w:color w:val="auto"/>
          <w:sz w:val="24"/>
          <w:szCs w:val="24"/>
          <w:highlight w:val="none"/>
        </w:rPr>
        <w:t>7.1道路通行权和场外设施</w:t>
      </w:r>
    </w:p>
    <w:p w14:paraId="04C0F23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本款约定为：</w:t>
      </w:r>
    </w:p>
    <w:p w14:paraId="5496C0B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根据合同工程的施工需要，负责办理取得出入施工场地的专用和临时道路的通行权，以及取得为工程建设所需修建场外设施的权利，并承担有权费用。需要发包人协调时，发包人应协助承包人办理相关手续。</w:t>
      </w:r>
    </w:p>
    <w:p w14:paraId="3F9DC98D">
      <w:pPr>
        <w:pStyle w:val="4"/>
        <w:shd w:val="clear" w:fill="FFFFFF" w:themeFill="background1"/>
        <w:spacing w:before="156" w:beforeLines="50" w:line="400" w:lineRule="exact"/>
        <w:rPr>
          <w:rFonts w:ascii="宋体" w:hAnsi="宋体" w:cs="宋体"/>
          <w:color w:val="auto"/>
          <w:sz w:val="28"/>
          <w:szCs w:val="28"/>
          <w:highlight w:val="none"/>
        </w:rPr>
      </w:pPr>
      <w:bookmarkStart w:id="1273" w:name="_Toc451261309"/>
      <w:bookmarkEnd w:id="1273"/>
      <w:bookmarkStart w:id="1274" w:name="_Toc330406400"/>
      <w:bookmarkEnd w:id="1274"/>
      <w:bookmarkStart w:id="1275" w:name="_Toc386467205"/>
      <w:bookmarkEnd w:id="1275"/>
      <w:bookmarkStart w:id="1276" w:name="_Toc393546459"/>
      <w:bookmarkEnd w:id="1276"/>
      <w:bookmarkStart w:id="1277" w:name="_Toc453057119"/>
      <w:bookmarkEnd w:id="1277"/>
      <w:bookmarkStart w:id="1278" w:name="_Toc43475935"/>
      <w:bookmarkEnd w:id="1278"/>
      <w:r>
        <w:rPr>
          <w:rFonts w:hint="eastAsia" w:ascii="宋体" w:hAnsi="宋体" w:cs="宋体"/>
          <w:color w:val="auto"/>
          <w:sz w:val="28"/>
          <w:szCs w:val="28"/>
          <w:highlight w:val="none"/>
        </w:rPr>
        <w:t>8.测量放线</w:t>
      </w:r>
    </w:p>
    <w:p w14:paraId="0680416F">
      <w:pPr>
        <w:pStyle w:val="4"/>
        <w:shd w:val="clear" w:fill="FFFFFF" w:themeFill="background1"/>
        <w:spacing w:before="156" w:beforeLines="50" w:line="400" w:lineRule="exact"/>
        <w:rPr>
          <w:rFonts w:ascii="宋体" w:hAnsi="宋体" w:cs="宋体"/>
          <w:color w:val="auto"/>
          <w:sz w:val="24"/>
          <w:szCs w:val="24"/>
          <w:highlight w:val="none"/>
        </w:rPr>
      </w:pPr>
      <w:bookmarkStart w:id="1279" w:name="_Toc451261310"/>
      <w:bookmarkEnd w:id="1279"/>
      <w:bookmarkStart w:id="1280" w:name="_Toc393546460"/>
      <w:bookmarkEnd w:id="1280"/>
      <w:bookmarkStart w:id="1281" w:name="_Toc386467206"/>
      <w:bookmarkEnd w:id="1281"/>
      <w:bookmarkStart w:id="1282" w:name="_Toc330406401"/>
      <w:bookmarkEnd w:id="1282"/>
      <w:bookmarkStart w:id="1283" w:name="_Toc43475936"/>
      <w:bookmarkEnd w:id="1283"/>
      <w:bookmarkStart w:id="1284" w:name="_Toc453057120"/>
      <w:bookmarkEnd w:id="1284"/>
      <w:r>
        <w:rPr>
          <w:rFonts w:hint="eastAsia" w:ascii="宋体" w:hAnsi="宋体" w:cs="宋体"/>
          <w:color w:val="auto"/>
          <w:sz w:val="24"/>
          <w:szCs w:val="24"/>
          <w:highlight w:val="none"/>
        </w:rPr>
        <w:t>8.4监理人使用施工控制网</w:t>
      </w:r>
    </w:p>
    <w:p w14:paraId="404A90C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6D55292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经监理人批准，其他相关承包人也可免费使用施工控制网。</w:t>
      </w:r>
    </w:p>
    <w:p w14:paraId="4A411852">
      <w:pPr>
        <w:pStyle w:val="4"/>
        <w:shd w:val="clear" w:fill="FFFFFF" w:themeFill="background1"/>
        <w:spacing w:before="156" w:beforeLines="50" w:line="400" w:lineRule="exact"/>
        <w:rPr>
          <w:rFonts w:ascii="宋体" w:hAnsi="宋体" w:cs="宋体"/>
          <w:color w:val="auto"/>
          <w:sz w:val="28"/>
          <w:szCs w:val="28"/>
          <w:highlight w:val="none"/>
        </w:rPr>
      </w:pPr>
      <w:bookmarkStart w:id="1285" w:name="_Toc43475937"/>
      <w:bookmarkEnd w:id="1285"/>
      <w:bookmarkStart w:id="1286" w:name="_Toc451261311"/>
      <w:bookmarkEnd w:id="1286"/>
      <w:bookmarkStart w:id="1287" w:name="_Toc330406402"/>
      <w:bookmarkEnd w:id="1287"/>
      <w:bookmarkStart w:id="1288" w:name="_Toc386467207"/>
      <w:bookmarkEnd w:id="1288"/>
      <w:bookmarkStart w:id="1289" w:name="_Toc393546461"/>
      <w:bookmarkEnd w:id="1289"/>
      <w:bookmarkStart w:id="1290" w:name="_Toc453057121"/>
      <w:bookmarkEnd w:id="1290"/>
      <w:r>
        <w:rPr>
          <w:rFonts w:hint="eastAsia" w:ascii="宋体" w:hAnsi="宋体" w:cs="宋体"/>
          <w:color w:val="auto"/>
          <w:sz w:val="28"/>
          <w:szCs w:val="28"/>
          <w:highlight w:val="none"/>
        </w:rPr>
        <w:t>9.施工安全、治安保卫和环境保护</w:t>
      </w:r>
    </w:p>
    <w:p w14:paraId="369764A1">
      <w:pPr>
        <w:pStyle w:val="4"/>
        <w:shd w:val="clear" w:fill="FFFFFF" w:themeFill="background1"/>
        <w:spacing w:before="156" w:beforeLines="50" w:line="400" w:lineRule="exact"/>
        <w:rPr>
          <w:rFonts w:ascii="宋体" w:hAnsi="宋体" w:cs="宋体"/>
          <w:color w:val="auto"/>
          <w:sz w:val="24"/>
          <w:szCs w:val="24"/>
          <w:highlight w:val="none"/>
        </w:rPr>
      </w:pPr>
      <w:bookmarkStart w:id="1291" w:name="_Toc330406403"/>
      <w:bookmarkEnd w:id="1291"/>
      <w:bookmarkStart w:id="1292" w:name="_Toc43475938"/>
      <w:bookmarkEnd w:id="1292"/>
      <w:bookmarkStart w:id="1293" w:name="_Toc386467208"/>
      <w:bookmarkEnd w:id="1293"/>
      <w:bookmarkStart w:id="1294" w:name="_Toc393546462"/>
      <w:bookmarkEnd w:id="1294"/>
      <w:bookmarkStart w:id="1295" w:name="_Toc451261312"/>
      <w:bookmarkEnd w:id="1295"/>
      <w:bookmarkStart w:id="1296" w:name="_Toc453057122"/>
      <w:bookmarkEnd w:id="1296"/>
      <w:r>
        <w:rPr>
          <w:rFonts w:hint="eastAsia" w:ascii="宋体" w:hAnsi="宋体" w:cs="宋体"/>
          <w:color w:val="auto"/>
          <w:sz w:val="24"/>
          <w:szCs w:val="24"/>
          <w:highlight w:val="none"/>
        </w:rPr>
        <w:t>9.2承包人的施工安全责任</w:t>
      </w:r>
    </w:p>
    <w:p w14:paraId="21DE434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第9.2.1项细化为：</w:t>
      </w:r>
    </w:p>
    <w:p w14:paraId="136776D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355F6F1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0100D67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本项目需要编制专项施工方案的工程包括但不限于以下内容：</w:t>
      </w:r>
    </w:p>
    <w:p w14:paraId="02DC5D8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（1）不良地质条件下有潜在危险性的土方、石方开挖；</w:t>
      </w:r>
    </w:p>
    <w:p w14:paraId="2638B6D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（2）滑坡和高边坡处理；</w:t>
      </w:r>
    </w:p>
    <w:p w14:paraId="0A0D733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（3）桩基础、挡墙基础、深水基础及围堰工程；</w:t>
      </w:r>
    </w:p>
    <w:p w14:paraId="2085EEF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（4）桥梁工程中的梁、拱、柱等构件施工等；</w:t>
      </w:r>
    </w:p>
    <w:p w14:paraId="5545E8A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（5）隧道工程中的不良地质隧道、高瓦斯隧道等；</w:t>
      </w:r>
    </w:p>
    <w:p w14:paraId="3760415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（6）水上工程中的打桩船作业、施工船作业、外海孤岛作业、边通航边施工作业等；</w:t>
      </w:r>
    </w:p>
    <w:p w14:paraId="34AB810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（7）水下工程中的水下焊接、混凝土浇筑、爆破工程等；</w:t>
      </w:r>
    </w:p>
    <w:p w14:paraId="42B1F9F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（8）爆破工程；</w:t>
      </w:r>
    </w:p>
    <w:p w14:paraId="2698D61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（9）大型临时工程中的大型支架、模板、便桥的架设与拆除；桥梁、码头的加固与拆除；</w:t>
      </w:r>
    </w:p>
    <w:p w14:paraId="1B3003C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（10）其他危险性较大的工程。</w:t>
      </w:r>
    </w:p>
    <w:p w14:paraId="2BE6C1E0">
      <w:pPr>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监理人和发包人在检查中发现有安全问题或有违反安全管理规章制度的情况时，可视其为承包人违约，应按第22.1款的规定处理。</w:t>
      </w:r>
    </w:p>
    <w:p w14:paraId="6DE28115">
      <w:pPr>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第9.2.5项细化为：</w:t>
      </w:r>
    </w:p>
    <w:p w14:paraId="3E5C89BF">
      <w:pPr>
        <w:pStyle w:val="16"/>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项目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7CEA48A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本款补充第9.2.8项～9.2.11项：</w:t>
      </w:r>
    </w:p>
    <w:p w14:paraId="5672091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9.2.8承包人应充分关注和保障所有在现场工作的人员的安全，采取以下有效措施，使现场和本合同工程的实施保持有条不紊，以免使让述人员的安全受到威胁。</w:t>
      </w:r>
    </w:p>
    <w:p w14:paraId="357B51A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（1）按《公路水运工程安全生产临督管理办法》规定的最低数量和资质条件配备专职安全生产管理人员；</w:t>
      </w:r>
    </w:p>
    <w:p w14:paraId="340DBE0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1F4A71E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（3）所有施工机具设备和高空作业设备均应定期检查，并有安全员的签字记录。</w:t>
      </w:r>
    </w:p>
    <w:p w14:paraId="5EFE27C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（4）根据本合同各单位工程的特点，严格执行《公路水运工程安全生产监督管理办法》、《公路工程施工安全技术规程》与《公路筑养路机械操作规程》的具体规定。</w:t>
      </w:r>
    </w:p>
    <w:p w14:paraId="73BE096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9.2.9为保护本合同工程免遭损坏，或为了现场附近和过往群众的安全与方便，在确有必要的时候和地方，或当监理人或有关主管部门要求时，承包人应自费提供照明、警卫、护栅、警告标志等安全防护设施。</w:t>
      </w:r>
    </w:p>
    <w:p w14:paraId="13EC68F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9.2.10在通航水域施工时，承包人应与当地主管部门取得联系，设置必要的导航标志，及时发布航行通告，确保施工水域安全。</w:t>
      </w:r>
    </w:p>
    <w:p w14:paraId="4BF0F01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72B8919A">
      <w:pPr>
        <w:pStyle w:val="4"/>
        <w:shd w:val="clear" w:fill="FFFFFF" w:themeFill="background1"/>
        <w:spacing w:before="156" w:beforeLines="50" w:line="400" w:lineRule="exact"/>
        <w:rPr>
          <w:rFonts w:ascii="宋体" w:hAnsi="宋体" w:cs="宋体"/>
          <w:color w:val="auto"/>
          <w:sz w:val="24"/>
          <w:szCs w:val="24"/>
          <w:highlight w:val="none"/>
        </w:rPr>
      </w:pPr>
      <w:bookmarkStart w:id="1297" w:name="_Toc43475939"/>
      <w:bookmarkEnd w:id="1297"/>
      <w:bookmarkStart w:id="1298" w:name="_Toc330406404"/>
      <w:bookmarkEnd w:id="1298"/>
      <w:bookmarkStart w:id="1299" w:name="_Toc386467209"/>
      <w:bookmarkEnd w:id="1299"/>
      <w:bookmarkStart w:id="1300" w:name="_Toc451261313"/>
      <w:bookmarkEnd w:id="1300"/>
      <w:bookmarkStart w:id="1301" w:name="_Toc453057123"/>
      <w:bookmarkEnd w:id="1301"/>
      <w:bookmarkStart w:id="1302" w:name="_Toc393546463"/>
      <w:bookmarkEnd w:id="1302"/>
      <w:r>
        <w:rPr>
          <w:rFonts w:hint="eastAsia" w:ascii="宋体" w:hAnsi="宋体" w:cs="宋体"/>
          <w:color w:val="auto"/>
          <w:sz w:val="24"/>
          <w:szCs w:val="24"/>
          <w:highlight w:val="none"/>
        </w:rPr>
        <w:t>9.4环境保护</w:t>
      </w:r>
    </w:p>
    <w:p w14:paraId="77BC317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本款补充第9.4.7～第9.4.11项：</w:t>
      </w:r>
    </w:p>
    <w:p w14:paraId="5B8ACAB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9.4.7 承包人应切实执行技术规范中有关环境保护方面的条款和规定。</w:t>
      </w:r>
    </w:p>
    <w:p w14:paraId="1CBD5C5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2EAFE52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（2）对于公路施工中粉尘污染的主要污染源——灰土拌和、施工车辆和筑路机械运行及运输产生的扬尘，应采取有效措施减轻施工现场的大气污染，保护人民健康，如：</w:t>
      </w:r>
    </w:p>
    <w:p w14:paraId="0AAC3BD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a.拌和设备应有较好的密封，或有防尘设备。</w:t>
      </w:r>
    </w:p>
    <w:p w14:paraId="1C93D16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b.施工通道、沥青混凝土拌和站及灰土拌和站应经常进行洒水降尘。</w:t>
      </w:r>
    </w:p>
    <w:p w14:paraId="7BC1597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c.路面施工应注意保持水分，以免扬尘。</w:t>
      </w:r>
    </w:p>
    <w:p w14:paraId="3623E4F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d.隧道出渣和桥梁钻孔灌注桩施工时排出的泥浆要进行妥善处理，严禁向河流或农田排放。</w:t>
      </w:r>
    </w:p>
    <w:p w14:paraId="44F3529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（3）采取可靠措施保证原有交通的正常通行，维持沿线村镇的居民饮水、农田灌溉、生产生活用电及通讯等管线的正常使用。</w:t>
      </w:r>
    </w:p>
    <w:p w14:paraId="6DB430F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77A673E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9.4.9在施工期间，承包人应随时保持现场整洁，施工设备和材料、工程设备应整齐妥善存放和储存，废料与垃圾及不再需要的临时设施应及时从现场清除、拆除并运走。</w:t>
      </w:r>
    </w:p>
    <w:p w14:paraId="201564D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9.4.10 在施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51621E7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9.4.11 承包人应严格按照国家有关法规要求，做好施工过程中的生态保护和水土保持工作。施工中要尽可能减少对原地面的扰动，减少对地面草木的破坏，需要爆破作业的，应按规定进行控爆设计。雨季填筑路基应随挖、随运、随压，要完善施工中的临时排水系统，加强施工便道的管理。取（弃）土场必须先挡后弃，严禁在指定的取（弃）土场以外的地方乱挖乱弃。</w:t>
      </w:r>
    </w:p>
    <w:p w14:paraId="385C95D8">
      <w:pPr>
        <w:pStyle w:val="4"/>
        <w:shd w:val="clear" w:fill="FFFFFF" w:themeFill="background1"/>
        <w:spacing w:before="156" w:beforeLines="50" w:line="400" w:lineRule="exact"/>
        <w:rPr>
          <w:rFonts w:ascii="宋体" w:hAnsi="宋体" w:cs="宋体"/>
          <w:color w:val="auto"/>
          <w:sz w:val="28"/>
          <w:szCs w:val="28"/>
          <w:highlight w:val="none"/>
        </w:rPr>
      </w:pPr>
      <w:bookmarkStart w:id="1303" w:name="_Toc393546464"/>
      <w:bookmarkEnd w:id="1303"/>
      <w:bookmarkStart w:id="1304" w:name="_Toc451261314"/>
      <w:bookmarkEnd w:id="1304"/>
      <w:bookmarkStart w:id="1305" w:name="_Toc386467210"/>
      <w:bookmarkEnd w:id="1305"/>
      <w:bookmarkStart w:id="1306" w:name="_Toc330406405"/>
      <w:bookmarkEnd w:id="1306"/>
      <w:bookmarkStart w:id="1307" w:name="_Toc453057124"/>
      <w:bookmarkEnd w:id="1307"/>
      <w:bookmarkStart w:id="1308" w:name="_Toc43475940"/>
      <w:bookmarkEnd w:id="1308"/>
      <w:r>
        <w:rPr>
          <w:rFonts w:hint="eastAsia" w:ascii="宋体" w:hAnsi="宋体" w:cs="宋体"/>
          <w:color w:val="auto"/>
          <w:sz w:val="28"/>
          <w:szCs w:val="28"/>
          <w:highlight w:val="none"/>
        </w:rPr>
        <w:t>10.进度计划</w:t>
      </w:r>
    </w:p>
    <w:p w14:paraId="36857BB7">
      <w:pPr>
        <w:pStyle w:val="4"/>
        <w:shd w:val="clear" w:fill="FFFFFF" w:themeFill="background1"/>
        <w:spacing w:before="156" w:beforeLines="50" w:line="400" w:lineRule="exact"/>
        <w:rPr>
          <w:rFonts w:ascii="宋体" w:hAnsi="宋体" w:cs="宋体"/>
          <w:color w:val="auto"/>
          <w:sz w:val="24"/>
          <w:szCs w:val="24"/>
          <w:highlight w:val="none"/>
        </w:rPr>
      </w:pPr>
      <w:bookmarkStart w:id="1309" w:name="_Toc43475941"/>
      <w:bookmarkEnd w:id="1309"/>
      <w:bookmarkStart w:id="1310" w:name="_Toc451261315"/>
      <w:bookmarkEnd w:id="1310"/>
      <w:bookmarkStart w:id="1311" w:name="_Toc330406406"/>
      <w:bookmarkEnd w:id="1311"/>
      <w:bookmarkStart w:id="1312" w:name="_Toc453057125"/>
      <w:bookmarkEnd w:id="1312"/>
      <w:bookmarkStart w:id="1313" w:name="_Toc386467211"/>
      <w:bookmarkEnd w:id="1313"/>
      <w:bookmarkStart w:id="1314" w:name="_Toc393546465"/>
      <w:bookmarkEnd w:id="1314"/>
      <w:r>
        <w:rPr>
          <w:rFonts w:hint="eastAsia" w:ascii="宋体" w:hAnsi="宋体" w:cs="宋体"/>
          <w:color w:val="auto"/>
          <w:sz w:val="24"/>
          <w:szCs w:val="24"/>
          <w:highlight w:val="none"/>
        </w:rPr>
        <w:t>10.1合同进度计划</w:t>
      </w:r>
    </w:p>
    <w:p w14:paraId="02B1D19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4DEB68C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承包人编制施工方案说明的内容见项目专用合同条款。</w:t>
      </w:r>
    </w:p>
    <w:p w14:paraId="08809D3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承包人向监理人报送施工进度计划和施工方案说明的期限：签订合同协议书后28天之内。</w:t>
      </w:r>
    </w:p>
    <w:p w14:paraId="3D1D3BA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监理人应在14天内对承包人施工进度计划和施工方案说明予以批复或提出修改意见。</w:t>
      </w:r>
    </w:p>
    <w:p w14:paraId="2E631D6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合同进度计划应按照关键线路网络图和主要工作横道图两种形式分别编绘，并应包括每月预计完成的工作量和形象进度。</w:t>
      </w:r>
    </w:p>
    <w:p w14:paraId="7885C04A">
      <w:pPr>
        <w:pStyle w:val="4"/>
        <w:shd w:val="clear" w:fill="FFFFFF" w:themeFill="background1"/>
        <w:spacing w:before="156" w:beforeLines="50" w:line="400" w:lineRule="exact"/>
        <w:rPr>
          <w:rFonts w:ascii="宋体" w:hAnsi="宋体" w:cs="宋体"/>
          <w:color w:val="auto"/>
          <w:sz w:val="24"/>
          <w:szCs w:val="24"/>
          <w:highlight w:val="none"/>
        </w:rPr>
      </w:pPr>
      <w:bookmarkStart w:id="1315" w:name="_Toc330406407"/>
      <w:bookmarkEnd w:id="1315"/>
      <w:bookmarkStart w:id="1316" w:name="_Toc43475942"/>
      <w:bookmarkEnd w:id="1316"/>
      <w:bookmarkStart w:id="1317" w:name="_Toc453057126"/>
      <w:bookmarkEnd w:id="1317"/>
      <w:bookmarkStart w:id="1318" w:name="_Toc393546466"/>
      <w:bookmarkEnd w:id="1318"/>
      <w:bookmarkStart w:id="1319" w:name="_Toc451261316"/>
      <w:bookmarkEnd w:id="1319"/>
      <w:bookmarkStart w:id="1320" w:name="_Toc386467212"/>
      <w:bookmarkEnd w:id="1320"/>
      <w:r>
        <w:rPr>
          <w:rFonts w:hint="eastAsia" w:ascii="宋体" w:hAnsi="宋体" w:cs="宋体"/>
          <w:color w:val="auto"/>
          <w:sz w:val="24"/>
          <w:szCs w:val="24"/>
          <w:highlight w:val="none"/>
        </w:rPr>
        <w:t>10.2合同进度计划的修订</w:t>
      </w:r>
    </w:p>
    <w:p w14:paraId="3AC72DD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07F25C8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承包人提交合同进度计划修订申请报告，并附有关措施和相关资料的期限：实际进度发生滞后的当月25日前。</w:t>
      </w:r>
    </w:p>
    <w:p w14:paraId="4F10477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监理人批复修订合同进度计划的期限：收到修订合同进度计划后14天内。</w:t>
      </w:r>
    </w:p>
    <w:p w14:paraId="223DC004">
      <w:pPr>
        <w:shd w:val="clear" w:fill="FFFFFF" w:themeFill="background1"/>
        <w:spacing w:line="400" w:lineRule="exact"/>
        <w:ind w:firstLine="480" w:firstLineChars="200"/>
        <w:rPr>
          <w:rFonts w:ascii="宋体" w:hAnsi="宋体" w:cs="宋体"/>
          <w:color w:val="auto"/>
          <w:sz w:val="24"/>
          <w:highlight w:val="none"/>
        </w:rPr>
      </w:pPr>
    </w:p>
    <w:p w14:paraId="381DE25D">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补充第10.3、10.4款：</w:t>
      </w:r>
    </w:p>
    <w:p w14:paraId="5AD446B2">
      <w:pPr>
        <w:pStyle w:val="4"/>
        <w:shd w:val="clear" w:fill="FFFFFF" w:themeFill="background1"/>
        <w:spacing w:before="156" w:beforeLines="50" w:line="400" w:lineRule="exact"/>
        <w:rPr>
          <w:rFonts w:ascii="宋体" w:hAnsi="宋体" w:cs="宋体"/>
          <w:color w:val="auto"/>
          <w:sz w:val="24"/>
          <w:szCs w:val="24"/>
          <w:highlight w:val="none"/>
        </w:rPr>
      </w:pPr>
      <w:bookmarkStart w:id="1321" w:name="_Toc393546467"/>
      <w:bookmarkEnd w:id="1321"/>
      <w:bookmarkStart w:id="1322" w:name="_Toc386467213"/>
      <w:bookmarkEnd w:id="1322"/>
      <w:bookmarkStart w:id="1323" w:name="_Toc330406408"/>
      <w:bookmarkEnd w:id="1323"/>
      <w:bookmarkStart w:id="1324" w:name="_Toc451261317"/>
      <w:bookmarkEnd w:id="1324"/>
      <w:bookmarkStart w:id="1325" w:name="_Toc453057127"/>
      <w:bookmarkEnd w:id="1325"/>
      <w:bookmarkStart w:id="1326" w:name="_Toc43475943"/>
      <w:bookmarkEnd w:id="1326"/>
      <w:r>
        <w:rPr>
          <w:rFonts w:hint="eastAsia" w:ascii="宋体" w:hAnsi="宋体" w:cs="宋体"/>
          <w:color w:val="auto"/>
          <w:sz w:val="24"/>
          <w:szCs w:val="24"/>
          <w:highlight w:val="none"/>
        </w:rPr>
        <w:t>10.3年度施工计划</w:t>
      </w:r>
    </w:p>
    <w:p w14:paraId="7D26FB6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29595C51">
      <w:pPr>
        <w:pStyle w:val="4"/>
        <w:shd w:val="clear" w:fill="FFFFFF" w:themeFill="background1"/>
        <w:spacing w:before="156" w:beforeLines="50" w:line="400" w:lineRule="exact"/>
        <w:rPr>
          <w:rFonts w:ascii="宋体" w:hAnsi="宋体" w:cs="宋体"/>
          <w:color w:val="auto"/>
          <w:sz w:val="24"/>
          <w:highlight w:val="none"/>
        </w:rPr>
      </w:pPr>
      <w:bookmarkStart w:id="1327" w:name="_Toc386467214"/>
      <w:bookmarkEnd w:id="1327"/>
      <w:bookmarkStart w:id="1328" w:name="_Toc453057128"/>
      <w:bookmarkEnd w:id="1328"/>
      <w:bookmarkStart w:id="1329" w:name="_Toc43475944"/>
      <w:bookmarkEnd w:id="1329"/>
      <w:bookmarkStart w:id="1330" w:name="_Toc330406409"/>
      <w:bookmarkEnd w:id="1330"/>
      <w:bookmarkStart w:id="1331" w:name="_Toc393546468"/>
      <w:bookmarkEnd w:id="1331"/>
      <w:bookmarkStart w:id="1332" w:name="_Toc451261318"/>
      <w:bookmarkEnd w:id="1332"/>
      <w:r>
        <w:rPr>
          <w:rFonts w:hint="eastAsia" w:ascii="宋体" w:hAnsi="宋体" w:cs="宋体"/>
          <w:color w:val="auto"/>
          <w:sz w:val="24"/>
          <w:szCs w:val="24"/>
          <w:highlight w:val="none"/>
        </w:rPr>
        <w:t>10.4合同用款计划</w:t>
      </w:r>
    </w:p>
    <w:p w14:paraId="77D5BB6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1405E14F">
      <w:pPr>
        <w:pStyle w:val="4"/>
        <w:shd w:val="clear" w:fill="FFFFFF" w:themeFill="background1"/>
        <w:spacing w:before="156" w:beforeLines="50" w:line="400" w:lineRule="exact"/>
        <w:rPr>
          <w:rFonts w:ascii="宋体" w:hAnsi="宋体" w:cs="宋体"/>
          <w:color w:val="auto"/>
          <w:sz w:val="28"/>
          <w:szCs w:val="28"/>
          <w:highlight w:val="none"/>
        </w:rPr>
      </w:pPr>
      <w:bookmarkStart w:id="1333" w:name="_Toc330406410"/>
      <w:bookmarkEnd w:id="1333"/>
      <w:bookmarkStart w:id="1334" w:name="_Toc451261319"/>
      <w:bookmarkEnd w:id="1334"/>
      <w:bookmarkStart w:id="1335" w:name="_Toc453057129"/>
      <w:bookmarkEnd w:id="1335"/>
      <w:bookmarkStart w:id="1336" w:name="_Toc386467215"/>
      <w:bookmarkEnd w:id="1336"/>
      <w:bookmarkStart w:id="1337" w:name="_Toc43475945"/>
      <w:bookmarkEnd w:id="1337"/>
      <w:bookmarkStart w:id="1338" w:name="_Toc393546469"/>
      <w:bookmarkEnd w:id="1338"/>
      <w:r>
        <w:rPr>
          <w:rFonts w:hint="eastAsia" w:ascii="宋体" w:hAnsi="宋体" w:cs="宋体"/>
          <w:color w:val="auto"/>
          <w:sz w:val="28"/>
          <w:szCs w:val="28"/>
          <w:highlight w:val="none"/>
        </w:rPr>
        <w:t>11.开工和交工</w:t>
      </w:r>
    </w:p>
    <w:p w14:paraId="1AC2FBF8">
      <w:pPr>
        <w:pStyle w:val="4"/>
        <w:shd w:val="clear" w:fill="FFFFFF" w:themeFill="background1"/>
        <w:spacing w:before="156" w:beforeLines="50" w:line="400" w:lineRule="exact"/>
        <w:rPr>
          <w:rFonts w:ascii="宋体" w:hAnsi="宋体" w:cs="宋体"/>
          <w:color w:val="auto"/>
          <w:sz w:val="24"/>
          <w:szCs w:val="24"/>
          <w:highlight w:val="none"/>
        </w:rPr>
      </w:pPr>
      <w:bookmarkStart w:id="1339" w:name="_Toc43475946"/>
      <w:bookmarkEnd w:id="1339"/>
      <w:bookmarkStart w:id="1340" w:name="_Toc453057130"/>
      <w:bookmarkEnd w:id="1340"/>
      <w:bookmarkStart w:id="1341" w:name="_Toc451261320"/>
      <w:bookmarkEnd w:id="1341"/>
      <w:bookmarkStart w:id="1342" w:name="_Toc330406411"/>
      <w:bookmarkEnd w:id="1342"/>
      <w:bookmarkStart w:id="1343" w:name="_Toc386467216"/>
      <w:bookmarkEnd w:id="1343"/>
      <w:bookmarkStart w:id="1344" w:name="_Toc393546470"/>
      <w:bookmarkEnd w:id="1344"/>
      <w:r>
        <w:rPr>
          <w:rFonts w:hint="eastAsia" w:ascii="宋体" w:hAnsi="宋体" w:cs="宋体"/>
          <w:color w:val="auto"/>
          <w:sz w:val="24"/>
          <w:szCs w:val="24"/>
          <w:highlight w:val="none"/>
        </w:rPr>
        <w:t>11.1开工</w:t>
      </w:r>
    </w:p>
    <w:p w14:paraId="162EE8A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第11.1.2项补充：</w:t>
      </w:r>
    </w:p>
    <w:p w14:paraId="3718A6A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承包人应在分部工程开工前14天向监理人提交分部工程开工报审表，若承包人的开工准备、工作计划和质量控制方法是可接受的且已获得批准，则经监理人书面同意，分部工程才能开工。</w:t>
      </w:r>
    </w:p>
    <w:p w14:paraId="3F90D778">
      <w:pPr>
        <w:pStyle w:val="4"/>
        <w:shd w:val="clear" w:fill="FFFFFF" w:themeFill="background1"/>
        <w:spacing w:before="156" w:beforeLines="50" w:line="400" w:lineRule="exact"/>
        <w:rPr>
          <w:rFonts w:ascii="宋体" w:hAnsi="宋体" w:cs="宋体"/>
          <w:color w:val="auto"/>
          <w:sz w:val="24"/>
          <w:szCs w:val="24"/>
          <w:highlight w:val="none"/>
        </w:rPr>
      </w:pPr>
      <w:bookmarkStart w:id="1345" w:name="_Toc451261321"/>
      <w:bookmarkEnd w:id="1345"/>
      <w:bookmarkStart w:id="1346" w:name="_Toc43475947"/>
      <w:bookmarkEnd w:id="1346"/>
      <w:bookmarkStart w:id="1347" w:name="_Toc393546471"/>
      <w:bookmarkEnd w:id="1347"/>
      <w:bookmarkStart w:id="1348" w:name="_Toc330406412"/>
      <w:bookmarkEnd w:id="1348"/>
      <w:bookmarkStart w:id="1349" w:name="_Toc453057131"/>
      <w:bookmarkEnd w:id="1349"/>
      <w:bookmarkStart w:id="1350" w:name="_Toc386467217"/>
      <w:bookmarkEnd w:id="1350"/>
      <w:r>
        <w:rPr>
          <w:rFonts w:hint="eastAsia" w:ascii="宋体" w:hAnsi="宋体" w:cs="宋体"/>
          <w:color w:val="auto"/>
          <w:sz w:val="24"/>
          <w:szCs w:val="24"/>
          <w:highlight w:val="none"/>
        </w:rPr>
        <w:t>11.3发包人的工期延误</w:t>
      </w:r>
    </w:p>
    <w:p w14:paraId="15EA855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7E3BCEC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即使由于上述原因造成工期延误，如果受影响的工程并非处在工程施工进度网络计划的关键线路上，则承包人无权要求延长总工期。</w:t>
      </w:r>
    </w:p>
    <w:p w14:paraId="4485DE4D">
      <w:pPr>
        <w:pStyle w:val="4"/>
        <w:shd w:val="clear" w:fill="FFFFFF" w:themeFill="background1"/>
        <w:spacing w:before="156" w:beforeLines="50" w:line="400" w:lineRule="exact"/>
        <w:rPr>
          <w:rFonts w:ascii="宋体" w:hAnsi="宋体" w:cs="宋体"/>
          <w:color w:val="auto"/>
          <w:sz w:val="24"/>
          <w:szCs w:val="24"/>
          <w:highlight w:val="none"/>
        </w:rPr>
      </w:pPr>
      <w:bookmarkStart w:id="1351" w:name="_Toc453057132"/>
      <w:bookmarkEnd w:id="1351"/>
      <w:bookmarkStart w:id="1352" w:name="_Toc330406413"/>
      <w:bookmarkEnd w:id="1352"/>
      <w:bookmarkStart w:id="1353" w:name="_Toc386467218"/>
      <w:bookmarkEnd w:id="1353"/>
      <w:bookmarkStart w:id="1354" w:name="_Toc393546472"/>
      <w:bookmarkEnd w:id="1354"/>
      <w:bookmarkStart w:id="1355" w:name="_Toc43475948"/>
      <w:bookmarkEnd w:id="1355"/>
      <w:bookmarkStart w:id="1356" w:name="_Toc451261322"/>
      <w:bookmarkEnd w:id="1356"/>
      <w:r>
        <w:rPr>
          <w:rFonts w:hint="eastAsia" w:ascii="宋体" w:hAnsi="宋体" w:cs="宋体"/>
          <w:color w:val="auto"/>
          <w:sz w:val="24"/>
          <w:szCs w:val="24"/>
          <w:highlight w:val="none"/>
        </w:rPr>
        <w:t>11.4异常恶劣的气候条件</w:t>
      </w:r>
    </w:p>
    <w:p w14:paraId="59C10DE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3544840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异常气候条件是指项目所在地30年一遇的罕见气候现象（包括温度、降水、降雪、风等）。异常恶劣的气候条件在项目专用合同条款中作具体规定。</w:t>
      </w:r>
    </w:p>
    <w:p w14:paraId="4C78D58F">
      <w:pPr>
        <w:pStyle w:val="4"/>
        <w:shd w:val="clear" w:fill="FFFFFF" w:themeFill="background1"/>
        <w:spacing w:before="156" w:beforeLines="50" w:line="400" w:lineRule="exact"/>
        <w:rPr>
          <w:rFonts w:ascii="宋体" w:hAnsi="宋体" w:cs="宋体"/>
          <w:color w:val="auto"/>
          <w:sz w:val="24"/>
          <w:szCs w:val="24"/>
          <w:highlight w:val="none"/>
        </w:rPr>
      </w:pPr>
      <w:bookmarkStart w:id="1357" w:name="_Toc451261323"/>
      <w:bookmarkEnd w:id="1357"/>
      <w:bookmarkStart w:id="1358" w:name="_Toc330406414"/>
      <w:bookmarkEnd w:id="1358"/>
      <w:bookmarkStart w:id="1359" w:name="_Toc393546473"/>
      <w:bookmarkEnd w:id="1359"/>
      <w:bookmarkStart w:id="1360" w:name="_Toc453057133"/>
      <w:bookmarkEnd w:id="1360"/>
      <w:bookmarkStart w:id="1361" w:name="_Toc386467219"/>
      <w:bookmarkEnd w:id="1361"/>
      <w:bookmarkStart w:id="1362" w:name="_Toc43475949"/>
      <w:bookmarkEnd w:id="1362"/>
      <w:r>
        <w:rPr>
          <w:rFonts w:hint="eastAsia" w:ascii="宋体" w:hAnsi="宋体" w:cs="宋体"/>
          <w:color w:val="auto"/>
          <w:sz w:val="24"/>
          <w:szCs w:val="24"/>
          <w:highlight w:val="none"/>
        </w:rPr>
        <w:t>11.5承包人的工期延误</w:t>
      </w:r>
    </w:p>
    <w:p w14:paraId="459CF96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2EB0DD9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承包人应严格执行监理人批准的合同进度计划，对工作量计划和形象进度计划分别控制。除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工期内交工。承包人应采取措施加快进度，并承担加快进度所增加的费用。</w:t>
      </w:r>
    </w:p>
    <w:p w14:paraId="454B4EA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如果承包人在接到监理人通知后的14天内，未能采取加快工程进度的措施，致使实际工程进度进一步滞后，或承包人虽采取了一些措施，仍无法按预计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6AAE42E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由于承包人原因造成工期延误，承包人应支付逾期交工违约金。逾期交工违约金的计算方法在项目专用合同条款数据表中约定，时间自预定的交工日期起到交工验收证书中写明的实际交工日期止（扣除已批准的延长工期），按天计算。逾期交工违约金累计金额最高不超过项目专用合同条款数据表中写明的限额。发包人可以从应付或到期应付给承包人的任何款项中或采用其他方法扣除此违约金。</w:t>
      </w:r>
    </w:p>
    <w:p w14:paraId="384A202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（4）承包人支付逾期竣工建约金，不免除承包人完成工程及修补缺陷的义务。</w:t>
      </w:r>
    </w:p>
    <w:p w14:paraId="034BFB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如果在合同工作完工之前，已对合同工程内按时完工的单位工程签发了工程接收证书，则合同工程的逾期竣工违约金，应按已签发工程接收证书的单位工程的价值占合同工程价值的比例予以减少，但本规定不应影响逾期竣工违约金的规定限额。</w:t>
      </w:r>
    </w:p>
    <w:p w14:paraId="0EE0FD82">
      <w:pPr>
        <w:pStyle w:val="4"/>
        <w:shd w:val="clear" w:fill="FFFFFF" w:themeFill="background1"/>
        <w:spacing w:before="156" w:beforeLines="50" w:line="400" w:lineRule="exact"/>
        <w:rPr>
          <w:rFonts w:ascii="宋体" w:hAnsi="宋体" w:cs="宋体"/>
          <w:color w:val="auto"/>
          <w:sz w:val="24"/>
          <w:szCs w:val="24"/>
          <w:highlight w:val="none"/>
        </w:rPr>
      </w:pPr>
      <w:bookmarkStart w:id="1363" w:name="_Toc386467220"/>
      <w:bookmarkEnd w:id="1363"/>
      <w:bookmarkStart w:id="1364" w:name="_Toc330406415"/>
      <w:bookmarkEnd w:id="1364"/>
      <w:bookmarkStart w:id="1365" w:name="_Toc451261324"/>
      <w:bookmarkEnd w:id="1365"/>
      <w:bookmarkStart w:id="1366" w:name="_Toc453057134"/>
      <w:bookmarkEnd w:id="1366"/>
      <w:bookmarkStart w:id="1367" w:name="_Toc393546474"/>
      <w:bookmarkEnd w:id="1367"/>
      <w:bookmarkStart w:id="1368" w:name="_Toc43475950"/>
      <w:bookmarkEnd w:id="1368"/>
      <w:r>
        <w:rPr>
          <w:rFonts w:hint="eastAsia" w:ascii="宋体" w:hAnsi="宋体" w:cs="宋体"/>
          <w:color w:val="auto"/>
          <w:sz w:val="24"/>
          <w:szCs w:val="24"/>
          <w:highlight w:val="none"/>
        </w:rPr>
        <w:t>11.6工期提前</w:t>
      </w:r>
    </w:p>
    <w:p w14:paraId="517A706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1EA5427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发包人不得随意要求承包人提前交工，承包人也不得随意提出提前交工的建议。如遇特殊情况，确需将工期提前的，发包人和承包人必须采取有效措施，确保工程质量。</w:t>
      </w:r>
    </w:p>
    <w:p w14:paraId="752DBE3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1CB81AA9">
      <w:pPr>
        <w:shd w:val="clear" w:fill="FFFFFF" w:themeFill="background1"/>
        <w:spacing w:line="400" w:lineRule="exact"/>
        <w:ind w:firstLine="480" w:firstLineChars="200"/>
        <w:rPr>
          <w:rFonts w:ascii="宋体" w:hAnsi="宋体" w:cs="宋体"/>
          <w:color w:val="auto"/>
          <w:sz w:val="24"/>
          <w:highlight w:val="none"/>
        </w:rPr>
      </w:pPr>
    </w:p>
    <w:p w14:paraId="6FE3616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本条补充11.7款：</w:t>
      </w:r>
    </w:p>
    <w:p w14:paraId="02B820CD">
      <w:pPr>
        <w:pStyle w:val="4"/>
        <w:shd w:val="clear" w:fill="FFFFFF" w:themeFill="background1"/>
        <w:spacing w:before="156" w:beforeLines="50" w:line="400" w:lineRule="exact"/>
        <w:rPr>
          <w:rFonts w:ascii="宋体" w:hAnsi="宋体" w:cs="宋体"/>
          <w:color w:val="auto"/>
          <w:sz w:val="24"/>
          <w:szCs w:val="24"/>
          <w:highlight w:val="none"/>
        </w:rPr>
      </w:pPr>
      <w:bookmarkStart w:id="1369" w:name="_Toc43475951"/>
      <w:bookmarkEnd w:id="1369"/>
      <w:bookmarkStart w:id="1370" w:name="_Toc393546475"/>
      <w:bookmarkEnd w:id="1370"/>
      <w:bookmarkStart w:id="1371" w:name="_Toc453057135"/>
      <w:bookmarkEnd w:id="1371"/>
      <w:bookmarkStart w:id="1372" w:name="_Toc330406416"/>
      <w:bookmarkEnd w:id="1372"/>
      <w:bookmarkStart w:id="1373" w:name="_Toc386467221"/>
      <w:bookmarkEnd w:id="1373"/>
      <w:bookmarkStart w:id="1374" w:name="_Toc451261325"/>
      <w:bookmarkEnd w:id="1374"/>
      <w:r>
        <w:rPr>
          <w:rFonts w:hint="eastAsia" w:ascii="宋体" w:hAnsi="宋体" w:cs="宋体"/>
          <w:color w:val="auto"/>
          <w:sz w:val="24"/>
          <w:szCs w:val="24"/>
          <w:highlight w:val="none"/>
        </w:rPr>
        <w:t>11.7工作时间的限制</w:t>
      </w:r>
    </w:p>
    <w:p w14:paraId="00F8DF9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承包人在夜间或国家规定的节假日进行永久工程的施工，应向监理人报告，以便监理人履行监理人履行监理职责和义务。</w:t>
      </w:r>
    </w:p>
    <w:p w14:paraId="5B1CB94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但是，为了抢救生命或保护财产，或为了工程的安全、质量而不可避免地短暂作业，则不必事先向监理人报告。但承包人应在事后立即向监理人报告。</w:t>
      </w:r>
    </w:p>
    <w:p w14:paraId="3096BF4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本款规定不适用于习惯上或施工本身要求实行连续生产的作业。</w:t>
      </w:r>
    </w:p>
    <w:p w14:paraId="1A67B555">
      <w:pPr>
        <w:pStyle w:val="4"/>
        <w:shd w:val="clear" w:fill="FFFFFF" w:themeFill="background1"/>
        <w:spacing w:before="156" w:beforeLines="50" w:line="400" w:lineRule="exact"/>
        <w:rPr>
          <w:rFonts w:ascii="宋体" w:hAnsi="宋体" w:cs="宋体"/>
          <w:color w:val="auto"/>
          <w:sz w:val="28"/>
          <w:szCs w:val="28"/>
          <w:highlight w:val="none"/>
        </w:rPr>
      </w:pPr>
      <w:bookmarkStart w:id="1375" w:name="_Toc393546476"/>
      <w:bookmarkEnd w:id="1375"/>
      <w:bookmarkStart w:id="1376" w:name="_Toc386467222"/>
      <w:bookmarkEnd w:id="1376"/>
      <w:bookmarkStart w:id="1377" w:name="_Toc330406417"/>
      <w:bookmarkEnd w:id="1377"/>
      <w:bookmarkStart w:id="1378" w:name="_Toc451261326"/>
      <w:bookmarkEnd w:id="1378"/>
      <w:bookmarkStart w:id="1379" w:name="_Toc43475952"/>
      <w:bookmarkEnd w:id="1379"/>
      <w:bookmarkStart w:id="1380" w:name="_Toc453057136"/>
      <w:bookmarkEnd w:id="1380"/>
      <w:r>
        <w:rPr>
          <w:rFonts w:hint="eastAsia" w:ascii="宋体" w:hAnsi="宋体" w:cs="宋体"/>
          <w:color w:val="auto"/>
          <w:sz w:val="28"/>
          <w:szCs w:val="28"/>
          <w:highlight w:val="none"/>
        </w:rPr>
        <w:t>12.暂停施工</w:t>
      </w:r>
    </w:p>
    <w:p w14:paraId="3F45AA10">
      <w:pPr>
        <w:pStyle w:val="4"/>
        <w:shd w:val="clear" w:fill="FFFFFF" w:themeFill="background1"/>
        <w:spacing w:before="156" w:beforeLines="50" w:line="400" w:lineRule="exact"/>
        <w:rPr>
          <w:rFonts w:ascii="宋体" w:hAnsi="宋体" w:cs="宋体"/>
          <w:color w:val="auto"/>
          <w:sz w:val="24"/>
          <w:szCs w:val="24"/>
          <w:highlight w:val="none"/>
        </w:rPr>
      </w:pPr>
      <w:bookmarkStart w:id="1381" w:name="_Toc330406418"/>
      <w:bookmarkEnd w:id="1381"/>
      <w:bookmarkStart w:id="1382" w:name="_Toc453057137"/>
      <w:bookmarkEnd w:id="1382"/>
      <w:bookmarkStart w:id="1383" w:name="_Toc451261327"/>
      <w:bookmarkEnd w:id="1383"/>
      <w:bookmarkStart w:id="1384" w:name="_Toc393546477"/>
      <w:bookmarkEnd w:id="1384"/>
      <w:bookmarkStart w:id="1385" w:name="_Toc386467223"/>
      <w:bookmarkEnd w:id="1385"/>
      <w:bookmarkStart w:id="1386" w:name="_Toc43475953"/>
      <w:bookmarkEnd w:id="1386"/>
      <w:r>
        <w:rPr>
          <w:rFonts w:hint="eastAsia" w:ascii="宋体" w:hAnsi="宋体" w:cs="宋体"/>
          <w:color w:val="auto"/>
          <w:sz w:val="24"/>
          <w:szCs w:val="24"/>
          <w:highlight w:val="none"/>
        </w:rPr>
        <w:t>12.1承包人暂停施工的责任</w:t>
      </w:r>
    </w:p>
    <w:p w14:paraId="1EFD3F3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本款第（5）项细化为：</w:t>
      </w:r>
    </w:p>
    <w:p w14:paraId="68413A0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（5）现场气候条件导致的必要停工（第11.4款规定的异常恶劣的气候条件除外）；</w:t>
      </w:r>
    </w:p>
    <w:p w14:paraId="6C66BE5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（6）项目专用合同条款约定的由承包人承担的其他暂停施工。</w:t>
      </w:r>
    </w:p>
    <w:p w14:paraId="1E1BC2F6">
      <w:pPr>
        <w:pStyle w:val="4"/>
        <w:shd w:val="clear" w:fill="FFFFFF" w:themeFill="background1"/>
        <w:spacing w:before="156" w:beforeLines="50" w:after="120" w:line="400" w:lineRule="exact"/>
        <w:rPr>
          <w:rFonts w:ascii="宋体" w:hAnsi="宋体" w:cs="宋体"/>
          <w:color w:val="auto"/>
          <w:sz w:val="28"/>
          <w:szCs w:val="28"/>
          <w:highlight w:val="none"/>
        </w:rPr>
      </w:pPr>
      <w:bookmarkStart w:id="1387" w:name="_Toc386467224"/>
      <w:bookmarkEnd w:id="1387"/>
      <w:bookmarkStart w:id="1388" w:name="_Toc43475954"/>
      <w:bookmarkEnd w:id="1388"/>
      <w:bookmarkStart w:id="1389" w:name="_Toc451261328"/>
      <w:bookmarkEnd w:id="1389"/>
      <w:bookmarkStart w:id="1390" w:name="_Toc453057138"/>
      <w:bookmarkEnd w:id="1390"/>
      <w:bookmarkStart w:id="1391" w:name="_Toc330406419"/>
      <w:bookmarkEnd w:id="1391"/>
      <w:bookmarkStart w:id="1392" w:name="_Toc393546478"/>
      <w:bookmarkEnd w:id="1392"/>
      <w:r>
        <w:rPr>
          <w:rFonts w:hint="eastAsia" w:ascii="宋体" w:hAnsi="宋体" w:cs="宋体"/>
          <w:color w:val="auto"/>
          <w:sz w:val="28"/>
          <w:szCs w:val="28"/>
          <w:highlight w:val="none"/>
        </w:rPr>
        <w:t>13.工程质量</w:t>
      </w:r>
    </w:p>
    <w:p w14:paraId="33B73304">
      <w:pPr>
        <w:pStyle w:val="4"/>
        <w:shd w:val="clear" w:fill="FFFFFF" w:themeFill="background1"/>
        <w:spacing w:before="156" w:beforeLines="50" w:line="400" w:lineRule="exact"/>
        <w:rPr>
          <w:rFonts w:ascii="宋体" w:hAnsi="宋体" w:cs="宋体"/>
          <w:color w:val="auto"/>
          <w:sz w:val="24"/>
          <w:szCs w:val="24"/>
          <w:highlight w:val="none"/>
        </w:rPr>
      </w:pPr>
      <w:bookmarkStart w:id="1393" w:name="_Toc453057139"/>
      <w:bookmarkEnd w:id="1393"/>
      <w:bookmarkStart w:id="1394" w:name="_Toc330406420"/>
      <w:bookmarkEnd w:id="1394"/>
      <w:bookmarkStart w:id="1395" w:name="_Toc386467225"/>
      <w:bookmarkEnd w:id="1395"/>
      <w:bookmarkStart w:id="1396" w:name="_Toc393546479"/>
      <w:bookmarkEnd w:id="1396"/>
      <w:bookmarkStart w:id="1397" w:name="_Toc451261329"/>
      <w:bookmarkEnd w:id="1397"/>
      <w:bookmarkStart w:id="1398" w:name="_Toc43475955"/>
      <w:bookmarkEnd w:id="1398"/>
      <w:r>
        <w:rPr>
          <w:rFonts w:hint="eastAsia" w:ascii="宋体" w:hAnsi="宋体" w:cs="宋体"/>
          <w:color w:val="auto"/>
          <w:sz w:val="24"/>
          <w:szCs w:val="24"/>
          <w:highlight w:val="none"/>
        </w:rPr>
        <w:t>13.1工程质量要求</w:t>
      </w:r>
    </w:p>
    <w:p w14:paraId="3851EA5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第13.1.1项约定为：</w:t>
      </w:r>
    </w:p>
    <w:p w14:paraId="1F1554F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工程质量验收按技术规范及《公路工程质量检验评定标准》执行。</w:t>
      </w:r>
    </w:p>
    <w:p w14:paraId="470141F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本款补充第13.1.4和13.1.5项：</w:t>
      </w:r>
    </w:p>
    <w:p w14:paraId="23DF5C8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13.1.4发包人和承包人应严格遵守《关于严格落实公路工程质量责任制的若干意见》的相关规定，认真执行工程质量责任登记制度并按要求填写工程质量责任登记表。</w:t>
      </w:r>
    </w:p>
    <w:p w14:paraId="46B3A3C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13.1.5本项目严格执行质量责任追究制度。质量事故处理实行“四不放过”原则：事故原因调查不清不放过；事故责任者没有受到教育不放过；没有防范措施不放过；相关责任人没受到处理不放过。</w:t>
      </w:r>
    </w:p>
    <w:p w14:paraId="0FF2CB69">
      <w:pPr>
        <w:pStyle w:val="4"/>
        <w:shd w:val="clear" w:fill="FFFFFF" w:themeFill="background1"/>
        <w:spacing w:before="156" w:beforeLines="50" w:line="400" w:lineRule="exact"/>
        <w:rPr>
          <w:rFonts w:ascii="宋体" w:hAnsi="宋体" w:cs="宋体"/>
          <w:color w:val="auto"/>
          <w:sz w:val="24"/>
          <w:szCs w:val="24"/>
          <w:highlight w:val="none"/>
        </w:rPr>
      </w:pPr>
      <w:bookmarkStart w:id="1399" w:name="_Toc43475956"/>
      <w:bookmarkEnd w:id="1399"/>
      <w:bookmarkStart w:id="1400" w:name="_Toc393546480"/>
      <w:bookmarkEnd w:id="1400"/>
      <w:bookmarkStart w:id="1401" w:name="_Toc451261330"/>
      <w:bookmarkEnd w:id="1401"/>
      <w:bookmarkStart w:id="1402" w:name="_Toc453057140"/>
      <w:bookmarkEnd w:id="1402"/>
      <w:bookmarkStart w:id="1403" w:name="_Toc386467226"/>
      <w:bookmarkEnd w:id="1403"/>
      <w:bookmarkStart w:id="1404" w:name="_Toc330406421"/>
      <w:bookmarkEnd w:id="1404"/>
      <w:r>
        <w:rPr>
          <w:rFonts w:hint="eastAsia" w:ascii="宋体" w:hAnsi="宋体" w:cs="宋体"/>
          <w:color w:val="auto"/>
          <w:sz w:val="24"/>
          <w:szCs w:val="24"/>
          <w:highlight w:val="none"/>
        </w:rPr>
        <w:t>13.2承包人的质量管理</w:t>
      </w:r>
    </w:p>
    <w:p w14:paraId="341633C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第13.2.1项补充：</w:t>
      </w:r>
    </w:p>
    <w:p w14:paraId="5A0BC16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承包人提交工程质量保证措施文件的期限：签订合同协议书后28天之内。</w:t>
      </w:r>
    </w:p>
    <w:p w14:paraId="4C9A1C1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本款补充第</w:t>
      </w:r>
      <w:r>
        <w:rPr>
          <w:rFonts w:hint="eastAsia" w:ascii="宋体" w:hAnsi="宋体" w:cs="宋体"/>
          <w:color w:val="auto"/>
          <w:sz w:val="24"/>
          <w:highlight w:val="none"/>
        </w:rPr>
        <w:t>13.2.3</w:t>
      </w:r>
      <w:r>
        <w:rPr>
          <w:rFonts w:hint="eastAsia" w:ascii="宋体" w:hAnsi="宋体" w:cs="宋体"/>
          <w:color w:val="auto"/>
          <w:sz w:val="24"/>
          <w:highlight w:val="none"/>
          <w:lang w:val="zh-CN"/>
        </w:rPr>
        <w:t>项〜第</w:t>
      </w:r>
      <w:r>
        <w:rPr>
          <w:rFonts w:hint="eastAsia" w:ascii="宋体" w:hAnsi="宋体" w:cs="宋体"/>
          <w:color w:val="auto"/>
          <w:sz w:val="24"/>
          <w:highlight w:val="none"/>
        </w:rPr>
        <w:t>13.2.10</w:t>
      </w:r>
      <w:r>
        <w:rPr>
          <w:rFonts w:hint="eastAsia" w:ascii="宋体" w:hAnsi="宋体" w:cs="宋体"/>
          <w:color w:val="auto"/>
          <w:sz w:val="24"/>
          <w:highlight w:val="none"/>
          <w:lang w:val="zh-CN"/>
        </w:rPr>
        <w:t>项：</w:t>
      </w:r>
    </w:p>
    <w:p w14:paraId="023FFAE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13.2.3</w:t>
      </w:r>
      <w:r>
        <w:rPr>
          <w:rFonts w:hint="eastAsia" w:ascii="宋体" w:hAnsi="宋体" w:cs="宋体"/>
          <w:color w:val="auto"/>
          <w:sz w:val="24"/>
          <w:highlight w:val="none"/>
          <w:lang w:val="zh-CN"/>
        </w:rPr>
        <w:t>公路工程施行质量责任终身制。承包人应当书面明确相应的项目负责人 和质量负责人。承包人的相关人员按照国家法律法规和有关规定在工程合理使用年 限内承担相应的质量责任。</w:t>
      </w:r>
    </w:p>
    <w:p w14:paraId="6A2DED7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13.2.4</w:t>
      </w:r>
      <w:r>
        <w:rPr>
          <w:rFonts w:hint="eastAsia" w:ascii="宋体" w:hAnsi="宋体" w:cs="宋体"/>
          <w:color w:val="auto"/>
          <w:sz w:val="24"/>
          <w:highlight w:val="none"/>
          <w:lang w:val="zh-CN"/>
        </w:rPr>
        <w:t>承包人应当建立健全工程质量保证体系，制定质量管理制度，强化工程质量管理措施，完善工程质量目标保障机制；严格遵守国家有关法律、法规和规章， 严格执行公路工程强制性技术标准、各类技术规范及规程，全面履行工程合同义务。</w:t>
      </w:r>
    </w:p>
    <w:p w14:paraId="5D70912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13.2.5</w:t>
      </w:r>
      <w:r>
        <w:rPr>
          <w:rFonts w:hint="eastAsia" w:ascii="宋体" w:hAnsi="宋体" w:cs="宋体"/>
          <w:color w:val="auto"/>
          <w:sz w:val="24"/>
          <w:highlight w:val="none"/>
          <w:lang w:val="zh-CN"/>
        </w:rPr>
        <w:t>承包人对工程施工质量负责，应当按合同约定设立现场质量管理机构、 配备工程技术人员和质量管理人员，落实工程施工质量责任制。</w:t>
      </w:r>
    </w:p>
    <w:p w14:paraId="0D94A82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13.2.6</w:t>
      </w:r>
      <w:r>
        <w:rPr>
          <w:rFonts w:hint="eastAsia" w:ascii="宋体" w:hAnsi="宋体" w:cs="宋体"/>
          <w:color w:val="auto"/>
          <w:sz w:val="24"/>
          <w:highlight w:val="none"/>
          <w:lang w:val="zh-CN"/>
        </w:rPr>
        <w:t>承包人应当严格按照工程设计图纸、施工技术标准和合同约定施工，对 原材料、混合料、构配件、工程实体、机电设备等进行检验；按规定施行班组自检、 工序交接检、专职质检员检验的质量控制程序；对分项工程、分部工程和单位工程进行质量自评。检验或者自评不合格的，不得进入下道工序或者投入使用。</w:t>
      </w:r>
    </w:p>
    <w:p w14:paraId="452B746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13.2.7</w:t>
      </w:r>
      <w:r>
        <w:rPr>
          <w:rFonts w:hint="eastAsia" w:ascii="宋体" w:hAnsi="宋体" w:cs="宋体"/>
          <w:color w:val="auto"/>
          <w:sz w:val="24"/>
          <w:highlight w:val="none"/>
          <w:lang w:val="zh-CN"/>
        </w:rPr>
        <w:t>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2A80F30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13.2.8</w:t>
      </w:r>
      <w:r>
        <w:rPr>
          <w:rFonts w:hint="eastAsia" w:ascii="宋体" w:hAnsi="宋体" w:cs="宋体"/>
          <w:color w:val="auto"/>
          <w:sz w:val="24"/>
          <w:highlight w:val="none"/>
          <w:lang w:val="zh-CN"/>
        </w:rPr>
        <w:t>承包人应当按照合同约定设立工地临时试验室，配齐检测和试验仪器、 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3EFECE4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13.2.9</w:t>
      </w:r>
      <w:r>
        <w:rPr>
          <w:rFonts w:hint="eastAsia" w:ascii="宋体" w:hAnsi="宋体" w:cs="宋体"/>
          <w:color w:val="auto"/>
          <w:sz w:val="24"/>
          <w:highlight w:val="none"/>
          <w:lang w:val="zh-CN"/>
        </w:rPr>
        <w:t>承包人应当依法规范分包行为，并对承担的工程质量负总责，分包单位 对分包合同范围内的工程质量负责。</w:t>
      </w:r>
    </w:p>
    <w:p w14:paraId="0D1775D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13.2.10</w:t>
      </w:r>
      <w:r>
        <w:rPr>
          <w:rFonts w:hint="eastAsia" w:ascii="宋体" w:hAnsi="宋体" w:cs="宋体"/>
          <w:color w:val="auto"/>
          <w:sz w:val="24"/>
          <w:highlight w:val="none"/>
          <w:lang w:val="zh-CN"/>
        </w:rPr>
        <w:t>承包人驻工程现场机构应在现场驻地和重要的分部、分项工程施工现场 设置明显的工程质量责任登记表公示牌</w:t>
      </w:r>
    </w:p>
    <w:p w14:paraId="35C51666">
      <w:pPr>
        <w:pStyle w:val="4"/>
        <w:shd w:val="clear" w:fill="FFFFFF" w:themeFill="background1"/>
        <w:spacing w:before="156" w:beforeLines="50" w:line="400" w:lineRule="exact"/>
        <w:rPr>
          <w:rFonts w:ascii="宋体" w:hAnsi="宋体" w:cs="宋体"/>
          <w:color w:val="auto"/>
          <w:sz w:val="24"/>
          <w:szCs w:val="24"/>
          <w:highlight w:val="none"/>
        </w:rPr>
      </w:pPr>
      <w:bookmarkStart w:id="1405" w:name="_Toc393546481"/>
      <w:bookmarkEnd w:id="1405"/>
      <w:bookmarkStart w:id="1406" w:name="_Toc330406422"/>
      <w:bookmarkEnd w:id="1406"/>
      <w:bookmarkStart w:id="1407" w:name="_Toc43475957"/>
      <w:bookmarkEnd w:id="1407"/>
      <w:bookmarkStart w:id="1408" w:name="_Toc453057141"/>
      <w:bookmarkEnd w:id="1408"/>
      <w:bookmarkStart w:id="1409" w:name="_Toc386467227"/>
      <w:bookmarkEnd w:id="1409"/>
      <w:bookmarkStart w:id="1410" w:name="_Toc451261331"/>
      <w:bookmarkEnd w:id="1410"/>
      <w:r>
        <w:rPr>
          <w:rFonts w:hint="eastAsia" w:ascii="宋体" w:hAnsi="宋体" w:cs="宋体"/>
          <w:color w:val="auto"/>
          <w:sz w:val="24"/>
          <w:szCs w:val="24"/>
          <w:highlight w:val="none"/>
        </w:rPr>
        <w:t>13.4监理人的质量检查</w:t>
      </w:r>
    </w:p>
    <w:p w14:paraId="6A0C841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0BC683C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监理人及其委派的检验人员，应能进入工程现场，以及材料或工程设备的制造、加工或制配的车间和场所，包括不属于承包人的车间或场所进行检查，承包人应为此提供便利和协助。</w:t>
      </w:r>
    </w:p>
    <w:p w14:paraId="286A038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监理人可以将材料或工程设备的检查委托给一家独立的有质量检验认证资格的检验单位。该独立检验单位的检验结果应视为监理人完成的。监理人应将这种委托的通知书不少于7天交给承包人。</w:t>
      </w:r>
    </w:p>
    <w:p w14:paraId="45C28AD7">
      <w:pPr>
        <w:pStyle w:val="4"/>
        <w:shd w:val="clear" w:fill="FFFFFF" w:themeFill="background1"/>
        <w:spacing w:before="156" w:beforeLines="50" w:line="400" w:lineRule="exact"/>
        <w:rPr>
          <w:rFonts w:ascii="宋体" w:hAnsi="宋体" w:cs="宋体"/>
          <w:color w:val="auto"/>
          <w:sz w:val="24"/>
          <w:szCs w:val="24"/>
          <w:highlight w:val="none"/>
        </w:rPr>
      </w:pPr>
      <w:bookmarkStart w:id="1411" w:name="_Toc453057142"/>
      <w:bookmarkEnd w:id="1411"/>
      <w:bookmarkStart w:id="1412" w:name="_Toc330406423"/>
      <w:bookmarkEnd w:id="1412"/>
      <w:bookmarkStart w:id="1413" w:name="_Toc451261332"/>
      <w:bookmarkEnd w:id="1413"/>
      <w:bookmarkStart w:id="1414" w:name="_Toc393546482"/>
      <w:bookmarkEnd w:id="1414"/>
      <w:bookmarkStart w:id="1415" w:name="_Toc386467228"/>
      <w:bookmarkEnd w:id="1415"/>
      <w:bookmarkStart w:id="1416" w:name="_Toc43475958"/>
      <w:bookmarkEnd w:id="1416"/>
      <w:r>
        <w:rPr>
          <w:rFonts w:hint="eastAsia" w:ascii="宋体" w:hAnsi="宋体" w:cs="宋体"/>
          <w:color w:val="auto"/>
          <w:sz w:val="24"/>
          <w:szCs w:val="24"/>
          <w:highlight w:val="none"/>
        </w:rPr>
        <w:t>13.5工程隐蔽部位覆盖前的检查</w:t>
      </w:r>
    </w:p>
    <w:p w14:paraId="09CE387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第13.5.1项补充：</w:t>
      </w:r>
    </w:p>
    <w:p w14:paraId="69BC42A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当监理人有指示时，承包人应对重要隐蔽工程进行拍摄或照相并应保证监理人有充分的机会对将要覆盖或隐蔽的工程进行检查或量测，特别是在基础以上的任一部分工程修筑之前，对该基础进行检查。</w:t>
      </w:r>
    </w:p>
    <w:p w14:paraId="7069ED48">
      <w:pPr>
        <w:pStyle w:val="4"/>
        <w:shd w:val="clear" w:fill="FFFFFF" w:themeFill="background1"/>
        <w:spacing w:before="156" w:beforeLines="50" w:line="400" w:lineRule="exact"/>
        <w:rPr>
          <w:rFonts w:ascii="宋体" w:hAnsi="宋体" w:cs="宋体"/>
          <w:color w:val="auto"/>
          <w:sz w:val="24"/>
          <w:szCs w:val="24"/>
          <w:highlight w:val="none"/>
        </w:rPr>
      </w:pPr>
      <w:bookmarkStart w:id="1417" w:name="_Toc451261333"/>
      <w:bookmarkEnd w:id="1417"/>
      <w:bookmarkStart w:id="1418" w:name="_Toc453057143"/>
      <w:bookmarkEnd w:id="1418"/>
      <w:bookmarkStart w:id="1419" w:name="_Toc330406424"/>
      <w:bookmarkEnd w:id="1419"/>
      <w:bookmarkStart w:id="1420" w:name="_Toc393546483"/>
      <w:bookmarkEnd w:id="1420"/>
      <w:bookmarkStart w:id="1421" w:name="_Toc43475959"/>
      <w:bookmarkEnd w:id="1421"/>
      <w:bookmarkStart w:id="1422" w:name="_Toc386467229"/>
      <w:bookmarkEnd w:id="1422"/>
      <w:r>
        <w:rPr>
          <w:rFonts w:hint="eastAsia" w:ascii="宋体" w:hAnsi="宋体" w:cs="宋体"/>
          <w:color w:val="auto"/>
          <w:sz w:val="24"/>
          <w:szCs w:val="24"/>
          <w:highlight w:val="none"/>
        </w:rPr>
        <w:t>13.6清除不合格工程</w:t>
      </w:r>
    </w:p>
    <w:p w14:paraId="5285B92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第13.6.1项细化为：</w:t>
      </w:r>
    </w:p>
    <w:p w14:paraId="57E390B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工期延误由承包人承担。</w:t>
      </w:r>
    </w:p>
    <w:p w14:paraId="51D1489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（2）如果承包人未在规定时间内执行监理人的指示，发包人有权雇用他人执行，由此增加的费用和（或）工期延误由承包人承担。</w:t>
      </w:r>
    </w:p>
    <w:p w14:paraId="055BA7D1">
      <w:pPr>
        <w:pStyle w:val="4"/>
        <w:shd w:val="clear" w:fill="FFFFFF" w:themeFill="background1"/>
        <w:spacing w:before="156" w:beforeLines="50" w:after="120" w:line="400" w:lineRule="exact"/>
        <w:rPr>
          <w:rFonts w:ascii="宋体" w:hAnsi="宋体" w:cs="宋体"/>
          <w:color w:val="auto"/>
          <w:sz w:val="28"/>
          <w:szCs w:val="28"/>
          <w:highlight w:val="none"/>
        </w:rPr>
      </w:pPr>
      <w:bookmarkStart w:id="1423" w:name="_Toc393546484"/>
      <w:bookmarkEnd w:id="1423"/>
      <w:bookmarkStart w:id="1424" w:name="_Toc453057144"/>
      <w:bookmarkEnd w:id="1424"/>
      <w:bookmarkStart w:id="1425" w:name="_Toc451261334"/>
      <w:bookmarkEnd w:id="1425"/>
      <w:bookmarkStart w:id="1426" w:name="_Toc386467230"/>
      <w:bookmarkEnd w:id="1426"/>
      <w:bookmarkStart w:id="1427" w:name="_Toc330406425"/>
      <w:bookmarkEnd w:id="1427"/>
      <w:bookmarkStart w:id="1428" w:name="_Toc43475960"/>
      <w:bookmarkEnd w:id="1428"/>
      <w:r>
        <w:rPr>
          <w:rFonts w:hint="eastAsia" w:ascii="宋体" w:hAnsi="宋体" w:cs="宋体"/>
          <w:color w:val="auto"/>
          <w:sz w:val="28"/>
          <w:szCs w:val="28"/>
          <w:highlight w:val="none"/>
        </w:rPr>
        <w:t>14.试验和检验</w:t>
      </w:r>
    </w:p>
    <w:p w14:paraId="62D2A2B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补充第14.4款：</w:t>
      </w:r>
    </w:p>
    <w:p w14:paraId="4C620F99">
      <w:pPr>
        <w:pStyle w:val="4"/>
        <w:shd w:val="clear" w:fill="FFFFFF" w:themeFill="background1"/>
        <w:spacing w:before="156" w:beforeLines="50" w:line="400" w:lineRule="exact"/>
        <w:rPr>
          <w:rFonts w:ascii="宋体" w:hAnsi="宋体" w:cs="宋体"/>
          <w:color w:val="auto"/>
          <w:sz w:val="24"/>
          <w:szCs w:val="24"/>
          <w:highlight w:val="none"/>
        </w:rPr>
      </w:pPr>
      <w:bookmarkStart w:id="1429" w:name="_Toc43475961"/>
      <w:bookmarkEnd w:id="1429"/>
      <w:bookmarkStart w:id="1430" w:name="_Toc451261335"/>
      <w:bookmarkEnd w:id="1430"/>
      <w:bookmarkStart w:id="1431" w:name="_Toc393546485"/>
      <w:bookmarkEnd w:id="1431"/>
      <w:bookmarkStart w:id="1432" w:name="_Toc453057145"/>
      <w:bookmarkEnd w:id="1432"/>
      <w:bookmarkStart w:id="1433" w:name="_Toc330406426"/>
      <w:bookmarkEnd w:id="1433"/>
      <w:bookmarkStart w:id="1434" w:name="_Toc386467231"/>
      <w:bookmarkEnd w:id="1434"/>
      <w:r>
        <w:rPr>
          <w:rFonts w:hint="eastAsia" w:ascii="宋体" w:hAnsi="宋体" w:cs="宋体"/>
          <w:color w:val="auto"/>
          <w:sz w:val="24"/>
          <w:szCs w:val="24"/>
          <w:highlight w:val="none"/>
        </w:rPr>
        <w:t>14.4试验和检验费用</w:t>
      </w:r>
    </w:p>
    <w:p w14:paraId="49ABE04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（1）承包人应负责提供合同和技术规范规定的试验和检验所需的全部样品，并承担其费用。</w:t>
      </w:r>
    </w:p>
    <w:p w14:paraId="1D6F6AF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（2）在合同中明确规定的试验和检验，包括无须在工程量清单中单独列项和已在工程量清单中单独列项的试验和检验，其试验和检验的费用由承包人承担。</w:t>
      </w:r>
    </w:p>
    <w:p w14:paraId="74992ED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如果监理人所要求做的试验和检验为合同未规定的或是在该材料或工程设备的制造、加工、制配场地以外的场地进行的，则检验结束后，如表明操作工艺或材料、工程设备未能符合合同规定，其费用应由承包人承担，否则，其费用应由发包人承担。</w:t>
      </w:r>
    </w:p>
    <w:p w14:paraId="72C73525">
      <w:pPr>
        <w:pStyle w:val="4"/>
        <w:shd w:val="clear" w:fill="FFFFFF" w:themeFill="background1"/>
        <w:spacing w:before="156" w:beforeLines="50" w:after="120" w:line="400" w:lineRule="exact"/>
        <w:rPr>
          <w:rFonts w:ascii="宋体" w:hAnsi="宋体" w:cs="宋体"/>
          <w:color w:val="auto"/>
          <w:sz w:val="28"/>
          <w:szCs w:val="28"/>
          <w:highlight w:val="none"/>
        </w:rPr>
      </w:pPr>
      <w:bookmarkStart w:id="1435" w:name="_Toc393546486"/>
      <w:bookmarkEnd w:id="1435"/>
      <w:bookmarkStart w:id="1436" w:name="_Toc453057146"/>
      <w:bookmarkEnd w:id="1436"/>
      <w:bookmarkStart w:id="1437" w:name="_Toc330406427"/>
      <w:bookmarkEnd w:id="1437"/>
      <w:bookmarkStart w:id="1438" w:name="_Toc451261336"/>
      <w:bookmarkEnd w:id="1438"/>
      <w:bookmarkStart w:id="1439" w:name="_Toc386467232"/>
      <w:bookmarkEnd w:id="1439"/>
      <w:bookmarkStart w:id="1440" w:name="_Toc43475962"/>
      <w:bookmarkEnd w:id="1440"/>
      <w:r>
        <w:rPr>
          <w:rFonts w:hint="eastAsia" w:ascii="宋体" w:hAnsi="宋体" w:cs="宋体"/>
          <w:color w:val="auto"/>
          <w:sz w:val="28"/>
          <w:szCs w:val="28"/>
          <w:highlight w:val="none"/>
        </w:rPr>
        <w:t>15.变更</w:t>
      </w:r>
    </w:p>
    <w:p w14:paraId="66918607">
      <w:pPr>
        <w:pStyle w:val="4"/>
        <w:shd w:val="clear" w:fill="FFFFFF" w:themeFill="background1"/>
        <w:spacing w:before="156" w:beforeLines="50" w:line="400" w:lineRule="exact"/>
        <w:rPr>
          <w:rFonts w:ascii="宋体" w:hAnsi="宋体" w:cs="宋体"/>
          <w:color w:val="auto"/>
          <w:sz w:val="24"/>
          <w:szCs w:val="24"/>
          <w:highlight w:val="none"/>
        </w:rPr>
      </w:pPr>
      <w:bookmarkStart w:id="1441" w:name="_Toc43475963"/>
      <w:bookmarkEnd w:id="1441"/>
      <w:bookmarkStart w:id="1442" w:name="_Toc453057147"/>
      <w:bookmarkEnd w:id="1442"/>
      <w:bookmarkStart w:id="1443" w:name="_Toc330406428"/>
      <w:bookmarkEnd w:id="1443"/>
      <w:bookmarkStart w:id="1444" w:name="_Toc393546487"/>
      <w:bookmarkEnd w:id="1444"/>
      <w:bookmarkStart w:id="1445" w:name="_Toc451261337"/>
      <w:bookmarkEnd w:id="1445"/>
      <w:bookmarkStart w:id="1446" w:name="_Toc386467233"/>
      <w:bookmarkEnd w:id="1446"/>
      <w:r>
        <w:rPr>
          <w:rFonts w:hint="eastAsia" w:ascii="宋体" w:hAnsi="宋体" w:cs="宋体"/>
          <w:color w:val="auto"/>
          <w:sz w:val="24"/>
          <w:szCs w:val="24"/>
          <w:highlight w:val="none"/>
        </w:rPr>
        <w:t>15.1变更的范围和内容</w:t>
      </w:r>
    </w:p>
    <w:p w14:paraId="5BFD3EB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本款第（1）项细化为：</w:t>
      </w:r>
    </w:p>
    <w:p w14:paraId="6F23BD9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（1）取消合同中任何一项工作，但被取消的工作不能转由发包人或其他人实施，由于承包人违约造成的情况除外；</w:t>
      </w:r>
    </w:p>
    <w:p w14:paraId="3E81A9AF">
      <w:pPr>
        <w:pStyle w:val="4"/>
        <w:shd w:val="clear" w:fill="FFFFFF" w:themeFill="background1"/>
        <w:spacing w:before="156" w:beforeLines="50" w:line="400" w:lineRule="exact"/>
        <w:rPr>
          <w:rFonts w:ascii="宋体" w:hAnsi="宋体" w:cs="宋体"/>
          <w:color w:val="auto"/>
          <w:sz w:val="24"/>
          <w:szCs w:val="24"/>
          <w:highlight w:val="none"/>
        </w:rPr>
      </w:pPr>
      <w:bookmarkStart w:id="1447" w:name="_Toc330406429"/>
      <w:bookmarkEnd w:id="1447"/>
      <w:bookmarkStart w:id="1448" w:name="_Toc393546488"/>
      <w:bookmarkEnd w:id="1448"/>
      <w:bookmarkStart w:id="1449" w:name="_Toc451261338"/>
      <w:bookmarkEnd w:id="1449"/>
      <w:bookmarkStart w:id="1450" w:name="_Toc43475964"/>
      <w:bookmarkEnd w:id="1450"/>
      <w:bookmarkStart w:id="1451" w:name="_Toc386467234"/>
      <w:bookmarkEnd w:id="1451"/>
      <w:bookmarkStart w:id="1452" w:name="_Toc453057148"/>
      <w:bookmarkEnd w:id="1452"/>
      <w:r>
        <w:rPr>
          <w:rFonts w:hint="eastAsia" w:ascii="宋体" w:hAnsi="宋体" w:cs="宋体"/>
          <w:color w:val="auto"/>
          <w:sz w:val="24"/>
          <w:szCs w:val="24"/>
          <w:highlight w:val="none"/>
        </w:rPr>
        <w:t>15.3变更程序</w:t>
      </w:r>
    </w:p>
    <w:p w14:paraId="61727C9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本款补充第15.3.4项：</w:t>
      </w:r>
    </w:p>
    <w:p w14:paraId="027E3D1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15.3.4设计变更程序应执行《公路工程设计变更管理办法》的相关规定。</w:t>
      </w:r>
    </w:p>
    <w:p w14:paraId="7C4C62AB">
      <w:pPr>
        <w:pStyle w:val="4"/>
        <w:shd w:val="clear" w:fill="FFFFFF" w:themeFill="background1"/>
        <w:spacing w:before="156" w:beforeLines="50" w:line="400" w:lineRule="exact"/>
        <w:rPr>
          <w:rFonts w:ascii="宋体" w:hAnsi="宋体" w:cs="宋体"/>
          <w:color w:val="auto"/>
          <w:sz w:val="24"/>
          <w:szCs w:val="24"/>
          <w:highlight w:val="none"/>
        </w:rPr>
      </w:pPr>
      <w:bookmarkStart w:id="1453" w:name="_Toc386467235"/>
      <w:bookmarkEnd w:id="1453"/>
      <w:bookmarkStart w:id="1454" w:name="_Toc453057149"/>
      <w:bookmarkEnd w:id="1454"/>
      <w:bookmarkStart w:id="1455" w:name="_Toc330406430"/>
      <w:bookmarkEnd w:id="1455"/>
      <w:bookmarkStart w:id="1456" w:name="_Toc451261339"/>
      <w:bookmarkEnd w:id="1456"/>
      <w:bookmarkStart w:id="1457" w:name="_Toc393546489"/>
      <w:bookmarkEnd w:id="1457"/>
      <w:bookmarkStart w:id="1458" w:name="_Toc43475965"/>
      <w:bookmarkEnd w:id="1458"/>
      <w:r>
        <w:rPr>
          <w:rFonts w:hint="eastAsia" w:ascii="宋体" w:hAnsi="宋体" w:cs="宋体"/>
          <w:color w:val="auto"/>
          <w:sz w:val="24"/>
          <w:szCs w:val="24"/>
          <w:highlight w:val="none"/>
        </w:rPr>
        <w:t>15.4变更的估价原则</w:t>
      </w:r>
    </w:p>
    <w:p w14:paraId="5157379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50356A0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除项目专用合同条款另有约定外，因变更引起的价格调整按照本款约定处理。</w:t>
      </w:r>
    </w:p>
    <w:p w14:paraId="39574AC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15.4.1如果取消某项工作，则该项工作的总额价不予以支付；</w:t>
      </w:r>
    </w:p>
    <w:p w14:paraId="1CF9FD7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15.4.2已标价工程量清单中有适用于变更工作的子目的，采用该子目的单价。</w:t>
      </w:r>
    </w:p>
    <w:p w14:paraId="26FACA8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15.4.3已标价工程量清单中无适用于变更工作的子目，但有类似子目的，可在合理范围内参照类似子目的单价，由监理人按第3.5款商定或确定变更工作的单价。</w:t>
      </w:r>
    </w:p>
    <w:p w14:paraId="4670F97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15.4.4已标价工程量清单中无适用或类似子目的单价，可在综合考虑承包人在投标时所提供的单价分析表的基础上，由监理人按第3.5款商定或确定变更工作的单价。</w:t>
      </w:r>
    </w:p>
    <w:p w14:paraId="3577092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15.4.5如果本工程的变更指示是因承包人过错、承包人违反合同或承包人责任造成的，则这种违约引起的任何额外费用应由承包人承担。</w:t>
      </w:r>
    </w:p>
    <w:p w14:paraId="29DAA613">
      <w:pPr>
        <w:pStyle w:val="4"/>
        <w:shd w:val="clear" w:fill="FFFFFF" w:themeFill="background1"/>
        <w:spacing w:before="156" w:beforeLines="50" w:line="400" w:lineRule="exact"/>
        <w:rPr>
          <w:rFonts w:ascii="宋体" w:hAnsi="宋体" w:cs="宋体"/>
          <w:color w:val="auto"/>
          <w:sz w:val="24"/>
          <w:szCs w:val="24"/>
          <w:highlight w:val="none"/>
        </w:rPr>
      </w:pPr>
      <w:bookmarkStart w:id="1459" w:name="_Toc386467236"/>
      <w:bookmarkEnd w:id="1459"/>
      <w:bookmarkStart w:id="1460" w:name="_Toc451261340"/>
      <w:bookmarkEnd w:id="1460"/>
      <w:bookmarkStart w:id="1461" w:name="_Toc393546490"/>
      <w:bookmarkEnd w:id="1461"/>
      <w:bookmarkStart w:id="1462" w:name="_Toc330406431"/>
      <w:bookmarkEnd w:id="1462"/>
      <w:bookmarkStart w:id="1463" w:name="_Toc453057150"/>
      <w:bookmarkEnd w:id="1463"/>
      <w:bookmarkStart w:id="1464" w:name="_Toc43475966"/>
      <w:bookmarkEnd w:id="1464"/>
      <w:r>
        <w:rPr>
          <w:rFonts w:hint="eastAsia" w:ascii="宋体" w:hAnsi="宋体" w:cs="宋体"/>
          <w:color w:val="auto"/>
          <w:sz w:val="24"/>
          <w:szCs w:val="24"/>
          <w:highlight w:val="none"/>
        </w:rPr>
        <w:t>15.5承包人的合理化建议</w:t>
      </w:r>
    </w:p>
    <w:p w14:paraId="0ED968A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第15.5.2项约定为：</w:t>
      </w:r>
    </w:p>
    <w:p w14:paraId="1BA9630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承包人提出的合理化建议缩短了工期，发包人按第11.6款的规定给予奖励。</w:t>
      </w:r>
    </w:p>
    <w:p w14:paraId="676F904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承包人提出的合理化建议降低了合同价格或者提高了工程经济效益的，发包人按项目专用合同条款数据表中规定的金额给予奖励。</w:t>
      </w:r>
    </w:p>
    <w:p w14:paraId="4F5E6ADC">
      <w:pPr>
        <w:pStyle w:val="4"/>
        <w:shd w:val="clear" w:fill="FFFFFF" w:themeFill="background1"/>
        <w:spacing w:before="156" w:beforeLines="50" w:line="400" w:lineRule="exact"/>
        <w:rPr>
          <w:rFonts w:ascii="宋体" w:hAnsi="宋体" w:cs="宋体"/>
          <w:color w:val="auto"/>
          <w:sz w:val="24"/>
          <w:szCs w:val="24"/>
          <w:highlight w:val="none"/>
        </w:rPr>
      </w:pPr>
      <w:bookmarkStart w:id="1465" w:name="_Toc43475967"/>
      <w:bookmarkEnd w:id="1465"/>
      <w:bookmarkStart w:id="1466" w:name="_Toc393546491"/>
      <w:bookmarkEnd w:id="1466"/>
      <w:bookmarkStart w:id="1467" w:name="_Toc451261341"/>
      <w:bookmarkEnd w:id="1467"/>
      <w:bookmarkStart w:id="1468" w:name="_Toc386467237"/>
      <w:bookmarkEnd w:id="1468"/>
      <w:bookmarkStart w:id="1469" w:name="_Toc330406432"/>
      <w:bookmarkEnd w:id="1469"/>
      <w:bookmarkStart w:id="1470" w:name="_Toc453057151"/>
      <w:bookmarkEnd w:id="1470"/>
      <w:r>
        <w:rPr>
          <w:rFonts w:hint="eastAsia" w:ascii="宋体" w:hAnsi="宋体" w:cs="宋体"/>
          <w:color w:val="auto"/>
          <w:sz w:val="24"/>
          <w:szCs w:val="24"/>
          <w:highlight w:val="none"/>
        </w:rPr>
        <w:t>15.6暂列金额</w:t>
      </w:r>
    </w:p>
    <w:p w14:paraId="3F139C5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198D7D8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15.6.l暂列金额应由监理人报发包人批准后指令全部或部分地使用，或者根本不予动用。</w:t>
      </w:r>
    </w:p>
    <w:p w14:paraId="225A196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6B1344C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15.6.3当监理人提出要求时，承包人应提供有关暂列金额支出的所有报价单、发票、凭证和账单或收据，除非该工作是根据已标价工程量清单列明的单价或总额价进行的估价。</w:t>
      </w:r>
    </w:p>
    <w:p w14:paraId="04712C9D">
      <w:pPr>
        <w:pStyle w:val="4"/>
        <w:shd w:val="clear" w:fill="FFFFFF" w:themeFill="background1"/>
        <w:spacing w:before="156" w:beforeLines="50" w:after="120" w:line="400" w:lineRule="exact"/>
        <w:rPr>
          <w:rFonts w:ascii="宋体" w:hAnsi="宋体" w:cs="宋体"/>
          <w:color w:val="auto"/>
          <w:sz w:val="28"/>
          <w:szCs w:val="28"/>
          <w:highlight w:val="none"/>
        </w:rPr>
      </w:pPr>
      <w:bookmarkStart w:id="1471" w:name="_Toc393546492"/>
      <w:bookmarkEnd w:id="1471"/>
      <w:bookmarkStart w:id="1472" w:name="_Toc386467238"/>
      <w:bookmarkEnd w:id="1472"/>
      <w:bookmarkStart w:id="1473" w:name="_Toc453057152"/>
      <w:bookmarkEnd w:id="1473"/>
      <w:bookmarkStart w:id="1474" w:name="_Toc43475968"/>
      <w:bookmarkEnd w:id="1474"/>
      <w:bookmarkStart w:id="1475" w:name="_Toc451261342"/>
      <w:bookmarkEnd w:id="1475"/>
      <w:bookmarkStart w:id="1476" w:name="_Toc330406433"/>
      <w:bookmarkEnd w:id="1476"/>
      <w:r>
        <w:rPr>
          <w:rFonts w:hint="eastAsia" w:ascii="宋体" w:hAnsi="宋体" w:cs="宋体"/>
          <w:color w:val="auto"/>
          <w:sz w:val="28"/>
          <w:szCs w:val="28"/>
          <w:highlight w:val="none"/>
        </w:rPr>
        <w:t>16.价格调整</w:t>
      </w:r>
    </w:p>
    <w:p w14:paraId="719ADAD7">
      <w:pPr>
        <w:pStyle w:val="4"/>
        <w:shd w:val="clear" w:fill="FFFFFF" w:themeFill="background1"/>
        <w:spacing w:before="156" w:beforeLines="50" w:line="400" w:lineRule="exact"/>
        <w:rPr>
          <w:rFonts w:ascii="宋体" w:hAnsi="宋体" w:cs="宋体"/>
          <w:color w:val="auto"/>
          <w:sz w:val="24"/>
          <w:szCs w:val="24"/>
          <w:highlight w:val="none"/>
        </w:rPr>
      </w:pPr>
      <w:bookmarkStart w:id="1477" w:name="_Toc43475969"/>
      <w:bookmarkEnd w:id="1477"/>
      <w:bookmarkStart w:id="1478" w:name="_Toc386467239"/>
      <w:bookmarkEnd w:id="1478"/>
      <w:bookmarkStart w:id="1479" w:name="_Toc451261343"/>
      <w:bookmarkEnd w:id="1479"/>
      <w:bookmarkStart w:id="1480" w:name="_Toc393546493"/>
      <w:bookmarkEnd w:id="1480"/>
      <w:bookmarkStart w:id="1481" w:name="_Toc330406434"/>
      <w:bookmarkEnd w:id="1481"/>
      <w:bookmarkStart w:id="1482" w:name="_Toc453057153"/>
      <w:bookmarkEnd w:id="1482"/>
      <w:r>
        <w:rPr>
          <w:rFonts w:hint="eastAsia" w:ascii="宋体" w:hAnsi="宋体" w:cs="宋体"/>
          <w:color w:val="auto"/>
          <w:sz w:val="24"/>
          <w:szCs w:val="24"/>
          <w:highlight w:val="none"/>
        </w:rPr>
        <w:t>16.1物价波动引起的价格调整</w:t>
      </w:r>
    </w:p>
    <w:p w14:paraId="785D1FA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本款约定为：</w:t>
      </w:r>
    </w:p>
    <w:p w14:paraId="3AB8A3C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（1）除项目专用合同条款另有约定外，因物价波动引起的价格调整应按项目专用合同条款数据表的规定，按照第16.1.1项或第16.1.2项约定的原则处理；或者</w:t>
      </w:r>
    </w:p>
    <w:p w14:paraId="3A01D9A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（2）在合同执行期间（包括工期拖延期间），由于人工、材料和设备价格的上涨而引起工程施工成本增加的风险由承包人自行承担，合同价格不会因此而调整。</w:t>
      </w:r>
    </w:p>
    <w:p w14:paraId="74F088D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16.1.1采用价格指数调整价格差额</w:t>
      </w:r>
    </w:p>
    <w:p w14:paraId="5891CCB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16.1.1价格调整公式</w:t>
      </w:r>
    </w:p>
    <w:p w14:paraId="2EC30B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价格调整公式后增加备注如下：</w:t>
      </w:r>
    </w:p>
    <w:p w14:paraId="325B780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式中，</w:t>
      </w:r>
      <w:r>
        <w:rPr>
          <w:rFonts w:hint="eastAsia" w:ascii="宋体" w:hAnsi="宋体" w:cs="宋体"/>
          <w:i/>
          <w:color w:val="auto"/>
          <w:sz w:val="24"/>
          <w:highlight w:val="none"/>
        </w:rPr>
        <w:t>A</w:t>
      </w:r>
      <w:r>
        <w:rPr>
          <w:rFonts w:hint="eastAsia" w:ascii="宋体" w:hAnsi="宋体" w:cs="宋体"/>
          <w:color w:val="auto"/>
          <w:sz w:val="24"/>
          <w:highlight w:val="none"/>
        </w:rPr>
        <w:t xml:space="preserve"> ＝ 1 － （</w:t>
      </w:r>
      <w:r>
        <w:rPr>
          <w:rFonts w:hint="eastAsia" w:ascii="宋体" w:hAnsi="宋体" w:cs="宋体"/>
          <w:i/>
          <w:color w:val="auto"/>
          <w:sz w:val="24"/>
          <w:highlight w:val="none"/>
        </w:rPr>
        <w:t>B</w:t>
      </w:r>
      <w:r>
        <w:rPr>
          <w:rFonts w:hint="eastAsia" w:ascii="宋体" w:hAnsi="宋体" w:cs="宋体"/>
          <w:color w:val="auto"/>
          <w:sz w:val="24"/>
          <w:highlight w:val="none"/>
          <w:vertAlign w:val="subscript"/>
        </w:rPr>
        <w:t xml:space="preserve">1 </w:t>
      </w:r>
      <w:r>
        <w:rPr>
          <w:rFonts w:hint="eastAsia" w:ascii="宋体" w:hAnsi="宋体" w:cs="宋体"/>
          <w:color w:val="auto"/>
          <w:sz w:val="24"/>
          <w:highlight w:val="none"/>
        </w:rPr>
        <w:t xml:space="preserve">＋ </w:t>
      </w:r>
      <w:r>
        <w:rPr>
          <w:rFonts w:hint="eastAsia" w:ascii="宋体" w:hAnsi="宋体" w:cs="宋体"/>
          <w:i/>
          <w:color w:val="auto"/>
          <w:sz w:val="24"/>
          <w:highlight w:val="none"/>
        </w:rPr>
        <w:t>B</w:t>
      </w:r>
      <w:r>
        <w:rPr>
          <w:rFonts w:hint="eastAsia" w:ascii="宋体" w:hAnsi="宋体" w:cs="宋体"/>
          <w:color w:val="auto"/>
          <w:sz w:val="24"/>
          <w:highlight w:val="none"/>
          <w:vertAlign w:val="subscript"/>
        </w:rPr>
        <w:t xml:space="preserve">2 </w:t>
      </w:r>
      <w:r>
        <w:rPr>
          <w:rFonts w:hint="eastAsia" w:ascii="宋体" w:hAnsi="宋体" w:cs="宋体"/>
          <w:color w:val="auto"/>
          <w:sz w:val="24"/>
          <w:highlight w:val="none"/>
        </w:rPr>
        <w:t xml:space="preserve">＋ </w:t>
      </w:r>
      <w:r>
        <w:rPr>
          <w:rFonts w:hint="eastAsia" w:ascii="宋体" w:hAnsi="宋体" w:cs="宋体"/>
          <w:i/>
          <w:color w:val="auto"/>
          <w:sz w:val="24"/>
          <w:highlight w:val="none"/>
        </w:rPr>
        <w:t>B</w:t>
      </w:r>
      <w:r>
        <w:rPr>
          <w:rFonts w:hint="eastAsia" w:ascii="宋体" w:hAnsi="宋体" w:cs="宋体"/>
          <w:color w:val="auto"/>
          <w:sz w:val="24"/>
          <w:highlight w:val="none"/>
          <w:vertAlign w:val="subscript"/>
        </w:rPr>
        <w:t xml:space="preserve">3 </w:t>
      </w:r>
      <w:r>
        <w:rPr>
          <w:rFonts w:hint="eastAsia" w:ascii="宋体" w:hAnsi="宋体" w:cs="宋体"/>
          <w:color w:val="auto"/>
          <w:sz w:val="24"/>
          <w:highlight w:val="none"/>
        </w:rPr>
        <w:t xml:space="preserve">＋ ... ＋ </w:t>
      </w:r>
      <w:r>
        <w:rPr>
          <w:rFonts w:hint="eastAsia" w:ascii="宋体" w:hAnsi="宋体" w:cs="宋体"/>
          <w:i/>
          <w:color w:val="auto"/>
          <w:sz w:val="24"/>
          <w:highlight w:val="none"/>
        </w:rPr>
        <w:t>B</w:t>
      </w:r>
      <w:r>
        <w:rPr>
          <w:rFonts w:hint="eastAsia" w:ascii="宋体" w:hAnsi="宋体" w:cs="宋体"/>
          <w:color w:val="auto"/>
          <w:sz w:val="24"/>
          <w:highlight w:val="none"/>
          <w:vertAlign w:val="subscript"/>
        </w:rPr>
        <w:t xml:space="preserve">n </w:t>
      </w:r>
      <w:r>
        <w:rPr>
          <w:rFonts w:hint="eastAsia" w:ascii="宋体" w:hAnsi="宋体" w:cs="宋体"/>
          <w:color w:val="auto"/>
          <w:sz w:val="24"/>
          <w:highlight w:val="none"/>
        </w:rPr>
        <w:t>）</w:t>
      </w:r>
    </w:p>
    <w:p w14:paraId="31744A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本目最后一段文字细化为：</w:t>
      </w:r>
    </w:p>
    <w:p w14:paraId="40708F1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在采用价格调整公式进行调价时，还应遵守以下规定：</w:t>
      </w:r>
    </w:p>
    <w:p w14:paraId="2D292B4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67AFB1C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11F61404">
      <w:pPr>
        <w:pStyle w:val="4"/>
        <w:shd w:val="clear" w:fill="FFFFFF" w:themeFill="background1"/>
        <w:spacing w:before="156" w:beforeLines="50" w:after="120" w:line="400" w:lineRule="exact"/>
        <w:rPr>
          <w:rFonts w:ascii="宋体" w:hAnsi="宋体" w:cs="宋体"/>
          <w:color w:val="auto"/>
          <w:sz w:val="28"/>
          <w:szCs w:val="28"/>
          <w:highlight w:val="none"/>
        </w:rPr>
      </w:pPr>
      <w:bookmarkStart w:id="1483" w:name="_Toc453057154"/>
      <w:bookmarkEnd w:id="1483"/>
      <w:bookmarkStart w:id="1484" w:name="_Toc451261344"/>
      <w:bookmarkEnd w:id="1484"/>
      <w:bookmarkStart w:id="1485" w:name="_Toc43475970"/>
      <w:bookmarkEnd w:id="1485"/>
      <w:bookmarkStart w:id="1486" w:name="_Toc330406435"/>
      <w:bookmarkEnd w:id="1486"/>
      <w:bookmarkStart w:id="1487" w:name="_Toc393546494"/>
      <w:bookmarkEnd w:id="1487"/>
      <w:bookmarkStart w:id="1488" w:name="_Toc386467240"/>
      <w:bookmarkEnd w:id="1488"/>
      <w:r>
        <w:rPr>
          <w:rFonts w:hint="eastAsia" w:ascii="宋体" w:hAnsi="宋体" w:cs="宋体"/>
          <w:color w:val="auto"/>
          <w:sz w:val="28"/>
          <w:szCs w:val="28"/>
          <w:highlight w:val="none"/>
        </w:rPr>
        <w:t>17.计量与支付</w:t>
      </w:r>
    </w:p>
    <w:p w14:paraId="751D7B3C">
      <w:pPr>
        <w:pStyle w:val="4"/>
        <w:shd w:val="clear" w:fill="FFFFFF" w:themeFill="background1"/>
        <w:spacing w:before="156" w:beforeLines="50" w:line="400" w:lineRule="exact"/>
        <w:rPr>
          <w:rFonts w:ascii="宋体" w:hAnsi="宋体" w:cs="宋体"/>
          <w:color w:val="auto"/>
          <w:sz w:val="24"/>
          <w:szCs w:val="24"/>
          <w:highlight w:val="none"/>
        </w:rPr>
      </w:pPr>
      <w:bookmarkStart w:id="1489" w:name="_Toc393546495"/>
      <w:bookmarkEnd w:id="1489"/>
      <w:bookmarkStart w:id="1490" w:name="_Toc453057155"/>
      <w:bookmarkEnd w:id="1490"/>
      <w:bookmarkStart w:id="1491" w:name="_Toc386467241"/>
      <w:bookmarkEnd w:id="1491"/>
      <w:bookmarkStart w:id="1492" w:name="_Toc43475971"/>
      <w:bookmarkEnd w:id="1492"/>
      <w:bookmarkStart w:id="1493" w:name="_Toc451261345"/>
      <w:bookmarkEnd w:id="1493"/>
      <w:bookmarkStart w:id="1494" w:name="_Toc330406436"/>
      <w:bookmarkEnd w:id="1494"/>
      <w:r>
        <w:rPr>
          <w:rFonts w:hint="eastAsia" w:ascii="宋体" w:hAnsi="宋体" w:cs="宋体"/>
          <w:color w:val="auto"/>
          <w:sz w:val="24"/>
          <w:szCs w:val="24"/>
          <w:highlight w:val="none"/>
        </w:rPr>
        <w:t>17.1计量</w:t>
      </w:r>
    </w:p>
    <w:p w14:paraId="6D38E053">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17.1.2计量方法</w:t>
      </w:r>
    </w:p>
    <w:p w14:paraId="7C71DE5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本项约定为：</w:t>
      </w:r>
    </w:p>
    <w:p w14:paraId="18AA346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工程的计量应以净值为准，除非项目专用合同条款另有约定。工程量清单中各个子目的具体计量方法按本合同文件技术标准中的规定执行。</w:t>
      </w:r>
    </w:p>
    <w:p w14:paraId="5C414438">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17.1.4单价子目的计量</w:t>
      </w:r>
    </w:p>
    <w:p w14:paraId="02A54A6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w:t>
      </w:r>
    </w:p>
    <w:p w14:paraId="62D91922">
      <w:pPr>
        <w:numPr>
          <w:ilvl w:val="0"/>
          <w:numId w:val="16"/>
        </w:num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承包人未在已标价工程量清单中填入单价或总额价的工程子目，将被认为其已包含在本合同的其他子目的单价和总额价中，发包人将不另行支付。</w:t>
      </w:r>
    </w:p>
    <w:p w14:paraId="5EAB4F5D">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17.1.5总价子目的计量</w:t>
      </w:r>
    </w:p>
    <w:p w14:paraId="58DD46E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w:t>
      </w:r>
    </w:p>
    <w:p w14:paraId="22A5C72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本项目工程量清单中要求承包人以“总额”方式报价的子目，各子目的支付原则和支付进度按项目专用合同条款的规定执行。</w:t>
      </w:r>
    </w:p>
    <w:p w14:paraId="7539B590">
      <w:pPr>
        <w:shd w:val="clear" w:fill="FFFFFF" w:themeFill="background1"/>
        <w:spacing w:line="400" w:lineRule="exact"/>
        <w:ind w:left="420" w:leftChars="200"/>
        <w:rPr>
          <w:rFonts w:ascii="宋体" w:hAnsi="宋体" w:cs="宋体"/>
          <w:color w:val="auto"/>
          <w:sz w:val="24"/>
          <w:highlight w:val="none"/>
        </w:rPr>
      </w:pPr>
    </w:p>
    <w:p w14:paraId="644B416B">
      <w:pPr>
        <w:pStyle w:val="4"/>
        <w:shd w:val="clear" w:fill="FFFFFF" w:themeFill="background1"/>
        <w:spacing w:before="156" w:beforeLines="50" w:line="400" w:lineRule="exact"/>
        <w:rPr>
          <w:rFonts w:ascii="宋体" w:hAnsi="宋体" w:cs="宋体"/>
          <w:color w:val="auto"/>
          <w:sz w:val="24"/>
          <w:szCs w:val="24"/>
          <w:highlight w:val="none"/>
        </w:rPr>
      </w:pPr>
      <w:bookmarkStart w:id="1495" w:name="_Toc451261346"/>
      <w:bookmarkEnd w:id="1495"/>
      <w:bookmarkStart w:id="1496" w:name="_Toc386467242"/>
      <w:bookmarkEnd w:id="1496"/>
      <w:bookmarkStart w:id="1497" w:name="_Toc43475972"/>
      <w:bookmarkEnd w:id="1497"/>
      <w:bookmarkStart w:id="1498" w:name="_Toc393546496"/>
      <w:bookmarkEnd w:id="1498"/>
      <w:bookmarkStart w:id="1499" w:name="_Toc330406437"/>
      <w:bookmarkEnd w:id="1499"/>
      <w:bookmarkStart w:id="1500" w:name="_Toc453057156"/>
      <w:bookmarkEnd w:id="1500"/>
      <w:r>
        <w:rPr>
          <w:rFonts w:hint="eastAsia" w:ascii="宋体" w:hAnsi="宋体" w:cs="宋体"/>
          <w:color w:val="auto"/>
          <w:sz w:val="24"/>
          <w:szCs w:val="24"/>
          <w:highlight w:val="none"/>
        </w:rPr>
        <w:t>17.2预付款</w:t>
      </w:r>
    </w:p>
    <w:p w14:paraId="2310C3D1">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17.2.1预付款</w:t>
      </w:r>
    </w:p>
    <w:p w14:paraId="201DD79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本项约定为：</w:t>
      </w:r>
    </w:p>
    <w:p w14:paraId="27F530A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预付款包括开工预付款和材料、设备预付款。具体额度和预付办法如下：</w:t>
      </w:r>
    </w:p>
    <w:p w14:paraId="4D0563D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（1）开工预付款的金额在项目专用条款数据表中约定。在承包人签订了合同协议书且承包人承诺的主要设备进场后，监理人应在当期进度付款证书中向承包人支付开工预付款。</w:t>
      </w:r>
    </w:p>
    <w:p w14:paraId="75D2A31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承包人不得将该预付款用于与本工程无关的支出，监理人有权监督承包人对该项费用的使用，如经查实承包人滥用开工预付款，发包人有权立即向银行索赔履约保证金，并解除合同。</w:t>
      </w:r>
    </w:p>
    <w:p w14:paraId="6E9F0EE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（2）材料、设备预付款按项目专用合同条款数据表中所列主要材料、设备单据费用（进口的材料、设备为到岸价，国内采购的为出厂价或销售价，地方材料为堆场价）的百分比支付。其预付条件为：</w:t>
      </w:r>
    </w:p>
    <w:p w14:paraId="39DFEBD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a.材料、设备符合规范要求并经监理人认可；</w:t>
      </w:r>
    </w:p>
    <w:p w14:paraId="4AFFFC9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b.承包人已出具材料、设备费用凭证或支付单据；</w:t>
      </w:r>
    </w:p>
    <w:p w14:paraId="3898E0B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c.材料、设备已在现场交货，且存储良好，监理人认为材料、设备的存储方法符合要求。</w:t>
      </w:r>
    </w:p>
    <w:p w14:paraId="21B4962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则监理人应将此项金额作为材料、设备预付款计入下一次的进度付款证书中。在预计交工前3个月，将不再支付材料、设备预付款。</w:t>
      </w:r>
    </w:p>
    <w:p w14:paraId="2F2F3001">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17.2.2预付款保函</w:t>
      </w:r>
    </w:p>
    <w:p w14:paraId="146CB21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0489413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承包人无须向发包人提交预付款保函。发包人向承包人支付的预付款，应按照本合同第17.2.1项规定使用，承包人提交的履约保证金对预付款的正常使用承担保证责任。</w:t>
      </w:r>
    </w:p>
    <w:p w14:paraId="080140A2">
      <w:pPr>
        <w:shd w:val="clear" w:fill="FFFFFF" w:themeFill="background1"/>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17.2.3预付款的扣回与还清</w:t>
      </w:r>
    </w:p>
    <w:p w14:paraId="08ADCE3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本项约定为：</w:t>
      </w:r>
    </w:p>
    <w:p w14:paraId="7D991FA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l）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t>
      </w:r>
    </w:p>
    <w:p w14:paraId="2D95BFB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（2）当材料、设备已用于或安装在永久工程之中时，材料、设备预付款应从进度付款证书中扣回，扣回期不超过3个月。已经支付材料、设备预付款的材料、设备的所有权应属于发包人。</w:t>
      </w:r>
    </w:p>
    <w:p w14:paraId="6C5E617F">
      <w:pPr>
        <w:pStyle w:val="4"/>
        <w:shd w:val="clear" w:fill="FFFFFF" w:themeFill="background1"/>
        <w:spacing w:before="156" w:beforeLines="50" w:line="400" w:lineRule="exact"/>
        <w:rPr>
          <w:rFonts w:ascii="宋体" w:hAnsi="宋体" w:cs="宋体"/>
          <w:color w:val="auto"/>
          <w:sz w:val="24"/>
          <w:szCs w:val="24"/>
          <w:highlight w:val="none"/>
        </w:rPr>
      </w:pPr>
      <w:bookmarkStart w:id="1501" w:name="_Toc451261347"/>
      <w:bookmarkEnd w:id="1501"/>
      <w:bookmarkStart w:id="1502" w:name="_Toc453057157"/>
      <w:bookmarkEnd w:id="1502"/>
      <w:bookmarkStart w:id="1503" w:name="_Toc43475973"/>
      <w:bookmarkEnd w:id="1503"/>
      <w:bookmarkStart w:id="1504" w:name="_Toc330406438"/>
      <w:bookmarkEnd w:id="1504"/>
      <w:bookmarkStart w:id="1505" w:name="_Toc386467243"/>
      <w:bookmarkEnd w:id="1505"/>
      <w:bookmarkStart w:id="1506" w:name="_Toc393546497"/>
      <w:bookmarkEnd w:id="1506"/>
      <w:r>
        <w:rPr>
          <w:rFonts w:hint="eastAsia" w:ascii="宋体" w:hAnsi="宋体" w:cs="宋体"/>
          <w:color w:val="auto"/>
          <w:sz w:val="24"/>
          <w:szCs w:val="24"/>
          <w:highlight w:val="none"/>
        </w:rPr>
        <w:t>17.3工程进度付款</w:t>
      </w:r>
    </w:p>
    <w:p w14:paraId="730BA4F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17.3.3进度付款证书和支付时间</w:t>
      </w:r>
    </w:p>
    <w:p w14:paraId="62770A5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本项（1）目补充：</w:t>
      </w:r>
    </w:p>
    <w:p w14:paraId="491E0BD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1DE7AE4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本项</w:t>
      </w:r>
      <w:r>
        <w:rPr>
          <w:rFonts w:hint="eastAsia" w:ascii="宋体" w:hAnsi="宋体" w:cs="宋体"/>
          <w:color w:val="auto"/>
          <w:sz w:val="24"/>
          <w:highlight w:val="none"/>
        </w:rPr>
        <w:t>（2）</w:t>
      </w:r>
      <w:r>
        <w:rPr>
          <w:rFonts w:hint="eastAsia" w:ascii="宋体" w:hAnsi="宋体" w:cs="宋体"/>
          <w:color w:val="auto"/>
          <w:sz w:val="24"/>
          <w:highlight w:val="none"/>
          <w:lang w:val="zh-CN"/>
        </w:rPr>
        <w:t>目细化为：</w:t>
      </w:r>
    </w:p>
    <w:p w14:paraId="081CD3E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发包人应在监理人收到进度付款申请单且承包人提交了合格的增值税专用发票 后的28天内，将进度应付款支付给承包人。</w:t>
      </w:r>
    </w:p>
    <w:p w14:paraId="11FD4DFA">
      <w:pPr>
        <w:shd w:val="clear" w:fill="FFFFFF" w:themeFill="background1"/>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发包人不按期支付的，按项目专用合同条款数据表中约定的利率向承包人支付 逾期付款违约金。违约金计算基数为发包人的全部未付款额，时间从应付而未付该 款额之日算起（不计复利）。</w:t>
      </w:r>
    </w:p>
    <w:p w14:paraId="11A5514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本款补充第</w:t>
      </w:r>
      <w:r>
        <w:rPr>
          <w:rFonts w:hint="eastAsia" w:ascii="宋体" w:hAnsi="宋体" w:cs="宋体"/>
          <w:color w:val="auto"/>
          <w:sz w:val="24"/>
          <w:highlight w:val="none"/>
        </w:rPr>
        <w:t>17.3.5</w:t>
      </w:r>
      <w:r>
        <w:rPr>
          <w:rFonts w:hint="eastAsia" w:ascii="宋体" w:hAnsi="宋体" w:cs="宋体"/>
          <w:color w:val="auto"/>
          <w:sz w:val="24"/>
          <w:highlight w:val="none"/>
          <w:lang w:val="zh-CN"/>
        </w:rPr>
        <w:t>项：</w:t>
      </w:r>
    </w:p>
    <w:p w14:paraId="7B514CF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17.3.5</w:t>
      </w:r>
      <w:r>
        <w:rPr>
          <w:rFonts w:hint="eastAsia" w:ascii="宋体" w:hAnsi="宋体" w:cs="宋体"/>
          <w:color w:val="auto"/>
          <w:sz w:val="24"/>
          <w:highlight w:val="none"/>
          <w:lang w:val="zh-CN"/>
        </w:rPr>
        <w:t>农民工工资保证金</w:t>
      </w:r>
    </w:p>
    <w:p w14:paraId="7BAA51B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lang w:val="zh-CN"/>
        </w:rPr>
        <w:t>为确保施工过程中农民工工资实时、足额发放到位，承包人应按照项目专 用合同条款约定的时间和金额缴存农民工工资保证金。</w:t>
      </w:r>
    </w:p>
    <w:p w14:paraId="663A584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农民工工资保证金可采用银行保函或现金、支票形式。采用银行保函时，出具保函的银行须具有相应担保能力，且按照发包人批准的格式出具，所需费用由承包人承担。</w:t>
      </w:r>
    </w:p>
    <w:p w14:paraId="13003ABE">
      <w:pPr>
        <w:shd w:val="clear" w:fill="FFFFFF" w:themeFill="background1"/>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（3）</w:t>
      </w:r>
      <w:r>
        <w:rPr>
          <w:rFonts w:hint="eastAsia" w:ascii="宋体" w:hAnsi="宋体" w:cs="宋体"/>
          <w:color w:val="auto"/>
          <w:sz w:val="24"/>
          <w:highlight w:val="none"/>
          <w:lang w:val="zh-CN"/>
        </w:rPr>
        <w:t>农民工工资保证金的扣留条件、返还时间按照项目专用合同条款的约定执 行。</w:t>
      </w:r>
    </w:p>
    <w:p w14:paraId="4FA29CC4">
      <w:pPr>
        <w:pStyle w:val="4"/>
        <w:shd w:val="clear" w:fill="FFFFFF" w:themeFill="background1"/>
        <w:spacing w:before="156" w:beforeLines="50" w:line="400" w:lineRule="exact"/>
        <w:rPr>
          <w:rFonts w:ascii="宋体" w:hAnsi="宋体" w:cs="宋体"/>
          <w:color w:val="auto"/>
          <w:sz w:val="24"/>
          <w:szCs w:val="24"/>
          <w:highlight w:val="none"/>
        </w:rPr>
      </w:pPr>
      <w:bookmarkStart w:id="1507" w:name="_Toc386467244"/>
      <w:bookmarkEnd w:id="1507"/>
      <w:bookmarkStart w:id="1508" w:name="_Toc451261348"/>
      <w:bookmarkEnd w:id="1508"/>
      <w:bookmarkStart w:id="1509" w:name="_Toc330406439"/>
      <w:bookmarkEnd w:id="1509"/>
      <w:bookmarkStart w:id="1510" w:name="_Toc453057158"/>
      <w:bookmarkEnd w:id="1510"/>
      <w:bookmarkStart w:id="1511" w:name="_Toc393546498"/>
      <w:bookmarkEnd w:id="1511"/>
      <w:bookmarkStart w:id="1512" w:name="_Toc43475974"/>
      <w:bookmarkEnd w:id="1512"/>
      <w:r>
        <w:rPr>
          <w:rFonts w:hint="eastAsia" w:ascii="宋体" w:hAnsi="宋体" w:cs="宋体"/>
          <w:color w:val="auto"/>
          <w:sz w:val="24"/>
          <w:szCs w:val="24"/>
          <w:highlight w:val="none"/>
        </w:rPr>
        <w:t>17.4质量保证金</w:t>
      </w:r>
    </w:p>
    <w:p w14:paraId="7A83D58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第17.4.1、</w:t>
      </w:r>
      <w:r>
        <w:rPr>
          <w:rFonts w:hint="eastAsia" w:ascii="宋体" w:hAnsi="宋体" w:cs="宋体"/>
          <w:color w:val="auto"/>
          <w:sz w:val="24"/>
          <w:highlight w:val="none"/>
        </w:rPr>
        <w:t>17.4.2</w:t>
      </w:r>
      <w:r>
        <w:rPr>
          <w:rFonts w:hint="eastAsia" w:ascii="宋体" w:hAnsi="宋体" w:cs="宋体"/>
          <w:color w:val="auto"/>
          <w:sz w:val="24"/>
          <w:highlight w:val="none"/>
          <w:lang w:val="zh-CN"/>
        </w:rPr>
        <w:t>项细化为：</w:t>
      </w:r>
    </w:p>
    <w:p w14:paraId="30AA827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17.4.1</w:t>
      </w:r>
      <w:r>
        <w:rPr>
          <w:rFonts w:hint="eastAsia" w:ascii="宋体" w:hAnsi="宋体" w:cs="宋体"/>
          <w:color w:val="auto"/>
          <w:sz w:val="24"/>
          <w:highlight w:val="none"/>
          <w:lang w:val="zh-CN"/>
        </w:rPr>
        <w:t>交工验收证书签发后14天内，承包人应向发包人缴纳质量保证金。质量 保证金可采用银行保函或现金、支票形式，金额应符合项目专用合同条款数据表的规定。采用银行保函时，出具保函的银行须具有相应担保能力，且按照发包人批准的格式出具，所需费用由承包人承担。</w:t>
      </w:r>
    </w:p>
    <w:p w14:paraId="17A8D82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质量保证金采用现金、支票形式提交的，发包人应在项目专用合同条款数据表中明确是否计付利息以及利息的计算方式。</w:t>
      </w:r>
    </w:p>
    <w:p w14:paraId="568B22B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17.4.2</w:t>
      </w:r>
      <w:r>
        <w:rPr>
          <w:rFonts w:hint="eastAsia" w:ascii="宋体" w:hAnsi="宋体" w:cs="宋体"/>
          <w:color w:val="auto"/>
          <w:sz w:val="24"/>
          <w:highlight w:val="none"/>
          <w:lang w:val="zh-CN"/>
        </w:rPr>
        <w:t>在第</w:t>
      </w:r>
      <w:r>
        <w:rPr>
          <w:rFonts w:hint="eastAsia" w:ascii="宋体" w:hAnsi="宋体" w:cs="宋体"/>
          <w:color w:val="auto"/>
          <w:sz w:val="24"/>
          <w:highlight w:val="none"/>
        </w:rPr>
        <w:t>1.1.4.5</w:t>
      </w:r>
      <w:r>
        <w:rPr>
          <w:rFonts w:hint="eastAsia" w:ascii="宋体" w:hAnsi="宋体" w:cs="宋体"/>
          <w:color w:val="auto"/>
          <w:sz w:val="24"/>
          <w:highlight w:val="none"/>
          <w:lang w:val="zh-CN"/>
        </w:rPr>
        <w:t>目约定的缺陷责任期满，且质量监督机构己按规定对工程质 量检测鉴定合格，承包人向发包人申请到期应返还承包人剩余的质量保证金金额， 发包人应在14天内会同承包人按照合同约定的内容核实承包人是否完成缺陷责任。 如无异议，发包人应当在核实后将剩余保证金返还承包人。</w:t>
      </w:r>
    </w:p>
    <w:p w14:paraId="28587446">
      <w:pPr>
        <w:pStyle w:val="4"/>
        <w:shd w:val="clear" w:fill="FFFFFF" w:themeFill="background1"/>
        <w:spacing w:before="156" w:beforeLines="50" w:line="400" w:lineRule="exact"/>
        <w:rPr>
          <w:rFonts w:ascii="宋体" w:hAnsi="宋体" w:cs="宋体"/>
          <w:color w:val="auto"/>
          <w:sz w:val="24"/>
          <w:szCs w:val="24"/>
          <w:highlight w:val="none"/>
        </w:rPr>
      </w:pPr>
      <w:bookmarkStart w:id="1513" w:name="_Toc43475975"/>
      <w:bookmarkEnd w:id="1513"/>
      <w:bookmarkStart w:id="1514" w:name="_Toc393546499"/>
      <w:bookmarkEnd w:id="1514"/>
      <w:bookmarkStart w:id="1515" w:name="_Toc451261349"/>
      <w:bookmarkEnd w:id="1515"/>
      <w:bookmarkStart w:id="1516" w:name="_Toc386467245"/>
      <w:bookmarkEnd w:id="1516"/>
      <w:bookmarkStart w:id="1517" w:name="_Toc330406440"/>
      <w:bookmarkEnd w:id="1517"/>
      <w:bookmarkStart w:id="1518" w:name="_Toc453057159"/>
      <w:bookmarkEnd w:id="1518"/>
      <w:r>
        <w:rPr>
          <w:rFonts w:hint="eastAsia" w:ascii="宋体" w:hAnsi="宋体" w:cs="宋体"/>
          <w:color w:val="auto"/>
          <w:sz w:val="24"/>
          <w:szCs w:val="24"/>
          <w:highlight w:val="none"/>
        </w:rPr>
        <w:t>17.5交工结算</w:t>
      </w:r>
    </w:p>
    <w:p w14:paraId="317B8A48">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17.5.l交工付款申请单</w:t>
      </w:r>
    </w:p>
    <w:p w14:paraId="71DA8AE0">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本项（l）目约定为：</w:t>
      </w:r>
    </w:p>
    <w:p w14:paraId="41AE2283">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承包人向监理人提交交工付款申请单（包括相关证明材料）的份数在项目专用合同条款数据表中约定；期限：交工验收证书签发后42天内。</w:t>
      </w:r>
    </w:p>
    <w:p w14:paraId="5C46C65A">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17.5.2</w:t>
      </w:r>
      <w:r>
        <w:rPr>
          <w:rFonts w:hint="eastAsia" w:ascii="宋体" w:hAnsi="宋体" w:cs="宋体"/>
          <w:b/>
          <w:bCs/>
          <w:color w:val="auto"/>
          <w:sz w:val="24"/>
          <w:highlight w:val="none"/>
          <w:lang w:val="zh-CN"/>
        </w:rPr>
        <w:t>交工付款证书及支付时间</w:t>
      </w:r>
    </w:p>
    <w:p w14:paraId="59425648">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本项</w:t>
      </w:r>
      <w:r>
        <w:rPr>
          <w:rFonts w:hint="eastAsia" w:ascii="宋体" w:hAnsi="宋体" w:cs="宋体"/>
          <w:color w:val="auto"/>
          <w:sz w:val="24"/>
          <w:highlight w:val="none"/>
        </w:rPr>
        <w:t>（2）</w:t>
      </w:r>
      <w:r>
        <w:rPr>
          <w:rFonts w:hint="eastAsia" w:ascii="宋体" w:hAnsi="宋体" w:cs="宋体"/>
          <w:color w:val="auto"/>
          <w:sz w:val="24"/>
          <w:highlight w:val="none"/>
          <w:lang w:val="zh-CN"/>
        </w:rPr>
        <w:t>目细化为：</w:t>
      </w:r>
    </w:p>
    <w:p w14:paraId="49F429F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发包人应在监理人出具交工付款证书且承包人提交了合格的增值税专用发票后 的14天内，将应支付款支付给承包人。发包人不按期支付的，按第</w:t>
      </w:r>
      <w:r>
        <w:rPr>
          <w:rFonts w:hint="eastAsia" w:ascii="宋体" w:hAnsi="宋体" w:cs="宋体"/>
          <w:color w:val="auto"/>
          <w:sz w:val="24"/>
          <w:highlight w:val="none"/>
        </w:rPr>
        <w:t>17.3.3 （2）</w:t>
      </w:r>
      <w:r>
        <w:rPr>
          <w:rFonts w:hint="eastAsia" w:ascii="宋体" w:hAnsi="宋体" w:cs="宋体"/>
          <w:color w:val="auto"/>
          <w:sz w:val="24"/>
          <w:highlight w:val="none"/>
          <w:lang w:val="zh-CN"/>
        </w:rPr>
        <w:t>目 的约定，将逾期付款违约金支付给承包人。</w:t>
      </w:r>
    </w:p>
    <w:p w14:paraId="54E601EA">
      <w:pPr>
        <w:pStyle w:val="4"/>
        <w:shd w:val="clear" w:fill="FFFFFF" w:themeFill="background1"/>
        <w:spacing w:before="156" w:beforeLines="50" w:line="400" w:lineRule="exact"/>
        <w:rPr>
          <w:rFonts w:ascii="宋体" w:hAnsi="宋体" w:cs="宋体"/>
          <w:color w:val="auto"/>
          <w:sz w:val="24"/>
          <w:szCs w:val="24"/>
          <w:highlight w:val="none"/>
        </w:rPr>
      </w:pPr>
      <w:bookmarkStart w:id="1519" w:name="_Toc393546500"/>
      <w:bookmarkEnd w:id="1519"/>
      <w:bookmarkStart w:id="1520" w:name="_Toc330406441"/>
      <w:bookmarkEnd w:id="1520"/>
      <w:bookmarkStart w:id="1521" w:name="_Toc386467246"/>
      <w:bookmarkEnd w:id="1521"/>
      <w:bookmarkStart w:id="1522" w:name="_Toc451261350"/>
      <w:bookmarkEnd w:id="1522"/>
      <w:bookmarkStart w:id="1523" w:name="_Toc43475976"/>
      <w:bookmarkEnd w:id="1523"/>
      <w:bookmarkStart w:id="1524" w:name="_Toc453057160"/>
      <w:bookmarkEnd w:id="1524"/>
      <w:r>
        <w:rPr>
          <w:rFonts w:hint="eastAsia" w:ascii="宋体" w:hAnsi="宋体" w:cs="宋体"/>
          <w:color w:val="auto"/>
          <w:sz w:val="24"/>
          <w:szCs w:val="24"/>
          <w:highlight w:val="none"/>
        </w:rPr>
        <w:t>17.6最终结清</w:t>
      </w:r>
    </w:p>
    <w:p w14:paraId="29181995">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17.6.1最终结清申请单</w:t>
      </w:r>
    </w:p>
    <w:p w14:paraId="4DA738B1">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本项（1）目约定为：</w:t>
      </w:r>
    </w:p>
    <w:p w14:paraId="5AEB7E5F">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承包人向监理人提交最终结清申请单（包括相关证明材料）的份数在项目专用合同条款数据表中约定；期限：缺陷责任期终止证书签发后28天内。</w:t>
      </w:r>
    </w:p>
    <w:p w14:paraId="41EE428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最终结清申请单中的总金额应认为是代表了根据合同规定应付给承包人的全部款项的最后结算。</w:t>
      </w:r>
    </w:p>
    <w:p w14:paraId="55DDD9D6">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17.6.2</w:t>
      </w:r>
      <w:r>
        <w:rPr>
          <w:rFonts w:hint="eastAsia" w:ascii="宋体" w:hAnsi="宋体" w:cs="宋体"/>
          <w:b/>
          <w:bCs/>
          <w:color w:val="auto"/>
          <w:sz w:val="24"/>
          <w:highlight w:val="none"/>
          <w:lang w:val="zh-CN"/>
        </w:rPr>
        <w:t>最终结清证书和支付时间</w:t>
      </w:r>
    </w:p>
    <w:p w14:paraId="24C7380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本项</w:t>
      </w:r>
      <w:r>
        <w:rPr>
          <w:rFonts w:hint="eastAsia" w:ascii="宋体" w:hAnsi="宋体" w:cs="宋体"/>
          <w:color w:val="auto"/>
          <w:sz w:val="24"/>
          <w:highlight w:val="none"/>
        </w:rPr>
        <w:t>（2）</w:t>
      </w:r>
      <w:r>
        <w:rPr>
          <w:rFonts w:hint="eastAsia" w:ascii="宋体" w:hAnsi="宋体" w:cs="宋体"/>
          <w:color w:val="auto"/>
          <w:sz w:val="24"/>
          <w:highlight w:val="none"/>
          <w:lang w:val="zh-CN"/>
        </w:rPr>
        <w:t>目细化为：</w:t>
      </w:r>
    </w:p>
    <w:p w14:paraId="7C0AC716">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发包人应在监理人出具最终结清证书且承包人提交了合格的增值税专用发 票后的14天内，将应支付款支付给承包人。发包人不按期支付的，按第</w:t>
      </w:r>
      <w:r>
        <w:rPr>
          <w:rFonts w:hint="eastAsia" w:ascii="宋体" w:hAnsi="宋体" w:cs="宋体"/>
          <w:color w:val="auto"/>
          <w:sz w:val="24"/>
          <w:highlight w:val="none"/>
        </w:rPr>
        <w:t xml:space="preserve">17.3.3 （2） </w:t>
      </w:r>
      <w:r>
        <w:rPr>
          <w:rFonts w:hint="eastAsia" w:ascii="宋体" w:hAnsi="宋体" w:cs="宋体"/>
          <w:color w:val="auto"/>
          <w:sz w:val="24"/>
          <w:highlight w:val="none"/>
          <w:lang w:val="zh-CN"/>
        </w:rPr>
        <w:t>目的约定，将逾期付款违约金支付给承包人。</w:t>
      </w:r>
    </w:p>
    <w:p w14:paraId="570D991A">
      <w:pPr>
        <w:shd w:val="clear" w:fill="FFFFFF" w:themeFill="background1"/>
        <w:tabs>
          <w:tab w:val="left" w:pos="3193"/>
        </w:tabs>
        <w:spacing w:line="400" w:lineRule="exact"/>
        <w:ind w:firstLine="480" w:firstLineChars="200"/>
        <w:rPr>
          <w:rFonts w:ascii="宋体" w:hAnsi="宋体" w:cs="宋体"/>
          <w:color w:val="auto"/>
          <w:sz w:val="24"/>
          <w:highlight w:val="none"/>
        </w:rPr>
      </w:pPr>
    </w:p>
    <w:p w14:paraId="4906BFD6">
      <w:pPr>
        <w:pStyle w:val="4"/>
        <w:shd w:val="clear" w:fill="FFFFFF" w:themeFill="background1"/>
        <w:spacing w:before="156" w:beforeLines="50" w:after="120" w:line="400" w:lineRule="exact"/>
        <w:rPr>
          <w:rFonts w:ascii="宋体" w:hAnsi="宋体" w:cs="宋体"/>
          <w:color w:val="auto"/>
          <w:sz w:val="28"/>
          <w:szCs w:val="28"/>
          <w:highlight w:val="none"/>
        </w:rPr>
      </w:pPr>
      <w:bookmarkStart w:id="1525" w:name="_Toc330406442"/>
      <w:bookmarkEnd w:id="1525"/>
      <w:bookmarkStart w:id="1526" w:name="_Toc43475977"/>
      <w:bookmarkEnd w:id="1526"/>
      <w:bookmarkStart w:id="1527" w:name="_Toc451261351"/>
      <w:bookmarkEnd w:id="1527"/>
      <w:bookmarkStart w:id="1528" w:name="_Toc393546501"/>
      <w:bookmarkEnd w:id="1528"/>
      <w:bookmarkStart w:id="1529" w:name="_Toc453057161"/>
      <w:bookmarkEnd w:id="1529"/>
      <w:bookmarkStart w:id="1530" w:name="_Toc386467247"/>
      <w:bookmarkEnd w:id="1530"/>
      <w:r>
        <w:rPr>
          <w:rFonts w:hint="eastAsia" w:ascii="宋体" w:hAnsi="宋体" w:cs="宋体"/>
          <w:color w:val="auto"/>
          <w:sz w:val="28"/>
          <w:szCs w:val="28"/>
          <w:highlight w:val="none"/>
        </w:rPr>
        <w:t>18.交工验收</w:t>
      </w:r>
    </w:p>
    <w:p w14:paraId="74DB6F4A">
      <w:pPr>
        <w:pStyle w:val="4"/>
        <w:shd w:val="clear" w:fill="FFFFFF" w:themeFill="background1"/>
        <w:spacing w:before="156" w:beforeLines="50" w:line="400" w:lineRule="exact"/>
        <w:rPr>
          <w:rFonts w:ascii="宋体" w:hAnsi="宋体" w:cs="宋体"/>
          <w:color w:val="auto"/>
          <w:sz w:val="24"/>
          <w:szCs w:val="24"/>
          <w:highlight w:val="none"/>
        </w:rPr>
      </w:pPr>
      <w:bookmarkStart w:id="1531" w:name="_Toc453057162"/>
      <w:bookmarkEnd w:id="1531"/>
      <w:bookmarkStart w:id="1532" w:name="_Toc451261352"/>
      <w:bookmarkEnd w:id="1532"/>
      <w:bookmarkStart w:id="1533" w:name="_Toc43475978"/>
      <w:bookmarkEnd w:id="1533"/>
      <w:bookmarkStart w:id="1534" w:name="_Toc393546502"/>
      <w:bookmarkEnd w:id="1534"/>
      <w:bookmarkStart w:id="1535" w:name="_Toc330406443"/>
      <w:bookmarkEnd w:id="1535"/>
      <w:bookmarkStart w:id="1536" w:name="_Toc386467248"/>
      <w:bookmarkEnd w:id="1536"/>
      <w:r>
        <w:rPr>
          <w:rFonts w:hint="eastAsia" w:ascii="宋体" w:hAnsi="宋体" w:cs="宋体"/>
          <w:color w:val="auto"/>
          <w:sz w:val="24"/>
          <w:szCs w:val="24"/>
          <w:highlight w:val="none"/>
        </w:rPr>
        <w:t>18.2交工验收申请报告</w:t>
      </w:r>
    </w:p>
    <w:p w14:paraId="053B9CB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本款第（2）项约定为：</w:t>
      </w:r>
    </w:p>
    <w:p w14:paraId="5CB88630">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竣工资料的内容：承包人应按照《公路工程竣（交）工验收办法》和相关规定编制竣工资料。</w:t>
      </w:r>
    </w:p>
    <w:p w14:paraId="048BC52D">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竣工资料的份数在项目专用合同条款数据表中约定。</w:t>
      </w:r>
    </w:p>
    <w:p w14:paraId="3759B8CA">
      <w:pPr>
        <w:pStyle w:val="4"/>
        <w:shd w:val="clear" w:fill="FFFFFF" w:themeFill="background1"/>
        <w:spacing w:before="156" w:beforeLines="50" w:line="400" w:lineRule="exact"/>
        <w:rPr>
          <w:rFonts w:ascii="宋体" w:hAnsi="宋体" w:cs="宋体"/>
          <w:color w:val="auto"/>
          <w:sz w:val="24"/>
          <w:szCs w:val="24"/>
          <w:highlight w:val="none"/>
        </w:rPr>
      </w:pPr>
      <w:bookmarkStart w:id="1537" w:name="_Toc386467249"/>
      <w:bookmarkEnd w:id="1537"/>
      <w:bookmarkStart w:id="1538" w:name="_Toc451261353"/>
      <w:bookmarkEnd w:id="1538"/>
      <w:bookmarkStart w:id="1539" w:name="_Toc43475979"/>
      <w:bookmarkEnd w:id="1539"/>
      <w:bookmarkStart w:id="1540" w:name="_Toc393546503"/>
      <w:bookmarkEnd w:id="1540"/>
      <w:bookmarkStart w:id="1541" w:name="_Toc453057163"/>
      <w:bookmarkEnd w:id="1541"/>
      <w:bookmarkStart w:id="1542" w:name="_Toc330406444"/>
      <w:bookmarkEnd w:id="1542"/>
      <w:r>
        <w:rPr>
          <w:rFonts w:hint="eastAsia" w:ascii="宋体" w:hAnsi="宋体" w:cs="宋体"/>
          <w:color w:val="auto"/>
          <w:sz w:val="24"/>
          <w:szCs w:val="24"/>
          <w:highlight w:val="none"/>
        </w:rPr>
        <w:t>18.3 验收</w:t>
      </w:r>
    </w:p>
    <w:p w14:paraId="68C47F5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第18.3.2项补充：</w:t>
      </w:r>
    </w:p>
    <w:p w14:paraId="37D6F573">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交工验收由发包人主持，由发包人、监理人、质监、设计、施工、运营、管理养护等有关部门代表组成交工验收小组，对本项目的工程质量进行评定，并写出交工验收报告报交通主管部门备案。承包人应按发包人的要求提交竣工资料，完成交工验收准备工作。</w:t>
      </w:r>
    </w:p>
    <w:p w14:paraId="7FC6816E">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第18.3.5项约定为：</w:t>
      </w:r>
    </w:p>
    <w:p w14:paraId="334A354D">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经验收合格工程的实际交工日期，以最终提交交工验收申请报告的日期为准，并在交工验收证书中写明。</w:t>
      </w:r>
    </w:p>
    <w:p w14:paraId="4B053B39">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本款补充第18.3.7项：</w:t>
      </w:r>
    </w:p>
    <w:p w14:paraId="2362E67E">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组织办理交工验收和签发交工验收证书的费用由发包人承担。但按照第18.3.4项规定达不到合格标准的交工验收费用由承包人承担。</w:t>
      </w:r>
    </w:p>
    <w:p w14:paraId="14F9EC3F">
      <w:pPr>
        <w:shd w:val="clear" w:fill="FFFFFF" w:themeFill="background1"/>
        <w:tabs>
          <w:tab w:val="left" w:pos="3193"/>
        </w:tabs>
        <w:spacing w:line="400" w:lineRule="exact"/>
        <w:ind w:firstLine="480" w:firstLineChars="200"/>
        <w:rPr>
          <w:rFonts w:ascii="宋体" w:hAnsi="宋体" w:cs="宋体"/>
          <w:color w:val="auto"/>
          <w:sz w:val="24"/>
          <w:highlight w:val="none"/>
        </w:rPr>
      </w:pPr>
    </w:p>
    <w:p w14:paraId="6272A90D">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本条补充第18.9款：</w:t>
      </w:r>
    </w:p>
    <w:p w14:paraId="1AAECFD1">
      <w:pPr>
        <w:pStyle w:val="4"/>
        <w:shd w:val="clear" w:fill="FFFFFF" w:themeFill="background1"/>
        <w:spacing w:before="156" w:beforeLines="50" w:line="400" w:lineRule="exact"/>
        <w:rPr>
          <w:rFonts w:ascii="宋体" w:hAnsi="宋体" w:cs="宋体"/>
          <w:color w:val="auto"/>
          <w:sz w:val="24"/>
          <w:szCs w:val="24"/>
          <w:highlight w:val="none"/>
        </w:rPr>
      </w:pPr>
      <w:bookmarkStart w:id="1543" w:name="_Toc451261354"/>
      <w:bookmarkEnd w:id="1543"/>
      <w:bookmarkStart w:id="1544" w:name="_Toc393546504"/>
      <w:bookmarkEnd w:id="1544"/>
      <w:bookmarkStart w:id="1545" w:name="_Toc43475980"/>
      <w:bookmarkEnd w:id="1545"/>
      <w:bookmarkStart w:id="1546" w:name="_Toc330406445"/>
      <w:bookmarkEnd w:id="1546"/>
      <w:bookmarkStart w:id="1547" w:name="_Toc453057164"/>
      <w:bookmarkEnd w:id="1547"/>
      <w:bookmarkStart w:id="1548" w:name="_Toc386467250"/>
      <w:bookmarkEnd w:id="1548"/>
      <w:r>
        <w:rPr>
          <w:rFonts w:hint="eastAsia" w:ascii="宋体" w:hAnsi="宋体" w:cs="宋体"/>
          <w:color w:val="auto"/>
          <w:sz w:val="24"/>
          <w:szCs w:val="24"/>
          <w:highlight w:val="none"/>
        </w:rPr>
        <w:t>18.9竣工文件</w:t>
      </w:r>
    </w:p>
    <w:p w14:paraId="48154F1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承包人应按照《公路工程竣（交）工验收办法》中的相关规定，在缺陷责任期内为竣工验收补充竣工资料，并在签发缺陷责任期终止证书之前提交。</w:t>
      </w:r>
    </w:p>
    <w:p w14:paraId="2161D1AA">
      <w:pPr>
        <w:pStyle w:val="4"/>
        <w:shd w:val="clear" w:fill="FFFFFF" w:themeFill="background1"/>
        <w:spacing w:before="156" w:beforeLines="50" w:after="120" w:line="400" w:lineRule="exact"/>
        <w:rPr>
          <w:rFonts w:ascii="宋体" w:hAnsi="宋体" w:cs="宋体"/>
          <w:color w:val="auto"/>
          <w:sz w:val="28"/>
          <w:szCs w:val="28"/>
          <w:highlight w:val="none"/>
        </w:rPr>
      </w:pPr>
      <w:bookmarkStart w:id="1549" w:name="_Toc453057165"/>
      <w:bookmarkEnd w:id="1549"/>
      <w:bookmarkStart w:id="1550" w:name="_Toc43475981"/>
      <w:bookmarkEnd w:id="1550"/>
      <w:bookmarkStart w:id="1551" w:name="_Toc451261355"/>
      <w:bookmarkEnd w:id="1551"/>
      <w:bookmarkStart w:id="1552" w:name="_Toc330406446"/>
      <w:bookmarkEnd w:id="1552"/>
      <w:bookmarkStart w:id="1553" w:name="_Toc386467251"/>
      <w:bookmarkEnd w:id="1553"/>
      <w:bookmarkStart w:id="1554" w:name="_Toc393546505"/>
      <w:bookmarkEnd w:id="1554"/>
      <w:r>
        <w:rPr>
          <w:rFonts w:hint="eastAsia" w:ascii="宋体" w:hAnsi="宋体" w:cs="宋体"/>
          <w:color w:val="auto"/>
          <w:sz w:val="28"/>
          <w:szCs w:val="28"/>
          <w:highlight w:val="none"/>
        </w:rPr>
        <w:t>19.缺陷责任与保修责任</w:t>
      </w:r>
    </w:p>
    <w:p w14:paraId="578BE915">
      <w:pPr>
        <w:pStyle w:val="4"/>
        <w:shd w:val="clear" w:fill="FFFFFF" w:themeFill="background1"/>
        <w:spacing w:before="156" w:beforeLines="50" w:line="400" w:lineRule="exact"/>
        <w:rPr>
          <w:rFonts w:ascii="宋体" w:hAnsi="宋体" w:cs="宋体"/>
          <w:color w:val="auto"/>
          <w:sz w:val="24"/>
          <w:szCs w:val="24"/>
          <w:highlight w:val="none"/>
        </w:rPr>
      </w:pPr>
      <w:bookmarkStart w:id="1555" w:name="_Toc330406447"/>
      <w:bookmarkEnd w:id="1555"/>
      <w:bookmarkStart w:id="1556" w:name="_Toc386467252"/>
      <w:bookmarkEnd w:id="1556"/>
      <w:bookmarkStart w:id="1557" w:name="_Toc43475982"/>
      <w:bookmarkEnd w:id="1557"/>
      <w:bookmarkStart w:id="1558" w:name="_Toc393546506"/>
      <w:bookmarkEnd w:id="1558"/>
      <w:bookmarkStart w:id="1559" w:name="_Toc453057166"/>
      <w:bookmarkEnd w:id="1559"/>
      <w:bookmarkStart w:id="1560" w:name="_Toc451261356"/>
      <w:bookmarkEnd w:id="1560"/>
      <w:r>
        <w:rPr>
          <w:rFonts w:hint="eastAsia" w:ascii="宋体" w:hAnsi="宋体" w:cs="宋体"/>
          <w:color w:val="auto"/>
          <w:sz w:val="24"/>
          <w:szCs w:val="24"/>
          <w:highlight w:val="none"/>
        </w:rPr>
        <w:t>19.2缺陷责任</w:t>
      </w:r>
    </w:p>
    <w:p w14:paraId="6605F813">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第19.2.2项补充：</w:t>
      </w:r>
    </w:p>
    <w:p w14:paraId="5707648E">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在缺陷责任期内，承包人应尽快完成在交工验收证书中写明的未完成工作，并完成对本工程缺陷的修复或监理人指令的修补工作。</w:t>
      </w:r>
    </w:p>
    <w:p w14:paraId="6BBD8F76">
      <w:pPr>
        <w:pStyle w:val="4"/>
        <w:shd w:val="clear" w:fill="FFFFFF" w:themeFill="background1"/>
        <w:spacing w:before="156" w:beforeLines="50" w:line="400" w:lineRule="exact"/>
        <w:rPr>
          <w:rFonts w:ascii="宋体" w:hAnsi="宋体" w:cs="宋体"/>
          <w:color w:val="auto"/>
          <w:sz w:val="24"/>
          <w:szCs w:val="24"/>
          <w:highlight w:val="none"/>
        </w:rPr>
      </w:pPr>
      <w:bookmarkStart w:id="1561" w:name="_Toc451261357"/>
      <w:bookmarkEnd w:id="1561"/>
      <w:bookmarkStart w:id="1562" w:name="_Toc330406448"/>
      <w:bookmarkEnd w:id="1562"/>
      <w:bookmarkStart w:id="1563" w:name="_Toc386467253"/>
      <w:bookmarkEnd w:id="1563"/>
      <w:bookmarkStart w:id="1564" w:name="_Toc43475983"/>
      <w:bookmarkEnd w:id="1564"/>
      <w:bookmarkStart w:id="1565" w:name="_Toc393546507"/>
      <w:bookmarkEnd w:id="1565"/>
      <w:bookmarkStart w:id="1566" w:name="_Toc453057167"/>
      <w:bookmarkEnd w:id="1566"/>
      <w:r>
        <w:rPr>
          <w:rFonts w:hint="eastAsia" w:ascii="宋体" w:hAnsi="宋体" w:cs="宋体"/>
          <w:color w:val="auto"/>
          <w:sz w:val="24"/>
          <w:szCs w:val="24"/>
          <w:highlight w:val="none"/>
        </w:rPr>
        <w:t>19.5承包人的进入权</w:t>
      </w:r>
    </w:p>
    <w:p w14:paraId="6DD0E20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1B7CD61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承包人在缺陷修复施工过程中，应服从管养单位的有关安全管理规定，由于承包人自身原因造成的人员伤亡、设备和材料的损毁及罚款等责任由承包人自负。</w:t>
      </w:r>
    </w:p>
    <w:p w14:paraId="35E7B06C">
      <w:pPr>
        <w:pStyle w:val="4"/>
        <w:shd w:val="clear" w:fill="FFFFFF" w:themeFill="background1"/>
        <w:spacing w:before="156" w:beforeLines="50" w:line="400" w:lineRule="exact"/>
        <w:rPr>
          <w:rFonts w:ascii="宋体" w:hAnsi="宋体" w:cs="宋体"/>
          <w:color w:val="auto"/>
          <w:sz w:val="24"/>
          <w:szCs w:val="24"/>
          <w:highlight w:val="none"/>
        </w:rPr>
      </w:pPr>
      <w:bookmarkStart w:id="1567" w:name="_Toc393546508"/>
      <w:bookmarkEnd w:id="1567"/>
      <w:bookmarkStart w:id="1568" w:name="_Toc386467254"/>
      <w:bookmarkEnd w:id="1568"/>
      <w:bookmarkStart w:id="1569" w:name="_Toc451261358"/>
      <w:bookmarkEnd w:id="1569"/>
      <w:bookmarkStart w:id="1570" w:name="_Toc43475984"/>
      <w:bookmarkEnd w:id="1570"/>
      <w:bookmarkStart w:id="1571" w:name="_Toc330406449"/>
      <w:bookmarkEnd w:id="1571"/>
      <w:bookmarkStart w:id="1572" w:name="_Toc453057168"/>
      <w:bookmarkEnd w:id="1572"/>
      <w:r>
        <w:rPr>
          <w:rFonts w:hint="eastAsia" w:ascii="宋体" w:hAnsi="宋体" w:cs="宋体"/>
          <w:color w:val="auto"/>
          <w:sz w:val="24"/>
          <w:szCs w:val="24"/>
          <w:highlight w:val="none"/>
        </w:rPr>
        <w:t>19.7保修责任</w:t>
      </w:r>
    </w:p>
    <w:p w14:paraId="03200990">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23D6DFD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54623E00">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（2）在全部工程交工验收前，已经发包人提前验收的单位工程，其保修期的起算日期相应提前。</w:t>
      </w:r>
    </w:p>
    <w:p w14:paraId="4AA0E2C2">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（3）工程保修期终止后28天内，监理人签发保修期终止证书。</w:t>
      </w:r>
    </w:p>
    <w:p w14:paraId="746FB48C">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（4）若承包人不履行保修义务和责任，则承包人应承担由于违约造成的法律后果，并由发包人将其违约行为上报省级交通主管部门，作为不良记录纳入公路建设市场信用信息管理系统。</w:t>
      </w:r>
    </w:p>
    <w:p w14:paraId="4C0E2520">
      <w:pPr>
        <w:pStyle w:val="4"/>
        <w:shd w:val="clear" w:fill="FFFFFF" w:themeFill="background1"/>
        <w:spacing w:before="156" w:beforeLines="50" w:after="120" w:line="400" w:lineRule="exact"/>
        <w:rPr>
          <w:rFonts w:ascii="宋体" w:hAnsi="宋体" w:cs="宋体"/>
          <w:color w:val="auto"/>
          <w:sz w:val="28"/>
          <w:szCs w:val="28"/>
          <w:highlight w:val="none"/>
        </w:rPr>
      </w:pPr>
      <w:bookmarkStart w:id="1573" w:name="_Toc453057169"/>
      <w:bookmarkEnd w:id="1573"/>
      <w:bookmarkStart w:id="1574" w:name="_Toc386467255"/>
      <w:bookmarkEnd w:id="1574"/>
      <w:bookmarkStart w:id="1575" w:name="_Toc330406450"/>
      <w:bookmarkEnd w:id="1575"/>
      <w:bookmarkStart w:id="1576" w:name="_Toc393546509"/>
      <w:bookmarkEnd w:id="1576"/>
      <w:bookmarkStart w:id="1577" w:name="_Toc451261359"/>
      <w:bookmarkEnd w:id="1577"/>
      <w:bookmarkStart w:id="1578" w:name="_Toc43475985"/>
      <w:bookmarkEnd w:id="1578"/>
      <w:r>
        <w:rPr>
          <w:rFonts w:hint="eastAsia" w:ascii="宋体" w:hAnsi="宋体" w:cs="宋体"/>
          <w:color w:val="auto"/>
          <w:sz w:val="28"/>
          <w:szCs w:val="28"/>
          <w:highlight w:val="none"/>
        </w:rPr>
        <w:t>20.保险</w:t>
      </w:r>
    </w:p>
    <w:p w14:paraId="54AFBC74">
      <w:pPr>
        <w:pStyle w:val="4"/>
        <w:shd w:val="clear" w:fill="FFFFFF" w:themeFill="background1"/>
        <w:spacing w:before="156" w:beforeLines="50" w:line="400" w:lineRule="exact"/>
        <w:rPr>
          <w:rFonts w:ascii="宋体" w:hAnsi="宋体" w:cs="宋体"/>
          <w:color w:val="auto"/>
          <w:sz w:val="24"/>
          <w:szCs w:val="24"/>
          <w:highlight w:val="none"/>
        </w:rPr>
      </w:pPr>
      <w:bookmarkStart w:id="1579" w:name="_Toc43475986"/>
      <w:bookmarkEnd w:id="1579"/>
      <w:bookmarkStart w:id="1580" w:name="_Toc330406451"/>
      <w:bookmarkEnd w:id="1580"/>
      <w:bookmarkStart w:id="1581" w:name="_Toc453057170"/>
      <w:bookmarkEnd w:id="1581"/>
      <w:bookmarkStart w:id="1582" w:name="_Toc393546510"/>
      <w:bookmarkEnd w:id="1582"/>
      <w:bookmarkStart w:id="1583" w:name="_Toc451261360"/>
      <w:bookmarkEnd w:id="1583"/>
      <w:bookmarkStart w:id="1584" w:name="_Toc386467256"/>
      <w:bookmarkEnd w:id="1584"/>
      <w:r>
        <w:rPr>
          <w:rFonts w:hint="eastAsia" w:ascii="宋体" w:hAnsi="宋体" w:cs="宋体"/>
          <w:color w:val="auto"/>
          <w:sz w:val="24"/>
          <w:szCs w:val="24"/>
          <w:highlight w:val="none"/>
        </w:rPr>
        <w:t>20.1工程保险</w:t>
      </w:r>
    </w:p>
    <w:p w14:paraId="794B5B77">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本款约定为：</w:t>
      </w:r>
    </w:p>
    <w:p w14:paraId="4EA901F2">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建筑工程—切险的投保内容：为本合同工程的永久工程、临时工程和设备及已运至施工工地用于永久工程的材料和设备所投的保险。</w:t>
      </w:r>
    </w:p>
    <w:p w14:paraId="1030DD2F">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保险金额：工程量清单第100章（不含建筑工程一切险及第三者责任险的保险费）至700章的合计金额。</w:t>
      </w:r>
    </w:p>
    <w:p w14:paraId="3842284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保险费率：在项目专用合同条款数据表中约定。</w:t>
      </w:r>
    </w:p>
    <w:p w14:paraId="3FC58003">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保险期限：开工日起直至本合同工程签发缺陷责任期终止证书止（即合同工期＋缺陷责任期）</w:t>
      </w:r>
    </w:p>
    <w:p w14:paraId="0E59C73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承包人应以发包人和承包人的共同名义投保建筑工程一切险。建筑工程一切险的保险费由承包人报价时列入工程量清单100章内。发包人在接到保险单后，将按照保险单的费用直接向承包人支付。</w:t>
      </w:r>
    </w:p>
    <w:p w14:paraId="36E6F5E8">
      <w:pPr>
        <w:pStyle w:val="4"/>
        <w:shd w:val="clear" w:fill="FFFFFF" w:themeFill="background1"/>
        <w:spacing w:before="156" w:beforeLines="50" w:line="400" w:lineRule="exact"/>
        <w:rPr>
          <w:rFonts w:ascii="宋体" w:hAnsi="宋体" w:cs="宋体"/>
          <w:color w:val="auto"/>
          <w:sz w:val="24"/>
          <w:szCs w:val="24"/>
          <w:highlight w:val="none"/>
        </w:rPr>
      </w:pPr>
      <w:bookmarkStart w:id="1585" w:name="_Toc386467257"/>
      <w:bookmarkEnd w:id="1585"/>
      <w:bookmarkStart w:id="1586" w:name="_Toc330406452"/>
      <w:bookmarkEnd w:id="1586"/>
      <w:bookmarkStart w:id="1587" w:name="_Toc451261361"/>
      <w:bookmarkEnd w:id="1587"/>
      <w:bookmarkStart w:id="1588" w:name="_Toc453057171"/>
      <w:bookmarkEnd w:id="1588"/>
      <w:bookmarkStart w:id="1589" w:name="_Toc393546511"/>
      <w:bookmarkEnd w:id="1589"/>
      <w:bookmarkStart w:id="1590" w:name="_Toc43475987"/>
      <w:bookmarkEnd w:id="1590"/>
      <w:r>
        <w:rPr>
          <w:rFonts w:hint="eastAsia" w:ascii="宋体" w:hAnsi="宋体" w:cs="宋体"/>
          <w:color w:val="auto"/>
          <w:sz w:val="24"/>
          <w:szCs w:val="24"/>
          <w:highlight w:val="none"/>
        </w:rPr>
        <w:t>20.4第三者责任险</w:t>
      </w:r>
    </w:p>
    <w:p w14:paraId="4671DAA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第20.4.2项补充：</w:t>
      </w:r>
    </w:p>
    <w:p w14:paraId="02E7ECA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第三者责任险的保险费由承包人报价时列入工程量清单100章内。发包人在接到保险单后，将按照保险单的费用直接向承包人支付。</w:t>
      </w:r>
    </w:p>
    <w:p w14:paraId="1CB3DAC9">
      <w:pPr>
        <w:pStyle w:val="4"/>
        <w:shd w:val="clear" w:fill="FFFFFF" w:themeFill="background1"/>
        <w:spacing w:before="156" w:beforeLines="50" w:line="400" w:lineRule="exact"/>
        <w:rPr>
          <w:rFonts w:ascii="宋体" w:hAnsi="宋体" w:cs="宋体"/>
          <w:color w:val="auto"/>
          <w:sz w:val="24"/>
          <w:szCs w:val="24"/>
          <w:highlight w:val="none"/>
        </w:rPr>
      </w:pPr>
      <w:bookmarkStart w:id="1591" w:name="_Toc451261362"/>
      <w:bookmarkEnd w:id="1591"/>
      <w:bookmarkStart w:id="1592" w:name="_Toc330406453"/>
      <w:bookmarkEnd w:id="1592"/>
      <w:bookmarkStart w:id="1593" w:name="_Toc43475988"/>
      <w:bookmarkEnd w:id="1593"/>
      <w:bookmarkStart w:id="1594" w:name="_Toc453057172"/>
      <w:bookmarkEnd w:id="1594"/>
      <w:bookmarkStart w:id="1595" w:name="_Toc386467258"/>
      <w:bookmarkEnd w:id="1595"/>
      <w:bookmarkStart w:id="1596" w:name="_Toc393546512"/>
      <w:bookmarkEnd w:id="1596"/>
      <w:r>
        <w:rPr>
          <w:rFonts w:hint="eastAsia" w:ascii="宋体" w:hAnsi="宋体" w:cs="宋体"/>
          <w:color w:val="auto"/>
          <w:sz w:val="24"/>
          <w:szCs w:val="24"/>
          <w:highlight w:val="none"/>
        </w:rPr>
        <w:t>20.5其他保险</w:t>
      </w:r>
    </w:p>
    <w:p w14:paraId="2957118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本款约定为：</w:t>
      </w:r>
    </w:p>
    <w:p w14:paraId="085AEDA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承包人应为其施工设备等办理保险，其投保金额应足以现场重量。办理本款保险的一切费用均由承包人承担，并包括在工程量清单的单价及总额价中，发包人不单独支付。</w:t>
      </w:r>
    </w:p>
    <w:p w14:paraId="0329FA4E">
      <w:pPr>
        <w:pStyle w:val="4"/>
        <w:shd w:val="clear" w:fill="FFFFFF" w:themeFill="background1"/>
        <w:spacing w:before="156" w:beforeLines="50" w:line="400" w:lineRule="exact"/>
        <w:rPr>
          <w:rFonts w:ascii="宋体" w:hAnsi="宋体" w:cs="宋体"/>
          <w:color w:val="auto"/>
          <w:sz w:val="24"/>
          <w:szCs w:val="24"/>
          <w:highlight w:val="none"/>
        </w:rPr>
      </w:pPr>
      <w:bookmarkStart w:id="1597" w:name="_Toc330406454"/>
      <w:bookmarkEnd w:id="1597"/>
      <w:bookmarkStart w:id="1598" w:name="_Toc386467259"/>
      <w:bookmarkEnd w:id="1598"/>
      <w:bookmarkStart w:id="1599" w:name="_Toc43475989"/>
      <w:bookmarkEnd w:id="1599"/>
      <w:bookmarkStart w:id="1600" w:name="_Toc451261363"/>
      <w:bookmarkEnd w:id="1600"/>
      <w:bookmarkStart w:id="1601" w:name="_Toc453057173"/>
      <w:bookmarkEnd w:id="1601"/>
      <w:bookmarkStart w:id="1602" w:name="_Toc393546513"/>
      <w:bookmarkEnd w:id="1602"/>
      <w:r>
        <w:rPr>
          <w:rFonts w:hint="eastAsia" w:ascii="宋体" w:hAnsi="宋体" w:cs="宋体"/>
          <w:color w:val="auto"/>
          <w:sz w:val="24"/>
          <w:szCs w:val="24"/>
          <w:highlight w:val="none"/>
        </w:rPr>
        <w:t>20.6对各项保险的一般要求</w:t>
      </w:r>
    </w:p>
    <w:p w14:paraId="09D63936">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20.6.1保险凭证</w:t>
      </w:r>
    </w:p>
    <w:p w14:paraId="1793304F">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本项约定为：</w:t>
      </w:r>
    </w:p>
    <w:p w14:paraId="1EB780B7">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承包人向发包人提交各项保险生效的证据和保险单副本的期限：开工后56天内。</w:t>
      </w:r>
    </w:p>
    <w:p w14:paraId="36B96486">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20.6.3 持续保险</w:t>
      </w:r>
    </w:p>
    <w:p w14:paraId="45AD7D53">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w:t>
      </w:r>
    </w:p>
    <w:p w14:paraId="5F41F1C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在整个合同期内，承包人应按合同条款保证足够的保险额。</w:t>
      </w:r>
    </w:p>
    <w:p w14:paraId="08DA7603">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20.6.4保险金不足的补偿</w:t>
      </w:r>
    </w:p>
    <w:p w14:paraId="0A16FAF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2FEC3A63">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保险金不足以补偿损失的（包括免赔额和超过赔偿限额的部分），应由承包人和（或）发包人按合同约定负责补偿。</w:t>
      </w:r>
    </w:p>
    <w:p w14:paraId="4F9505B0">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20.6.5未按约定投保的补救</w:t>
      </w:r>
    </w:p>
    <w:p w14:paraId="116E244D">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本项（2）目细化为：</w:t>
      </w:r>
    </w:p>
    <w:p w14:paraId="78166FBA">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由于负有投保义务的一方当事人未按合同约定办理某项保险，或未按保险单规定的条件和期限及时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4C862675">
      <w:pPr>
        <w:pStyle w:val="4"/>
        <w:shd w:val="clear" w:fill="FFFFFF" w:themeFill="background1"/>
        <w:spacing w:before="156" w:beforeLines="50" w:after="120" w:line="400" w:lineRule="exact"/>
        <w:rPr>
          <w:rFonts w:ascii="宋体" w:hAnsi="宋体" w:cs="宋体"/>
          <w:color w:val="auto"/>
          <w:sz w:val="28"/>
          <w:szCs w:val="28"/>
          <w:highlight w:val="none"/>
        </w:rPr>
      </w:pPr>
      <w:bookmarkStart w:id="1603" w:name="_Toc451261364"/>
      <w:bookmarkEnd w:id="1603"/>
      <w:bookmarkStart w:id="1604" w:name="_Toc453057174"/>
      <w:bookmarkEnd w:id="1604"/>
      <w:bookmarkStart w:id="1605" w:name="_Toc386467260"/>
      <w:bookmarkEnd w:id="1605"/>
      <w:bookmarkStart w:id="1606" w:name="_Toc393546514"/>
      <w:bookmarkEnd w:id="1606"/>
      <w:bookmarkStart w:id="1607" w:name="_Toc330406455"/>
      <w:bookmarkEnd w:id="1607"/>
      <w:bookmarkStart w:id="1608" w:name="_Toc43475990"/>
      <w:bookmarkEnd w:id="1608"/>
      <w:r>
        <w:rPr>
          <w:rFonts w:hint="eastAsia" w:ascii="宋体" w:hAnsi="宋体" w:cs="宋体"/>
          <w:color w:val="auto"/>
          <w:sz w:val="28"/>
          <w:szCs w:val="28"/>
          <w:highlight w:val="none"/>
        </w:rPr>
        <w:t>21.不可抗力</w:t>
      </w:r>
    </w:p>
    <w:p w14:paraId="11561E67">
      <w:pPr>
        <w:pStyle w:val="4"/>
        <w:shd w:val="clear" w:fill="FFFFFF" w:themeFill="background1"/>
        <w:spacing w:before="156" w:beforeLines="50" w:line="400" w:lineRule="exact"/>
        <w:rPr>
          <w:rFonts w:ascii="宋体" w:hAnsi="宋体" w:cs="宋体"/>
          <w:color w:val="auto"/>
          <w:sz w:val="24"/>
          <w:szCs w:val="24"/>
          <w:highlight w:val="none"/>
        </w:rPr>
      </w:pPr>
      <w:bookmarkStart w:id="1609" w:name="_Toc330406456"/>
      <w:bookmarkEnd w:id="1609"/>
      <w:bookmarkStart w:id="1610" w:name="_Toc453057175"/>
      <w:bookmarkEnd w:id="1610"/>
      <w:bookmarkStart w:id="1611" w:name="_Toc451261365"/>
      <w:bookmarkEnd w:id="1611"/>
      <w:bookmarkStart w:id="1612" w:name="_Toc43475991"/>
      <w:bookmarkEnd w:id="1612"/>
      <w:bookmarkStart w:id="1613" w:name="_Toc386467261"/>
      <w:bookmarkEnd w:id="1613"/>
      <w:bookmarkStart w:id="1614" w:name="_Toc393546515"/>
      <w:bookmarkEnd w:id="1614"/>
      <w:r>
        <w:rPr>
          <w:rFonts w:hint="eastAsia" w:ascii="宋体" w:hAnsi="宋体" w:cs="宋体"/>
          <w:color w:val="auto"/>
          <w:sz w:val="24"/>
          <w:szCs w:val="24"/>
          <w:highlight w:val="none"/>
        </w:rPr>
        <w:t>21.1不可抗力的确认</w:t>
      </w:r>
    </w:p>
    <w:p w14:paraId="6C7C426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21.1.1项细化为：</w:t>
      </w:r>
    </w:p>
    <w:p w14:paraId="5D022618">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不可抗力是指承包人和发包人在订立合同时不可预见，在工程施工过程中不可避免发生并不能克服的自然灾害和社会性突发事件。包括但不限于：</w:t>
      </w:r>
    </w:p>
    <w:p w14:paraId="2B704509">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（1）地震、海啸、火山爆发、泥石流、暴雨（雪）、台风、龙卷风、水灾等自然灾害；</w:t>
      </w:r>
    </w:p>
    <w:p w14:paraId="6B83660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（2）战争、骚乱、暴动，但纯属承包人或其分包人派遣与雇用的人员由于本合同工程施工原因引起者除外；</w:t>
      </w:r>
    </w:p>
    <w:p w14:paraId="4FA50FE8">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（3）核反应、辐射或放射性污染；</w:t>
      </w:r>
    </w:p>
    <w:p w14:paraId="7DB25256">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（4）空中飞行物体附落或非发包人或承包人责任造成的爆炸、火灾；</w:t>
      </w:r>
    </w:p>
    <w:p w14:paraId="4BB58082">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（5）瘟疫；</w:t>
      </w:r>
    </w:p>
    <w:p w14:paraId="03EAD809">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（6）项目专用合同条款约定的其他情形。</w:t>
      </w:r>
    </w:p>
    <w:p w14:paraId="40CA276E">
      <w:pPr>
        <w:pStyle w:val="4"/>
        <w:shd w:val="clear" w:fill="FFFFFF" w:themeFill="background1"/>
        <w:spacing w:before="156" w:beforeLines="50" w:line="400" w:lineRule="exact"/>
        <w:rPr>
          <w:rFonts w:ascii="宋体" w:hAnsi="宋体" w:cs="宋体"/>
          <w:color w:val="auto"/>
          <w:sz w:val="24"/>
          <w:szCs w:val="24"/>
          <w:highlight w:val="none"/>
        </w:rPr>
      </w:pPr>
      <w:bookmarkStart w:id="1615" w:name="_Toc393546516"/>
      <w:bookmarkEnd w:id="1615"/>
      <w:bookmarkStart w:id="1616" w:name="_Toc386467262"/>
      <w:bookmarkEnd w:id="1616"/>
      <w:bookmarkStart w:id="1617" w:name="_Toc43475992"/>
      <w:bookmarkEnd w:id="1617"/>
      <w:bookmarkStart w:id="1618" w:name="_Toc453057176"/>
      <w:bookmarkEnd w:id="1618"/>
      <w:bookmarkStart w:id="1619" w:name="_Toc451261366"/>
      <w:bookmarkEnd w:id="1619"/>
      <w:bookmarkStart w:id="1620" w:name="_Toc330406457"/>
      <w:bookmarkEnd w:id="1620"/>
      <w:r>
        <w:rPr>
          <w:rFonts w:hint="eastAsia" w:ascii="宋体" w:hAnsi="宋体" w:cs="宋体"/>
          <w:color w:val="auto"/>
          <w:sz w:val="24"/>
          <w:szCs w:val="24"/>
          <w:highlight w:val="none"/>
        </w:rPr>
        <w:t>21.3不可抗力后果及其处理</w:t>
      </w:r>
    </w:p>
    <w:p w14:paraId="2B81FEE7">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21.3.4因不可抗力解除合同</w:t>
      </w:r>
    </w:p>
    <w:p w14:paraId="0F40C161">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47314AD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作，由发包人承担，因未有时退货造成的损失由责任方承担。合同解除后的付款，参照第22.2.4 项约定，由监理人按第3.5款商定或确定，但由于解除合同应赔偿的承包人损失不予考虑。</w:t>
      </w:r>
    </w:p>
    <w:p w14:paraId="2FB7C9F4">
      <w:pPr>
        <w:pStyle w:val="4"/>
        <w:shd w:val="clear" w:fill="FFFFFF" w:themeFill="background1"/>
        <w:spacing w:before="156" w:beforeLines="50" w:after="120" w:line="400" w:lineRule="exact"/>
        <w:rPr>
          <w:rFonts w:ascii="宋体" w:hAnsi="宋体" w:cs="宋体"/>
          <w:color w:val="auto"/>
          <w:sz w:val="28"/>
          <w:szCs w:val="28"/>
          <w:highlight w:val="none"/>
        </w:rPr>
      </w:pPr>
      <w:bookmarkStart w:id="1621" w:name="_Toc393546517"/>
      <w:bookmarkEnd w:id="1621"/>
      <w:bookmarkStart w:id="1622" w:name="_Toc451261367"/>
      <w:bookmarkEnd w:id="1622"/>
      <w:bookmarkStart w:id="1623" w:name="_Toc453057177"/>
      <w:bookmarkEnd w:id="1623"/>
      <w:bookmarkStart w:id="1624" w:name="_Toc386467263"/>
      <w:bookmarkEnd w:id="1624"/>
      <w:bookmarkStart w:id="1625" w:name="_Toc330406458"/>
      <w:bookmarkEnd w:id="1625"/>
      <w:bookmarkStart w:id="1626" w:name="_Toc43475993"/>
      <w:bookmarkEnd w:id="1626"/>
      <w:r>
        <w:rPr>
          <w:rFonts w:hint="eastAsia" w:ascii="宋体" w:hAnsi="宋体" w:cs="宋体"/>
          <w:color w:val="auto"/>
          <w:sz w:val="28"/>
          <w:szCs w:val="28"/>
          <w:highlight w:val="none"/>
        </w:rPr>
        <w:t>22.违约</w:t>
      </w:r>
    </w:p>
    <w:p w14:paraId="459249E4">
      <w:pPr>
        <w:pStyle w:val="4"/>
        <w:shd w:val="clear" w:fill="FFFFFF" w:themeFill="background1"/>
        <w:spacing w:before="156" w:beforeLines="50" w:line="400" w:lineRule="exact"/>
        <w:rPr>
          <w:rFonts w:ascii="宋体" w:hAnsi="宋体" w:cs="宋体"/>
          <w:color w:val="auto"/>
          <w:sz w:val="24"/>
          <w:szCs w:val="24"/>
          <w:highlight w:val="none"/>
        </w:rPr>
      </w:pPr>
      <w:bookmarkStart w:id="1627" w:name="_Toc330406459"/>
      <w:bookmarkEnd w:id="1627"/>
      <w:bookmarkStart w:id="1628" w:name="_Toc393546518"/>
      <w:bookmarkEnd w:id="1628"/>
      <w:bookmarkStart w:id="1629" w:name="_Toc453057178"/>
      <w:bookmarkEnd w:id="1629"/>
      <w:bookmarkStart w:id="1630" w:name="_Toc43475994"/>
      <w:bookmarkEnd w:id="1630"/>
      <w:bookmarkStart w:id="1631" w:name="_Toc386467264"/>
      <w:bookmarkEnd w:id="1631"/>
      <w:bookmarkStart w:id="1632" w:name="_Toc451261368"/>
      <w:bookmarkEnd w:id="1632"/>
      <w:r>
        <w:rPr>
          <w:rFonts w:hint="eastAsia" w:ascii="宋体" w:hAnsi="宋体" w:cs="宋体"/>
          <w:color w:val="auto"/>
          <w:sz w:val="24"/>
          <w:szCs w:val="24"/>
          <w:highlight w:val="none"/>
        </w:rPr>
        <w:t>22.1承包人违约</w:t>
      </w:r>
    </w:p>
    <w:p w14:paraId="24BF0C41">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22.1.1承包人违约的情形</w:t>
      </w:r>
    </w:p>
    <w:p w14:paraId="76B08189">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本项（2）目细化为：</w:t>
      </w:r>
    </w:p>
    <w:p w14:paraId="29C59B0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（2）承包人违反第5.3款或第6.4款的约定，未经监理人批准，私自将已按合同约定进入施工场地的施工设备、临时设施、材料或工程设备撤离施工场地；</w:t>
      </w:r>
    </w:p>
    <w:p w14:paraId="229832D8">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本项（7）目细化为：</w:t>
      </w:r>
    </w:p>
    <w:p w14:paraId="686F0671">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（7）承包人未能按期开工；</w:t>
      </w:r>
    </w:p>
    <w:p w14:paraId="0BC3CD1E">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（8）承包人违反第4.6款或6.3款的规定，未按承诺或未按监理人的要求及时配备称职的主要管理人员、技术骨干或关键施工设备；</w:t>
      </w:r>
    </w:p>
    <w:p w14:paraId="28ED574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（9）经监理人和发包人检查，发现承包人有安全问题或有违反安全管理规章制度的情况；</w:t>
      </w:r>
    </w:p>
    <w:p w14:paraId="7AB46FB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（10）承包人不按合同约定履行义务的其他情况。</w:t>
      </w:r>
    </w:p>
    <w:p w14:paraId="190367FE">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22.1.2对承包人违约的处理</w:t>
      </w:r>
    </w:p>
    <w:p w14:paraId="50C69DB9">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w:t>
      </w:r>
    </w:p>
    <w:p w14:paraId="3ED75BA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承包人发生第22.1.1项约定的违约情况时，无论发包人是否解除合同，发包人均有权向承包人课以项目专用合同条款中规定的违约金，并由发包人将其违约行为上报省级交通主管部门，作为不良记录纳入公路建设市场信用信息管理系统。</w:t>
      </w:r>
    </w:p>
    <w:p w14:paraId="2738EF82">
      <w:pPr>
        <w:pStyle w:val="4"/>
        <w:shd w:val="clear" w:fill="FFFFFF" w:themeFill="background1"/>
        <w:spacing w:before="156" w:beforeLines="50" w:line="400" w:lineRule="exact"/>
        <w:rPr>
          <w:rFonts w:ascii="宋体" w:hAnsi="宋体" w:cs="宋体"/>
          <w:color w:val="auto"/>
          <w:sz w:val="24"/>
          <w:szCs w:val="24"/>
          <w:highlight w:val="none"/>
        </w:rPr>
      </w:pPr>
      <w:bookmarkStart w:id="1633" w:name="_Toc451261369"/>
      <w:bookmarkEnd w:id="1633"/>
      <w:bookmarkStart w:id="1634" w:name="_Toc330406460"/>
      <w:bookmarkEnd w:id="1634"/>
      <w:bookmarkStart w:id="1635" w:name="_Toc43475995"/>
      <w:bookmarkEnd w:id="1635"/>
      <w:bookmarkStart w:id="1636" w:name="_Toc386467265"/>
      <w:bookmarkEnd w:id="1636"/>
      <w:bookmarkStart w:id="1637" w:name="_Toc393546519"/>
      <w:bookmarkEnd w:id="1637"/>
      <w:bookmarkStart w:id="1638" w:name="_Toc453057179"/>
      <w:bookmarkEnd w:id="1638"/>
      <w:r>
        <w:rPr>
          <w:rFonts w:hint="eastAsia" w:ascii="宋体" w:hAnsi="宋体" w:cs="宋体"/>
          <w:color w:val="auto"/>
          <w:sz w:val="24"/>
          <w:szCs w:val="24"/>
          <w:highlight w:val="none"/>
        </w:rPr>
        <w:t>22.2发包人违约</w:t>
      </w:r>
    </w:p>
    <w:p w14:paraId="7D619440">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22.2.1</w:t>
      </w:r>
      <w:r>
        <w:rPr>
          <w:rFonts w:hint="eastAsia" w:ascii="宋体" w:hAnsi="宋体" w:cs="宋体"/>
          <w:b/>
          <w:bCs/>
          <w:color w:val="auto"/>
          <w:sz w:val="24"/>
          <w:highlight w:val="none"/>
          <w:lang w:val="zh-CN"/>
        </w:rPr>
        <w:t>发包人违约的情形</w:t>
      </w:r>
    </w:p>
    <w:p w14:paraId="73B2854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本项</w:t>
      </w:r>
      <w:r>
        <w:rPr>
          <w:rFonts w:hint="eastAsia" w:ascii="宋体" w:hAnsi="宋体" w:cs="宋体"/>
          <w:color w:val="auto"/>
          <w:sz w:val="24"/>
          <w:highlight w:val="none"/>
        </w:rPr>
        <w:t>(5)</w:t>
      </w:r>
      <w:r>
        <w:rPr>
          <w:rFonts w:hint="eastAsia" w:ascii="宋体" w:hAnsi="宋体" w:cs="宋体"/>
          <w:color w:val="auto"/>
          <w:sz w:val="24"/>
          <w:highlight w:val="none"/>
          <w:lang w:val="zh-CN"/>
        </w:rPr>
        <w:t>目细化为：</w:t>
      </w:r>
    </w:p>
    <w:p w14:paraId="078AF050">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发包人无正当理由不按时返还履约保证金、质量保证金或农民工工资保证金的；</w:t>
      </w:r>
    </w:p>
    <w:p w14:paraId="7EE91371">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发包人不履行合同约定其他义务的。</w:t>
      </w:r>
    </w:p>
    <w:p w14:paraId="4B2F56F6">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22.2.2</w:t>
      </w:r>
      <w:r>
        <w:rPr>
          <w:rFonts w:hint="eastAsia" w:ascii="宋体" w:hAnsi="宋体" w:cs="宋体"/>
          <w:b/>
          <w:bCs/>
          <w:color w:val="auto"/>
          <w:sz w:val="24"/>
          <w:highlight w:val="none"/>
          <w:lang w:val="zh-CN"/>
        </w:rPr>
        <w:t>承包人有权暂停施工</w:t>
      </w:r>
    </w:p>
    <w:p w14:paraId="1420EDCA">
      <w:pPr>
        <w:shd w:val="clear" w:fill="FFFFFF" w:themeFill="background1"/>
        <w:tabs>
          <w:tab w:val="left" w:pos="3193"/>
        </w:tabs>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本项细化为：</w:t>
      </w:r>
    </w:p>
    <w:p w14:paraId="3BBE8ED7">
      <w:pPr>
        <w:shd w:val="clear" w:fill="FFFFFF" w:themeFill="background1"/>
        <w:tabs>
          <w:tab w:val="left" w:pos="3193"/>
        </w:tabs>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发包人发生除第</w:t>
      </w:r>
      <w:r>
        <w:rPr>
          <w:rFonts w:hint="eastAsia" w:ascii="宋体" w:hAnsi="宋体" w:cs="宋体"/>
          <w:color w:val="auto"/>
          <w:sz w:val="24"/>
          <w:highlight w:val="none"/>
        </w:rPr>
        <w:t xml:space="preserve">22.2.1 </w:t>
      </w:r>
      <w:r>
        <w:rPr>
          <w:rFonts w:hint="eastAsia" w:ascii="宋体" w:hAnsi="宋体" w:cs="宋体"/>
          <w:color w:val="auto"/>
          <w:sz w:val="24"/>
          <w:highlight w:val="none"/>
          <w:lang w:val="zh-CN"/>
        </w:rPr>
        <w:t>(4)、</w:t>
      </w:r>
      <w:r>
        <w:rPr>
          <w:rFonts w:hint="eastAsia" w:ascii="宋体" w:hAnsi="宋体" w:cs="宋体"/>
          <w:color w:val="auto"/>
          <w:sz w:val="24"/>
          <w:highlight w:val="none"/>
        </w:rPr>
        <w:t>(5)</w:t>
      </w:r>
      <w:r>
        <w:rPr>
          <w:rFonts w:hint="eastAsia" w:ascii="宋体" w:hAnsi="宋体" w:cs="宋体"/>
          <w:color w:val="auto"/>
          <w:sz w:val="24"/>
          <w:highlight w:val="none"/>
          <w:lang w:val="zh-CN"/>
        </w:rPr>
        <w:t>目以外的违约情况时，承包人可向发包人发</w:t>
      </w:r>
    </w:p>
    <w:p w14:paraId="615DBBE4">
      <w:pPr>
        <w:shd w:val="clear" w:fill="FFFFFF" w:themeFill="background1"/>
        <w:tabs>
          <w:tab w:val="left" w:pos="3193"/>
        </w:tabs>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出通知，要求发包人采取有效措施纠正违约行为。发包人收到承包人通知后的28天 内仍不履行合同义务，承包人有权暂停施工，并通知监理人，发包人应承担由此增 加的费用和（或）工期延误，并支付承包人合理利润。</w:t>
      </w:r>
    </w:p>
    <w:p w14:paraId="1F4A6B59">
      <w:pPr>
        <w:shd w:val="clear" w:fill="FFFFFF" w:themeFill="background1"/>
        <w:tabs>
          <w:tab w:val="left" w:pos="3193"/>
        </w:tabs>
        <w:spacing w:line="400" w:lineRule="exact"/>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发包人发生第</w:t>
      </w:r>
      <w:r>
        <w:rPr>
          <w:rFonts w:hint="eastAsia" w:ascii="宋体" w:hAnsi="宋体" w:cs="宋体"/>
          <w:color w:val="auto"/>
          <w:sz w:val="24"/>
          <w:highlight w:val="none"/>
        </w:rPr>
        <w:t>22.2.1 （5）</w:t>
      </w:r>
      <w:r>
        <w:rPr>
          <w:rFonts w:hint="eastAsia" w:ascii="宋体" w:hAnsi="宋体" w:cs="宋体"/>
          <w:color w:val="auto"/>
          <w:sz w:val="24"/>
          <w:highlight w:val="none"/>
          <w:lang w:val="zh-CN"/>
        </w:rPr>
        <w:t>目的违约情况时，承包人可向发包人发出通知，要求 发包人采取有效措施纠正违约行为。发包人收到承包人通知后的28天内仍不返还履 约保证金、质量保证金或农民工工资保证金的，发包人应按项目专用合同条款的约 定向承包人支付逾期返还保证金的违约金。</w:t>
      </w:r>
    </w:p>
    <w:p w14:paraId="62BFF8BF">
      <w:pPr>
        <w:shd w:val="clear" w:fill="FFFFFF" w:themeFill="background1"/>
        <w:tabs>
          <w:tab w:val="left" w:pos="3193"/>
        </w:tabs>
        <w:spacing w:line="40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22.2.4 解除合同后的付款</w:t>
      </w:r>
    </w:p>
    <w:p w14:paraId="30D0274B">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本项（2）目细化为：</w:t>
      </w:r>
    </w:p>
    <w:p w14:paraId="1B412D69">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（2）承包人为该工程施工订购并已付款的材料、工程设备和其他物品的金额，发包人付款后，该材料、工程设备和其他物品归发包人所有；</w:t>
      </w:r>
    </w:p>
    <w:p w14:paraId="2E099F5E">
      <w:pPr>
        <w:pStyle w:val="4"/>
        <w:shd w:val="clear" w:fill="FFFFFF" w:themeFill="background1"/>
        <w:spacing w:before="120" w:line="400" w:lineRule="exact"/>
        <w:rPr>
          <w:rFonts w:ascii="宋体" w:hAnsi="宋体" w:cs="宋体"/>
          <w:color w:val="auto"/>
          <w:sz w:val="28"/>
          <w:szCs w:val="28"/>
          <w:highlight w:val="none"/>
        </w:rPr>
      </w:pPr>
      <w:bookmarkStart w:id="1639" w:name="_Toc43475996"/>
      <w:bookmarkEnd w:id="1639"/>
      <w:bookmarkStart w:id="1640" w:name="_Toc386467266"/>
      <w:bookmarkEnd w:id="1640"/>
      <w:bookmarkStart w:id="1641" w:name="_Toc393546520"/>
      <w:bookmarkEnd w:id="1641"/>
      <w:bookmarkStart w:id="1642" w:name="_Toc330406461"/>
      <w:bookmarkEnd w:id="1642"/>
      <w:bookmarkStart w:id="1643" w:name="_Toc451261370"/>
      <w:bookmarkEnd w:id="1643"/>
      <w:bookmarkStart w:id="1644" w:name="_Toc453057180"/>
      <w:bookmarkEnd w:id="1644"/>
      <w:r>
        <w:rPr>
          <w:rFonts w:hint="eastAsia" w:ascii="宋体" w:hAnsi="宋体" w:cs="宋体"/>
          <w:color w:val="auto"/>
          <w:sz w:val="28"/>
          <w:szCs w:val="28"/>
          <w:highlight w:val="none"/>
        </w:rPr>
        <w:t>23.索赔</w:t>
      </w:r>
    </w:p>
    <w:p w14:paraId="29292F1F">
      <w:pPr>
        <w:pStyle w:val="4"/>
        <w:shd w:val="clear" w:fill="FFFFFF" w:themeFill="background1"/>
        <w:spacing w:before="156" w:beforeLines="50" w:line="400" w:lineRule="exact"/>
        <w:rPr>
          <w:rFonts w:ascii="宋体" w:hAnsi="宋体" w:cs="宋体"/>
          <w:color w:val="auto"/>
          <w:sz w:val="24"/>
          <w:szCs w:val="24"/>
          <w:highlight w:val="none"/>
        </w:rPr>
      </w:pPr>
      <w:bookmarkStart w:id="1645" w:name="_Toc453057181"/>
      <w:bookmarkEnd w:id="1645"/>
      <w:bookmarkStart w:id="1646" w:name="_Toc451261371"/>
      <w:bookmarkEnd w:id="1646"/>
      <w:bookmarkStart w:id="1647" w:name="_Toc386467267"/>
      <w:bookmarkEnd w:id="1647"/>
      <w:bookmarkStart w:id="1648" w:name="_Toc43475997"/>
      <w:bookmarkEnd w:id="1648"/>
      <w:bookmarkStart w:id="1649" w:name="_Toc330406462"/>
      <w:bookmarkEnd w:id="1649"/>
      <w:bookmarkStart w:id="1650" w:name="_Toc393546521"/>
      <w:bookmarkEnd w:id="1650"/>
      <w:r>
        <w:rPr>
          <w:rFonts w:hint="eastAsia" w:ascii="宋体" w:hAnsi="宋体" w:cs="宋体"/>
          <w:color w:val="auto"/>
          <w:sz w:val="24"/>
          <w:szCs w:val="24"/>
          <w:highlight w:val="none"/>
        </w:rPr>
        <w:t>23.1承包人索赔的提出</w:t>
      </w:r>
    </w:p>
    <w:p w14:paraId="42C0BD6F">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本款第（4）项细化为：</w:t>
      </w:r>
    </w:p>
    <w:p w14:paraId="217943C2">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（4）在索赔事件影响结束后的28天内，承包人应向监理人递交最终索赔通知书，说明最终要求索赔的追加付款金额和（或）延长的工期，并附必要的记录和证明材料。</w:t>
      </w:r>
    </w:p>
    <w:p w14:paraId="4DA31217">
      <w:pPr>
        <w:pStyle w:val="4"/>
        <w:shd w:val="clear" w:fill="FFFFFF" w:themeFill="background1"/>
        <w:spacing w:before="156" w:beforeLines="50" w:line="400" w:lineRule="exact"/>
        <w:rPr>
          <w:rFonts w:ascii="宋体" w:hAnsi="宋体" w:cs="宋体"/>
          <w:color w:val="auto"/>
          <w:sz w:val="24"/>
          <w:szCs w:val="24"/>
          <w:highlight w:val="none"/>
        </w:rPr>
      </w:pPr>
      <w:bookmarkStart w:id="1651" w:name="_Toc393546522"/>
      <w:bookmarkEnd w:id="1651"/>
      <w:bookmarkStart w:id="1652" w:name="_Toc451261372"/>
      <w:bookmarkEnd w:id="1652"/>
      <w:bookmarkStart w:id="1653" w:name="_Toc453057182"/>
      <w:bookmarkEnd w:id="1653"/>
      <w:bookmarkStart w:id="1654" w:name="_Toc330406463"/>
      <w:bookmarkEnd w:id="1654"/>
      <w:bookmarkStart w:id="1655" w:name="_Toc386467268"/>
      <w:bookmarkEnd w:id="1655"/>
      <w:bookmarkStart w:id="1656" w:name="_Toc43475998"/>
      <w:bookmarkEnd w:id="1656"/>
      <w:r>
        <w:rPr>
          <w:rFonts w:hint="eastAsia" w:ascii="宋体" w:hAnsi="宋体" w:cs="宋体"/>
          <w:color w:val="auto"/>
          <w:sz w:val="24"/>
          <w:szCs w:val="24"/>
          <w:highlight w:val="none"/>
        </w:rPr>
        <w:t>23.2承包人索赔处理程序</w:t>
      </w:r>
    </w:p>
    <w:p w14:paraId="0738BC78">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本款第（2）项细化为：</w:t>
      </w:r>
    </w:p>
    <w:p w14:paraId="0DA607BE">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监理人应按第3.5款商定或确定追加的付款和（或）延长的工期，并在收到上述索赔通知书或有关索赔的进一步证明材料后的42天内，将索赔处理结果报发包人批准后答复承包人。如果承包人提出的索赔要求未能遵守第23.1（2）～（4）项的规定，则承包人只限于索赔由监理人按当时记录予以核实的那部分款额和（或）工期延长天数。</w:t>
      </w:r>
    </w:p>
    <w:p w14:paraId="09F11C20">
      <w:pPr>
        <w:pStyle w:val="4"/>
        <w:shd w:val="clear" w:fill="FFFFFF" w:themeFill="background1"/>
        <w:spacing w:before="156" w:beforeLines="50" w:after="120" w:line="400" w:lineRule="exact"/>
        <w:rPr>
          <w:rFonts w:ascii="宋体" w:hAnsi="宋体" w:cs="宋体"/>
          <w:color w:val="auto"/>
          <w:sz w:val="28"/>
          <w:szCs w:val="28"/>
          <w:highlight w:val="none"/>
        </w:rPr>
      </w:pPr>
      <w:bookmarkStart w:id="1657" w:name="_Toc330406464"/>
      <w:bookmarkEnd w:id="1657"/>
      <w:bookmarkStart w:id="1658" w:name="_Toc43475999"/>
      <w:bookmarkEnd w:id="1658"/>
      <w:bookmarkStart w:id="1659" w:name="_Toc453057183"/>
      <w:bookmarkEnd w:id="1659"/>
      <w:bookmarkStart w:id="1660" w:name="_Toc451261373"/>
      <w:bookmarkEnd w:id="1660"/>
      <w:bookmarkStart w:id="1661" w:name="_Toc386467269"/>
      <w:bookmarkEnd w:id="1661"/>
      <w:bookmarkStart w:id="1662" w:name="_Toc393546523"/>
      <w:bookmarkEnd w:id="1662"/>
      <w:r>
        <w:rPr>
          <w:rFonts w:hint="eastAsia" w:ascii="宋体" w:hAnsi="宋体" w:cs="宋体"/>
          <w:color w:val="auto"/>
          <w:sz w:val="28"/>
          <w:szCs w:val="28"/>
          <w:highlight w:val="none"/>
        </w:rPr>
        <w:t>24.争议的解决</w:t>
      </w:r>
    </w:p>
    <w:p w14:paraId="05DB1B85">
      <w:pPr>
        <w:pStyle w:val="4"/>
        <w:shd w:val="clear" w:fill="FFFFFF" w:themeFill="background1"/>
        <w:spacing w:before="156" w:beforeLines="50" w:line="400" w:lineRule="exact"/>
        <w:rPr>
          <w:rFonts w:ascii="宋体" w:hAnsi="宋体" w:cs="宋体"/>
          <w:color w:val="auto"/>
          <w:sz w:val="24"/>
          <w:szCs w:val="24"/>
          <w:highlight w:val="none"/>
        </w:rPr>
      </w:pPr>
      <w:bookmarkStart w:id="1663" w:name="_Toc451261374"/>
      <w:bookmarkEnd w:id="1663"/>
      <w:bookmarkStart w:id="1664" w:name="_Toc330406465"/>
      <w:bookmarkEnd w:id="1664"/>
      <w:bookmarkStart w:id="1665" w:name="_Toc386467270"/>
      <w:bookmarkEnd w:id="1665"/>
      <w:bookmarkStart w:id="1666" w:name="_Toc393546524"/>
      <w:bookmarkEnd w:id="1666"/>
      <w:bookmarkStart w:id="1667" w:name="_Toc453057184"/>
      <w:bookmarkEnd w:id="1667"/>
      <w:bookmarkStart w:id="1668" w:name="_Toc43476000"/>
      <w:bookmarkEnd w:id="1668"/>
      <w:r>
        <w:rPr>
          <w:rFonts w:hint="eastAsia" w:ascii="宋体" w:hAnsi="宋体" w:cs="宋体"/>
          <w:color w:val="auto"/>
          <w:sz w:val="24"/>
          <w:szCs w:val="24"/>
          <w:highlight w:val="none"/>
        </w:rPr>
        <w:t>24.3争议评审</w:t>
      </w:r>
    </w:p>
    <w:p w14:paraId="059E9E36">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第24.3.1项补充：</w:t>
      </w:r>
    </w:p>
    <w:p w14:paraId="1A796B44">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3439D32C">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本条补充第24.4、第24.5款（适用于采用仲裁方式最终解决争议的项目）：</w:t>
      </w:r>
    </w:p>
    <w:p w14:paraId="371FE9C8">
      <w:pPr>
        <w:pStyle w:val="4"/>
        <w:shd w:val="clear" w:fill="FFFFFF" w:themeFill="background1"/>
        <w:spacing w:before="156" w:beforeLines="50" w:line="400" w:lineRule="exact"/>
        <w:rPr>
          <w:rFonts w:ascii="宋体" w:hAnsi="宋体" w:cs="宋体"/>
          <w:color w:val="auto"/>
          <w:sz w:val="24"/>
          <w:szCs w:val="24"/>
          <w:highlight w:val="none"/>
        </w:rPr>
      </w:pPr>
      <w:bookmarkStart w:id="1669" w:name="_Toc43476001"/>
      <w:bookmarkEnd w:id="1669"/>
      <w:bookmarkStart w:id="1670" w:name="_Toc451261375"/>
      <w:bookmarkEnd w:id="1670"/>
      <w:bookmarkStart w:id="1671" w:name="_Toc386467271"/>
      <w:bookmarkEnd w:id="1671"/>
      <w:bookmarkStart w:id="1672" w:name="_Toc453057185"/>
      <w:bookmarkEnd w:id="1672"/>
      <w:bookmarkStart w:id="1673" w:name="_Toc330406466"/>
      <w:bookmarkEnd w:id="1673"/>
      <w:bookmarkStart w:id="1674" w:name="_Toc393546525"/>
      <w:bookmarkEnd w:id="1674"/>
      <w:r>
        <w:rPr>
          <w:rFonts w:hint="eastAsia" w:ascii="宋体" w:hAnsi="宋体" w:cs="宋体"/>
          <w:color w:val="auto"/>
          <w:sz w:val="24"/>
          <w:szCs w:val="24"/>
          <w:highlight w:val="none"/>
        </w:rPr>
        <w:t>24.4仲裁</w:t>
      </w:r>
    </w:p>
    <w:p w14:paraId="0B937473">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（1）对于未能友好解决或通过争议评审解决的争议，发包人或承包人任一方均有权提交给第24.1款约定的仲裁委员会仲裁。</w:t>
      </w:r>
    </w:p>
    <w:p w14:paraId="114AC0A6">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767F36D7">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（3）仲裁裁决是终局性的并对发包人和承包人双方具有约束力。</w:t>
      </w:r>
    </w:p>
    <w:p w14:paraId="2B6C3C55">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（4）全部仲裁费用应由败诉方承担；或按仲裁员会裁决的比例分担。</w:t>
      </w:r>
    </w:p>
    <w:p w14:paraId="7223709B">
      <w:pPr>
        <w:pStyle w:val="4"/>
        <w:shd w:val="clear" w:fill="FFFFFF" w:themeFill="background1"/>
        <w:spacing w:before="156" w:beforeLines="50" w:line="400" w:lineRule="exact"/>
        <w:rPr>
          <w:rFonts w:ascii="宋体" w:hAnsi="宋体" w:cs="宋体"/>
          <w:color w:val="auto"/>
          <w:sz w:val="24"/>
          <w:szCs w:val="24"/>
          <w:highlight w:val="none"/>
        </w:rPr>
      </w:pPr>
      <w:bookmarkStart w:id="1675" w:name="_Toc330406467"/>
      <w:bookmarkEnd w:id="1675"/>
      <w:bookmarkStart w:id="1676" w:name="_Toc453057186"/>
      <w:bookmarkEnd w:id="1676"/>
      <w:bookmarkStart w:id="1677" w:name="_Toc386467272"/>
      <w:bookmarkEnd w:id="1677"/>
      <w:bookmarkStart w:id="1678" w:name="_Toc451261376"/>
      <w:bookmarkEnd w:id="1678"/>
      <w:bookmarkStart w:id="1679" w:name="_Toc43476002"/>
      <w:bookmarkEnd w:id="1679"/>
      <w:bookmarkStart w:id="1680" w:name="_Toc393546526"/>
      <w:bookmarkEnd w:id="1680"/>
      <w:r>
        <w:rPr>
          <w:rFonts w:hint="eastAsia" w:ascii="宋体" w:hAnsi="宋体" w:cs="宋体"/>
          <w:color w:val="auto"/>
          <w:sz w:val="24"/>
          <w:szCs w:val="24"/>
          <w:highlight w:val="none"/>
        </w:rPr>
        <w:t>24.5仲裁的执行</w:t>
      </w:r>
    </w:p>
    <w:p w14:paraId="20855A18">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（1）任何一方不履行仲裁机构的裁决的，对方可以向有管辖权的人民法院申请执行。</w:t>
      </w:r>
    </w:p>
    <w:p w14:paraId="4FDDAA0C">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1C803822">
      <w:pPr>
        <w:shd w:val="clear" w:fill="FFFFFF" w:themeFill="background1"/>
        <w:tabs>
          <w:tab w:val="left" w:pos="3193"/>
        </w:tabs>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br w:type="page"/>
      </w:r>
    </w:p>
    <w:p w14:paraId="3E67922A">
      <w:pPr>
        <w:pStyle w:val="5"/>
        <w:shd w:val="clear" w:fill="FFFFFF" w:themeFill="background1"/>
        <w:jc w:val="center"/>
        <w:rPr>
          <w:rFonts w:ascii="宋体" w:hAnsi="宋体"/>
          <w:color w:val="auto"/>
          <w:szCs w:val="36"/>
          <w:highlight w:val="none"/>
        </w:rPr>
      </w:pPr>
      <w:bookmarkStart w:id="1681" w:name="_Toc43476003"/>
      <w:bookmarkEnd w:id="1681"/>
      <w:r>
        <w:rPr>
          <w:rFonts w:hint="eastAsia"/>
          <w:color w:val="auto"/>
          <w:highlight w:val="none"/>
        </w:rPr>
        <w:t>B.项目专用合同条款</w:t>
      </w:r>
    </w:p>
    <w:p w14:paraId="055790B7">
      <w:pPr>
        <w:shd w:val="clear" w:fill="FFFFFF" w:themeFill="background1"/>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说明：</w:t>
      </w:r>
    </w:p>
    <w:p w14:paraId="3838E646">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 招标人在根据本范本编制项目招标文件中的“项目专用合同条款”时，可根据招标项目的具体特点和实际需要，对“通用合同条款”及“公路工程专用合同条款”进行补充和细化，除“通用合同条款”明确“专用合同条款”可做出不同约定及“公路工程专用合同条款”明确“项目专用合同条款” 可做出不同约定外，补充和细化的内容不得与“通用合同条款”及“公路工程专用合同条款”强制性规定相抵触。同时，补充、细化或约定的不同内容，不得违反法律、行政法规的强制性规定和平等、自愿、公平和诚实信用原则。</w:t>
      </w:r>
    </w:p>
    <w:p w14:paraId="3AFE3CA4">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 项目专用合同条款的编号应与通用合同条款和公路工程专用合同条款一致。</w:t>
      </w:r>
    </w:p>
    <w:p w14:paraId="7AD060C9">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 项目专用合同条款可对下列内容进行补充和细化：</w:t>
      </w:r>
    </w:p>
    <w:p w14:paraId="50DDB61D">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1482EAD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32A3359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(3)其他需要补充、细化的内容。</w:t>
      </w:r>
    </w:p>
    <w:p w14:paraId="125CBC83">
      <w:pPr>
        <w:pStyle w:val="6"/>
        <w:shd w:val="clear" w:fill="FFFFFF" w:themeFill="background1"/>
        <w:jc w:val="center"/>
        <w:rPr>
          <w:color w:val="auto"/>
          <w:highlight w:val="none"/>
        </w:rPr>
      </w:pPr>
      <w:bookmarkStart w:id="1682" w:name="_Toc505844493"/>
      <w:bookmarkEnd w:id="1682"/>
      <w:bookmarkStart w:id="1683" w:name="_Toc43476004"/>
      <w:bookmarkEnd w:id="1683"/>
      <w:r>
        <w:rPr>
          <w:rFonts w:hint="eastAsia"/>
          <w:color w:val="auto"/>
          <w:highlight w:val="none"/>
        </w:rPr>
        <w:br w:type="page"/>
      </w:r>
      <w:r>
        <w:rPr>
          <w:rFonts w:hint="eastAsia"/>
          <w:color w:val="auto"/>
          <w:highlight w:val="none"/>
        </w:rPr>
        <w:t>项目专用条款数据表</w:t>
      </w:r>
    </w:p>
    <w:p w14:paraId="34A857EB">
      <w:pPr>
        <w:shd w:val="clear" w:fill="FFFFFF" w:themeFill="background1"/>
        <w:rPr>
          <w:color w:val="auto"/>
          <w:highlight w:val="none"/>
        </w:rPr>
      </w:pPr>
    </w:p>
    <w:p w14:paraId="3BB98C20">
      <w:pPr>
        <w:shd w:val="clear" w:fill="FFFFFF" w:themeFill="background1"/>
        <w:spacing w:line="360" w:lineRule="auto"/>
        <w:rPr>
          <w:rFonts w:ascii="宋体" w:hAnsi="宋体"/>
          <w:color w:val="auto"/>
          <w:sz w:val="24"/>
          <w:highlight w:val="none"/>
        </w:rPr>
      </w:pPr>
      <w:r>
        <w:rPr>
          <w:rFonts w:hint="eastAsia" w:ascii="宋体" w:hAnsi="宋体"/>
          <w:color w:val="auto"/>
          <w:sz w:val="24"/>
          <w:highlight w:val="none"/>
        </w:rPr>
        <w:t>说明： 本数据表是项目专用合同条款中适用于本项目的信息和数据的归纳与提示，是项目专用合同条款的组成部分。第九章“投标文件格式”的投标函附录中的数据（供投标人确认）与本表所列有重复。编写招标文件的单位应仔细校核，不使数据出现差错或不一致。</w:t>
      </w:r>
    </w:p>
    <w:tbl>
      <w:tblPr>
        <w:tblStyle w:val="45"/>
        <w:tblW w:w="97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6"/>
        <w:gridCol w:w="20"/>
        <w:gridCol w:w="1464"/>
        <w:gridCol w:w="7426"/>
      </w:tblGrid>
      <w:tr w14:paraId="00D0BE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6" w:type="dxa"/>
            <w:vAlign w:val="center"/>
          </w:tcPr>
          <w:p w14:paraId="6BAE5166">
            <w:pPr>
              <w:shd w:val="clear" w:fill="FFFFFF" w:themeFill="background1"/>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484" w:type="dxa"/>
            <w:gridSpan w:val="2"/>
            <w:vAlign w:val="center"/>
          </w:tcPr>
          <w:p w14:paraId="4FC632D0">
            <w:pPr>
              <w:shd w:val="clear" w:fill="FFFFFF" w:themeFill="background1"/>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426" w:type="dxa"/>
            <w:vAlign w:val="center"/>
          </w:tcPr>
          <w:p w14:paraId="06F60C97">
            <w:pPr>
              <w:shd w:val="clear" w:fill="FFFFFF" w:themeFill="background1"/>
              <w:jc w:val="center"/>
              <w:rPr>
                <w:rFonts w:ascii="宋体" w:hAnsi="宋体" w:cs="宋体"/>
                <w:b/>
                <w:color w:val="auto"/>
                <w:szCs w:val="21"/>
                <w:highlight w:val="none"/>
              </w:rPr>
            </w:pPr>
            <w:r>
              <w:rPr>
                <w:rFonts w:hint="eastAsia" w:ascii="宋体" w:hAnsi="宋体" w:cs="宋体"/>
                <w:b/>
                <w:color w:val="auto"/>
                <w:szCs w:val="21"/>
                <w:highlight w:val="none"/>
              </w:rPr>
              <w:t>信息或数据</w:t>
            </w:r>
          </w:p>
        </w:tc>
      </w:tr>
      <w:tr w14:paraId="6F6723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8C3447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w:t>
            </w:r>
          </w:p>
        </w:tc>
        <w:tc>
          <w:tcPr>
            <w:tcW w:w="1484" w:type="dxa"/>
            <w:gridSpan w:val="2"/>
            <w:vAlign w:val="center"/>
          </w:tcPr>
          <w:p w14:paraId="269C0C3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 xml:space="preserve">   1.1.2.2</w:t>
            </w:r>
          </w:p>
        </w:tc>
        <w:tc>
          <w:tcPr>
            <w:tcW w:w="7426" w:type="dxa"/>
            <w:vAlign w:val="center"/>
          </w:tcPr>
          <w:p w14:paraId="54B73602">
            <w:pPr>
              <w:pStyle w:val="73"/>
              <w:widowControl/>
              <w:shd w:val="clear" w:fill="FFFFFF" w:themeFill="background1"/>
              <w:snapToGrid w:val="0"/>
              <w:spacing w:line="400" w:lineRule="exact"/>
              <w:jc w:val="left"/>
              <w:rPr>
                <w:rFonts w:hAnsi="宋体" w:cs="宋体"/>
                <w:color w:val="auto"/>
                <w:sz w:val="21"/>
                <w:szCs w:val="21"/>
                <w:highlight w:val="none"/>
              </w:rPr>
            </w:pPr>
            <w:r>
              <w:rPr>
                <w:rFonts w:hint="eastAsia" w:hAnsi="宋体" w:cs="宋体"/>
                <w:color w:val="auto"/>
                <w:sz w:val="21"/>
                <w:szCs w:val="21"/>
                <w:highlight w:val="none"/>
              </w:rPr>
              <w:t>单位名称：乐昌市秀水镇人民政府</w:t>
            </w:r>
          </w:p>
          <w:p w14:paraId="07826F4B">
            <w:pPr>
              <w:pStyle w:val="73"/>
              <w:widowControl/>
              <w:shd w:val="clear" w:fill="FFFFFF" w:themeFill="background1"/>
              <w:snapToGrid w:val="0"/>
              <w:spacing w:line="400" w:lineRule="exact"/>
              <w:jc w:val="left"/>
              <w:rPr>
                <w:rFonts w:hAnsi="宋体" w:cs="宋体"/>
                <w:color w:val="auto"/>
                <w:sz w:val="21"/>
                <w:szCs w:val="21"/>
                <w:highlight w:val="none"/>
              </w:rPr>
            </w:pPr>
            <w:r>
              <w:rPr>
                <w:rFonts w:hint="eastAsia" w:hAnsi="宋体" w:cs="宋体"/>
                <w:color w:val="auto"/>
                <w:sz w:val="21"/>
                <w:szCs w:val="21"/>
                <w:highlight w:val="none"/>
              </w:rPr>
              <w:t>地址：广东省韶关市乐昌市秀水镇          邮政编码：512225</w:t>
            </w:r>
          </w:p>
        </w:tc>
      </w:tr>
      <w:tr w14:paraId="13F040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3439044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w:t>
            </w:r>
          </w:p>
        </w:tc>
        <w:tc>
          <w:tcPr>
            <w:tcW w:w="1484" w:type="dxa"/>
            <w:gridSpan w:val="2"/>
            <w:vAlign w:val="center"/>
          </w:tcPr>
          <w:p w14:paraId="708590A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1.1.2.6</w:t>
            </w:r>
          </w:p>
        </w:tc>
        <w:tc>
          <w:tcPr>
            <w:tcW w:w="7426" w:type="dxa"/>
            <w:vAlign w:val="center"/>
          </w:tcPr>
          <w:p w14:paraId="443FFF26">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监 理 人：/</w:t>
            </w:r>
          </w:p>
          <w:p w14:paraId="2873E9F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地    址：/                       邮政编码：/</w:t>
            </w:r>
          </w:p>
        </w:tc>
      </w:tr>
      <w:tr w14:paraId="2560A8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1AB363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w:t>
            </w:r>
          </w:p>
        </w:tc>
        <w:tc>
          <w:tcPr>
            <w:tcW w:w="1484" w:type="dxa"/>
            <w:gridSpan w:val="2"/>
            <w:vAlign w:val="center"/>
          </w:tcPr>
          <w:p w14:paraId="6C49A80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1.1.2.10</w:t>
            </w:r>
          </w:p>
        </w:tc>
        <w:tc>
          <w:tcPr>
            <w:tcW w:w="7426" w:type="dxa"/>
            <w:vAlign w:val="center"/>
          </w:tcPr>
          <w:p w14:paraId="6E2CC66E">
            <w:pPr>
              <w:shd w:val="clear" w:fill="FFFFFF" w:themeFill="background1"/>
              <w:rPr>
                <w:rFonts w:ascii="宋体" w:hAnsi="宋体" w:cs="宋体"/>
                <w:color w:val="auto"/>
                <w:szCs w:val="21"/>
                <w:highlight w:val="none"/>
              </w:rPr>
            </w:pPr>
            <w:r>
              <w:rPr>
                <w:rFonts w:hint="eastAsia" w:ascii="宋体" w:hAnsi="宋体" w:cs="宋体"/>
                <w:color w:val="auto"/>
                <w:spacing w:val="-1"/>
                <w:szCs w:val="21"/>
                <w:highlight w:val="none"/>
              </w:rPr>
              <w:t>试验人</w:t>
            </w:r>
            <w:r>
              <w:rPr>
                <w:rFonts w:hint="eastAsia" w:ascii="宋体" w:hAnsi="宋体" w:cs="宋体"/>
                <w:color w:val="auto"/>
                <w:szCs w:val="21"/>
                <w:highlight w:val="none"/>
              </w:rPr>
              <w:t>：/</w:t>
            </w:r>
          </w:p>
          <w:p w14:paraId="256696FC">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rPr>
              <w:tab/>
            </w:r>
            <w:r>
              <w:rPr>
                <w:rFonts w:hint="eastAsia" w:ascii="宋体" w:hAnsi="宋体" w:cs="宋体"/>
                <w:color w:val="auto"/>
                <w:szCs w:val="21"/>
                <w:highlight w:val="none"/>
              </w:rPr>
              <w:t xml:space="preserve">                          </w:t>
            </w:r>
            <w:r>
              <w:rPr>
                <w:rFonts w:hint="eastAsia" w:ascii="宋体" w:hAnsi="宋体" w:cs="宋体"/>
                <w:color w:val="auto"/>
                <w:spacing w:val="-1"/>
                <w:szCs w:val="21"/>
                <w:highlight w:val="none"/>
              </w:rPr>
              <w:t>邮政</w:t>
            </w:r>
            <w:r>
              <w:rPr>
                <w:rFonts w:hint="eastAsia" w:ascii="宋体" w:hAnsi="宋体" w:cs="宋体"/>
                <w:color w:val="auto"/>
                <w:szCs w:val="21"/>
                <w:highlight w:val="none"/>
              </w:rPr>
              <w:t>编码：/</w:t>
            </w:r>
          </w:p>
        </w:tc>
      </w:tr>
      <w:tr w14:paraId="291212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82CB3E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4</w:t>
            </w:r>
          </w:p>
        </w:tc>
        <w:tc>
          <w:tcPr>
            <w:tcW w:w="1484" w:type="dxa"/>
            <w:gridSpan w:val="2"/>
            <w:vAlign w:val="center"/>
          </w:tcPr>
          <w:p w14:paraId="415B137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1.1.4.5</w:t>
            </w:r>
          </w:p>
        </w:tc>
        <w:tc>
          <w:tcPr>
            <w:tcW w:w="7426" w:type="dxa"/>
            <w:vAlign w:val="center"/>
          </w:tcPr>
          <w:p w14:paraId="1E8BF312">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缺陷责任期：自实际交工日期起计算</w:t>
            </w:r>
            <w:r>
              <w:rPr>
                <w:rFonts w:hint="eastAsia" w:ascii="宋体" w:hAnsi="宋体" w:cs="宋体"/>
                <w:color w:val="auto"/>
                <w:szCs w:val="21"/>
                <w:highlight w:val="none"/>
                <w:u w:val="single"/>
              </w:rPr>
              <w:t>12</w:t>
            </w:r>
            <w:r>
              <w:rPr>
                <w:rFonts w:hint="eastAsia" w:ascii="宋体" w:hAnsi="宋体" w:cs="宋体"/>
                <w:color w:val="auto"/>
                <w:szCs w:val="21"/>
                <w:highlight w:val="none"/>
              </w:rPr>
              <w:t>个月，其中绿化工程自实际交工日期起计算</w:t>
            </w:r>
            <w:r>
              <w:rPr>
                <w:rFonts w:hint="eastAsia" w:ascii="宋体" w:hAnsi="宋体" w:cs="宋体"/>
                <w:color w:val="auto"/>
                <w:szCs w:val="21"/>
                <w:highlight w:val="none"/>
                <w:u w:val="single"/>
              </w:rPr>
              <w:t xml:space="preserve"> / 个</w:t>
            </w:r>
            <w:r>
              <w:rPr>
                <w:rFonts w:hint="eastAsia" w:ascii="宋体" w:hAnsi="宋体" w:cs="宋体"/>
                <w:color w:val="auto"/>
                <w:szCs w:val="21"/>
                <w:highlight w:val="none"/>
              </w:rPr>
              <w:t>月。</w:t>
            </w:r>
          </w:p>
        </w:tc>
      </w:tr>
      <w:tr w14:paraId="47CB07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846E7C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5</w:t>
            </w:r>
          </w:p>
        </w:tc>
        <w:tc>
          <w:tcPr>
            <w:tcW w:w="1484" w:type="dxa"/>
            <w:gridSpan w:val="2"/>
            <w:vAlign w:val="center"/>
          </w:tcPr>
          <w:p w14:paraId="62F2DD7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1.6.3</w:t>
            </w:r>
          </w:p>
        </w:tc>
        <w:tc>
          <w:tcPr>
            <w:tcW w:w="7426" w:type="dxa"/>
            <w:vAlign w:val="center"/>
          </w:tcPr>
          <w:p w14:paraId="562FB3E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图纸需要修改和补充的，应由监理人取得发包人同意后，在该项工程或工程相应部位施工前</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天签发图纸修改图给承包人。</w:t>
            </w:r>
          </w:p>
        </w:tc>
      </w:tr>
      <w:tr w14:paraId="658B32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665F7BAB">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6</w:t>
            </w:r>
          </w:p>
        </w:tc>
        <w:tc>
          <w:tcPr>
            <w:tcW w:w="1484" w:type="dxa"/>
            <w:gridSpan w:val="2"/>
            <w:vAlign w:val="center"/>
          </w:tcPr>
          <w:p w14:paraId="51E6CD5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3.1.1</w:t>
            </w:r>
          </w:p>
        </w:tc>
        <w:tc>
          <w:tcPr>
            <w:tcW w:w="7426" w:type="dxa"/>
            <w:vAlign w:val="center"/>
          </w:tcPr>
          <w:p w14:paraId="60A2B7B0">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监理人在行使下列权力前需要经发包人事先批准：</w:t>
            </w:r>
          </w:p>
          <w:p w14:paraId="1ABB9B02">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（6）根据第15.3款发出的变更指示，均需要经发包人事先批准。</w:t>
            </w:r>
          </w:p>
        </w:tc>
      </w:tr>
      <w:tr w14:paraId="0A849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9A726D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7</w:t>
            </w:r>
          </w:p>
        </w:tc>
        <w:tc>
          <w:tcPr>
            <w:tcW w:w="1484" w:type="dxa"/>
            <w:gridSpan w:val="2"/>
            <w:vAlign w:val="center"/>
          </w:tcPr>
          <w:p w14:paraId="03E4927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4.6.3(1)</w:t>
            </w:r>
          </w:p>
        </w:tc>
        <w:tc>
          <w:tcPr>
            <w:tcW w:w="7426" w:type="dxa"/>
            <w:vAlign w:val="center"/>
          </w:tcPr>
          <w:p w14:paraId="6B3E00F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需缴纳违约金金额：项目经理</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万元/人次，总工程师</w:t>
            </w:r>
            <w:r>
              <w:rPr>
                <w:rFonts w:hint="eastAsia" w:ascii="宋体" w:hAnsi="宋体" w:cs="宋体"/>
                <w:color w:val="auto"/>
                <w:szCs w:val="21"/>
                <w:highlight w:val="none"/>
                <w:u w:val="single"/>
              </w:rPr>
              <w:t xml:space="preserve"> 2 </w:t>
            </w:r>
            <w:r>
              <w:rPr>
                <w:rFonts w:hint="eastAsia" w:ascii="宋体" w:hAnsi="宋体" w:cs="宋体"/>
                <w:color w:val="auto"/>
                <w:szCs w:val="21"/>
                <w:highlight w:val="none"/>
              </w:rPr>
              <w:t>万元/人次，其他主要管理人员</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万元/人次。</w:t>
            </w:r>
          </w:p>
        </w:tc>
      </w:tr>
      <w:tr w14:paraId="398278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61EC61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8</w:t>
            </w:r>
          </w:p>
        </w:tc>
        <w:tc>
          <w:tcPr>
            <w:tcW w:w="1484" w:type="dxa"/>
            <w:gridSpan w:val="2"/>
            <w:vAlign w:val="center"/>
          </w:tcPr>
          <w:p w14:paraId="01A87C1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5.2.1</w:t>
            </w:r>
          </w:p>
        </w:tc>
        <w:tc>
          <w:tcPr>
            <w:tcW w:w="7426" w:type="dxa"/>
            <w:vAlign w:val="center"/>
          </w:tcPr>
          <w:p w14:paraId="7E1C8781">
            <w:pPr>
              <w:shd w:val="clear" w:fill="FFFFFF" w:themeFill="background1"/>
              <w:rPr>
                <w:rFonts w:ascii="宋体" w:hAnsi="宋体" w:cs="宋体"/>
                <w:color w:val="auto"/>
                <w:szCs w:val="21"/>
                <w:highlight w:val="none"/>
                <w:u w:val="single"/>
              </w:rPr>
            </w:pPr>
            <w:r>
              <w:rPr>
                <w:rFonts w:hint="eastAsia" w:ascii="宋体" w:hAnsi="宋体" w:cs="宋体"/>
                <w:color w:val="auto"/>
                <w:szCs w:val="21"/>
                <w:highlight w:val="none"/>
              </w:rPr>
              <w:t>发包人是否提供材料或工程设备：</w:t>
            </w:r>
            <w:r>
              <w:rPr>
                <w:rFonts w:hint="eastAsia" w:ascii="宋体" w:hAnsi="宋体" w:cs="宋体"/>
                <w:color w:val="auto"/>
                <w:szCs w:val="21"/>
                <w:highlight w:val="none"/>
                <w:u w:val="single"/>
              </w:rPr>
              <w:t>否</w:t>
            </w:r>
          </w:p>
          <w:p w14:paraId="09A48A7F">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如发包人负责提供部分材料或工程设备，相关规定如下：</w:t>
            </w:r>
            <w:r>
              <w:rPr>
                <w:rFonts w:hint="eastAsia" w:ascii="宋体" w:hAnsi="宋体" w:cs="宋体"/>
                <w:color w:val="auto"/>
                <w:szCs w:val="21"/>
                <w:highlight w:val="none"/>
                <w:u w:val="single"/>
              </w:rPr>
              <w:t xml:space="preserve">    /    </w:t>
            </w:r>
          </w:p>
        </w:tc>
      </w:tr>
      <w:tr w14:paraId="04E67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0414AC9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9</w:t>
            </w:r>
          </w:p>
        </w:tc>
        <w:tc>
          <w:tcPr>
            <w:tcW w:w="1484" w:type="dxa"/>
            <w:gridSpan w:val="2"/>
            <w:vAlign w:val="center"/>
          </w:tcPr>
          <w:p w14:paraId="0CB79E2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6.2</w:t>
            </w:r>
          </w:p>
        </w:tc>
        <w:tc>
          <w:tcPr>
            <w:tcW w:w="7426" w:type="dxa"/>
            <w:vAlign w:val="center"/>
          </w:tcPr>
          <w:p w14:paraId="1A63191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发包人是否提供施工设备和临时设施：</w:t>
            </w:r>
            <w:r>
              <w:rPr>
                <w:rFonts w:hint="eastAsia" w:ascii="宋体" w:hAnsi="宋体" w:cs="宋体"/>
                <w:color w:val="auto"/>
                <w:szCs w:val="21"/>
                <w:highlight w:val="none"/>
                <w:u w:val="single"/>
              </w:rPr>
              <w:t>否</w:t>
            </w:r>
          </w:p>
          <w:p w14:paraId="25877351">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如发包人负责提供部分施工设备和临时设施，相关规定如下：</w:t>
            </w:r>
            <w:r>
              <w:rPr>
                <w:rFonts w:hint="eastAsia" w:ascii="宋体" w:hAnsi="宋体" w:cs="宋体"/>
                <w:color w:val="auto"/>
                <w:szCs w:val="21"/>
                <w:highlight w:val="none"/>
                <w:u w:val="single"/>
              </w:rPr>
              <w:t xml:space="preserve">    /    </w:t>
            </w:r>
          </w:p>
        </w:tc>
      </w:tr>
      <w:tr w14:paraId="7E1F98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431453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10</w:t>
            </w:r>
          </w:p>
        </w:tc>
        <w:tc>
          <w:tcPr>
            <w:tcW w:w="1484" w:type="dxa"/>
            <w:gridSpan w:val="2"/>
            <w:vAlign w:val="center"/>
          </w:tcPr>
          <w:p w14:paraId="24D509D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8.1.1</w:t>
            </w:r>
          </w:p>
        </w:tc>
        <w:tc>
          <w:tcPr>
            <w:tcW w:w="7426" w:type="dxa"/>
            <w:vAlign w:val="center"/>
          </w:tcPr>
          <w:p w14:paraId="590C0D1A">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发包人提供测量基准点、基准线和水准点及其书面资料的期限：</w:t>
            </w:r>
            <w:r>
              <w:rPr>
                <w:rFonts w:hint="eastAsia" w:ascii="宋体" w:hAnsi="宋体" w:cs="宋体"/>
                <w:color w:val="auto"/>
                <w:szCs w:val="21"/>
                <w:highlight w:val="none"/>
                <w:u w:val="single"/>
              </w:rPr>
              <w:t>在签订施工承包合同后一个月内。</w:t>
            </w:r>
          </w:p>
          <w:p w14:paraId="4D145C0D">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承包人将施工控制网资料报送监理人审批的期限：</w:t>
            </w:r>
            <w:r>
              <w:rPr>
                <w:rFonts w:hint="eastAsia" w:ascii="宋体" w:hAnsi="宋体" w:cs="宋体"/>
                <w:color w:val="auto"/>
                <w:szCs w:val="21"/>
                <w:highlight w:val="none"/>
                <w:u w:val="single"/>
              </w:rPr>
              <w:t>在收到发包人提供的上述资料一个月内。</w:t>
            </w:r>
          </w:p>
        </w:tc>
      </w:tr>
      <w:tr w14:paraId="56E54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D5D93C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w:t>
            </w:r>
          </w:p>
        </w:tc>
        <w:tc>
          <w:tcPr>
            <w:tcW w:w="1484" w:type="dxa"/>
            <w:gridSpan w:val="2"/>
            <w:vAlign w:val="center"/>
          </w:tcPr>
          <w:p w14:paraId="39E8A4B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11.3（2）</w:t>
            </w:r>
          </w:p>
        </w:tc>
        <w:tc>
          <w:tcPr>
            <w:tcW w:w="7426" w:type="dxa"/>
            <w:vAlign w:val="center"/>
          </w:tcPr>
          <w:p w14:paraId="2C9435DF">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如顺延合同工期在</w:t>
            </w:r>
            <w:r>
              <w:rPr>
                <w:rFonts w:hint="eastAsia" w:ascii="宋体" w:hAnsi="宋体" w:cs="宋体"/>
                <w:color w:val="auto"/>
                <w:szCs w:val="21"/>
                <w:highlight w:val="none"/>
                <w:u w:val="single"/>
              </w:rPr>
              <w:t>9个月</w:t>
            </w:r>
            <w:r>
              <w:rPr>
                <w:rFonts w:hint="eastAsia" w:ascii="宋体" w:hAnsi="宋体" w:cs="宋体"/>
                <w:color w:val="auto"/>
                <w:szCs w:val="21"/>
                <w:highlight w:val="none"/>
              </w:rPr>
              <w:t>及以内的，发包人将不予增加费用；</w:t>
            </w:r>
          </w:p>
          <w:p w14:paraId="1DE682ED">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如顺延合同工期在</w:t>
            </w:r>
            <w:r>
              <w:rPr>
                <w:rFonts w:hint="eastAsia" w:ascii="宋体" w:hAnsi="宋体" w:cs="宋体"/>
                <w:color w:val="auto"/>
                <w:szCs w:val="21"/>
                <w:highlight w:val="none"/>
                <w:u w:val="single"/>
              </w:rPr>
              <w:t>9个月</w:t>
            </w:r>
            <w:r>
              <w:rPr>
                <w:rFonts w:hint="eastAsia" w:ascii="宋体" w:hAnsi="宋体" w:cs="宋体"/>
                <w:color w:val="auto"/>
                <w:szCs w:val="21"/>
                <w:highlight w:val="none"/>
              </w:rPr>
              <w:t>以上的，发包人将按如下原则给予补偿：</w:t>
            </w:r>
            <w:r>
              <w:rPr>
                <w:rFonts w:hint="eastAsia" w:ascii="宋体" w:hAnsi="宋体" w:cs="宋体"/>
                <w:color w:val="auto"/>
                <w:szCs w:val="21"/>
                <w:highlight w:val="none"/>
                <w:u w:val="single"/>
              </w:rPr>
              <w:t>详见专用合同条款。</w:t>
            </w:r>
          </w:p>
        </w:tc>
      </w:tr>
      <w:tr w14:paraId="45D04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79E84DA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12</w:t>
            </w:r>
          </w:p>
        </w:tc>
        <w:tc>
          <w:tcPr>
            <w:tcW w:w="1484" w:type="dxa"/>
            <w:gridSpan w:val="2"/>
            <w:vAlign w:val="center"/>
          </w:tcPr>
          <w:p w14:paraId="08271F6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11.3（4）</w:t>
            </w:r>
          </w:p>
        </w:tc>
        <w:tc>
          <w:tcPr>
            <w:tcW w:w="7426" w:type="dxa"/>
            <w:vAlign w:val="center"/>
          </w:tcPr>
          <w:p w14:paraId="264AC5E2">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仅对超出</w:t>
            </w:r>
            <w:r>
              <w:rPr>
                <w:rFonts w:hint="eastAsia" w:ascii="宋体" w:hAnsi="宋体" w:cs="宋体"/>
                <w:color w:val="auto"/>
                <w:szCs w:val="21"/>
                <w:highlight w:val="none"/>
                <w:u w:val="single"/>
              </w:rPr>
              <w:t>9个月</w:t>
            </w:r>
            <w:r>
              <w:rPr>
                <w:rFonts w:hint="eastAsia" w:ascii="宋体" w:hAnsi="宋体" w:cs="宋体"/>
                <w:color w:val="auto"/>
                <w:szCs w:val="21"/>
                <w:highlight w:val="none"/>
              </w:rPr>
              <w:t>以上部分进行补偿。</w:t>
            </w:r>
          </w:p>
        </w:tc>
      </w:tr>
      <w:tr w14:paraId="01814C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73BF519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13</w:t>
            </w:r>
          </w:p>
        </w:tc>
        <w:tc>
          <w:tcPr>
            <w:tcW w:w="1484" w:type="dxa"/>
            <w:gridSpan w:val="2"/>
            <w:vAlign w:val="center"/>
          </w:tcPr>
          <w:p w14:paraId="48A7F8A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11.5（3）</w:t>
            </w:r>
          </w:p>
        </w:tc>
        <w:tc>
          <w:tcPr>
            <w:tcW w:w="7426" w:type="dxa"/>
            <w:vAlign w:val="center"/>
          </w:tcPr>
          <w:p w14:paraId="3DD4E91A">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逾期交工违约金：</w:t>
            </w:r>
            <w:r>
              <w:rPr>
                <w:rFonts w:hint="eastAsia" w:ascii="宋体" w:hAnsi="宋体" w:cs="宋体"/>
                <w:color w:val="auto"/>
                <w:szCs w:val="21"/>
                <w:highlight w:val="none"/>
                <w:u w:val="single"/>
              </w:rPr>
              <w:t>1000元/天。</w:t>
            </w:r>
          </w:p>
        </w:tc>
      </w:tr>
      <w:tr w14:paraId="6721A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6791D7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14</w:t>
            </w:r>
          </w:p>
        </w:tc>
        <w:tc>
          <w:tcPr>
            <w:tcW w:w="1484" w:type="dxa"/>
            <w:gridSpan w:val="2"/>
            <w:vAlign w:val="center"/>
          </w:tcPr>
          <w:p w14:paraId="22F7D5D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11.5（3）</w:t>
            </w:r>
          </w:p>
        </w:tc>
        <w:tc>
          <w:tcPr>
            <w:tcW w:w="7426" w:type="dxa"/>
            <w:vAlign w:val="center"/>
          </w:tcPr>
          <w:p w14:paraId="5D5C65B9">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逾期交工违约金限额：</w:t>
            </w:r>
            <w:r>
              <w:rPr>
                <w:rFonts w:hint="eastAsia" w:ascii="宋体" w:hAnsi="宋体" w:cs="宋体"/>
                <w:color w:val="auto"/>
                <w:szCs w:val="21"/>
                <w:highlight w:val="none"/>
                <w:u w:val="single"/>
              </w:rPr>
              <w:t xml:space="preserve"> 10 </w:t>
            </w:r>
            <w:r>
              <w:rPr>
                <w:rFonts w:hint="eastAsia" w:ascii="宋体" w:hAnsi="宋体" w:cs="宋体"/>
                <w:color w:val="auto"/>
                <w:szCs w:val="21"/>
                <w:highlight w:val="none"/>
              </w:rPr>
              <w:t>%签约合同价。</w:t>
            </w:r>
          </w:p>
        </w:tc>
      </w:tr>
      <w:tr w14:paraId="7CD8B4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5BAC259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15</w:t>
            </w:r>
          </w:p>
        </w:tc>
        <w:tc>
          <w:tcPr>
            <w:tcW w:w="1484" w:type="dxa"/>
            <w:gridSpan w:val="2"/>
            <w:vAlign w:val="center"/>
          </w:tcPr>
          <w:p w14:paraId="12B903C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11.6</w:t>
            </w:r>
          </w:p>
        </w:tc>
        <w:tc>
          <w:tcPr>
            <w:tcW w:w="7426" w:type="dxa"/>
            <w:vAlign w:val="center"/>
          </w:tcPr>
          <w:p w14:paraId="6768B4F5">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提前交工的奖金：</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元/天。</w:t>
            </w:r>
          </w:p>
        </w:tc>
      </w:tr>
      <w:tr w14:paraId="1D98B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A96277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16</w:t>
            </w:r>
          </w:p>
        </w:tc>
        <w:tc>
          <w:tcPr>
            <w:tcW w:w="1484" w:type="dxa"/>
            <w:gridSpan w:val="2"/>
            <w:vAlign w:val="center"/>
          </w:tcPr>
          <w:p w14:paraId="435356E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11.6</w:t>
            </w:r>
          </w:p>
        </w:tc>
        <w:tc>
          <w:tcPr>
            <w:tcW w:w="7426" w:type="dxa"/>
            <w:vAlign w:val="center"/>
          </w:tcPr>
          <w:p w14:paraId="05FD8345">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提前交工的奖金限额：</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%签约合同价。</w:t>
            </w:r>
          </w:p>
        </w:tc>
      </w:tr>
      <w:tr w14:paraId="49E503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36FA73F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w:t>
            </w:r>
          </w:p>
        </w:tc>
        <w:tc>
          <w:tcPr>
            <w:tcW w:w="1484" w:type="dxa"/>
            <w:gridSpan w:val="2"/>
            <w:vAlign w:val="center"/>
          </w:tcPr>
          <w:p w14:paraId="28EB3EA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13.11</w:t>
            </w:r>
          </w:p>
        </w:tc>
        <w:tc>
          <w:tcPr>
            <w:tcW w:w="7426" w:type="dxa"/>
            <w:vAlign w:val="center"/>
          </w:tcPr>
          <w:p w14:paraId="4E0412DA">
            <w:pPr>
              <w:pStyle w:val="55"/>
              <w:shd w:val="clear" w:fill="FFFFFF" w:themeFill="background1"/>
              <w:spacing w:line="240" w:lineRule="auto"/>
              <w:ind w:firstLine="0"/>
              <w:rPr>
                <w:rFonts w:ascii="宋体" w:hAnsi="宋体" w:cs="宋体"/>
                <w:color w:val="auto"/>
                <w:sz w:val="21"/>
                <w:szCs w:val="21"/>
                <w:highlight w:val="none"/>
              </w:rPr>
            </w:pPr>
            <w:r>
              <w:rPr>
                <w:rFonts w:hint="eastAsia" w:ascii="宋体" w:hAnsi="宋体" w:cs="宋体"/>
                <w:color w:val="auto"/>
                <w:sz w:val="21"/>
                <w:szCs w:val="21"/>
                <w:highlight w:val="none"/>
                <w:u w:val="single"/>
              </w:rPr>
              <w:t>优质优价价款：合同工程量清单第200章～900章合计金额的 / %（含税金）</w:t>
            </w:r>
          </w:p>
        </w:tc>
      </w:tr>
      <w:tr w14:paraId="3C4CB3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DBE970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18</w:t>
            </w:r>
          </w:p>
        </w:tc>
        <w:tc>
          <w:tcPr>
            <w:tcW w:w="1484" w:type="dxa"/>
            <w:gridSpan w:val="2"/>
            <w:vAlign w:val="center"/>
          </w:tcPr>
          <w:p w14:paraId="7025E48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15.4.4.2</w:t>
            </w:r>
          </w:p>
        </w:tc>
        <w:tc>
          <w:tcPr>
            <w:tcW w:w="7426" w:type="dxa"/>
            <w:vAlign w:val="center"/>
          </w:tcPr>
          <w:p w14:paraId="52BA55C9">
            <w:pPr>
              <w:pStyle w:val="55"/>
              <w:shd w:val="clear" w:fill="FFFFFF" w:themeFill="background1"/>
              <w:spacing w:line="240" w:lineRule="auto"/>
              <w:ind w:firstLine="0"/>
              <w:rPr>
                <w:rFonts w:ascii="宋体" w:hAnsi="宋体" w:cs="宋体"/>
                <w:color w:val="auto"/>
                <w:sz w:val="21"/>
                <w:szCs w:val="21"/>
                <w:highlight w:val="none"/>
              </w:rPr>
            </w:pPr>
            <w:r>
              <w:rPr>
                <w:rFonts w:hint="eastAsia" w:ascii="宋体" w:hAnsi="宋体" w:cs="宋体"/>
                <w:color w:val="auto"/>
                <w:sz w:val="21"/>
                <w:szCs w:val="21"/>
                <w:highlight w:val="none"/>
              </w:rPr>
              <w:t>应急抢险工程变更金额确定原则：</w:t>
            </w:r>
          </w:p>
          <w:p w14:paraId="2FEFF5EF">
            <w:pPr>
              <w:pStyle w:val="55"/>
              <w:shd w:val="clear" w:fill="FFFFFF" w:themeFill="background1"/>
              <w:spacing w:line="240" w:lineRule="auto"/>
              <w:ind w:firstLine="0"/>
              <w:rPr>
                <w:rFonts w:ascii="宋体" w:hAnsi="宋体" w:cs="宋体"/>
                <w:color w:val="auto"/>
                <w:sz w:val="21"/>
                <w:szCs w:val="21"/>
                <w:highlight w:val="none"/>
              </w:rPr>
            </w:pPr>
            <w:r>
              <w:rPr>
                <w:rFonts w:hint="eastAsia" w:ascii="宋体" w:hAnsi="宋体" w:cs="宋体"/>
                <w:color w:val="auto"/>
                <w:sz w:val="21"/>
                <w:szCs w:val="21"/>
                <w:highlight w:val="none"/>
              </w:rPr>
              <w:t>□变更金额=审批的变更预算</w:t>
            </w:r>
          </w:p>
          <w:p w14:paraId="4450EB16">
            <w:pPr>
              <w:pStyle w:val="55"/>
              <w:shd w:val="clear" w:fill="FFFFFF" w:themeFill="background1"/>
              <w:spacing w:line="240" w:lineRule="auto"/>
              <w:ind w:firstLine="0"/>
              <w:rPr>
                <w:rFonts w:ascii="宋体" w:hAnsi="宋体" w:cs="宋体"/>
                <w:i/>
                <w:iCs/>
                <w:color w:val="auto"/>
                <w:sz w:val="21"/>
                <w:szCs w:val="21"/>
                <w:highlight w:val="none"/>
              </w:rPr>
            </w:pP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 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 w:val="21"/>
                <w:szCs w:val="21"/>
                <w:highlight w:val="none"/>
              </w:rPr>
              <w:instrText xml:space="preserve">,√)</w:instrText>
            </w:r>
            <w:r>
              <w:rPr>
                <w:rFonts w:hint="eastAsia" w:ascii="宋体" w:hAnsi="宋体" w:cs="宋体"/>
                <w:color w:val="auto"/>
                <w:sz w:val="21"/>
                <w:szCs w:val="21"/>
                <w:highlight w:val="none"/>
              </w:rPr>
              <w:fldChar w:fldCharType="end"/>
            </w:r>
            <w:r>
              <w:rPr>
                <w:rFonts w:hint="eastAsia" w:ascii="宋体" w:hAnsi="宋体" w:cs="宋体"/>
                <w:color w:val="auto"/>
                <w:sz w:val="21"/>
                <w:szCs w:val="21"/>
                <w:highlight w:val="none"/>
              </w:rPr>
              <w:t>变更金额=审批的变更预算×（1-中标下浮率）</w:t>
            </w:r>
          </w:p>
        </w:tc>
      </w:tr>
      <w:tr w14:paraId="79F72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BC3CEE1">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19</w:t>
            </w:r>
          </w:p>
        </w:tc>
        <w:tc>
          <w:tcPr>
            <w:tcW w:w="1484" w:type="dxa"/>
            <w:gridSpan w:val="2"/>
            <w:vAlign w:val="center"/>
          </w:tcPr>
          <w:p w14:paraId="7C7B8B1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15.5.2</w:t>
            </w:r>
          </w:p>
        </w:tc>
        <w:tc>
          <w:tcPr>
            <w:tcW w:w="7426" w:type="dxa"/>
            <w:vAlign w:val="center"/>
          </w:tcPr>
          <w:p w14:paraId="4346541D">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承包人提出的合理化建议降低了合同价格或者提高了工程经济效益的，发包人按所节约成本的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%或增加收益的</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%给予奖励。</w:t>
            </w:r>
          </w:p>
        </w:tc>
      </w:tr>
      <w:tr w14:paraId="2F4923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1BBE57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20</w:t>
            </w:r>
          </w:p>
        </w:tc>
        <w:tc>
          <w:tcPr>
            <w:tcW w:w="1484" w:type="dxa"/>
            <w:gridSpan w:val="2"/>
            <w:vAlign w:val="center"/>
          </w:tcPr>
          <w:p w14:paraId="4000272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16.1</w:t>
            </w:r>
          </w:p>
        </w:tc>
        <w:tc>
          <w:tcPr>
            <w:tcW w:w="7426" w:type="dxa"/>
            <w:vAlign w:val="center"/>
          </w:tcPr>
          <w:p w14:paraId="045D1CD8">
            <w:pPr>
              <w:shd w:val="clear" w:fill="FFFFFF" w:themeFill="background1"/>
              <w:spacing w:line="400" w:lineRule="exact"/>
              <w:rPr>
                <w:rFonts w:ascii="宋体" w:hAnsi="宋体" w:cs="宋体"/>
                <w:color w:val="auto"/>
                <w:szCs w:val="21"/>
                <w:highlight w:val="none"/>
              </w:rPr>
            </w:pPr>
            <w:r>
              <w:rPr>
                <w:rFonts w:hint="eastAsia" w:ascii="宋体" w:hAnsi="宋体" w:cs="宋体"/>
                <w:color w:val="auto"/>
                <w:szCs w:val="21"/>
                <w:highlight w:val="none"/>
              </w:rPr>
              <w:t>□因物价波动引起的价格调整按照第16.1项约定的原则处理</w:t>
            </w:r>
          </w:p>
          <w:p w14:paraId="39B22E26">
            <w:pPr>
              <w:shd w:val="clear" w:fill="FFFFFF" w:themeFill="background1"/>
              <w:spacing w:line="400" w:lineRule="exact"/>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合同期内不调价</w:t>
            </w:r>
          </w:p>
        </w:tc>
      </w:tr>
      <w:tr w14:paraId="293BA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63AD93E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21</w:t>
            </w:r>
          </w:p>
        </w:tc>
        <w:tc>
          <w:tcPr>
            <w:tcW w:w="1484" w:type="dxa"/>
            <w:gridSpan w:val="2"/>
            <w:vAlign w:val="center"/>
          </w:tcPr>
          <w:p w14:paraId="736C471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17.1.7</w:t>
            </w:r>
          </w:p>
        </w:tc>
        <w:tc>
          <w:tcPr>
            <w:tcW w:w="7426" w:type="dxa"/>
            <w:vAlign w:val="center"/>
          </w:tcPr>
          <w:p w14:paraId="748EC0EA">
            <w:pPr>
              <w:shd w:val="clear" w:fill="FFFFFF" w:themeFill="background1"/>
              <w:spacing w:line="400" w:lineRule="exact"/>
              <w:rPr>
                <w:rFonts w:ascii="宋体" w:hAnsi="宋体" w:cs="宋体"/>
                <w:color w:val="auto"/>
                <w:szCs w:val="21"/>
                <w:highlight w:val="none"/>
              </w:rPr>
            </w:pPr>
            <w:r>
              <w:rPr>
                <w:rFonts w:hint="eastAsia" w:ascii="宋体" w:hAnsi="宋体" w:cs="宋体"/>
                <w:color w:val="auto"/>
                <w:szCs w:val="21"/>
                <w:highlight w:val="none"/>
              </w:rPr>
              <w:t>路面备料款的暂定计量和支付：</w:t>
            </w:r>
          </w:p>
          <w:p w14:paraId="15776FED">
            <w:pPr>
              <w:shd w:val="clear" w:fill="FFFFFF" w:themeFill="background1"/>
              <w:spacing w:line="400" w:lineRule="exact"/>
              <w:rPr>
                <w:rFonts w:ascii="宋体" w:hAnsi="宋体" w:cs="宋体"/>
                <w:color w:val="auto"/>
                <w:szCs w:val="21"/>
                <w:highlight w:val="none"/>
              </w:rPr>
            </w:pPr>
            <w:r>
              <w:rPr>
                <w:rFonts w:hint="eastAsia" w:ascii="宋体" w:hAnsi="宋体" w:cs="宋体"/>
                <w:color w:val="auto"/>
                <w:szCs w:val="21"/>
                <w:highlight w:val="none"/>
              </w:rPr>
              <w:t>计量数量：以承包人实际进场并经监理人和发包人代表验收确认数量的</w:t>
            </w:r>
            <w:r>
              <w:rPr>
                <w:rFonts w:hint="eastAsia" w:ascii="宋体" w:hAnsi="宋体" w:cs="宋体"/>
                <w:color w:val="auto"/>
                <w:szCs w:val="21"/>
                <w:highlight w:val="none"/>
                <w:u w:val="single"/>
              </w:rPr>
              <w:t>/</w:t>
            </w:r>
            <w:r>
              <w:rPr>
                <w:rFonts w:hint="eastAsia" w:ascii="宋体" w:hAnsi="宋体" w:cs="宋体"/>
                <w:color w:val="auto"/>
                <w:szCs w:val="21"/>
                <w:highlight w:val="none"/>
              </w:rPr>
              <w:t>%计。</w:t>
            </w:r>
          </w:p>
        </w:tc>
      </w:tr>
      <w:tr w14:paraId="4495F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1E5DE50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22</w:t>
            </w:r>
          </w:p>
        </w:tc>
        <w:tc>
          <w:tcPr>
            <w:tcW w:w="1484" w:type="dxa"/>
            <w:gridSpan w:val="2"/>
            <w:vAlign w:val="center"/>
          </w:tcPr>
          <w:p w14:paraId="76ACC0C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17.2.1（1）</w:t>
            </w:r>
          </w:p>
        </w:tc>
        <w:tc>
          <w:tcPr>
            <w:tcW w:w="7426" w:type="dxa"/>
            <w:vAlign w:val="center"/>
          </w:tcPr>
          <w:p w14:paraId="6BD3A34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开工预付款金额：</w:t>
            </w:r>
            <w:r>
              <w:rPr>
                <w:rFonts w:hint="eastAsia" w:ascii="宋体" w:hAnsi="宋体" w:cs="宋体"/>
                <w:color w:val="auto"/>
                <w:szCs w:val="21"/>
                <w:highlight w:val="none"/>
                <w:u w:val="single"/>
              </w:rPr>
              <w:t xml:space="preserve"> 30 </w:t>
            </w:r>
            <w:r>
              <w:rPr>
                <w:rFonts w:hint="eastAsia" w:ascii="宋体" w:hAnsi="宋体" w:cs="宋体"/>
                <w:color w:val="auto"/>
                <w:szCs w:val="21"/>
                <w:highlight w:val="none"/>
              </w:rPr>
              <w:t>%签约合同价</w:t>
            </w:r>
          </w:p>
        </w:tc>
      </w:tr>
      <w:tr w14:paraId="4C6A6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0DC78BA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23</w:t>
            </w:r>
          </w:p>
        </w:tc>
        <w:tc>
          <w:tcPr>
            <w:tcW w:w="1484" w:type="dxa"/>
            <w:gridSpan w:val="2"/>
            <w:vAlign w:val="center"/>
          </w:tcPr>
          <w:p w14:paraId="7BE312F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17.2.1（2）</w:t>
            </w:r>
          </w:p>
        </w:tc>
        <w:tc>
          <w:tcPr>
            <w:tcW w:w="7426" w:type="dxa"/>
            <w:vAlign w:val="center"/>
          </w:tcPr>
          <w:p w14:paraId="3C0D9E1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材料、设备预付款比例：</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等主要材料、设备单据所列费用的</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w:t>
            </w:r>
          </w:p>
        </w:tc>
      </w:tr>
      <w:tr w14:paraId="5E933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0084900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24</w:t>
            </w:r>
          </w:p>
        </w:tc>
        <w:tc>
          <w:tcPr>
            <w:tcW w:w="1484" w:type="dxa"/>
            <w:gridSpan w:val="2"/>
            <w:vAlign w:val="center"/>
          </w:tcPr>
          <w:p w14:paraId="3506DE6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17.3.2</w:t>
            </w:r>
          </w:p>
        </w:tc>
        <w:tc>
          <w:tcPr>
            <w:tcW w:w="7426" w:type="dxa"/>
            <w:vAlign w:val="center"/>
          </w:tcPr>
          <w:p w14:paraId="208FE596">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承包人在每个付款周期末向监理人提交进度付款申请单的份数：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1D09E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3C8F78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25</w:t>
            </w:r>
          </w:p>
        </w:tc>
        <w:tc>
          <w:tcPr>
            <w:tcW w:w="1484" w:type="dxa"/>
            <w:gridSpan w:val="2"/>
            <w:vAlign w:val="center"/>
          </w:tcPr>
          <w:p w14:paraId="4D6828A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17.3.3（1）</w:t>
            </w:r>
          </w:p>
        </w:tc>
        <w:tc>
          <w:tcPr>
            <w:tcW w:w="7426" w:type="dxa"/>
            <w:vAlign w:val="center"/>
          </w:tcPr>
          <w:p w14:paraId="3A1B4FDD">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进度付款证书最低限额：</w:t>
            </w:r>
            <w:r>
              <w:rPr>
                <w:rFonts w:hint="eastAsia" w:ascii="宋体" w:hAnsi="宋体" w:cs="宋体"/>
                <w:color w:val="auto"/>
                <w:szCs w:val="21"/>
                <w:highlight w:val="none"/>
                <w:u w:val="single"/>
              </w:rPr>
              <w:t>50</w:t>
            </w:r>
            <w:r>
              <w:rPr>
                <w:rFonts w:hint="eastAsia" w:ascii="宋体" w:hAnsi="宋体" w:cs="宋体"/>
                <w:color w:val="auto"/>
                <w:szCs w:val="21"/>
                <w:highlight w:val="none"/>
              </w:rPr>
              <w:t>万元</w:t>
            </w:r>
          </w:p>
        </w:tc>
      </w:tr>
      <w:tr w14:paraId="21F1C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414BA96D">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26</w:t>
            </w:r>
          </w:p>
        </w:tc>
        <w:tc>
          <w:tcPr>
            <w:tcW w:w="1484" w:type="dxa"/>
            <w:gridSpan w:val="2"/>
            <w:vAlign w:val="center"/>
          </w:tcPr>
          <w:p w14:paraId="36A9A5F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17.3.3（2）</w:t>
            </w:r>
          </w:p>
        </w:tc>
        <w:tc>
          <w:tcPr>
            <w:tcW w:w="7426" w:type="dxa"/>
            <w:vAlign w:val="center"/>
          </w:tcPr>
          <w:p w14:paraId="6932F8AE">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逾期付款违约金的利率：</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‰/天</w:t>
            </w:r>
          </w:p>
        </w:tc>
      </w:tr>
      <w:tr w14:paraId="1F0C9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01976B3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27</w:t>
            </w:r>
          </w:p>
        </w:tc>
        <w:tc>
          <w:tcPr>
            <w:tcW w:w="1484" w:type="dxa"/>
            <w:gridSpan w:val="2"/>
            <w:vAlign w:val="center"/>
          </w:tcPr>
          <w:p w14:paraId="23F3610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17.4.1</w:t>
            </w:r>
          </w:p>
        </w:tc>
        <w:tc>
          <w:tcPr>
            <w:tcW w:w="7426" w:type="dxa"/>
            <w:vAlign w:val="center"/>
          </w:tcPr>
          <w:p w14:paraId="7A41127A">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质量保证金限额：</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%合同价格，若交工验收时承包人具备被招标项目所在地省级交通运输主管部门评定的最高信用等级，发包人给予</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%合同价格质量保证金的优惠。</w:t>
            </w:r>
          </w:p>
          <w:p w14:paraId="0893A82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质量保证金是否计付利息：</w:t>
            </w:r>
          </w:p>
          <w:p w14:paraId="4A51D837">
            <w:pPr>
              <w:shd w:val="clear" w:fill="FFFFFF" w:themeFill="background1"/>
              <w:rPr>
                <w:rFonts w:ascii="宋体" w:hAnsi="宋体" w:cs="宋体"/>
                <w:color w:val="auto"/>
                <w:szCs w:val="21"/>
                <w:highlight w:val="none"/>
                <w:u w:val="single"/>
              </w:rPr>
            </w:pPr>
            <w:r>
              <w:rPr>
                <w:rFonts w:hint="eastAsia" w:ascii="宋体" w:hAnsi="宋体" w:cs="宋体"/>
                <w:color w:val="auto"/>
                <w:szCs w:val="21"/>
                <w:highlight w:val="none"/>
              </w:rPr>
              <w:t>□是，利息的计算方式：</w:t>
            </w:r>
          </w:p>
          <w:p w14:paraId="57A92187">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eq \o\ac(</w:instrText>
            </w:r>
            <w:r>
              <w:rPr>
                <w:rFonts w:hint="eastAsia" w:ascii="宋体" w:hAnsi="宋体" w:cs="宋体"/>
                <w:color w:val="auto"/>
                <w:position w:val="-4"/>
                <w:sz w:val="31"/>
                <w:szCs w:val="21"/>
                <w:highlight w:val="none"/>
              </w:rPr>
              <w:instrText xml:space="preserve">□</w:instrText>
            </w:r>
            <w:r>
              <w:rPr>
                <w:rFonts w:hint="eastAsia" w:ascii="宋体" w:hAnsi="宋体" w:cs="宋体"/>
                <w:color w:val="auto"/>
                <w:szCs w:val="21"/>
                <w:highlight w:val="none"/>
              </w:rPr>
              <w:instrText xml:space="preserve">,√)</w:instrText>
            </w:r>
            <w:r>
              <w:rPr>
                <w:rFonts w:hint="eastAsia" w:ascii="宋体" w:hAnsi="宋体" w:cs="宋体"/>
                <w:color w:val="auto"/>
                <w:szCs w:val="21"/>
                <w:highlight w:val="none"/>
              </w:rPr>
              <w:fldChar w:fldCharType="end"/>
            </w:r>
            <w:r>
              <w:rPr>
                <w:rFonts w:hint="eastAsia" w:ascii="宋体" w:hAnsi="宋体" w:cs="宋体"/>
                <w:color w:val="auto"/>
                <w:szCs w:val="21"/>
                <w:highlight w:val="none"/>
              </w:rPr>
              <w:t>否</w:t>
            </w:r>
          </w:p>
        </w:tc>
      </w:tr>
      <w:tr w14:paraId="5954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7" w:hRule="atLeast"/>
          <w:jc w:val="center"/>
        </w:trPr>
        <w:tc>
          <w:tcPr>
            <w:tcW w:w="856" w:type="dxa"/>
            <w:vAlign w:val="center"/>
          </w:tcPr>
          <w:p w14:paraId="44A1860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28</w:t>
            </w:r>
          </w:p>
        </w:tc>
        <w:tc>
          <w:tcPr>
            <w:tcW w:w="1484" w:type="dxa"/>
            <w:gridSpan w:val="2"/>
            <w:vAlign w:val="center"/>
          </w:tcPr>
          <w:p w14:paraId="3CF27BAB">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17.5.1（1）</w:t>
            </w:r>
          </w:p>
        </w:tc>
        <w:tc>
          <w:tcPr>
            <w:tcW w:w="7426" w:type="dxa"/>
            <w:vAlign w:val="center"/>
          </w:tcPr>
          <w:p w14:paraId="445F7509">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承包人向监理人提交交工付款申请单（包括相关证明材料）的份数：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17435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9" w:hRule="atLeast"/>
          <w:jc w:val="center"/>
        </w:trPr>
        <w:tc>
          <w:tcPr>
            <w:tcW w:w="856" w:type="dxa"/>
            <w:vAlign w:val="center"/>
          </w:tcPr>
          <w:p w14:paraId="7795963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29</w:t>
            </w:r>
          </w:p>
        </w:tc>
        <w:tc>
          <w:tcPr>
            <w:tcW w:w="1484" w:type="dxa"/>
            <w:gridSpan w:val="2"/>
            <w:vAlign w:val="center"/>
          </w:tcPr>
          <w:p w14:paraId="4F65956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17.6.1（1）</w:t>
            </w:r>
          </w:p>
        </w:tc>
        <w:tc>
          <w:tcPr>
            <w:tcW w:w="7426" w:type="dxa"/>
            <w:vAlign w:val="center"/>
          </w:tcPr>
          <w:p w14:paraId="339A380B">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承包人向监理人提交最终结清申请单（包括相关证明材料）的份数：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6C0A3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2FB8956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30</w:t>
            </w:r>
          </w:p>
        </w:tc>
        <w:tc>
          <w:tcPr>
            <w:tcW w:w="1484" w:type="dxa"/>
            <w:gridSpan w:val="2"/>
            <w:vAlign w:val="center"/>
          </w:tcPr>
          <w:p w14:paraId="309C750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18.2（2）</w:t>
            </w:r>
          </w:p>
        </w:tc>
        <w:tc>
          <w:tcPr>
            <w:tcW w:w="7426" w:type="dxa"/>
            <w:vAlign w:val="center"/>
          </w:tcPr>
          <w:p w14:paraId="56EF1FB5">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竣工资料的份数：</w:t>
            </w:r>
            <w:r>
              <w:rPr>
                <w:rFonts w:hint="eastAsia" w:ascii="宋体" w:hAnsi="宋体" w:cs="宋体"/>
                <w:color w:val="auto"/>
                <w:szCs w:val="21"/>
                <w:highlight w:val="none"/>
                <w:u w:val="single"/>
              </w:rPr>
              <w:t xml:space="preserve">  6  </w:t>
            </w:r>
            <w:r>
              <w:rPr>
                <w:rFonts w:hint="eastAsia" w:ascii="宋体" w:hAnsi="宋体" w:cs="宋体"/>
                <w:color w:val="auto"/>
                <w:szCs w:val="21"/>
                <w:highlight w:val="none"/>
              </w:rPr>
              <w:t>份。</w:t>
            </w:r>
          </w:p>
        </w:tc>
      </w:tr>
      <w:tr w14:paraId="3CC54F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540A833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31</w:t>
            </w:r>
          </w:p>
        </w:tc>
        <w:tc>
          <w:tcPr>
            <w:tcW w:w="1484" w:type="dxa"/>
            <w:gridSpan w:val="2"/>
            <w:vAlign w:val="center"/>
          </w:tcPr>
          <w:p w14:paraId="05D2B76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18.5.1</w:t>
            </w:r>
          </w:p>
        </w:tc>
        <w:tc>
          <w:tcPr>
            <w:tcW w:w="7426" w:type="dxa"/>
            <w:vAlign w:val="center"/>
          </w:tcPr>
          <w:p w14:paraId="3767A325">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 xml:space="preserve">单位工程或工程设备是否需投入施工期运行： </w:t>
            </w:r>
            <w:r>
              <w:rPr>
                <w:rFonts w:hint="eastAsia" w:ascii="宋体" w:hAnsi="宋体" w:cs="宋体"/>
                <w:color w:val="auto"/>
                <w:szCs w:val="21"/>
                <w:highlight w:val="none"/>
                <w:u w:val="single"/>
              </w:rPr>
              <w:t>是</w:t>
            </w:r>
          </w:p>
          <w:p w14:paraId="73C30158">
            <w:pPr>
              <w:shd w:val="clear" w:fill="FFFFFF" w:themeFill="background1"/>
              <w:rPr>
                <w:rFonts w:ascii="宋体" w:hAnsi="宋体" w:cs="宋体"/>
                <w:color w:val="auto"/>
                <w:szCs w:val="21"/>
                <w:highlight w:val="none"/>
                <w:u w:val="single"/>
              </w:rPr>
            </w:pPr>
            <w:r>
              <w:rPr>
                <w:rFonts w:hint="eastAsia" w:ascii="宋体" w:hAnsi="宋体" w:cs="宋体"/>
                <w:color w:val="auto"/>
                <w:szCs w:val="21"/>
                <w:highlight w:val="none"/>
              </w:rPr>
              <w:t>如单位工程或工程设备需要进行施工期运行，需要施工期运行的单位工程或工程设备规定如下：</w:t>
            </w:r>
            <w:r>
              <w:rPr>
                <w:rFonts w:hint="eastAsia" w:ascii="宋体" w:hAnsi="宋体" w:cs="宋体"/>
                <w:color w:val="auto"/>
                <w:szCs w:val="21"/>
                <w:highlight w:val="none"/>
                <w:u w:val="single"/>
              </w:rPr>
              <w:t>沥青砼路面铺筑好温度降至可通车的规范值后须开放交通。</w:t>
            </w:r>
          </w:p>
        </w:tc>
      </w:tr>
      <w:tr w14:paraId="47149C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6" w:type="dxa"/>
            <w:vAlign w:val="center"/>
          </w:tcPr>
          <w:p w14:paraId="7B12213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32</w:t>
            </w:r>
          </w:p>
        </w:tc>
        <w:tc>
          <w:tcPr>
            <w:tcW w:w="1484" w:type="dxa"/>
            <w:gridSpan w:val="2"/>
            <w:vAlign w:val="center"/>
          </w:tcPr>
          <w:p w14:paraId="1BFB18A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18.6.1</w:t>
            </w:r>
          </w:p>
        </w:tc>
        <w:tc>
          <w:tcPr>
            <w:tcW w:w="7426" w:type="dxa"/>
            <w:vAlign w:val="center"/>
          </w:tcPr>
          <w:p w14:paraId="095858A6">
            <w:pPr>
              <w:shd w:val="clear" w:fill="FFFFFF" w:themeFill="background1"/>
              <w:rPr>
                <w:rFonts w:ascii="宋体" w:hAnsi="宋体" w:cs="宋体"/>
                <w:color w:val="auto"/>
                <w:szCs w:val="21"/>
                <w:highlight w:val="none"/>
                <w:u w:val="single"/>
              </w:rPr>
            </w:pPr>
            <w:r>
              <w:rPr>
                <w:rFonts w:hint="eastAsia" w:ascii="宋体" w:hAnsi="宋体" w:cs="宋体"/>
                <w:color w:val="auto"/>
                <w:szCs w:val="21"/>
                <w:highlight w:val="none"/>
              </w:rPr>
              <w:t>本工程及工程设备是否进行试运行：</w:t>
            </w:r>
            <w:r>
              <w:rPr>
                <w:rFonts w:hint="eastAsia" w:ascii="宋体" w:hAnsi="宋体" w:cs="宋体"/>
                <w:color w:val="auto"/>
                <w:szCs w:val="21"/>
                <w:highlight w:val="none"/>
                <w:u w:val="single"/>
              </w:rPr>
              <w:t>否</w:t>
            </w:r>
          </w:p>
          <w:p w14:paraId="08249B58">
            <w:pPr>
              <w:shd w:val="clear" w:fill="FFFFFF" w:themeFill="background1"/>
              <w:rPr>
                <w:rFonts w:ascii="宋体" w:hAnsi="宋体" w:cs="宋体"/>
                <w:color w:val="auto"/>
                <w:szCs w:val="21"/>
                <w:highlight w:val="none"/>
                <w:u w:val="single"/>
              </w:rPr>
            </w:pPr>
            <w:r>
              <w:rPr>
                <w:rFonts w:hint="eastAsia" w:ascii="宋体" w:hAnsi="宋体" w:cs="宋体"/>
                <w:color w:val="auto"/>
                <w:szCs w:val="21"/>
                <w:highlight w:val="none"/>
              </w:rPr>
              <w:t>如本工程及工程设备需要进行试运行，试运行的具体规定如下：</w:t>
            </w:r>
            <w:r>
              <w:rPr>
                <w:rFonts w:hint="eastAsia" w:ascii="宋体" w:hAnsi="宋体" w:cs="宋体"/>
                <w:color w:val="auto"/>
                <w:szCs w:val="21"/>
                <w:highlight w:val="none"/>
                <w:u w:val="single"/>
              </w:rPr>
              <w:t xml:space="preserve">  /  </w:t>
            </w:r>
          </w:p>
        </w:tc>
      </w:tr>
      <w:tr w14:paraId="16BE2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1" w:hRule="atLeast"/>
          <w:jc w:val="center"/>
        </w:trPr>
        <w:tc>
          <w:tcPr>
            <w:tcW w:w="856" w:type="dxa"/>
            <w:vAlign w:val="center"/>
          </w:tcPr>
          <w:p w14:paraId="42ED7C1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33</w:t>
            </w:r>
          </w:p>
        </w:tc>
        <w:tc>
          <w:tcPr>
            <w:tcW w:w="1484" w:type="dxa"/>
            <w:gridSpan w:val="2"/>
            <w:vAlign w:val="center"/>
          </w:tcPr>
          <w:p w14:paraId="3483FBD6">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19.7（1）</w:t>
            </w:r>
          </w:p>
        </w:tc>
        <w:tc>
          <w:tcPr>
            <w:tcW w:w="7426" w:type="dxa"/>
            <w:vAlign w:val="center"/>
          </w:tcPr>
          <w:p w14:paraId="7292E59B">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保修期：</w:t>
            </w:r>
          </w:p>
          <w:p w14:paraId="10069ACD">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自本项目实际交工日期之日起计算</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年（绿化工程、房建工程除外）；</w:t>
            </w:r>
          </w:p>
          <w:p w14:paraId="441276BA">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绿化工程：自本项目实际交工日期之日起计算</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个月后，移交发包人或发包人委托的养护单位进行后续的管理养护工作；</w:t>
            </w:r>
          </w:p>
          <w:p w14:paraId="0AB92197">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房建工程：自该房建工程竣工验收合格之日起计算，其中：</w:t>
            </w:r>
          </w:p>
          <w:p w14:paraId="3853E2F8">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（1）地基基础工程和主体结构工程，为设计文件规定的该工程的合理使用年限；</w:t>
            </w:r>
          </w:p>
          <w:p w14:paraId="7136BB3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（2）屋面防水工程、有防水要求的卫生间、房间和外墙面的防渗漏，为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70204B51">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（3）装修工程为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5481E610">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（4）电气管线、给排水管道、设备安装工程为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018642E5">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（5）供热与供冷系统，为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个采暖期、供冷期；</w:t>
            </w:r>
          </w:p>
          <w:p w14:paraId="3BC91692">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（6）住宅小区内的给排水设施、道路、电力等配套工程为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年；</w:t>
            </w:r>
          </w:p>
          <w:p w14:paraId="294F467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（7）其他约定如下：</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tc>
      </w:tr>
      <w:tr w14:paraId="4FAF82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6" w:type="dxa"/>
            <w:vAlign w:val="center"/>
          </w:tcPr>
          <w:p w14:paraId="26E64B6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34</w:t>
            </w:r>
          </w:p>
        </w:tc>
        <w:tc>
          <w:tcPr>
            <w:tcW w:w="1484" w:type="dxa"/>
            <w:gridSpan w:val="2"/>
            <w:vAlign w:val="center"/>
          </w:tcPr>
          <w:p w14:paraId="66D0260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426" w:type="dxa"/>
            <w:vAlign w:val="center"/>
          </w:tcPr>
          <w:p w14:paraId="247F09D9">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建筑工程一切险及第三者责任险的保险费率：</w:t>
            </w:r>
            <w:r>
              <w:rPr>
                <w:rFonts w:hint="eastAsia" w:ascii="宋体" w:hAnsi="宋体" w:cs="宋体"/>
                <w:color w:val="auto"/>
                <w:szCs w:val="21"/>
                <w:highlight w:val="none"/>
                <w:u w:val="single"/>
              </w:rPr>
              <w:t>4‰ 。</w:t>
            </w:r>
          </w:p>
        </w:tc>
      </w:tr>
      <w:tr w14:paraId="373332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6" w:type="dxa"/>
            <w:vAlign w:val="center"/>
          </w:tcPr>
          <w:p w14:paraId="0828F67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35</w:t>
            </w:r>
          </w:p>
        </w:tc>
        <w:tc>
          <w:tcPr>
            <w:tcW w:w="1484" w:type="dxa"/>
            <w:gridSpan w:val="2"/>
            <w:vAlign w:val="center"/>
          </w:tcPr>
          <w:p w14:paraId="6597D92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20.4.2</w:t>
            </w:r>
          </w:p>
        </w:tc>
        <w:tc>
          <w:tcPr>
            <w:tcW w:w="7426" w:type="dxa"/>
            <w:vAlign w:val="center"/>
          </w:tcPr>
          <w:p w14:paraId="60E23EED">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第三者责任险的最低投保金额：</w:t>
            </w:r>
            <w:r>
              <w:rPr>
                <w:rFonts w:hint="eastAsia" w:ascii="宋体" w:hAnsi="宋体" w:cs="宋体"/>
                <w:color w:val="auto"/>
                <w:szCs w:val="21"/>
                <w:highlight w:val="none"/>
                <w:u w:val="single"/>
              </w:rPr>
              <w:t xml:space="preserve"> 500 </w:t>
            </w:r>
            <w:r>
              <w:rPr>
                <w:rFonts w:hint="eastAsia" w:ascii="宋体" w:hAnsi="宋体" w:cs="宋体"/>
                <w:color w:val="auto"/>
                <w:szCs w:val="21"/>
                <w:highlight w:val="none"/>
              </w:rPr>
              <w:t>万元，事故次数不限(不计免赔额)</w:t>
            </w:r>
          </w:p>
        </w:tc>
      </w:tr>
      <w:tr w14:paraId="07F30D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6" w:type="dxa"/>
            <w:vAlign w:val="center"/>
          </w:tcPr>
          <w:p w14:paraId="0BD2AC5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36</w:t>
            </w:r>
          </w:p>
        </w:tc>
        <w:tc>
          <w:tcPr>
            <w:tcW w:w="1484" w:type="dxa"/>
            <w:gridSpan w:val="2"/>
            <w:vAlign w:val="center"/>
          </w:tcPr>
          <w:p w14:paraId="27FE5ADF">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 xml:space="preserve">21.1.1 </w:t>
            </w:r>
          </w:p>
        </w:tc>
        <w:tc>
          <w:tcPr>
            <w:tcW w:w="7426" w:type="dxa"/>
            <w:vAlign w:val="center"/>
          </w:tcPr>
          <w:p w14:paraId="78EF47EA">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21.1.1 (6)不可抗力的其他情形：</w:t>
            </w:r>
            <w:r>
              <w:rPr>
                <w:rFonts w:hint="eastAsia" w:ascii="宋体" w:hAnsi="宋体" w:cs="宋体"/>
                <w:color w:val="auto"/>
                <w:szCs w:val="21"/>
                <w:highlight w:val="none"/>
                <w:u w:val="single"/>
              </w:rPr>
              <w:t xml:space="preserve">  /  </w:t>
            </w:r>
          </w:p>
        </w:tc>
      </w:tr>
      <w:tr w14:paraId="62D8DD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3" w:hRule="atLeast"/>
          <w:jc w:val="center"/>
        </w:trPr>
        <w:tc>
          <w:tcPr>
            <w:tcW w:w="856" w:type="dxa"/>
            <w:vAlign w:val="center"/>
          </w:tcPr>
          <w:p w14:paraId="1B88EBC5">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37</w:t>
            </w:r>
          </w:p>
        </w:tc>
        <w:tc>
          <w:tcPr>
            <w:tcW w:w="1484" w:type="dxa"/>
            <w:gridSpan w:val="2"/>
            <w:vAlign w:val="center"/>
          </w:tcPr>
          <w:p w14:paraId="241C7EA0">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426" w:type="dxa"/>
            <w:vAlign w:val="center"/>
          </w:tcPr>
          <w:p w14:paraId="571F0C79">
            <w:pPr>
              <w:shd w:val="clear" w:fill="FFFFFF" w:themeFill="background1"/>
              <w:rPr>
                <w:rFonts w:ascii="宋体" w:hAnsi="宋体" w:cs="宋体"/>
                <w:color w:val="auto"/>
                <w:szCs w:val="21"/>
                <w:highlight w:val="none"/>
                <w:u w:val="single"/>
              </w:rPr>
            </w:pPr>
            <w:r>
              <w:rPr>
                <w:rFonts w:hint="eastAsia" w:ascii="宋体" w:hAnsi="宋体" w:cs="宋体"/>
                <w:color w:val="auto"/>
                <w:szCs w:val="21"/>
                <w:highlight w:val="none"/>
              </w:rPr>
              <w:t>争议的最终解决方式：</w:t>
            </w:r>
            <w:r>
              <w:rPr>
                <w:rFonts w:hint="eastAsia" w:ascii="宋体" w:hAnsi="宋体" w:cs="宋体"/>
                <w:color w:val="auto"/>
                <w:szCs w:val="21"/>
                <w:highlight w:val="none"/>
                <w:u w:val="single"/>
              </w:rPr>
              <w:t>向项目所在地的人民法院提起诉讼。</w:t>
            </w:r>
          </w:p>
        </w:tc>
      </w:tr>
      <w:tr w14:paraId="5645A3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41" w:hRule="atLeast"/>
          <w:jc w:val="center"/>
        </w:trPr>
        <w:tc>
          <w:tcPr>
            <w:tcW w:w="856" w:type="dxa"/>
            <w:vAlign w:val="center"/>
          </w:tcPr>
          <w:p w14:paraId="46C613C9">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38</w:t>
            </w:r>
          </w:p>
        </w:tc>
        <w:tc>
          <w:tcPr>
            <w:tcW w:w="1484" w:type="dxa"/>
            <w:gridSpan w:val="2"/>
            <w:vAlign w:val="center"/>
          </w:tcPr>
          <w:p w14:paraId="1418E1D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25.4</w:t>
            </w:r>
          </w:p>
        </w:tc>
        <w:tc>
          <w:tcPr>
            <w:tcW w:w="7426" w:type="dxa"/>
            <w:vAlign w:val="center"/>
          </w:tcPr>
          <w:p w14:paraId="7ED4D833">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结算单元按合同约定完成并通过质量中间验收，原则上</w:t>
            </w:r>
            <w:r>
              <w:rPr>
                <w:rFonts w:hint="eastAsia" w:ascii="宋体" w:hAnsi="宋体" w:cs="宋体"/>
                <w:color w:val="auto"/>
                <w:szCs w:val="21"/>
                <w:highlight w:val="none"/>
                <w:u w:val="single"/>
              </w:rPr>
              <w:t>3个月</w:t>
            </w:r>
            <w:r>
              <w:rPr>
                <w:rFonts w:hint="eastAsia" w:ascii="宋体" w:hAnsi="宋体" w:cs="宋体"/>
                <w:color w:val="auto"/>
                <w:szCs w:val="21"/>
                <w:highlight w:val="none"/>
              </w:rPr>
              <w:t>内完成过程结算文件的编制、审核、签认工作。</w:t>
            </w:r>
          </w:p>
          <w:p w14:paraId="14A5B4E0">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未按要求完成过程结算的费用项, 最高支付金额不宜超过发包人审核确认的</w:t>
            </w:r>
            <w:r>
              <w:rPr>
                <w:rFonts w:hint="eastAsia" w:ascii="宋体" w:hAnsi="宋体" w:cs="宋体"/>
                <w:color w:val="auto"/>
                <w:szCs w:val="21"/>
                <w:highlight w:val="none"/>
                <w:u w:val="single"/>
              </w:rPr>
              <w:t xml:space="preserve"> 97 %</w:t>
            </w:r>
            <w:r>
              <w:rPr>
                <w:rFonts w:hint="eastAsia" w:ascii="宋体" w:hAnsi="宋体" w:cs="宋体"/>
                <w:color w:val="auto"/>
                <w:szCs w:val="21"/>
                <w:highlight w:val="none"/>
              </w:rPr>
              <w:t>, 过程结算后方可支付剩余金额。完工结算率低于30%的合同段, 在后续计量支付中可暂扣</w:t>
            </w:r>
            <w:r>
              <w:rPr>
                <w:rFonts w:hint="eastAsia" w:ascii="宋体" w:hAnsi="宋体" w:cs="宋体"/>
                <w:color w:val="auto"/>
                <w:szCs w:val="21"/>
                <w:highlight w:val="none"/>
                <w:u w:val="single"/>
              </w:rPr>
              <w:t xml:space="preserve"> 10 %</w:t>
            </w:r>
            <w:r>
              <w:rPr>
                <w:rFonts w:hint="eastAsia" w:ascii="宋体" w:hAnsi="宋体" w:cs="宋体"/>
                <w:color w:val="auto"/>
                <w:szCs w:val="21"/>
                <w:highlight w:val="none"/>
              </w:rPr>
              <w:t>的工程进度款。</w:t>
            </w:r>
          </w:p>
        </w:tc>
      </w:tr>
      <w:tr w14:paraId="744D1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766" w:type="dxa"/>
            <w:gridSpan w:val="4"/>
            <w:vAlign w:val="center"/>
          </w:tcPr>
          <w:p w14:paraId="6684590B">
            <w:pPr>
              <w:shd w:val="clear" w:fill="FFFFFF" w:themeFill="background1"/>
              <w:spacing w:line="276" w:lineRule="auto"/>
              <w:rPr>
                <w:rFonts w:ascii="宋体" w:hAnsi="宋体" w:cs="宋体"/>
                <w:color w:val="auto"/>
                <w:szCs w:val="21"/>
                <w:highlight w:val="none"/>
              </w:rPr>
            </w:pPr>
            <w:r>
              <w:rPr>
                <w:rFonts w:hint="eastAsia" w:ascii="宋体" w:hAnsi="宋体" w:cs="宋体"/>
                <w:color w:val="auto"/>
                <w:szCs w:val="21"/>
                <w:highlight w:val="none"/>
              </w:rPr>
              <w:t>需补充的其他内容</w:t>
            </w:r>
          </w:p>
        </w:tc>
      </w:tr>
      <w:tr w14:paraId="17E92A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4" w:hRule="atLeast"/>
          <w:jc w:val="center"/>
        </w:trPr>
        <w:tc>
          <w:tcPr>
            <w:tcW w:w="876" w:type="dxa"/>
            <w:gridSpan w:val="2"/>
            <w:vAlign w:val="center"/>
          </w:tcPr>
          <w:p w14:paraId="342CAD0A">
            <w:pPr>
              <w:shd w:val="clear" w:fill="FFFFFF" w:themeFill="background1"/>
              <w:spacing w:line="276" w:lineRule="auto"/>
              <w:jc w:val="center"/>
              <w:rPr>
                <w:rFonts w:ascii="宋体" w:hAnsi="宋体" w:cs="宋体"/>
                <w:color w:val="auto"/>
                <w:szCs w:val="21"/>
                <w:highlight w:val="none"/>
              </w:rPr>
            </w:pPr>
            <w:r>
              <w:rPr>
                <w:rFonts w:hint="eastAsia" w:ascii="宋体" w:hAnsi="宋体" w:cs="宋体"/>
                <w:color w:val="auto"/>
                <w:szCs w:val="21"/>
                <w:highlight w:val="none"/>
              </w:rPr>
              <w:t>6.5</w:t>
            </w:r>
          </w:p>
        </w:tc>
        <w:tc>
          <w:tcPr>
            <w:tcW w:w="8890" w:type="dxa"/>
            <w:gridSpan w:val="2"/>
            <w:vAlign w:val="center"/>
          </w:tcPr>
          <w:p w14:paraId="65658348">
            <w:pPr>
              <w:shd w:val="clear" w:fill="FFFFFF" w:themeFill="background1"/>
              <w:spacing w:line="276"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删除“6.5.1计算机系统配置”条款。</w:t>
            </w:r>
          </w:p>
        </w:tc>
      </w:tr>
      <w:tr w14:paraId="4D6F8C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4" w:hRule="atLeast"/>
          <w:jc w:val="center"/>
        </w:trPr>
        <w:tc>
          <w:tcPr>
            <w:tcW w:w="876" w:type="dxa"/>
            <w:gridSpan w:val="2"/>
            <w:vAlign w:val="center"/>
          </w:tcPr>
          <w:p w14:paraId="26A402F0">
            <w:pPr>
              <w:shd w:val="clear" w:fill="FFFFFF" w:themeFill="background1"/>
              <w:spacing w:line="276" w:lineRule="auto"/>
              <w:jc w:val="center"/>
              <w:rPr>
                <w:rFonts w:ascii="宋体" w:hAnsi="宋体" w:cs="宋体"/>
                <w:color w:val="auto"/>
                <w:szCs w:val="21"/>
                <w:highlight w:val="none"/>
              </w:rPr>
            </w:pPr>
            <w:r>
              <w:rPr>
                <w:rFonts w:hint="eastAsia" w:ascii="宋体" w:hAnsi="宋体" w:cs="宋体"/>
                <w:color w:val="auto"/>
                <w:szCs w:val="21"/>
                <w:highlight w:val="none"/>
              </w:rPr>
              <w:t>13.11</w:t>
            </w:r>
          </w:p>
        </w:tc>
        <w:tc>
          <w:tcPr>
            <w:tcW w:w="8890" w:type="dxa"/>
            <w:gridSpan w:val="2"/>
            <w:vAlign w:val="center"/>
          </w:tcPr>
          <w:p w14:paraId="574D7383">
            <w:pPr>
              <w:shd w:val="clear" w:fill="FFFFFF" w:themeFill="background1"/>
              <w:spacing w:line="276"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删除“13.11优质优价价款”条款</w:t>
            </w:r>
          </w:p>
        </w:tc>
      </w:tr>
      <w:tr w14:paraId="22EEBD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2" w:hRule="atLeast"/>
          <w:jc w:val="center"/>
        </w:trPr>
        <w:tc>
          <w:tcPr>
            <w:tcW w:w="876" w:type="dxa"/>
            <w:gridSpan w:val="2"/>
            <w:vAlign w:val="center"/>
          </w:tcPr>
          <w:p w14:paraId="4E719BC8">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25.1</w:t>
            </w:r>
          </w:p>
        </w:tc>
        <w:tc>
          <w:tcPr>
            <w:tcW w:w="8890" w:type="dxa"/>
            <w:gridSpan w:val="2"/>
            <w:vAlign w:val="center"/>
          </w:tcPr>
          <w:p w14:paraId="27C08653">
            <w:pPr>
              <w:shd w:val="clear" w:fill="FFFFFF" w:themeFill="background1"/>
              <w:ind w:firstLine="420" w:firstLineChars="200"/>
              <w:rPr>
                <w:rFonts w:ascii="宋体" w:hAnsi="宋体" w:cs="宋体"/>
                <w:color w:val="auto"/>
                <w:szCs w:val="21"/>
                <w:highlight w:val="none"/>
              </w:rPr>
            </w:pPr>
            <w:r>
              <w:rPr>
                <w:rFonts w:hint="eastAsia" w:ascii="宋体" w:hAnsi="宋体" w:cs="宋体"/>
                <w:color w:val="auto"/>
                <w:szCs w:val="21"/>
                <w:highlight w:val="none"/>
              </w:rPr>
              <w:t>删除“25.1 质量、进度奖励”条款</w:t>
            </w:r>
          </w:p>
        </w:tc>
      </w:tr>
    </w:tbl>
    <w:p w14:paraId="07559D1E">
      <w:pPr>
        <w:shd w:val="clear" w:fill="FFFFFF" w:themeFill="background1"/>
        <w:spacing w:before="240" w:after="240"/>
        <w:jc w:val="center"/>
        <w:rPr>
          <w:rFonts w:ascii="宋体" w:hAnsi="宋体" w:cs="宋体"/>
          <w:b/>
          <w:color w:val="auto"/>
          <w:sz w:val="32"/>
          <w:szCs w:val="32"/>
          <w:highlight w:val="none"/>
        </w:rPr>
      </w:pPr>
      <w:bookmarkStart w:id="1684" w:name="_Toc505844494"/>
      <w:bookmarkEnd w:id="1684"/>
      <w:bookmarkStart w:id="1685" w:name="_Toc16186"/>
      <w:bookmarkStart w:id="1686" w:name="_Toc505844504"/>
      <w:r>
        <w:rPr>
          <w:rFonts w:hint="eastAsia"/>
          <w:color w:val="auto"/>
          <w:highlight w:val="none"/>
        </w:rPr>
        <w:br w:type="page"/>
      </w:r>
      <w:r>
        <w:rPr>
          <w:rFonts w:hint="eastAsia" w:ascii="宋体" w:hAnsi="宋体" w:cs="宋体"/>
          <w:b/>
          <w:color w:val="auto"/>
          <w:sz w:val="32"/>
          <w:szCs w:val="32"/>
          <w:highlight w:val="none"/>
        </w:rPr>
        <w:t>项目专用合同条款</w:t>
      </w:r>
    </w:p>
    <w:p w14:paraId="2205655B">
      <w:pPr>
        <w:shd w:val="clear" w:fill="FFFFFF" w:themeFill="background1"/>
        <w:spacing w:line="400" w:lineRule="exact"/>
        <w:jc w:val="left"/>
        <w:rPr>
          <w:rFonts w:ascii="宋体" w:hAnsi="宋体" w:cs="宋体"/>
          <w:color w:val="auto"/>
          <w:sz w:val="24"/>
          <w:highlight w:val="none"/>
        </w:rPr>
      </w:pPr>
      <w:r>
        <w:rPr>
          <w:rFonts w:hint="eastAsia" w:ascii="宋体" w:hAnsi="宋体" w:cs="宋体"/>
          <w:color w:val="auto"/>
          <w:sz w:val="24"/>
          <w:highlight w:val="none"/>
        </w:rPr>
        <w:t>说明：本部分所列的项目专用合同条款是对“公路工程专用合同条款”中规定必须在项目专用合同条款中明确的内容的集中，招标人编制的“项目专用合同条款”不限于本部分所列内容。合同条款中如果国家或有关部门颁布了新的技术标准或规范，则应采用新的标准或规范进行执行。</w:t>
      </w:r>
    </w:p>
    <w:p w14:paraId="611AF645">
      <w:pPr>
        <w:shd w:val="clear" w:fill="FFFFFF" w:themeFill="background1"/>
        <w:ind w:firstLine="480" w:firstLineChars="200"/>
        <w:rPr>
          <w:rFonts w:ascii="宋体" w:hAnsi="宋体" w:cs="宋体"/>
          <w:color w:val="auto"/>
          <w:sz w:val="24"/>
          <w:highlight w:val="none"/>
        </w:rPr>
      </w:pPr>
    </w:p>
    <w:p w14:paraId="278CFB9C">
      <w:pPr>
        <w:shd w:val="clear" w:fill="FFFFFF" w:themeFill="background1"/>
        <w:ind w:firstLine="480" w:firstLineChars="200"/>
        <w:rPr>
          <w:rFonts w:ascii="宋体" w:hAnsi="宋体" w:cs="宋体"/>
          <w:color w:val="auto"/>
          <w:sz w:val="24"/>
          <w:highlight w:val="none"/>
        </w:rPr>
      </w:pPr>
    </w:p>
    <w:p w14:paraId="61BB9D63">
      <w:pPr>
        <w:shd w:val="clear" w:fill="FFFFFF" w:themeFill="background1"/>
        <w:spacing w:line="400" w:lineRule="exact"/>
        <w:rPr>
          <w:rFonts w:ascii="宋体" w:hAnsi="宋体" w:cs="宋体"/>
          <w:b/>
          <w:bCs/>
          <w:color w:val="auto"/>
          <w:sz w:val="24"/>
          <w:highlight w:val="none"/>
        </w:rPr>
      </w:pPr>
      <w:r>
        <w:rPr>
          <w:rFonts w:hint="eastAsia" w:ascii="宋体" w:hAnsi="宋体" w:cs="宋体"/>
          <w:b/>
          <w:bCs/>
          <w:color w:val="auto"/>
          <w:sz w:val="24"/>
          <w:highlight w:val="none"/>
        </w:rPr>
        <w:t>1、一般约定</w:t>
      </w:r>
    </w:p>
    <w:p w14:paraId="3A17633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 词语定义</w:t>
      </w:r>
    </w:p>
    <w:p w14:paraId="4C8303D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 1.1.2 款细化为：</w:t>
      </w:r>
    </w:p>
    <w:p w14:paraId="3E48ADF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 合同当事人和人员</w:t>
      </w:r>
    </w:p>
    <w:p w14:paraId="624EF5E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本项补充第 1.1.2.9 目～第 1.1.2.11 目：</w:t>
      </w:r>
    </w:p>
    <w:p w14:paraId="5674A7E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1.1.2.9 发包人代表：</w:t>
      </w:r>
    </w:p>
    <w:p w14:paraId="215D812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发包人代表（或称发包人驻地代表）是发包人派出到合同段执行发包人授予的一定权力及职责的现场管理人员。</w:t>
      </w:r>
    </w:p>
    <w:p w14:paraId="40AECB0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1.1.2.10 试验检测中心承包人（试验人）：</w:t>
      </w:r>
    </w:p>
    <w:p w14:paraId="0E9D7FF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受发包人委托实施本合同工程试验检测工作管理的法人或其他组织，代表发包人对本合同工程进行抽检，以及对承包人的试验检测工作进行现场管理。</w:t>
      </w:r>
    </w:p>
    <w:p w14:paraId="44296AA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1.1.2.11 第三方监测、风险管理及科研单位：</w:t>
      </w:r>
    </w:p>
    <w:p w14:paraId="2CCBF19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受发包人委托实施本合同工程监测、风险管理及科研任务的法人或其他组织。</w:t>
      </w:r>
    </w:p>
    <w:p w14:paraId="2B8A1A0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1.1.6 其他</w:t>
      </w:r>
    </w:p>
    <w:p w14:paraId="66B747E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本项补充第 1.1.6.10 目：</w:t>
      </w:r>
    </w:p>
    <w:p w14:paraId="0B9DE7A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1.1.6.10 首件工程认可制：</w:t>
      </w:r>
    </w:p>
    <w:p w14:paraId="725939D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简称首件制，指每一个分项工程开工前，承包人先按施工组织设计中的工艺技术要求完成样品工程，随后对样品的各项质量指标进行检测，并对检测结果进行分析、对比，再对施工组织设计进行修改完善。承包人从满足要求的试件中确定一个优良的首件，从程序报建、技术培训、技术交底、材料进场、施工方案和施工工艺、材料试验、现场管理和质量控制等方面，整理出一套标准样本，获得更科学、更合理的施工参数、质量保证措施和安全保证措施，并作为施工（批量生产）的依据，使施工（批量生产）过程中整个工程质量和外观效果处于可控范围内，杜绝施工（批量生产）后可能产生的各种质量隐患。凡未经首件工程认可的工艺过程，一律不得批量应用。</w:t>
      </w:r>
    </w:p>
    <w:p w14:paraId="47A4FECA">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 图纸和承包人文件</w:t>
      </w:r>
    </w:p>
    <w:p w14:paraId="6A6EDAC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 图纸的提供</w:t>
      </w:r>
    </w:p>
    <w:p w14:paraId="6EE0EFA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03630D4A">
      <w:pPr>
        <w:shd w:val="clear" w:fill="FFFFFF" w:themeFill="background1"/>
        <w:spacing w:line="400" w:lineRule="exact"/>
        <w:ind w:firstLine="480" w:firstLineChars="200"/>
        <w:rPr>
          <w:rFonts w:ascii="宋体" w:hAnsi="宋体" w:cs="宋体"/>
          <w:color w:val="auto"/>
          <w:sz w:val="24"/>
          <w:highlight w:val="none"/>
        </w:rPr>
      </w:pPr>
    </w:p>
    <w:p w14:paraId="2CB6A86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发包人应在发出中标通知书之后 42 天内，向承包人免费提供由发包人或其委托的设计单位设计的施工图纸、技术规范和其他技术资料 2 份，并向承包人进行技术交底。承包人需要更多份数时，应自费复制。上述图纸、技术规范和其他技术资料，未经发包人同意，承包人不得提供给与本工程无关的第三方。</w:t>
      </w:r>
    </w:p>
    <w:p w14:paraId="466B7B2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1.6.3 图纸的修改</w:t>
      </w:r>
    </w:p>
    <w:p w14:paraId="472E6C9D">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本项补充：</w:t>
      </w:r>
    </w:p>
    <w:p w14:paraId="68CF2E2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承包人不得对施工图的任何部分进行修改，所有设计修改必须经设计单位认可及发包人同意，否则视为承包人违约并按 22.1 款处理。</w:t>
      </w:r>
    </w:p>
    <w:p w14:paraId="6D6D0B9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1.6.4 图纸的错误</w:t>
      </w:r>
    </w:p>
    <w:p w14:paraId="48E9901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61AA614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须组织相关技术工作人员对有关的工程设计、技术规范、图纸或其他资料进行复核，发现资料中的任何差错、遗漏或缺陷后，应及时通知监理人。承包人未能在合同规定的时间内将发现的有关工程设计、技术规范、图纸或其他资料中的差错、遗漏或缺陷通知监理人的，由此造成的一切损失和责任均由承包人承担。</w:t>
      </w:r>
    </w:p>
    <w:p w14:paraId="62F2712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针对图纸与工程量清单的差、错、漏等问题，承包人应在合同签订后 3 个月内提出，合同签订后 6 个月内完成设计工程量核查，统一作为一次变更处理。</w:t>
      </w:r>
    </w:p>
    <w:p w14:paraId="07E1898D">
      <w:pPr>
        <w:shd w:val="clear" w:fill="FFFFFF" w:themeFill="background1"/>
        <w:spacing w:line="400" w:lineRule="exact"/>
        <w:ind w:firstLine="480" w:firstLineChars="200"/>
        <w:rPr>
          <w:rFonts w:ascii="宋体" w:hAnsi="宋体" w:cs="宋体"/>
          <w:color w:val="auto"/>
          <w:sz w:val="24"/>
          <w:highlight w:val="none"/>
        </w:rPr>
      </w:pPr>
    </w:p>
    <w:p w14:paraId="784CA2C2">
      <w:pPr>
        <w:shd w:val="clear" w:fill="FFFFFF" w:themeFill="background1"/>
        <w:spacing w:line="400" w:lineRule="exact"/>
        <w:rPr>
          <w:rFonts w:ascii="宋体" w:hAnsi="宋体" w:cs="宋体"/>
          <w:b/>
          <w:bCs/>
          <w:color w:val="auto"/>
          <w:sz w:val="24"/>
          <w:highlight w:val="none"/>
        </w:rPr>
      </w:pPr>
      <w:r>
        <w:rPr>
          <w:rFonts w:hint="eastAsia" w:ascii="宋体" w:hAnsi="宋体" w:cs="宋体"/>
          <w:b/>
          <w:bCs/>
          <w:color w:val="auto"/>
          <w:sz w:val="24"/>
          <w:highlight w:val="none"/>
        </w:rPr>
        <w:t>2. 发包人义务</w:t>
      </w:r>
    </w:p>
    <w:p w14:paraId="546EEBF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 提供施工场地</w:t>
      </w:r>
    </w:p>
    <w:p w14:paraId="6751B5D2">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0286254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应主动协助发包人做好本合同段范围内土地征收、房屋拆迁及管线迁改工作。如果由于发包人未能按照本款规定办妥永久占地征用手续，影响承包人工程施工的，承包人须及时调整工程施工组织安排，合理组织和安排工程施工。</w:t>
      </w:r>
    </w:p>
    <w:p w14:paraId="6C25398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但如果由于承包人未能按照本款规定提交占地计划，因而影响发包人办理永久工程占地征用手续而导致延误工期或增加费用，则由承包人自行负责。</w:t>
      </w:r>
    </w:p>
    <w:p w14:paraId="5829FEC5">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2.8 其他义务</w:t>
      </w:r>
    </w:p>
    <w:p w14:paraId="52F4746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本款补充：</w:t>
      </w:r>
    </w:p>
    <w:p w14:paraId="15F7EE2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发包人不提供进出施工现场的水、陆交通通道，不提供水、电、通讯的接入点及施工船舶临时停泊水域及停靠码头，由承包人自行落实解决，相关费用已包含在合同价格中，发包人不另行支付（除合同另有约定外）。</w:t>
      </w:r>
    </w:p>
    <w:p w14:paraId="62707F1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施工过程中的淤泥、弃方、建筑垃圾等抛弃地点（倾倒区）由承包人自行解决，并负责办理相关许可手续，承担因申请和使用倾倒区的一切费用（含环境监测、渔业资源补偿等），相关费用已包含在合同价格中（除合同另有约定外）。如承包人不按要求倾倒淤泥、弃方、建筑垃圾等引起的一切责任（包括违约金、赔偿等）均由承包人负责。</w:t>
      </w:r>
    </w:p>
    <w:p w14:paraId="0BB6D5B1">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（3）发包人应在合同签订前向承包人提供工程款支付担保。</w:t>
      </w:r>
    </w:p>
    <w:p w14:paraId="5503D080">
      <w:pPr>
        <w:shd w:val="clear" w:fill="FFFFFF" w:themeFill="background1"/>
        <w:spacing w:line="400" w:lineRule="exact"/>
        <w:ind w:firstLine="480" w:firstLineChars="200"/>
        <w:rPr>
          <w:rFonts w:ascii="宋体" w:hAnsi="宋体" w:cs="宋体"/>
          <w:color w:val="auto"/>
          <w:sz w:val="24"/>
          <w:highlight w:val="none"/>
        </w:rPr>
      </w:pPr>
    </w:p>
    <w:p w14:paraId="0DBB4BA8">
      <w:pPr>
        <w:shd w:val="clear" w:fill="FFFFFF" w:themeFill="background1"/>
        <w:spacing w:line="400" w:lineRule="exact"/>
        <w:rPr>
          <w:rFonts w:ascii="宋体" w:hAnsi="宋体" w:cs="宋体"/>
          <w:b/>
          <w:bCs/>
          <w:color w:val="auto"/>
          <w:sz w:val="24"/>
          <w:highlight w:val="none"/>
        </w:rPr>
      </w:pPr>
      <w:r>
        <w:rPr>
          <w:rFonts w:hint="eastAsia" w:ascii="宋体" w:hAnsi="宋体" w:cs="宋体"/>
          <w:b/>
          <w:bCs/>
          <w:color w:val="auto"/>
          <w:sz w:val="24"/>
          <w:highlight w:val="none"/>
        </w:rPr>
        <w:t>3.监理人</w:t>
      </w:r>
    </w:p>
    <w:p w14:paraId="3A900FA0">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 监理人的职责和权力</w:t>
      </w:r>
    </w:p>
    <w:p w14:paraId="3957BE2B">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 3.1.1 项补充：</w:t>
      </w:r>
    </w:p>
    <w:p w14:paraId="0E09579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3.1.1（6）本项细化为：</w:t>
      </w:r>
    </w:p>
    <w:p w14:paraId="3B4AED28">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（6）根据第 15.3 款发出的变更指示，均需要经发包人事先批准。</w:t>
      </w:r>
    </w:p>
    <w:p w14:paraId="018E90F9">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增加以下内容：监理人关于本合同段工程的有关决定，都必须抄送发包人。发包人和承包人双方对工程施工的有关协议或决定，必须抄送监理人。监理人涉及工程变更、工程量增减、议价、索赔、改变工期、改变技术标准、改变重大施工技术方案，以及与费用有关的指令，均需事先与发包人协商，发包人书面认可后方能生效。</w:t>
      </w:r>
    </w:p>
    <w:p w14:paraId="1C8F8833">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 3.1.2 项补充：</w:t>
      </w:r>
    </w:p>
    <w:p w14:paraId="18963D16">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本合同规定必须经发包人另行批准的事项外，如果监理人已经行使了上述职权，都应认为已从发包人处取得了必要的批准。但如果监理人的某些决定不妥或有错误，不妨碍政府监督部门或发包人事后进行撤销或变更。</w:t>
      </w:r>
    </w:p>
    <w:p w14:paraId="1D3B7BD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本条增加第 3.6 款和第 3.7 款：</w:t>
      </w:r>
    </w:p>
    <w:p w14:paraId="0A0D153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 发包人、监理人、试验人、承包人、风险管理等单位的关系</w:t>
      </w:r>
    </w:p>
    <w:p w14:paraId="6433FE57">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3.6.1 在整个建设过程中，发包人与监理人、试验人、第三方监测、风险管理单位之间是委托与被委托的关系；监理人与承包人是监理与被监理的关系；承包人在项目实施过程中，必须接受发包人的统一管理，同时应按合同规定接受监理人和试验人的监督和管理。任何与施工承包合同有关的施工活动，都必须同时经发包人和监理人审查认定认为符合合同规定，发包人才同意计量。承包人应服从发包人的统一协调，积极配合发包人委托的单位开展工作，相关费用已包含在合同总价中。</w:t>
      </w:r>
    </w:p>
    <w:p w14:paraId="1DE2C91F">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3.6.2 本项目工程实行承包人自检、社会监理（含试验人）、发包人管理和政府监督的质量保证体系。对工程质量出现问题而降低质量标准或返工而造成的一切经济和工期损失，由承包人承担，并视为承包人违约；监理人根据监理合同规定负监理不周的责任。监理人对某一分部或分项工程的认可不影响政府机构或发包人在事后的否定。</w:t>
      </w:r>
    </w:p>
    <w:p w14:paraId="3FFDFD4E">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 发包人代表（或称发包人驻地代表）</w:t>
      </w:r>
    </w:p>
    <w:p w14:paraId="57912C44">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3.7.1 发包人代表根据发包人的授权，代表发包人履行项目管理和控制职责，具体职责和权限由发包人另行明确。</w:t>
      </w:r>
    </w:p>
    <w:p w14:paraId="156B742C">
      <w:pPr>
        <w:shd w:val="clear" w:fill="FFFFFF" w:themeFill="background1"/>
        <w:spacing w:line="4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3.7.2 发包人代表对承包人的现场工程质量、进度、安全、文明环保等进行检查和督导，并有权要求承包人对存在问题进行整改。</w:t>
      </w:r>
    </w:p>
    <w:p w14:paraId="34427495">
      <w:pPr>
        <w:shd w:val="clear" w:fill="FFFFFF" w:themeFill="background1"/>
        <w:spacing w:line="400" w:lineRule="exact"/>
        <w:ind w:firstLine="480" w:firstLineChars="200"/>
        <w:rPr>
          <w:rFonts w:ascii="宋体" w:hAnsi="宋体" w:cs="宋体"/>
          <w:color w:val="auto"/>
          <w:sz w:val="24"/>
          <w:highlight w:val="none"/>
        </w:rPr>
      </w:pPr>
    </w:p>
    <w:p w14:paraId="563706F3">
      <w:pPr>
        <w:pStyle w:val="61"/>
        <w:shd w:val="clear" w:fill="FFFFFF" w:themeFill="background1"/>
        <w:spacing w:line="360" w:lineRule="auto"/>
        <w:rPr>
          <w:rFonts w:ascii="宋体" w:hAnsi="宋体" w:cs="宋体"/>
          <w:b/>
          <w:color w:val="auto"/>
          <w:sz w:val="24"/>
          <w:szCs w:val="21"/>
          <w:highlight w:val="none"/>
        </w:rPr>
      </w:pPr>
      <w:r>
        <w:rPr>
          <w:rFonts w:hint="eastAsia" w:ascii="宋体" w:hAnsi="宋体" w:cs="宋体"/>
          <w:b/>
          <w:color w:val="auto"/>
          <w:sz w:val="24"/>
          <w:szCs w:val="21"/>
          <w:highlight w:val="none"/>
        </w:rPr>
        <w:t>4、承包人</w:t>
      </w:r>
    </w:p>
    <w:p w14:paraId="3225FFCD">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4.1承包人的一般义务</w:t>
      </w:r>
    </w:p>
    <w:p w14:paraId="302B69E8">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4.1.2 依法纳税</w:t>
      </w:r>
    </w:p>
    <w:p w14:paraId="1FF84C30">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本项补充：</w:t>
      </w:r>
    </w:p>
    <w:p w14:paraId="5F7B53AD">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省、市和地方有关单位要收取的税费和规费（包括但不限于按交通运输部公布的《公路工程建设项目概算预算编制办法》(JTG 3830-2018)规定的建筑安装工程造价内的增值税、城市维护建设税、教育费附加和地方教育附加税、堤围防护费等），已包含在工程量清单单价及总价中，由承包人负责缴纳并承担所需费用。</w:t>
      </w:r>
    </w:p>
    <w:p w14:paraId="3AE5A341">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4.1.4 对施工作业和施工方法的完备性负责</w:t>
      </w:r>
    </w:p>
    <w:p w14:paraId="1219C5B0">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本项细化为：</w:t>
      </w:r>
    </w:p>
    <w:p w14:paraId="2445BCF9">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承包人应按合同约定的工作内容和施工进度要求，根据《广东省高速公路工程施工组织设计和施工方案标准化管理指南》编制施工组织设计和施工方案，并对所有施工作业和施工方案的完备性和安全可靠性负责。承包人应对施工组织设计和施工方案开展内部审查、专家论证（必要时）和报批工作。</w:t>
      </w:r>
    </w:p>
    <w:p w14:paraId="7F777EE4">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4.1.5 保证工程施工和人员的安全</w:t>
      </w:r>
    </w:p>
    <w:p w14:paraId="7DE4F002">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本项补充：</w:t>
      </w:r>
    </w:p>
    <w:p w14:paraId="437DFE1E">
      <w:pPr>
        <w:pStyle w:val="61"/>
        <w:shd w:val="clear" w:fill="FFFFFF" w:themeFill="background1"/>
        <w:spacing w:line="360" w:lineRule="auto"/>
        <w:ind w:firstLine="480"/>
        <w:rPr>
          <w:rFonts w:ascii="宋体" w:hAnsi="宋体" w:cs="宋体"/>
          <w:color w:val="auto"/>
          <w:sz w:val="24"/>
          <w:szCs w:val="21"/>
          <w:highlight w:val="none"/>
        </w:rPr>
      </w:pPr>
      <w:r>
        <w:rPr>
          <w:rFonts w:hint="eastAsia" w:ascii="宋体" w:hAnsi="宋体" w:cs="宋体"/>
          <w:color w:val="auto"/>
          <w:sz w:val="24"/>
          <w:szCs w:val="21"/>
          <w:highlight w:val="none"/>
        </w:rPr>
        <w:t>承包人在施工中必须按相关规定和标准设置安全标志、标牌等必要的安全设施，否则发包人将委托其他单位制作或设置，发生的费用从安全生产费中扣除，不足部分从工程款中扣除。</w:t>
      </w:r>
    </w:p>
    <w:p w14:paraId="3B6DBFB1">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4.1.7 避免施工对公众与他人的利益造成损害</w:t>
      </w:r>
    </w:p>
    <w:p w14:paraId="1B9094E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本款细化为：</w:t>
      </w:r>
    </w:p>
    <w:p w14:paraId="116807C1">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(1)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0E5D3D0">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(2)承包人对实施和完成本合同工程及缺陷修复工程中的一切施工作业（尤其是爆破作业、钻孔桩施工、路基路面碾压等存在震动的施工作业以及需要临时改变当地交通、灌溉、排水现状的施工作业），有责任采取足够的预防措施，以保证不影响临近建筑物、构造物的安全与正常使用，不对群众的财产造成损失，也不干扰群众的生产、生活和通行方便（难以避免的一定程度的干扰除外），如发生上述情况，并由此导致索赔、赔偿、诉讼费用及其他开支时，应由承包人承担一切责任及费用。承包人在报价和组织施工时应充分考虑这一因素。</w:t>
      </w:r>
    </w:p>
    <w:p w14:paraId="4B13237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（3）承包人在实施和完成本合同工程及缺陷修复工作中的一切施工作业，在经过原地貌为鱼塘时，须在征地红线处筑设围堰分界，围堰需坚固且堰顶标高应高出原塘基至少 0.5 米，以保证施工作业不污染、不影响征地红线外鱼塘的养殖与正常使用，不对群众的财产造成损失，施工过程也不干扰群众的生产。如因承包人责任（如施工考虑不周或措施不当等）而造成征地红线外鱼塘污染的，承包人应负责对涉及的鱼塘进行清淤处理，并由此导致施工受阻、停工、索赔、赔偿、诉讼费用及其他开支时，应由承包人自行处理并承担一切责任及费用，同时发包人有权要求承包人采取措施进行补救。若承包人拒不接受或在限期内未采取必要措施的，发包人有权委托其他承包人或分包人进行补救，产生费用由承包人承担。承包人在报价和组织施工时应充分考虑这一因素。</w:t>
      </w:r>
    </w:p>
    <w:p w14:paraId="32AF381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（4）承包人未经河道管理部门许可，不得擅自改变河岸现水边线、采用推填方式占用河道解决施工作业面不足或施工便道问题，否则引起的一切后果由承包人承担。</w:t>
      </w:r>
    </w:p>
    <w:p w14:paraId="11AE171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（5）如桥梁桩基位于水域等地基软弱地段，承包人应采取相应的施工辅助措施，发生费用已包含在合同总价中。</w:t>
      </w:r>
    </w:p>
    <w:p w14:paraId="040631F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（6）承包人应按交警、交通、铁路、航道、海事、国土、市政园林、水务、管道等管理部门的规定办理施工方案报批等相关手续，相关费用已包含在合同总价中（除合同另有约定外）。</w:t>
      </w:r>
    </w:p>
    <w:p w14:paraId="768B8E5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承包人利用现有道路作为施工便道的，需对道路采取一定的保护措施，施工完成后应以不低于现有标准对施工损坏的道路进行修复（具体标准须满足权属单位的要求），由此产生的一切费用均由承包人承担。</w:t>
      </w:r>
    </w:p>
    <w:p w14:paraId="1D1D249D">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7）承包人在实施和完成本合同工程及缺陷修复工作中的一切施工作业应保证发包人免于承担因承包人借用、占用或使用当地道路、铁路、航道、市政、水利或其他公共设施所引发的补偿费、诉讼费、损害赔偿、指控费及其他开支。一旦发生，发包人有权在承包人的工程进度款或结算款中扣回。</w:t>
      </w:r>
    </w:p>
    <w:p w14:paraId="04681D9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8）承包人应按有关环境保护、水土保持、文物保护、通航安全、防洪安全、放射性环境评价、压覆矿床等专项评价报告以及相关审批部门批复意见的要求进行施工，在施工过程中采用的施工工艺和施工措施所需费用已包含在合同总价中(除合同另有约定外)。</w:t>
      </w:r>
    </w:p>
    <w:p w14:paraId="6EC8160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（9）承包人由于未切实履行以上条款的约定，导致发生工程阻工、停工，造成项目工期延误，视为承包人违约，按 22.1 条处理。</w:t>
      </w:r>
    </w:p>
    <w:p w14:paraId="7A4DD131">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4.1.8 为他人提供方便</w:t>
      </w:r>
    </w:p>
    <w:p w14:paraId="32B80FEC">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本款细化为：</w:t>
      </w:r>
    </w:p>
    <w:p w14:paraId="5551EE93">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1）承包人应免费提供临时道路、便桥给本项目其他参建单位使用，并提供方便。承包人在施工期内，必须密切配合其他承包人在本合同段范围内的施工作业。如发生冲突，承包人应无条件接受发包人的协调及安排。</w:t>
      </w:r>
    </w:p>
    <w:p w14:paraId="506209B1">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2）如果本项目的预制构件由预制合同段统一预制，无论运输安装由预制合同段负责还是使用单位自行负责，承包人应积极配合，免费提供临时道路、便桥供预制构件运输使用，并做好便道便桥的维护，确保安全畅通。</w:t>
      </w:r>
    </w:p>
    <w:p w14:paraId="698ADE82">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（3）承包人应按照监理人或发包人的要求负责安装其他工程所需的预埋件。由于承包人未按相关设计图纸施工预埋件，造成的损失（包括拆除、重新预埋所需费用）由承包人承担。</w:t>
      </w:r>
    </w:p>
    <w:p w14:paraId="11178CD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（4）承包人应配合试验、检测单位完成相应的试验或检测工作，包括桩基检测、地质钻孔等，所需配合费用已包含在合同总价中（桩基静载、梁板荷载试验除外）。</w:t>
      </w:r>
    </w:p>
    <w:p w14:paraId="13AFFB4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4.1.10其他义务</w:t>
      </w:r>
    </w:p>
    <w:p w14:paraId="0FF6A22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第 4.1.10（1）目补充：</w:t>
      </w:r>
    </w:p>
    <w:p w14:paraId="30E4EB70">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临时用地的面积和使用期应满足工程需要和《广东省公路工程施工标准化指南》的要求，因临时占地发生的协调、租用、复耕、验收等相关费用由承包人承担。临时用地中如有地面附着物（包括但不限于电力、电信、房屋、坟墓等），其拆迁补偿费用已计入合同总价中。临时用地必须按规定办理相关手续，且不得对周边环境、公众及他人造成损害。</w:t>
      </w:r>
    </w:p>
    <w:p w14:paraId="3434B0B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将本款第 4.1.10(2)目细化为：</w:t>
      </w:r>
    </w:p>
    <w:p w14:paraId="1B505E0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(2)除合同另有规定外，承包人应承担并支付为获得本合同工程所需的石料、砂、砾石、黏土或其他当地材料等所发生的料场使用费及其他开支或补偿费。发包人应尽可能协助承包人办理料场租用手续及解决使用过程中的有关问题。承包人应按发包人要求将砂、石料等地材的供货合同等资料提供给发包人和监理人备案。取材的料场和货源应保持相对固定，承包人及其供货人应接受发包人和监理人的监督检查，如有变更应及时通知发包人或监理人并送交相应有关资料。监理人征得发包人同意后有权要求承包人更换不符合要求的料场，承包人必须接受。</w:t>
      </w:r>
    </w:p>
    <w:p w14:paraId="474DF3F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将本款第 4.1.10(3)目细化为：</w:t>
      </w:r>
    </w:p>
    <w:p w14:paraId="658306B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w:t>
      </w:r>
    </w:p>
    <w:p w14:paraId="1A2A1AA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承包人要加强对分包企业劳动用工和工资发放的监督管理，不得以工程款未到位等为由克扣或拖欠民工工资，不得将合同应收工程款等经营风险转嫁给民工；因承包人将工程转包或违法分包致使拖欠民工工资的，由承包人依法承担清偿责任。承包人项目部应当配备劳资专管员，对民工实行实名制管理，通过登录广东省交通运输厅工程建设管养平台（实名制管理系统）为每一位进场工人建立实名制档案，记录施工人员进出场情况和施工现场作业民工的身份信息、劳动考勤与计量，建立劳动计酬手册、工资结算与支付等管理台账，实时掌握施工现场用工及其工资支付情况，不得以包代管。</w:t>
      </w:r>
    </w:p>
    <w:p w14:paraId="75DE4D5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工资支付表应如实记录支付单位、支付时间、支付对象、支付数额、支付对象的身份证号和签字等信息。承包人应签订劳务合同，必须明确上述主要条款，并对主要条款进行细化，防止恶意讨薪者恶意上访，民工花名册和工资支付表应报监理人备查。</w:t>
      </w:r>
    </w:p>
    <w:p w14:paraId="495D842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将本款第 4.1.10(4)目细化为：</w:t>
      </w:r>
    </w:p>
    <w:p w14:paraId="1075AF1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分解工程价款中的人工费用，在工程项目所在地银行开设民工工资（劳务费）专用账户，专项用于支付民工工资。项目实行分包人农民工工资委托承包人代发制度，分包人负责按月计算每位民工当月或上月应得工资额，承包人核查分包人提交的经民工签字确认的工资支付表，承包人的开户银行应根据承包人提供的经民工本人签字确认工资支付表，通过承包人设立的民工工资（劳务费）专用账户直接将工资划入民工个人工资账户。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7DEB0309">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将本款第 4.1.10(6)目细化为：</w:t>
      </w:r>
    </w:p>
    <w:p w14:paraId="720B454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承包人应履行的其他义务：</w:t>
      </w:r>
    </w:p>
    <w:p w14:paraId="4E64A830">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①工序衔接与协调</w:t>
      </w:r>
    </w:p>
    <w:p w14:paraId="0D2B7BE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多个承包人在同一区域施工时，发包人和监理人有权协调工程的实施并对工程的衔接发出指示，承包人应在发包人和监理人的统一协调下工作，承包人由此增加的费用已包含在合同总价中。</w:t>
      </w:r>
    </w:p>
    <w:p w14:paraId="049916C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施工用地和临时用地交付承包人后，承包人应采取有效的措施进行管控，包括必要的围蔽和安保措施，防止与本项目无关的人员或单位进入、借用、占用或侵占（发包人同意的除外），否则由此引起的施工干扰、工程方案变更、工期延后、费用增加等一切后果由承包人承担。</w:t>
      </w:r>
    </w:p>
    <w:p w14:paraId="7E1356D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交工验收前，承包人应将测量控制点、高边坡、软基、桥梁等观测点的资料移交给养护单位使用。</w:t>
      </w:r>
    </w:p>
    <w:p w14:paraId="4B1EED2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②施工工艺要求</w:t>
      </w:r>
    </w:p>
    <w:p w14:paraId="0D62A4A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采取一切必要的措施，严格执行《广东省公路工程施工标准化指南》、《广东省高速公路公路施工安全标准化指南》和施工过程中发包人下发的工程管理手册（或创新工艺工法要求）、标准化和标杆管理、技术规范的各项规定，以及在建设过程中发包人提出的工艺工法要求，以保证达到合同规定的质量标准。在工程竣工质量要求较招标文件技术规范未发生改变的情况下，发包人或监理人对施工工艺提出的合理要求，原则上承包人不得就此要求发包人给予额外费用补偿，由此发生的一切费用视为已计入合同总价中。发包人提出或受施工条件限制需改变原施工工艺（工法）的，按 16.5 款约定执行。发包人推广先进工艺工法，如钢筋部品工艺、高温蒸养环形生产线预制场等，原则上承包人不得就此要求发包人给予额外费用补偿，由此发生的一切费用视为已计入合同总价中。</w:t>
      </w:r>
    </w:p>
    <w:p w14:paraId="4779699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③卫生与供水</w:t>
      </w:r>
    </w:p>
    <w:p w14:paraId="38F165D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自费采取应有的卫生防护措施，经常保持现场及其驻地整洁和卫生，为其雇用的员工供应清洁的饮用水和合格的生活用水，以保护职员和工人的健康。在炎热的高温条件下施工时，承包人应注意采取防暑降温措施。</w:t>
      </w:r>
    </w:p>
    <w:p w14:paraId="2BF69837">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在组织人员进驻工程现场时，应切实采取预防疫情的有效措施，配备必要的医疗用品、以及消毒、测温、通风等设施、设备，加强疫情防控工作。承包人应至少设一名专职的、具有一定卫生常识及传染病防治知识的卫生督查员，负责承包人所在施工现场的传染病检查、控制和报告工作。供餐 50 人以上食堂必须向当地县级市场监管部门申办食品经营许可证。</w:t>
      </w:r>
    </w:p>
    <w:p w14:paraId="075B86B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还应建立人员流动登记制度，信息报告制度，与当地卫生防疫部门积极合作，做好各项防范措施的落实工作。一旦暴发任何具有传染性的疾病时，承包人应遵守并执行当地政府或卫生防疫部门为防治和消灭上述传染病蔓延而制订的规章、命令和要求，并及时报告当地卫生防疫部门及发包人。</w:t>
      </w:r>
    </w:p>
    <w:p w14:paraId="55F7BAA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将其采取上述措施而可能发生的全部费用计入投标报价中，发包人将不另行支付。如发生属不可抗力的公共卫生事件，承包人采取防控措施而发生的费用，参照政府部门的相关规定，予以合理补偿。因承包人采取措施不力所造成的一切后果，均由承包人自行负责。</w:t>
      </w:r>
    </w:p>
    <w:p w14:paraId="64AF511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④项目审计、稽查和检查等的配合</w:t>
      </w:r>
    </w:p>
    <w:p w14:paraId="054DAB5C">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A、与本工程项目相关的审计和稽查，承包人应高度重视并委派专人积极予以配合，对审计和稽查的有关意见承包人应无条件地及时整改。</w:t>
      </w:r>
    </w:p>
    <w:p w14:paraId="1451429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B、有关单位对本项目的各种检查和视察等活动，承包人和监理人有义务积极配合开展各项工作。</w:t>
      </w:r>
    </w:p>
    <w:p w14:paraId="028B80ED">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C、本工程项目有关的各类统计报表和汇报材料包括项目后评价报告，承包人和监理人有义务配合发包人做好编制工作并提供相应的资料。</w:t>
      </w:r>
    </w:p>
    <w:p w14:paraId="70C17F3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D、承包人应按监理人和发包人的有关要求，建立相应的计量、支付、变更和造价等台帐，同时承包人和监理人应配合发包人建立相应的台帐，三方各自的台帐应动态更新，并确保一致，直至工程结算完成。承包人应按省级公路工程造价管理信息化平台的要求，及时上传造价文件。</w:t>
      </w:r>
    </w:p>
    <w:p w14:paraId="5DA9D164">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⑤双标管理（标杆管理、标准化管理）</w:t>
      </w:r>
    </w:p>
    <w:p w14:paraId="4D707CE4">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须贯彻落实交通运输部和广东省交通运输厅“平安百年品质工程”建设有关要求，进一步深化标准化管理和标杆管理，推进精品建造和精细管理；严格遵守和执行交通运输部、广东省交通运输厅有关高速公路建设标准化管理（含发包人下发的标准化管理指南，如有），高速公路建设样板（标杆）工程，高速公路施工优质优价，安全生产标准化，平安工地建设活动以及发包人制定的工程管理手册等规定。</w:t>
      </w:r>
    </w:p>
    <w:p w14:paraId="5209D621">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⑥工程质量和施工档案</w:t>
      </w:r>
    </w:p>
    <w:p w14:paraId="011D6AB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在施工过程中，如果工程质量不符合设计和规范要求以及优质工程有关管理规定，监理人或发包人要求停工和返工的，承包人必须立即执行，由此产生的各种费用由承包人承担，工期不予顺延。</w:t>
      </w:r>
    </w:p>
    <w:p w14:paraId="3CB0B57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承包人对已完工程必须进行严格的质量自检，只有自检合格的工程才能向监理人、发包人提出验收和计量的申请。监理人在收到验收申请后的 48 小时内对工程进行抽检和验收，对检验不合格的工程由承包人自费修复或返工。如果工程不合格是由于承包人的原因所致，则对承包人按项目专用合同条款及发包人下发的工程质量管理办法的规定进行处罚。</w:t>
      </w:r>
    </w:p>
    <w:p w14:paraId="3671F5D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必须设置专职档案员（资料员），专职档案员应具有高速公路项目的竣工资料编制经验。承包人应将项目竣工文件材料的收集、整理、立卷、归档，纳入项目的日常管理工作中，落实档案材料管理领导责任人制，专人负责竣工文件材料立卷归档工作，确保项目竣工文件材料的完整、准确与系统。工程结束后需按时、按质、按量提交符合发包人要求的竣工文件纸质档案及电子档案。</w:t>
      </w:r>
    </w:p>
    <w:p w14:paraId="2D0E554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⑦施工补勘</w:t>
      </w:r>
    </w:p>
    <w:p w14:paraId="3635607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在工程施工期间，如果监理人要求承包人进行补钻孔或勘探性的开挖工作，须事先征得发包人同意。如果此项费用未包含在工程量清单项目中，则按变更处理。</w:t>
      </w:r>
    </w:p>
    <w:p w14:paraId="3C15975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⑧遗留问题的处理</w:t>
      </w:r>
    </w:p>
    <w:p w14:paraId="63C3C3D7">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在施工过程中应与相关单位或部门多协调、多沟通，妥善处理因施工引起的对地方所产生的影响。承包人在施工过程中应自觉缴纳地方政府及相关单位要求的各类押金、保证金、租金或补偿及使用费用等。如承包人未能妥善处理与地方政府及相关单位的关系而影响施工的，发包人有权不需经承包人同意，代付上述各类款项，并从承包人计量款中扣回，最终从承包人结算款中予以如数扣回，承包人应无条件接受。</w:t>
      </w:r>
    </w:p>
    <w:p w14:paraId="76BE3009">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工程交工后竣工验收前，承包人所在合同段遗留的问题，承包人应积极主动地进行处理和解决并承担所有费用。如上述问题特别是与地方有关的遗留问题，承包人在发包人规定的期限内不能妥善处理的，发包人有权另行委托其他单位进行处理，发生的全部费用从应付给承包人的任何款项中扣回，承包人须无条件接受。</w:t>
      </w:r>
    </w:p>
    <w:p w14:paraId="69DF311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⑨验收及其他</w:t>
      </w:r>
    </w:p>
    <w:p w14:paraId="7109E98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根据《广东省交通运输厅关于进一步加强公路水路建设工程防雷工作的通知》要求，本项目将防雷减灾工作纳入安全生产日常管理，发包人将根据上级要求及相关技术规范统筹安排，在本项目中落实防雷装置与主体工程同时设计、同时施工、同时验收，承包人必须承担相应防雷工作的主体责任，严格按本项目防雷设计与相关要求组织实施防雷工程施工，必须采购满足设计文件技术指标和功能参数的材料设备，材料设备必须提供质量检验报告并接受质量监督，相关设备需报监理人批准，确保项目防雷工程验收合格。</w:t>
      </w:r>
    </w:p>
    <w:p w14:paraId="79D220F3">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⑩应履行的其他义务</w:t>
      </w:r>
    </w:p>
    <w:p w14:paraId="6466FD9C">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A、承包人因非本合同项目的诉讼、仲裁或行政处罚，导致法院或其他有权机关依法到发包人或发包人开户银行执行扣除承包人已完成工程量结算款项的，承包人须无条件接受该项执行扣款事实，承认已经收到发包人应付的该项工程进度款。此外，承包人还须对因该事件构成对发包人的负面影响与经济损失承担全额赔偿责任，同时视为承包人违反工程价款专款专用的约定，按 4.9 款约定进行处理。</w:t>
      </w:r>
    </w:p>
    <w:p w14:paraId="028645AC">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B、承包人应根据发包人的要求和施工现场实际情况开展施工作业，必须按发包人的指令开展施工，必要时必须借助地方道路或收费公路作为运输通道。</w:t>
      </w:r>
    </w:p>
    <w:p w14:paraId="4610C9D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C、海事、海洋、航道、环保、边防、公安、渔政、港口、交通维护、治安协调等有关事宜费用。</w:t>
      </w:r>
    </w:p>
    <w:p w14:paraId="7EAA9C0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对渔业资源、电力电缆、通信电缆（包括国防电缆等）、供水排水管道等影响补偿：承包人须就施工对渔业资源、电力电缆、通信电缆（包括国防电缆等）、供水排水管道等的影响与相关部门协商，并承担相应的补偿费用。因承包人施工给渔业资源、电力电缆、通信电缆（包括国防电缆等）、供水排水管道等造成损害的，承包人应承担一切责任和赔偿费用。</w:t>
      </w:r>
    </w:p>
    <w:p w14:paraId="7599B3C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现有航道的占用、改移和恢复：如本项目施工对现有航道造成直接影响，为保证施工期间各类船舶的正常通行和行驶安全，承包人须对现有航道进行临时改移和维护，待相关工程完成施工、现有航道具备恢复通航条件时再按原通航标准及时予以恢复，工作内容包括但不限于勘察、设计、办理各种报批、施工许可手续、施工、临时航道验收、航道维护、既有航道恢复以及验收等，相关费用已包含在合同总价中（除合同另有约定外）。</w:t>
      </w:r>
    </w:p>
    <w:p w14:paraId="6816A2D0">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现有道路、市政设施及绿化、青苗的占用和恢复：如本项目施工需临时占用现有道路、路灯照明、人行设施、绿化、青苗等，承包人应在施工前编制占用恢复计划，及时向公路、交警、市政园林等部门办理有关手续，并承担相应的修复和补偿费用。</w:t>
      </w:r>
    </w:p>
    <w:p w14:paraId="48BDF70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D、承担因违反有关部门规定造成的损失和违约金</w:t>
      </w:r>
    </w:p>
    <w:p w14:paraId="558EBAE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必须严格按照有关部门的规定和要求组织施工，如有违反，应承担相应的损失及违约金。同时，应充分考虑相关行业主管部门的监测保护要求和受影响单位的管制要求，以及可能对作业点的控制或作业强度、作业时间等限制，对合同工期产生的影响，发包人不因此延长工期和增加费用（除合同另有约定外）。</w:t>
      </w:r>
    </w:p>
    <w:p w14:paraId="0040CCEC">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E、承包人应根据工程施工情况及监理人的指令，及时向监理人提交开工报告、测量报告、试验检验报告、隐蔽工程验收通知、工程质量自检报告、交工验收申请报告及工程事故报告等。</w:t>
      </w:r>
    </w:p>
    <w:p w14:paraId="5F4CCDC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F、承包人在进场后 1 个月内对用地红线进行全面复核，如有误，必须立即书面通知发包人。</w:t>
      </w:r>
    </w:p>
    <w:p w14:paraId="65ECD83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G、承包人进场后应对施工位置进行复核，对管线（包括但不限于电力电缆、通信电缆、国防电缆、供水排水管道等）进行复核排查，对影响施工的管线等及时摸排清楚并通知监理人及发包人。如承包人未及时复查管线，施工造成管线破坏的，一切责任和损失由承包人承担。</w:t>
      </w:r>
    </w:p>
    <w:p w14:paraId="28899D2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4.2 履约担保</w:t>
      </w:r>
    </w:p>
    <w:p w14:paraId="18AF3C3D">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本款细化为：</w:t>
      </w:r>
    </w:p>
    <w:p w14:paraId="6DC2C4F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承包人在收到中标通知书后 28 天之内并在签订合同协议书之前，应按投标人须知第 7.7.1 款规定的金额和形式提交履约担保，由此所发生的费用由承包人承担。承包人应保证其履约担保在发包人开始扣留质量保证金前一直有效。发包人开始扣留质量保证金时同步一次性向承包人退还全部履约担保。</w:t>
      </w:r>
    </w:p>
    <w:p w14:paraId="2259FBD7">
      <w:pPr>
        <w:pStyle w:val="61"/>
        <w:shd w:val="clear" w:fill="FFFFFF" w:themeFill="background1"/>
        <w:spacing w:line="360" w:lineRule="auto"/>
        <w:rPr>
          <w:rFonts w:ascii="宋体" w:hAnsi="宋体" w:cs="宋体"/>
          <w:color w:val="auto"/>
          <w:sz w:val="24"/>
          <w:szCs w:val="21"/>
          <w:highlight w:val="none"/>
        </w:rPr>
      </w:pPr>
      <w:r>
        <w:rPr>
          <w:rFonts w:hint="eastAsia" w:ascii="宋体" w:hAnsi="宋体" w:cs="宋体"/>
          <w:color w:val="auto"/>
          <w:sz w:val="24"/>
          <w:szCs w:val="21"/>
          <w:highlight w:val="none"/>
        </w:rPr>
        <w:t xml:space="preserve">    4.3 分包</w:t>
      </w:r>
    </w:p>
    <w:p w14:paraId="3B8341B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第 4.3.2 项补充：</w:t>
      </w:r>
    </w:p>
    <w:p w14:paraId="720A564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承包人如有分包计划，所有的分包必须符合交通运输部现行《公路工程施工分包管理办法》及《广东省交通运输厅关于公路工程施工分包管理实施细则》关于施工分包和劳务合作的有关规定。</w:t>
      </w:r>
    </w:p>
    <w:p w14:paraId="5114CDDA">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如实际的分包单价（或总额价）超出承包人与发包人签定的承包合同对应的清单单价（或总额价），视为承包人的风险，承包人应从合同总价中进行调配，发包人不因此向承包人增加支付任何费用。</w:t>
      </w:r>
    </w:p>
    <w:p w14:paraId="22C8B6D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承包人应无条件提供本合同段的临时工程和设施（包括但不限于便道、便桥、电力线路等）供分包人使用，不得向分包人收取临时工程和设施费用。</w:t>
      </w:r>
    </w:p>
    <w:p w14:paraId="5A686A3C">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工程的计量由承包人负责统一上报，承包人应将发包人支付的属分包人部分的款项及时向分包人支付。发包人有权根据具体情况将相应款项直接向分包人支付，并从应付给承包人款项中相应扣回。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行为、违约和疏忽，并为之负完全的责任。</w:t>
      </w:r>
    </w:p>
    <w:p w14:paraId="057FFFA9">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拟分包的专项工程的范围和规模，应当在投标文件和承包合同中明确。中标人进场后，如对拟分包项目情况表中的内容进行增减调整，必须报经监理人或发包人的同意。投标文件未列入或承包合同未明确的专项工程，承包人不得分包。但因工程变更等原因，增加有特殊性技术要求、特殊工艺或者涉及专利保护等的专项工程，且按照规定无须再进行招标的，以及工程实施中承包人和发包人一致认为对专项工程实行专项分包，有利于项目工程进度、质量和安全管理的，由承包人提出书面申请，报监理人审查，经发包人书面同意，可以分包。</w:t>
      </w:r>
    </w:p>
    <w:p w14:paraId="0128725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本款补充第 4.3.8、4.3.9 项：</w:t>
      </w:r>
    </w:p>
    <w:p w14:paraId="3A2415F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4.3.8 特殊的分包人或供货人</w:t>
      </w:r>
    </w:p>
    <w:p w14:paraId="26A4019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为了履行合同中某专业化的或特殊工程或关键的、专项的材料、设备、供货，根据金额规模可以通过合法方式选定作为发包人的特殊分包人或供货人，并要求承包人与进行专项或供货分包的特殊分包人或供货人签订分包合同。分包合同须符合《广东省交通运输厅关于公路工程施工分包管理实施细则》的有关规定。</w:t>
      </w:r>
    </w:p>
    <w:p w14:paraId="1F82FF0C">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有关特殊分包的合同中，特殊分包人（或供货人）应独立地承担其合同责任和义务，不使承包人对发包人承担的合同责任和义务受到损害，也不使承包人承担因特殊的分包人（或供货人）未能履行责任、义务而引起的索赔、赔偿、诉讼费用及其他开支。承包人对于特殊分包人（或供货人）及其职工的过失而造成的损失不承担任何责任。如果特殊分包合同中含有与上述规定有悖的条款，承包人有权拒绝与此特殊分包人（或供货人）签订合同。</w:t>
      </w:r>
    </w:p>
    <w:p w14:paraId="0F8AB644">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特殊分包人（或供货人）承担部分的计量由承包人负责统一上报，承包人应将属特殊分包人（或供货人）的计量支付款项，及时向特殊分包人（或供货人）支付。</w:t>
      </w:r>
    </w:p>
    <w:p w14:paraId="635ABCD7">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特殊分包人（或供货人）承担部分的原始资料存档和竣工资料编制等工作，由所在合同段的承包人负责。</w:t>
      </w:r>
    </w:p>
    <w:p w14:paraId="6E0E7BBD">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无偿为特殊供货人的供料运输提供满足使用要求的便道便桥和码头，承包人负责卸料并负责将卸下的材料搬运至工地仓库或特定地点，由此所需的设备、人力和费用由承包人自行负责，承包人的仓库容量应满足相关要求。</w:t>
      </w:r>
    </w:p>
    <w:p w14:paraId="0349EC3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如发生第 11.5 款约定的承包人工程进度严重滞后，发包人有权对承包人部分工程进行特殊分包，承包人应无条件接受，并按第 11.5 款约定处理。</w:t>
      </w:r>
    </w:p>
    <w:p w14:paraId="6586A341">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4.3.9 发包人的强制分包</w:t>
      </w:r>
    </w:p>
    <w:p w14:paraId="430A46FC">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因承包人违约或发生重大的质量、安全事故以及出现进度严重滞后的情况和工程专业化施工等的需要，发包人有权对承包人部分工程进行切割，做分包处理，因此而增加的一切费用由承包人承担。</w:t>
      </w:r>
    </w:p>
    <w:p w14:paraId="0BD19EAE">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当发包人决定采取分包时，承包人应无条件接受并全力配合发包人开展相关工作，并无条件提供已有的临时设施（包括但不限于便道、便桥、电力线路等）供分包人使用，且不得为此要求增加或支付任何费用，否则视承包人违约。分包部分的造价按以下原则计算，并从承包人的合同总价中扣除：</w:t>
      </w:r>
    </w:p>
    <w:p w14:paraId="07D505B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A、</w:t>
      </w:r>
      <w:r>
        <w:rPr>
          <w:rFonts w:hint="eastAsia" w:ascii="宋体" w:hAnsi="宋体" w:cs="宋体"/>
          <w:color w:val="auto"/>
          <w:sz w:val="24"/>
          <w:szCs w:val="21"/>
          <w:highlight w:val="none"/>
          <w:u w:val="single"/>
        </w:rPr>
        <w:t xml:space="preserve"> 分包部分的造价计算原则由发包人按项目特点，根据分包的内容约定相应费用的扣除方式 </w:t>
      </w:r>
      <w:r>
        <w:rPr>
          <w:rFonts w:hint="eastAsia" w:ascii="宋体" w:hAnsi="宋体" w:cs="宋体"/>
          <w:color w:val="auto"/>
          <w:sz w:val="24"/>
          <w:szCs w:val="21"/>
          <w:highlight w:val="none"/>
        </w:rPr>
        <w:t>；</w:t>
      </w:r>
    </w:p>
    <w:p w14:paraId="3DF352E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B、发包人委托政府主管部门或发包人选取的第三方机构按 15.4.4 款约定的原则重新编制切割工程的预算，并按预算金额（不下浮）从承包人的合同总价中扣除。</w:t>
      </w:r>
    </w:p>
    <w:p w14:paraId="1CC9649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发包人有权从以上两种方式中进行选择，承包人必须无条件服从。</w:t>
      </w:r>
    </w:p>
    <w:p w14:paraId="76433295">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发包人有权按上述确定的造价要求承包人、分包人与发包人签订三方分包协议,或由发包人与分包人签订协议。工程款根据签订的协议,由发包人对分包人按时计量支付。工程实施后，确定分包工程计量支付金额后,发包人可直接在承包人任意一期计量中扣减相应分包费用。承包人须负责分包部分原始资料的存档和竣工资料的统一编制等工作。发包人对承包人分包工程的同意并不免除承包人应承担的责任和义务。承包人应将任何分包人、分包代理人、雇员或工人的行为、违约和疏忽,视为承包人自己的行为、违约和疏忽,并为之负完全的责任。</w:t>
      </w:r>
    </w:p>
    <w:p w14:paraId="1ED2642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的分包工程受发包人的监督和管理，发包人有权审查承包人所有分包合同，承包人须严格执行合同（包括分包合同）条款，不得拖欠工人工资及分包商工程款，发包人如有发现或接到投诉，发包人有权直接向工人或分包商支付承包人拖欠款项，该笔款项由发包人从承包人应收工程款中如数扣回，承包人不得有异议。</w:t>
      </w:r>
    </w:p>
    <w:p w14:paraId="2AA615F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4.6 承包人人员的管理</w:t>
      </w:r>
    </w:p>
    <w:p w14:paraId="77C7A097">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第 4.6.1 项补充：</w:t>
      </w:r>
    </w:p>
    <w:p w14:paraId="73311517">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承包人应按监理人批准的人员安排报告及时安排相关人员进场，如果承包人在接到监理人要求人员进场的通知 5 天后仍未安排相关人员进场，视为承包人违约。</w:t>
      </w:r>
    </w:p>
    <w:p w14:paraId="143D2F3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第 4.6.3 项细化为：</w:t>
      </w:r>
    </w:p>
    <w:p w14:paraId="4D06FEF7">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承包人安排在施工场地的项目经理及项目总工（总工程师）应与承包人投标填报名单一致；其他主要管理人员和技术人员的资格和经历应不低于招标文件《附录 6 资格审查条件（其他主要管理人员和技术人员最低要求）》的规定，报监理人审核后并报发包人批准，上述人员经发包人批准后不得随意更换。</w:t>
      </w:r>
    </w:p>
    <w:p w14:paraId="25726F0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(1) 未经监理人批准，上述人员不应无故不到位或被替换。若确实无法到位或需替换，或监理人认为已委派的项目经理或主要人员（或备选人员）的工作能力和业务水平不称职，需经监理人审核并报发包人批准后，用同等资质和经历的人员替换，同时须按以下标准向发包人提交违约金：项目经理、总工程师（用备选人替换首选人的调整不受此限）需缴纳违约金金额详见项目专用合同条款数据表，其他主要管理人员（质检工程师、计划工程师、道路工程师、桥梁工程师、隧道工程师、地质工程师、测量工程师、试验工程师、专职安全生产管理人员、财务负责人等）的调整部分需缴纳违约金金额详见项目专用合同条款数据表。因不可抗力、退休、职务晋升或离职等（需提供相关证明材料）无法继续履行合同责任和义务，承包人报监理人审核并报发包人批准后可进行替换，替换人员的资质和经历不得低于原批复人员，承包人无须承担违约责任。发包人可随着工程的进度情况，动态增减管理人员要求。</w:t>
      </w:r>
    </w:p>
    <w:p w14:paraId="079EBA8F">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（2）为保证承包人的档案资料整理工作具有连续性、稳定性，要求承包人的档案资料整理负责人在本项目连续工作 1 年及以上，否则视为承包人违约。</w:t>
      </w:r>
    </w:p>
    <w:p w14:paraId="46BC53C2">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（3）项目经理不能在两个或两个以上项目同时任职，且必须保证每月有 22 天以上驻守现场；项目总工（总工程师）必须保证每月有 22 天以上驻守现场，否则视为承包人违约。以上两位主要人员因主管部门或发包人检查，被认定存在“挂名”现象的，视为承包人违约。</w:t>
      </w:r>
    </w:p>
    <w:p w14:paraId="478885C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（4）承包人应按《公路水运工程安全生产监督管理办法》和《广东省高速公路工程施工安全标准化指南》等相关规定，设置独立的安全管理机构，配置专职安全生产管理人员：</w:t>
      </w:r>
    </w:p>
    <w:p w14:paraId="5B25A524">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a.项目部及专业分包单位按照年度施工产值计划配备专职安全生产管理人员，不足5000 万元的至少配备 2 名；5000 万元以上不足 2 亿元的按每 5000 万元不少于 1 名的比例配备；2 亿元以上的不少于 5 名；专职安全生产管理人员中安全、路桥、隧道、机械、地质、机电等专业人员比例不少于 80%。</w:t>
      </w:r>
    </w:p>
    <w:p w14:paraId="3B48FAA9">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b.施工单位（含专业分包单位）项目经理、项目总工程师、项目副经理和专职安全生产管理人员应持有公路水运工程施工企业安全生产“三类人员”安全生产考核合格证书或注册安全工程师证书，证书有效并与对应岗位人员身份相符，进场“三类人员”资格、实际岗位与合同文件或变更文件对应。</w:t>
      </w:r>
    </w:p>
    <w:p w14:paraId="2C4D262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（5）项目经理和项目总工必须按要求出席发包人组织的各种会议，包括监理人主持的重要会议。特殊情况无法出席的，必须取得发包人或监理人批准，任何迟到或早退按缺席处理。</w:t>
      </w:r>
    </w:p>
    <w:p w14:paraId="42D12368">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（6）承包人应严格按照环境保护的有关规定，明确环境保护的主要负责人，并按监理人的要求做好防御措施以及实施记录。</w:t>
      </w:r>
    </w:p>
    <w:p w14:paraId="31EDD40B">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（7）承包人应严格按照水土保持的有关规定，明确水土保持的主要负责人，并按监理人的要求做好防御措施以及实施记录。</w:t>
      </w:r>
    </w:p>
    <w:p w14:paraId="751C7077">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（8）承包人应配合发包人采用信息化管理手段对主要施工管理人员进行考核的措施。</w:t>
      </w:r>
    </w:p>
    <w:p w14:paraId="0794E846">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t>在本款后增加 4.6.6～4.6.7 项如下：</w:t>
      </w:r>
    </w:p>
    <w:p w14:paraId="70C3DF5B">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4.6.6 劳务聘用</w:t>
      </w:r>
    </w:p>
    <w:p w14:paraId="7932664A">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1）承包人可以直接雇用农民工或将劳务作业分包给具有劳务分包资质的劳务分包人，但承包人或分包人必须依法签订劳动合同，并将民工花名册、劳动合同和民工签收的工资支付表报监理人备案。承包人须根据《广东省交通运输厅关于加强交通建设工程从业人员实名制管理和作业工人工资支付管理的通知》和《广东省交通运输厅关于在全省公路水运工程建设项目部署应用从业人员实名制管理系统的通知》等文件要求，规范和加强项目农民工实名制管理及工资支付管理。承包人和劳务分包人必须按照有关法律、法规和劳务合同按时支付劳务工资及相关费用，落实各项劳动保护措施。</w:t>
      </w:r>
    </w:p>
    <w:p w14:paraId="4D503127">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2）承包人必须按时支付其雇用人员、其分包单位雇用人员、实际为承包人或其分包单位服务、应从承包人中得到报酬的人员（包括民工）的工资，不得拖欠上述人员的工资。同时，承包人有责任和义务监督其分包单位对属下员工工资的支付。发包人和监理人有权监督承包人使用农民工的管理，对不签订劳动合同、非法使用农民工的，或者拖延和克扣农民工工资的，一经发现，发包人将予以通报并上报上级主管单位。同时，发包人有权从承包人的工程款中扣留部分款项，直接用于支付上述人员的工资，承包人须无条件接受。详细规定见承包人投标文件中提交的《建设工程农民工工资支付保证书》。若因上述原因造成劳务人员上访、纠纷等情况，承包人须承担一切经济和法律责任。除按国家有关法律、法规、规章及上述合同条款的规定进行处理外，同时按照第 22.1款约定对承包人进行处理。</w:t>
      </w:r>
    </w:p>
    <w:p w14:paraId="346A265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（3）承包人应为农民工办理工伤保险。</w:t>
      </w:r>
    </w:p>
    <w:p w14:paraId="1DC4DF3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（4）发包人制定的农民工工资监管办法及有关规定，承包人须积极配合并无条件的接受。</w:t>
      </w:r>
    </w:p>
    <w:p w14:paraId="514D46C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劳务合作须符合《广东省交通运输厅关于公路工程施工分包管理的实施细则》的通知有关规定；劳务合作单位须按照《广东省高速公路工程施工安全标准化指南》相关要求配备安全生产管理人员：施工作业人员在 30 人及以下时，应配备 1 名兼职安全生产管理人员；施工作业人员在 31～50 人时，应配备 1 名专职安全生产管理人员；施工作业人员在 51 人～200 人时，应配备 2 名专职安全生产管理人员；施工作业人员在201 人及以上时，每增加 100 人，应增加 1 名专职安全生产管理人员，并根据所承担工程的施工危险程度予以增加。</w:t>
      </w:r>
    </w:p>
    <w:p w14:paraId="3BD6622C">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（6）推广以工代赈方式促进沿线群众就业。</w:t>
      </w:r>
    </w:p>
    <w:p w14:paraId="73348FAF">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4.6.7 施工班组及施工员登记制度</w:t>
      </w:r>
    </w:p>
    <w:p w14:paraId="44DDB43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签定合同后，承包人应组建施工班组，施工班组应符合《广东省公路工程施工标准化指南》及《广东省高速公路施工安全标准化指南（班组建设篇）》的相关规定。承包人应向监理人提供一份拟在本合同工程进行现场管理的施工员名单，包括监理人要求的有关证明材料。监理人将对符合资格要求的施工员进行造册登记，并发给项目施工员证。施工员登记工作是监理人签发开工令的必要条件之一。</w:t>
      </w:r>
    </w:p>
    <w:p w14:paraId="4BA227C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分项工程施工现场实行标识牌管理，标识牌必须标明该分项工程作业内容和质量要求，施工单位及质量负责人姓名。工程开工后，承包人必须在每个施工工点派驻一个以上的经登记的施工员进行现场施工管理，做好详细的现场施工记录。施工员必须佩带项目施工员证上岗。承包人不执行本款规定，视为承包人违约并按 22.1 款约定进行处理。</w:t>
      </w:r>
    </w:p>
    <w:p w14:paraId="2258AA9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在施工过程中，监理人只要有充分的理由，可以随时取消不能令其满意的施工员的资格，收回项目施工员证。</w:t>
      </w:r>
    </w:p>
    <w:p w14:paraId="14E0BFF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4.7 撤换承包人项目经理和其他人员</w:t>
      </w:r>
    </w:p>
    <w:p w14:paraId="2828CCD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本款细化为：</w:t>
      </w:r>
    </w:p>
    <w:p w14:paraId="1F141F78">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承包人应对其项目经理和其他人员进行有效管理。发包人或监理人在征得发包人同意后要求撤换不能胜任本职工作、行为不端或玩忽职守的项目经理和其他人员，承包人应予以撤换，同时委派经发包人与监理人同意的新的项目经理和其他人员，并按 4.6.3款约定处以违约金。被撤换人员未经发包人同意不得重新回到本合同段工作。</w:t>
      </w:r>
    </w:p>
    <w:p w14:paraId="6CDB0CA8">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4.11 不利物质条件</w:t>
      </w:r>
    </w:p>
    <w:p w14:paraId="6E4F372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第4.11.2项细化为：</w:t>
      </w:r>
    </w:p>
    <w:p w14:paraId="59CC7AF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承包人遇到不可预见的不利物质条件时，应采取适应不利物质条件的合理措施继续施工，并及时通知监理人和发包人。监理人应当及时发出指示，指示构成变更的，按第15条约定办理。监理人没有发出指示的，承包人应将情况及时上报发包人，如发包人3天内仍未发出指示的，因承包人采取合理措施而增加的费用和(或)工期延误，由发包人承担。</w:t>
      </w:r>
    </w:p>
    <w:p w14:paraId="34D0CB1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4.11.3可预见的不利物质条件</w:t>
      </w:r>
    </w:p>
    <w:p w14:paraId="22489AA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第4.11.3（1）目补充：</w:t>
      </w:r>
    </w:p>
    <w:p w14:paraId="601BA8D1">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对于一个有经验的承包人可合理预见的不利物质条件，无论承包人是否有其经历和经验均视为承包人在接受合同时已预见其影响，并已在签约合同价中计入因其影响而可能发生的一切费用（除合同另有约定外）。</w:t>
      </w:r>
    </w:p>
    <w:p w14:paraId="6E1BD50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5.材料和工程设备</w:t>
      </w:r>
    </w:p>
    <w:p w14:paraId="027ED49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第 5.1.2 项补充：</w:t>
      </w:r>
    </w:p>
    <w:p w14:paraId="00A6DA5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1）承包人选定的材料和工程设备必须满足本合同工程要求和《广东省公路工程施工标准化指南》管理规定。凡任何技术指标达不到发包人要求或被发包人禁止进入本合同工程的材料、设备（或材料供应商），承包人不得采购用于本项目。</w:t>
      </w:r>
    </w:p>
    <w:p w14:paraId="62707AFD">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（2）统一供应材料的采购</w:t>
      </w:r>
    </w:p>
    <w:p w14:paraId="2C49FA73">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统一供应材料的品种详见附件十《统一采购供应材料一览表》，具体采购必须严格执行发包人的管理要求。</w:t>
      </w:r>
    </w:p>
    <w:p w14:paraId="7861DAF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统一采购供应的材料，若采用发包人统一招标方式的，在发包人经招标确定统一供货品牌后，由承包人(材料使用方)与发包人、供货人（卖方）共同签订供货合同。承包人与卖方为实际的买卖双方，卖方根据承包人实际需求按计划供应材料并提供发票给承包人；发包人负责监督合同各方严格履行供货合同，由承包人按供货合同规定支付材料款给卖方或由由承包人委托发包人按供货合同规定代承包人支付材料款给卖方，统一采购供应的材料款由发包人按上述方式与承包人进行结算。</w:t>
      </w:r>
    </w:p>
    <w:p w14:paraId="781898E7">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对于此类材料的供货，还应满足以下规定：</w:t>
      </w:r>
    </w:p>
    <w:p w14:paraId="35B05BAF">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①材料使用前，由承包人负责检验或试验，品种、规格、型号或质量与一览表不符的，承包人应及时报监理人及发包人处理；品种、规格或型号与一览表不符但质量经检验合格的，经监理人同意，可调剂串换使用。若上述不符是属于承包人责任造成的，则因此而增加的相应费用由承包人承担。</w:t>
      </w:r>
    </w:p>
    <w:p w14:paraId="7474CCD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②为恰当和正确地使用、安装和实施这些材料和工程设备所必需的但一览表中未列明的其他任何辅助性材料以及人工费均已经包含在承包人的合同价款中。</w:t>
      </w:r>
    </w:p>
    <w:p w14:paraId="23B2A59A">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③当月的材料款根据合同附表中的统一采购供应材料单价和承包人与供应商当月签认的材料签收数量进行计算，原则上当月的材料款应在下个月的计量支付中扣除。根据实际情况，在确保工程款不超付的情况下允许推迟不超过三个月扣回材料款。</w:t>
      </w:r>
    </w:p>
    <w:p w14:paraId="136A4E7D">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④承包人承担工程全部完工后，如统一供应材料实际用量与按设计图纸（包括变更）计算的理论用量（含合理损耗）偏差超过 5%（石油沥青、改性沥青为 2%）而无法提供合理解释的，发包人有权对承包人处以偏差部分 100％价值的违约金。</w:t>
      </w:r>
    </w:p>
    <w:p w14:paraId="7EF1B2BB">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（3）其他主材的采购</w:t>
      </w:r>
    </w:p>
    <w:p w14:paraId="3EC2DB17">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除统一供应材料以外的主材，承包人可自行决定采购方式。在开始采购前至少 28天，承包人应将采购方案报监理人审批，并严格执行发包人有关材料管理的各项要求。</w:t>
      </w:r>
    </w:p>
    <w:p w14:paraId="231B90E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（4）工程地材的采购</w:t>
      </w:r>
    </w:p>
    <w:p w14:paraId="3CEABB9D">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对于工程施工所需地材（碎石、砂等），承包人可自行决定采购方式。在主要地材开始采购前至少 28 天，承包人应将采购方案（包括采购地材的品种和数量、供应商的名单、选择该供应商的理由、质量证明文件、供货计划等）报监理人审批。</w:t>
      </w:r>
    </w:p>
    <w:p w14:paraId="61E20B8F">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承包人必须通过合法的方式获取石源和砂源，应确保材料的合法来源及品质要求，对材料的运输方式、供应强度及运距等自行测算并承担风险。</w:t>
      </w:r>
    </w:p>
    <w:p w14:paraId="2429C05C">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（5）其他材料和工程设备的采购</w:t>
      </w:r>
    </w:p>
    <w:p w14:paraId="56BFAE41">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除以上（1）～（5）条之外的其他材料和工程设备，承包人应将选定的各项材料和工程设备的供应商及品种、规格、质量证明文件、数量和供货计划等报送监理人和发包人核备。</w:t>
      </w:r>
    </w:p>
    <w:p w14:paraId="1C1356E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（6）监理人和发包人对承包人采购材料和工程设备的审批、核备、监督等并不免除承包人的责任。</w:t>
      </w:r>
    </w:p>
    <w:p w14:paraId="01FDE3B1">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7）如果承包人采购的材料或设备是进口的，则承包人应向监理人提供由中华人民共和国进出口商品检验检疫部门出具的检验证书，证明该材料或设备的质量、规格及其他指标符合设计及技术规范要求，否则发包人有权向承包人提出索赔。</w:t>
      </w:r>
    </w:p>
    <w:p w14:paraId="6A9439AB">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8）为最大限度确保本合同工程的施工质量，满足工程施工机械化、自动化的要求，在合同履行过程中，发包人将结合国内桥梁、隧道等工程施工现状，以及工程实际需要，对部分施工流程或工艺等提出特殊的设备要求，由此所增加的设备购置费或租赁费用已包含在合同总价中，发包人不另行支付（除合同另有约定外）。</w:t>
      </w:r>
    </w:p>
    <w:p w14:paraId="31F6070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增加 5.1.3 项</w:t>
      </w:r>
    </w:p>
    <w:p w14:paraId="7E3EA1C7">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承包人采购的材料应得到发包人和监理人的同意，经检验合格后方可使用。</w:t>
      </w:r>
    </w:p>
    <w:p w14:paraId="43C3409F">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监理人征得发包人同意后，有权要求承包人更换不符合要求的料场，承包人必须无条件接受。承包人采购的材料设备与设计或标准要求不符时，承包人应按监理人要求的时间运出施工场地，重新采购符合要求的产品，由此发生的费用均由承包人承担，引起的工期延误不予顺延工期。</w:t>
      </w:r>
    </w:p>
    <w:p w14:paraId="4001058C">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本款补充第 5.1.4 项、第 5.1.5 项：</w:t>
      </w:r>
    </w:p>
    <w:p w14:paraId="465A95C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5.1.4 项目的部分材料或设备如采用甲控乙购方式管理的，承包人应按照发包人明确的甲控乙购材料或设备品种（详见《甲控乙购材料一览表》）、技术指标及质量要求、采购方式和管理要求进行采购。</w:t>
      </w:r>
    </w:p>
    <w:p w14:paraId="1CE3267A">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5.1.5 材料的防护、标识和可追溯性</w:t>
      </w:r>
    </w:p>
    <w:p w14:paraId="509919F7">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承包人应根据材料特性对材料的运输、储存和保管的方法予以规定和执行，防止材料发生损坏、混淆、变质和受到污染。各种原材料、半成品的储存方式及所用的仓库、储罐、场地等应提前得到监理人的同意和确认。</w:t>
      </w:r>
    </w:p>
    <w:p w14:paraId="03B3C472">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承包人应对材料的种类、特性和检验状态进行标识，确保每批材料保持良好状态并能追溯到采购日期、供应商和相关的质量证明文件。</w:t>
      </w:r>
    </w:p>
    <w:p w14:paraId="6A33CBF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承包人在施工现场应建立原材料的进出场台帐、质量检验和质量跟踪台帐。其内容应包括进货日期、材料名称、品种、规格、数量、生产单位、供货单位、质量证明书编号、复试检验报告编号、检验结果和所用的工程部位等。</w:t>
      </w:r>
    </w:p>
    <w:p w14:paraId="7640EB53">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5.2 发包人提供的材料和工程设备</w:t>
      </w:r>
    </w:p>
    <w:p w14:paraId="4DEA87E2">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5.2.1 项细化为：</w:t>
      </w:r>
    </w:p>
    <w:p w14:paraId="3EEBC65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5.2.1 为确保本项目的建设质量，发包人将按 4.3.8 款关于特殊分包人或供货人的规定，将本合同附件九《特殊材料设备供应一览表》（下称一览表）规定的材料设备通过招标方式选定材料设备供货人。材料设备供货人将按表列的价格向承包人提供材料设备。对于此类特殊材料的供货，应满足以下规定：</w:t>
      </w:r>
    </w:p>
    <w:p w14:paraId="2208AACB">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(1) 发包人按一览表约定的内容提供材料设备，并负责向承包人提供产品合格证明，对其真实性负责。但此项规定并不表明免除承包人检验材料设备质量的责任。</w:t>
      </w:r>
    </w:p>
    <w:p w14:paraId="7AF6ADCB">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(2) 工程开工后，承包人应根据进度计划向发包人提出本款规定的材料设备使用计划，由发包人按计划提供材料。</w:t>
      </w:r>
    </w:p>
    <w:p w14:paraId="79425B9F">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(3) 发包人在所供材料设备到货前 24 小时，以书面形式通知承包人；到货时，由承包人派人清点，必要时，发包人可派人参加。</w:t>
      </w:r>
    </w:p>
    <w:p w14:paraId="771AF02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 材料设备办理清点交接手续后，承包人承担产品的储存、保管责任。(5) 一览表约定的数量为暂定数量，发包人按承包人实际接收材料设备数量进行结算。</w:t>
      </w:r>
    </w:p>
    <w:p w14:paraId="5A9838C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(6) 一览表约定的到货地点不一致时，发包人负责运达一览表指定地点；发包人采购单价与一览表材料设备单价不符，发包人仅承担价差（含税）。</w:t>
      </w:r>
    </w:p>
    <w:p w14:paraId="0D5D5F2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(7) 发包人供应的材料设备使用前，由承包人负责检验或试验，品种、规格、型号或质量与一览表不符的，承包人可拒绝接收，发包人应负责运出施工场地并重新采购；品种、规格或型号与一览表不符但质量经检验合格的，经监理人同意，可调剂串换使用。若上述不符是属于承包人责任造成的，则因此而增加的相应费用由承包人承担。若上述不符是属于非承包人责任造成的，并因此引起承包人工期延误或费用增加，则由发包人负责赔偿。</w:t>
      </w:r>
    </w:p>
    <w:p w14:paraId="11B750A2">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(8) 为恰当和正确地使用、安装和实施这些材料和工程设备所必需的但一览表中未列明的其他任何辅助性材料以及人工费应已经包含在承包人的合同总价中。</w:t>
      </w:r>
    </w:p>
    <w:p w14:paraId="488ABA0A">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(9) 发包人供应的材料设备款，发包人将在供应后一个至两个月内从承包人工程进度款中扣回。但为保证材料设备款在交工验收时得到全额扣回，发包人有权调整扣回时间及比例。</w:t>
      </w:r>
    </w:p>
    <w:p w14:paraId="0758C44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(10) 如发包人需采用任何从国（境）外进口材料和工程设备，且这些进口的材料和工程设备直接由发包人负责采购和办理进口，则由发包人承担进口材料和工程设备的一切开支，负责办理与此类进口有关的申请、许可、证书、外汇使用等手续并承担相应的费用。如果由于发包人原因导致进口材料和工程设备不能按计划运抵现场致使工程延误，承包人应就此通知监理人，监理人在收到此类通知并与承包人适当协商之后应决定：依据第 11.3 款规定承包人是否可以延长工期，承包人由此而发生的额外费用是否增加到合同价中。</w:t>
      </w:r>
    </w:p>
    <w:p w14:paraId="30BD2AC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没有发包人的书面同意，承包人不得自行采购 5.2.1 款规定的材料和工程设备，否则监理人、发包人将拒绝使用这些材料和工程设备，承包人应赔偿由此带来的一切损失。无论出现任何情况，承包人均不得售卖发包人供应的材料和工程设备，否则一经查实，发包人有权对承包人处以售卖材料或工程设备金额两倍的违约金。</w:t>
      </w:r>
    </w:p>
    <w:p w14:paraId="4CB5674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5.4 禁止使用不合格的材料和工程设备</w:t>
      </w:r>
    </w:p>
    <w:p w14:paraId="0CA769C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在 5.4.2 项末尾增加：承包人还应承担由此带来的一切损失。</w:t>
      </w:r>
    </w:p>
    <w:p w14:paraId="392F23AD">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本条补充第 5.5 款、第 5.6 款、第 5.7 款、第 5.8 款：</w:t>
      </w:r>
    </w:p>
    <w:p w14:paraId="432B32C7">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5.5 代用材料的使用</w:t>
      </w:r>
    </w:p>
    <w:p w14:paraId="142CAC04">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5.5.1 承包人需要使用代用材料时，应经监理人认可并由发包人同意后才能使用，由此增减的合同价款双方以书面形式议定。承包人申请使用代用材料，仅限于出现下列情况时：</w:t>
      </w:r>
    </w:p>
    <w:p w14:paraId="48BA3806">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(1)市场上无供应或在一定时间内突然供应短缺；</w:t>
      </w:r>
    </w:p>
    <w:p w14:paraId="18BC3CA7">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(2)政府或有关管理机构的后继规章、规定禁止使用；</w:t>
      </w:r>
    </w:p>
    <w:p w14:paraId="323099CD">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(3)发包人或监理人要求使用其他替代品；或者承包人提出，发包人和监理人批准使用其他替代品；</w:t>
      </w:r>
    </w:p>
    <w:p w14:paraId="52C4EB2E">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(4)其他原因导致使用替代品成为必要的。</w:t>
      </w:r>
    </w:p>
    <w:p w14:paraId="0CB748DE">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如果使用代用材料，承包人应在使用前至少 14 天，以书面形式通知监理人并提交下列文件：</w:t>
      </w:r>
    </w:p>
    <w:p w14:paraId="094A9DF3">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(1)拟采用的替代品的名称、数量、规格、型号、品牌、性能、价格及其他必要的详细资料；</w:t>
      </w:r>
    </w:p>
    <w:p w14:paraId="06283D1C">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(2)替代品使用的工程部位；</w:t>
      </w:r>
    </w:p>
    <w:p w14:paraId="1994AA43">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(3)采用替代品的理由和原因申述；</w:t>
      </w:r>
    </w:p>
    <w:p w14:paraId="71970268">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(4)替代品与合同中约定的产品之间的差异以及使用替代品后可能对工程产生任何方面的影响；</w:t>
      </w:r>
    </w:p>
    <w:p w14:paraId="5D20F26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(5)价格上的差异；</w:t>
      </w:r>
    </w:p>
    <w:p w14:paraId="5DA8194F">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(6)监理人为作出适当的决定而随时要求承包人提供的任何其他文件。</w:t>
      </w:r>
    </w:p>
    <w:p w14:paraId="1D678E0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监理人在收到此类通知及上述文件后，应在 14 天内作出审查意见，并报发包人批准。发包人对使用替代品的批准以及承包人据此使用替代品不应解除承包人合同约定的任何职责和义务。任何情况下，使用替代品都应遵守本合同中其他对材料和工程设备的任何约定。</w:t>
      </w:r>
    </w:p>
    <w:p w14:paraId="6FAA13D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5.5.2 机制砂的使用</w:t>
      </w:r>
    </w:p>
    <w:p w14:paraId="25E997CA">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机制砂应满足设计文件和技术规范的要求，并按照国家、省有关文件的规定使用。</w:t>
      </w:r>
    </w:p>
    <w:p w14:paraId="58DA2BE2">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 材料、工程设备和工程的试验和检验</w:t>
      </w:r>
    </w:p>
    <w:p w14:paraId="6F1E8C95">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5.6.1承包人应按合同约定和技术标准，以及试验人的相关要求，建立工地试验室，完善试验和检验体系，对材料、工程设备和工程的质量进行试验和检验，向监理履行报检程序，并为监理人、试验人对上述材料、工程设备和工程的质量检查，提供必要的试验资料和原始记录。</w:t>
      </w:r>
    </w:p>
    <w:p w14:paraId="516D17B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5.6.2承包人应于工程开工前完成工地试验室建设和资质认证工作，工地试验室建设、相关配置及管理应满足标准化要求，并按发包人发布的项目管理制度执行。</w:t>
      </w:r>
    </w:p>
    <w:p w14:paraId="40F93F8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5.6.3承包人工地试验室资质范围以外的试验和检验项目，经监理人和发包人同意可对外委托具有相应资质的检测试验机构进行试验，但承包人应将检测试验机构有关资料报备监理人和试验人。</w:t>
      </w:r>
    </w:p>
    <w:p w14:paraId="01D6455E">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5.6.4 承包人根据合同约定或监理人指示进行的现场材料试验，应由承包人提供试验场所、试验人员、试验设备器材以及其他必要的试验条件。</w:t>
      </w:r>
    </w:p>
    <w:p w14:paraId="2EBF69A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5.6.5 如有必要，发包人、监理人、试验人可以免费使用承包人的试验场所、试验设备器材以及其他试验条件，进行以工程质量检查为目的的复核性材料试验，承包人应予以协助。</w:t>
      </w:r>
    </w:p>
    <w:p w14:paraId="129306C0">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5.6.6 承包人的试验和检验和外委试验应严格执行专用项目管理制度的相关规定和要求。 由承包人、监理人、试验人三方共同委外的检查项目的检测费用由承包人承担。</w:t>
      </w:r>
    </w:p>
    <w:p w14:paraId="289FDA9B">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5.6.7 承包人应根据材料、工程设备进场计划和工程施工计划，制订相应试验和检验计划，按计划开展试验检测工作，并将上述计划报送监理人和和试验人。</w:t>
      </w:r>
    </w:p>
    <w:p w14:paraId="5E9A8A89">
      <w:pPr>
        <w:pStyle w:val="61"/>
        <w:shd w:val="clear" w:fill="FFFFFF" w:themeFill="background1"/>
        <w:spacing w:line="360" w:lineRule="auto"/>
        <w:ind w:firstLine="480" w:firstLineChars="200"/>
        <w:rPr>
          <w:rFonts w:ascii="宋体" w:hAnsi="宋体" w:cs="宋体"/>
          <w:bCs/>
          <w:color w:val="auto"/>
          <w:sz w:val="24"/>
          <w:szCs w:val="21"/>
          <w:highlight w:val="none"/>
        </w:rPr>
      </w:pPr>
      <w:r>
        <w:rPr>
          <w:rFonts w:hint="eastAsia" w:ascii="宋体" w:hAnsi="宋体" w:cs="宋体"/>
          <w:bCs/>
          <w:color w:val="auto"/>
          <w:sz w:val="24"/>
          <w:szCs w:val="21"/>
          <w:highlight w:val="none"/>
        </w:rPr>
        <w:t>5.6.8 承包人的试验和检验过程须接受监理人的旁站监督；承包人应接受试验检测中心的监督指导，并按试验检测中心制定的管理制度开展试验检测工作。</w:t>
      </w:r>
    </w:p>
    <w:p w14:paraId="3EC1D02F">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5.6.9 监理人对承包人的试验和检验结果有疑问，或为查清承包人试验和检验成果的可靠性，要求承包人重新试验和检验时，可由监理人、试验人与承包人共同进行。重新试验和检验的结果证明该项材料、工程设备或工程的质量不符合合同要求的，由此增加的费用和（或）工期延误由承包人承担。 </w:t>
      </w:r>
    </w:p>
    <w:p w14:paraId="29B7BCA5">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5.6.10</w:t>
      </w:r>
      <w:r>
        <w:rPr>
          <w:rFonts w:hint="eastAsia" w:ascii="宋体" w:hAnsi="宋体" w:cs="宋体"/>
          <w:color w:val="auto"/>
          <w:sz w:val="24"/>
          <w:highlight w:val="none"/>
        </w:rPr>
        <w:t xml:space="preserve"> </w:t>
      </w:r>
      <w:r>
        <w:rPr>
          <w:rFonts w:ascii="宋体" w:hAnsi="宋体" w:cs="宋体"/>
          <w:color w:val="auto"/>
          <w:sz w:val="24"/>
          <w:highlight w:val="none"/>
        </w:rPr>
        <w:t>发包人、监理人和相关政府部门或发包人认可的其他第三方机构有权对工程的所有部位及其施工工艺、工程设备和材料进行检查和检验。承包人应为上述人员的检查和检验提供方便，包括到施工现场，或制造、加工地点，或其他地方进行察看和查阅施工原始记录。承包人还应按发包人、监理人、试验人和发包人认可的人员指示，进行施工现场取样试验、工程复核测量和设备性能检测，提供试验样品，提交试验报告和测量成果，完成上述人员要求进行的其他检查和检验工作。</w:t>
      </w:r>
    </w:p>
    <w:p w14:paraId="362EDA82">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发包人、监理人、试验人和发包人认可的相关政府部门或其他第三方机构的检查和检验，不免除承包人合同约定的责任。 </w:t>
      </w:r>
    </w:p>
    <w:p w14:paraId="06860390">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5.7标准试验</w:t>
      </w:r>
    </w:p>
    <w:p w14:paraId="420F0A8B">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5.7.1对于混凝土配合比、标准干密度等标准试验，承包人应于相应分项工程开工前完成上述试验，并将试验结果报监理人，同时由试验检测中心进行相应的平行试验检验，履行审批程序后方可用于工程施工控制。 </w:t>
      </w:r>
    </w:p>
    <w:p w14:paraId="53F2356E">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5.7.2 当用于工程施工的原材料发生变化时，承包人应重新进行上述标准试验，并履行平行试验和审批程序。 </w:t>
      </w:r>
    </w:p>
    <w:p w14:paraId="594666C3">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5.8 工艺试验 </w:t>
      </w:r>
    </w:p>
    <w:p w14:paraId="7CB1ACFB">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 xml:space="preserve">5.8.1 承包人应按合同约定或监理人指示进行现场工艺试验。对大型的现场工艺试验，应编制工艺试验方案和计划，报送监理人审批后实施。 </w:t>
      </w:r>
    </w:p>
    <w:p w14:paraId="01AAE61B">
      <w:pPr>
        <w:pStyle w:val="61"/>
        <w:shd w:val="clear" w:fill="FFFFFF" w:themeFill="background1"/>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5.8.2 对于特殊工艺质量检验，承包人应制定相应的检验方案和工艺，经评委评审和发包人审核确认后应用于现场工程质量控制和检验。</w:t>
      </w:r>
    </w:p>
    <w:p w14:paraId="60E189E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 施工设备和临时设施</w:t>
      </w:r>
    </w:p>
    <w:p w14:paraId="4EEA63A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6.1 承包人提供的施工设备和临时设施</w:t>
      </w:r>
    </w:p>
    <w:p w14:paraId="7DE1584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6.1.1 项补充：</w:t>
      </w:r>
    </w:p>
    <w:p w14:paraId="758A3FE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在投标文件承诺的主要机械设备（含检验、试验设备）必须按现场施工需要到位；承包人不管何种原因需推迟设备到位时间或改变到位设备的数量、型号等，均须事先经发包人和监理人的同意并将变更情况书面报监理人备案，违反上述规定视为承包人违约并按 22.1 款约定处理。</w:t>
      </w:r>
    </w:p>
    <w:p w14:paraId="758B1C8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 6.1.3 项：</w:t>
      </w:r>
    </w:p>
    <w:p w14:paraId="6893593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进场后，根据施工需要配备龙门吊、塔吊、架桥机等特种设备的，须提供厂家生产许可证、产品出厂合格证、设计计算书、使用说明书及图纸等资料；对于架桥机还应提供设备出厂到拟投入使用前的使用履历，包括有无发生过设备事故、有无改装以及有无经过大修；架桥机应明确其使用人及权属人。承包人在特种设备使用前应制定安装拆除方案及生产安全事故应急预案，由具有安装（拆除）资质的单位进行安装（拆除），并向特种设备所在地质量技术监督部门办理告知等一系列手续，提供验收合格证、当地使用登记证等资料。加强特种设备日常维护保养和自行检查制度，对作业人员进行相应的教育培训、安全技术交底。特种作业人员必须持证上岗。</w:t>
      </w:r>
    </w:p>
    <w:p w14:paraId="703153E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6.3 要求承包人增加或更换施工设备</w:t>
      </w:r>
    </w:p>
    <w:p w14:paraId="4DBACB8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在本款后补充：</w:t>
      </w:r>
    </w:p>
    <w:p w14:paraId="21B2559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承包人在接到上述指令 14 天内未按要求执行，将按第 22.1 款视为承包人违约。</w:t>
      </w:r>
    </w:p>
    <w:p w14:paraId="44E0231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本条补充第 6.5 款：</w:t>
      </w:r>
    </w:p>
    <w:p w14:paraId="55AE4A8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6.5 信息化管理</w:t>
      </w:r>
    </w:p>
    <w:p w14:paraId="594AA83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6.5.1 计算机系统配置</w:t>
      </w:r>
    </w:p>
    <w:p w14:paraId="45237A1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发包人采用信息化手段对本项目进行管理。承包人的计算机及网络配置应满足项目信息化管理和发包人的有关要求。</w:t>
      </w:r>
    </w:p>
    <w:p w14:paraId="130D16E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承包人应确保有专用计算机和一条专用网络连接线，同时应充分考虑可视化管理的手段，网络速度不小于 100Mbps。</w:t>
      </w:r>
    </w:p>
    <w:p w14:paraId="79F5AED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项目管理系统专用计算机的管理要求：</w:t>
      </w:r>
    </w:p>
    <w:p w14:paraId="6001F3B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(1)项目管理系统专用的计算机应由熟悉计算机操作的管理人员专人管理，管理人员必须参加发包人举办的培训班。</w:t>
      </w:r>
    </w:p>
    <w:p w14:paraId="6506357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(2)严禁在专用的计算机上安装软驱、光驱或进行登录 Internet 网及其局域网的操作。</w:t>
      </w:r>
    </w:p>
    <w:p w14:paraId="7660A29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(3)严禁在专用计算机上安装或卸载软件。</w:t>
      </w:r>
    </w:p>
    <w:p w14:paraId="073C501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(4)本网络系统对操作者进行了权限设置，任何操作员的违规操作将按照有关规定处理。</w:t>
      </w:r>
    </w:p>
    <w:p w14:paraId="0E8DCCE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专用计算机访问登录服务器前，操作员应准备好所有要传送的资料，登录后，应立即进行传送的操作，以避免长时间占用通讯通道。严禁登录占用通讯通道后才开始整理资料或编制文档，若有此情况将视作霸用通讯通道处以经济惩罚。</w:t>
      </w:r>
    </w:p>
    <w:p w14:paraId="72A5563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(6)承包人应安排专人配合发包人将项目信息管理系统与广东省交通运输厅建设管养平台进行对接，保证网络畅通。</w:t>
      </w:r>
    </w:p>
    <w:p w14:paraId="0DF9FC6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7.交通运输</w:t>
      </w:r>
    </w:p>
    <w:p w14:paraId="109FE41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 场内施工道路</w:t>
      </w:r>
    </w:p>
    <w:p w14:paraId="23D27A6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 7.2.3 项：</w:t>
      </w:r>
    </w:p>
    <w:p w14:paraId="6A3E480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负责对本标段内施工便道进行建设和维护，包括便道硬化及便桥加固等，并无条件允许发包人、监理人、试验人、本工程其他承包人及供应商使用。如该便道因各种原因损坏而未能及时修复，影响使用的，若发包人与承包人协调无果时，发包人有权委托第三方进行修复，所发生的费用从承包人工程款中扣回，承包人应无条件接受。</w:t>
      </w:r>
    </w:p>
    <w:p w14:paraId="4B70C92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 7.2.4 项：</w:t>
      </w:r>
    </w:p>
    <w:p w14:paraId="7E9EE89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7.2.4 施工便道要求：</w:t>
      </w:r>
    </w:p>
    <w:p w14:paraId="1A74009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无条件按发包人要求的时间节点拉通施工便道，在实施便道工程前，应做好现场调查，结合工点施工组织方案，编制施工便道专项方案。承包人在取弃土前，应对取弃土场的位置、容量等进行勘测复查，编制取弃土场专项方案。具体方案需符合《广东省交通运输厅关于进一步加强公路施工便道取弃土场的设计和施工管理工作的通知》、《广东省高速公路工程施工安全标准化指南》和《广东省公路工程施工标准化指南》的要求。</w:t>
      </w:r>
    </w:p>
    <w:p w14:paraId="15C750A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7.3 场外交通</w:t>
      </w:r>
    </w:p>
    <w:p w14:paraId="3038C13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 7.3.3 项：</w:t>
      </w:r>
    </w:p>
    <w:p w14:paraId="623A53A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为保证道路交通安全及运输畅通，承包人应采取以下措施：</w:t>
      </w:r>
    </w:p>
    <w:p w14:paraId="30028EA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（a）承包人必须在与市政、交通和交警等部门的协商下采取足够的交通引导措施，以防止施工期间出现道路堵塞；</w:t>
      </w:r>
    </w:p>
    <w:p w14:paraId="16BF98D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（b）承包人制定施工材料运输计划时，应尽量避开现有道路交通高峰时的运输活动。</w:t>
      </w:r>
    </w:p>
    <w:p w14:paraId="087E389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（c）承包人须编制交通组织方案，报相关部门审查批复，必要时组织评审，费用由承包人负责（合同另有约定除外）。</w:t>
      </w:r>
    </w:p>
    <w:p w14:paraId="0F3149F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8．测量放线</w:t>
      </w:r>
    </w:p>
    <w:p w14:paraId="2F591D5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8.2 施工测量</w:t>
      </w:r>
    </w:p>
    <w:p w14:paraId="713C116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 8.2.3 项：</w:t>
      </w:r>
    </w:p>
    <w:p w14:paraId="5F3C679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地面线定测误差引起土石方数量变化原则上不予调整。</w:t>
      </w:r>
    </w:p>
    <w:p w14:paraId="1A91B6F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 施工安全、治安保卫和环境保护</w:t>
      </w:r>
    </w:p>
    <w:p w14:paraId="264B56D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 承包人的施工安全责任</w:t>
      </w:r>
    </w:p>
    <w:p w14:paraId="1C97880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9.2.1 项补充：</w:t>
      </w:r>
    </w:p>
    <w:p w14:paraId="3EE16F4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承包人应按《广东省高速公路工程施工安全标准化指南》的规定履行安全职责。本项目需要编制专项施工方案的工程包括但不限于以下内容补充第（11）~（14）目：</w:t>
      </w:r>
    </w:p>
    <w:p w14:paraId="3A64C44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（11）旧桥涵（含分离立交、匝道桥、现浇、连续梁）的拆除与加固；</w:t>
      </w:r>
    </w:p>
    <w:p w14:paraId="4436204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（12）纵断面调整路段的路基路面施工；</w:t>
      </w:r>
    </w:p>
    <w:p w14:paraId="00101A2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（13）旧收费雨棚及收费岛拆除，旧门架式监控或标志设施拆除；</w:t>
      </w:r>
    </w:p>
    <w:p w14:paraId="6DEC57B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（14）其他危险性较大的工程。</w:t>
      </w:r>
    </w:p>
    <w:p w14:paraId="6E35B82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9.2.2 项补充：</w:t>
      </w:r>
    </w:p>
    <w:p w14:paraId="6F3C22F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国家和有关部门的规定，对施工现场人员和作业船舶、机械、设备的防台风、防突风、防风暴潮、防汛、防火、防雾、防坠落、防雷击等进行安全管理，对施工现场加强水陆交通安全管理、治安防范和消防安全防护措施，并承担由于措施不力造成的事故责任和由此发生的费用。</w:t>
      </w:r>
    </w:p>
    <w:p w14:paraId="5B1C965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9.2.3 项补充：</w:t>
      </w:r>
    </w:p>
    <w:p w14:paraId="62CAF59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9.2.3.1 承包人应贯彻执行国家有关安全生产、职业健康与环境保护的法律、法规、工程建设强制性标准及项目所在地的有关规定，以及发包人制定的管理制度，建立有效的安全生产、职业健康、环境保护管理体系，用于规范项目的安全生产、职业健康和环境保护管理工作。</w:t>
      </w:r>
    </w:p>
    <w:p w14:paraId="1402A59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9.2.3.2 项目的安全生产、职业健康和环境保护管理，应接受政府主管部门及其授权委托机构、发包人及其所委托的监理机构的监督、检查、协调与指导。</w:t>
      </w:r>
    </w:p>
    <w:p w14:paraId="0B08EDF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9.2.3.3 承包人应建立健全并落实安全生产“一岗双责”责任制和全员安全生产责任制，确保管生产同时管安全，实现全员全过程安全管理。</w:t>
      </w:r>
    </w:p>
    <w:p w14:paraId="6FAD287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9.2.3.4 承包人应深入开展以岗位达标、专业达标和项目达标为内容的安全生产标准化建设。重点开展公路水运工程“平安工地”建设管理活动，按照《广东省交通运输厅关于公路水运工程平安工地建设的管理办法》，开展平安工地建设，经常性的开展安全生产自查和安全隐患排查，每月至少组织一次全面的自我考核评价，并将考核评价结果向监理人和发包人备案。</w:t>
      </w:r>
    </w:p>
    <w:p w14:paraId="128231F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9.2.4 项补充：</w:t>
      </w:r>
    </w:p>
    <w:p w14:paraId="6F34A1C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承包人必须重视应急管理，在应急管理方面要做好但不限于以下工作：</w:t>
      </w:r>
    </w:p>
    <w:p w14:paraId="0BAFA92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（1）建立和完善应急组织体系。</w:t>
      </w:r>
    </w:p>
    <w:p w14:paraId="5F04135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结合工程特点建立完善的应急预案体系，承包人编制的应急预案必须和项目参建各方、项目所在地相关的应急预案体系相互衔接，互为呼应。按照应急预案的要求，组建和完善专兼职应急救援队伍、配备应急救援设施和装备，保证应急救援物资处于良好状态，确保正常使用。</w:t>
      </w:r>
    </w:p>
    <w:p w14:paraId="6FA2B49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（3）承包人应经常组织应急预案演练，不断完善应急预案，提升应急管理水平。发生突发事件时，迅速启动应急预案，开展各项应急处置工作。</w:t>
      </w:r>
    </w:p>
    <w:p w14:paraId="70FF244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承包人应主动接受所在地人民政府安全生产监督管理部门和有关主管部门安全监督指导，并积极配合相关单位做好应急管理工作，因上述单位要求而增加的安全设备、措施、防护等费用，原则上由承包人从安全生产费用中列支，发包人不另行支付。</w:t>
      </w:r>
    </w:p>
    <w:p w14:paraId="1FC846B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第9.2.5项细化为：</w:t>
      </w:r>
    </w:p>
    <w:p w14:paraId="76446C3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国家、省和广东省交通运输厅关于印发《广东省交通运输厅关于公路水运建设工程安全生产费用的管理办法》的通知等相关规定要求，本合同设立安全生产费。安全生产费按计费基数（工程量清单第100章至第900章费用之和，并扣除安全生产费本身和机电工程设备购置费）的1.5%（不含新建、改建、扩建以及拆除、加固等建设工程专项交通安全维护费）（房建工程按</w:t>
      </w:r>
      <w:r>
        <w:rPr>
          <w:rFonts w:hint="eastAsia" w:ascii="宋体" w:hAnsi="宋体" w:cs="宋体"/>
          <w:color w:val="auto"/>
          <w:sz w:val="24"/>
          <w:highlight w:val="none"/>
          <w:u w:val="single"/>
        </w:rPr>
        <w:t>2</w:t>
      </w:r>
      <w:r>
        <w:rPr>
          <w:rFonts w:hint="eastAsia" w:ascii="宋体" w:hAnsi="宋体" w:cs="宋体"/>
          <w:color w:val="auto"/>
          <w:sz w:val="24"/>
          <w:highlight w:val="none"/>
        </w:rPr>
        <w:t>%）以固定金额的形式计入工程量清单支付子目102-3中。</w:t>
      </w:r>
    </w:p>
    <w:p w14:paraId="59BE477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（1）安全生产费用预付款比例及扣回方式</w:t>
      </w:r>
      <w:r>
        <w:rPr>
          <w:rFonts w:hint="eastAsia" w:ascii="宋体" w:hAnsi="宋体" w:cs="宋体"/>
          <w:color w:val="auto"/>
          <w:sz w:val="24"/>
          <w:highlight w:val="none"/>
          <w:u w:val="single"/>
        </w:rPr>
        <w:t xml:space="preserve">： / </w:t>
      </w:r>
      <w:r>
        <w:rPr>
          <w:rFonts w:hint="eastAsia" w:ascii="宋体" w:hAnsi="宋体" w:cs="宋体"/>
          <w:i/>
          <w:iCs/>
          <w:color w:val="auto"/>
          <w:sz w:val="24"/>
          <w:highlight w:val="none"/>
          <w:u w:val="single"/>
        </w:rPr>
        <w:t xml:space="preserve"> </w:t>
      </w:r>
      <w:r>
        <w:rPr>
          <w:rFonts w:hint="eastAsia" w:ascii="宋体" w:hAnsi="宋体" w:cs="宋体"/>
          <w:color w:val="auto"/>
          <w:sz w:val="24"/>
          <w:highlight w:val="none"/>
          <w:u w:val="single"/>
        </w:rPr>
        <w:t>。</w:t>
      </w:r>
    </w:p>
    <w:p w14:paraId="6697A1F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施工准备阶段，承包人应根据安全生产费总额及广东省交通运输厅关于印发《广东省交通运输厅关于公路水运建设工程安全生产费用的管理办法》的通知规定的安全生产费用清单附录申报子目、价格及数量（包括购买安全生产责任保险），由监理单位审核后报发包人批准（或备案）。</w:t>
      </w:r>
    </w:p>
    <w:p w14:paraId="643DDDC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（3）承包人应根据每一计量周期安全生产投入情况及安全生产费用清单按实计量支付， 经发包人同意， 安全生产经费各子项经费可相互调剂使用， 但最终支付总额不超过安全生产费总额（发生设计变更的，以按合同约定调整后的总额为准）。</w:t>
      </w:r>
    </w:p>
    <w:p w14:paraId="2EB1D2B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（4）安全生产费用应专门用于完善和改进工程项目安全作业环境、安全施工措施和条件，严禁挪用。</w:t>
      </w:r>
    </w:p>
    <w:p w14:paraId="6000FE0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（5）承包人应根据实际需要使用安全生产费用，因设计变更造成承包人安全生产费用实际投入总额与合同约定不一致的，差额部分的安全生产费用按照批复变更金额和规定提取比例同时调整。</w:t>
      </w:r>
    </w:p>
    <w:p w14:paraId="192D040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（6）非因设计变更造成承包人安全生产费用实际投入总额与合同约定不一致的，承包人安全生产费用实际支出超过合同约定安全生产费用总额的，发包人不再另行支付，超出部分由承包人自行承担。</w:t>
      </w:r>
    </w:p>
    <w:p w14:paraId="3B8E038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承包人未按照合同约定落实安全生产措施的，发包人可以责令其暂停施工或暂停支付安全生产费用，并要求监理人督促整改，直至承包人完成整改。若承包人未能在规定期限内完成对施工现场事故隐患整改的，发包人可以直接委托其他单位代为整改，相关费用在支付给承包人的费用中扣除，并由发包人直接支付给受委托单位。</w:t>
      </w:r>
    </w:p>
    <w:p w14:paraId="39C8966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（8）工程交工验收后，安全生产费用实际投入总额少于工程量清单中安全生产费用总额的，经监理人核实后，未计量部分（除变更费用外）原则上不再支付。</w:t>
      </w:r>
    </w:p>
    <w:p w14:paraId="3CFB568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9.2.6 项细化为:</w:t>
      </w:r>
    </w:p>
    <w:p w14:paraId="075822E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对其分包施工现场的安全生产负总责。分包合同中应当明确各自的安全生产方面的权利、义务，承包人和分包人对分包工程的安全生产承担连带责任。分包单位安全生产条件和措施投入不足的应当由承包人负责配足，其费用由承包人承担。</w:t>
      </w:r>
    </w:p>
    <w:p w14:paraId="13307EE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9.2.8（4）目细化为：</w:t>
      </w:r>
    </w:p>
    <w:p w14:paraId="34FE2A8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本合同各单位工程的施工特点，严格执行《公路水运工程安全生产监督管理办法》、《公路工程施工安全技术规范》等有关规定。承包人须成立安全生产组织机构和独立的安全生产管理部门，配备安全专职副经理和专职安全生产管理人员，明确安全生产第一责任人、直接责任人及其职责，如责任人和专职安全管理人员发生变动，必须立即书面通知监理人和发包人。</w:t>
      </w:r>
    </w:p>
    <w:p w14:paraId="3C9D5DC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在本款补充第 9.2.12 项～第 9.2.16 项：</w:t>
      </w:r>
    </w:p>
    <w:p w14:paraId="23F50DD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9.2.12 涉水及船舶安全管理</w:t>
      </w:r>
    </w:p>
    <w:p w14:paraId="49CFE7B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承包人应根据《中华人民共和国水上水下作业和活动通航安全管理规定》的规定及《中华人民共和国安全生产法》的要求，建立健全涉水工程水上交通安全制度和管理体系，严格履行工程建设期水上交通安全有关职责。</w:t>
      </w:r>
    </w:p>
    <w:p w14:paraId="1074AFF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承包人应遵守属地政府和行业主管部门对作业船舶、作业噪音以及环境保护和安全生产文明施工等的管理规定，所有进入作业区域的船只必须满足航区要求，并按规定办理有关手续，因手续不全引起的一切责任均由承包人负责。有关要求包括但不限于：</w:t>
      </w:r>
    </w:p>
    <w:p w14:paraId="4C59A88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①船舶必须持有效的船舶检验证书（包括但不限于船舶国籍证书、船舶登记证书等）；</w:t>
      </w:r>
    </w:p>
    <w:p w14:paraId="36B1C7B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②船舶配备的有关航行安全设施设备必须具有船舶检验部门签发的有效技术证书，并在有效期内；</w:t>
      </w:r>
    </w:p>
    <w:p w14:paraId="04CF83D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③船舶应配备不低于船舶证书上要求的最低配员数量的合格船员；</w:t>
      </w:r>
    </w:p>
    <w:p w14:paraId="6E31E36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④交通船应具有载客证书或临时载客证书；</w:t>
      </w:r>
    </w:p>
    <w:p w14:paraId="604B5A9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⑤所有船舶必须配备 AIS、VHF 等设备；</w:t>
      </w:r>
    </w:p>
    <w:p w14:paraId="6D50DC8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⑥承包人应采取有效措施维护施工现场通航安全及现有航道的航行安全；</w:t>
      </w:r>
    </w:p>
    <w:p w14:paraId="7BFA659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⑦为钢结构及大型预制构件运输而设置的临时航道的设计必须取得有关行业主管部门的批准，并在完善相关许可手续后，方可实施；</w:t>
      </w:r>
    </w:p>
    <w:p w14:paraId="361D8AC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⑧承包人须与船舶所有人签订安全协议；</w:t>
      </w:r>
    </w:p>
    <w:p w14:paraId="157DF65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承包人应承担因此产生的一切费用，并保障发包人免于承担相关责任。</w:t>
      </w:r>
    </w:p>
    <w:p w14:paraId="4F1B375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9.2.13 施工安全风险评估</w:t>
      </w:r>
    </w:p>
    <w:p w14:paraId="1433ECD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承包人必须加强对重大危险源的管理，施工阶段风险源辨识与评价依据《公路桥梁和隧道工程施工安全风险评估指南》（试行）及《交通运输部关于发布高速公路路堑高边坡工程施工安全风险评估指南（试行）的通知》操作。承包人在工程开工前，必须进行重大危险源识别，建立危险源清单，对重大危险源建立管理方案和档案，过程中对危险源实行动态管理。</w:t>
      </w:r>
    </w:p>
    <w:p w14:paraId="19A76F1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承包人应严格按照交通运输部《关于开展公路桥梁和隧道工程施工安全风险评估试行工作的通知》及《交通运输部关于发布高速公路路堑高边坡工程施工安全风险评估指南（试行）的通知》的要求，在施工期间开展安全风险评估工作，相关费用按照《广东省交通运输厅关于公路水运建设工程安全生产费用的管理办法》中安全生产费用使用范围的规定，公路桥梁和隧道工程、高速公路路堑高边坡施工安全风险评估工作费用在项目安全生产费用中列支，发包人不另行支付。</w:t>
      </w:r>
    </w:p>
    <w:p w14:paraId="732A042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根据《中华人民共和国水上水下作业和活动通航安全管理规定》的规定及按照中华人民共和国海事局《中华人民共和国海事局水上水下活动通航安全影响论证与评估管理办法》的规定，在申请海事管理机构水上水下活动许可之前，开展涉水工程通航安全评估，并通过海事管理机构的审核。</w:t>
      </w:r>
    </w:p>
    <w:p w14:paraId="09DED48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9.2.14 施工作业人员的安全教育培训</w:t>
      </w:r>
    </w:p>
    <w:p w14:paraId="536D46D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6E7D785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9.2.15施工防护标准化</w:t>
      </w:r>
    </w:p>
    <w:p w14:paraId="4975DB3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照《公路工程施工安全防护设施技术指南》要求推进施工防护设施标准化管理，积极运用模块化、装配化、专业化的防护设施，着力提升防护设施的本质安全水平和使用效能，加强安全防护设施的验收、使用、维护等管理，提升现场施工安全防护保障能力。</w:t>
      </w:r>
    </w:p>
    <w:p w14:paraId="43606E3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9.2.16 加强路堑边坡管理</w:t>
      </w:r>
    </w:p>
    <w:p w14:paraId="53BB040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严格执行路堑边坡开工报告审查制度。对纳入项目重点管理的路堑边坡，应严格执行开工报告审查制度，重点审查地质资料是否满足相关规范和设计要求、设计方案是否合理可行、施工准备工作（施工机械、材料、队伍等）是否到位等。对具备开工条件的边坡，施工单位应上报开工报告，经监理单位审查同意后方可施工。</w:t>
      </w:r>
    </w:p>
    <w:p w14:paraId="126FFDD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强化施工技术交底与质量控制。边坡施工前必须开展各工序施工工艺与质量控制的技术交底；严格按照设计的坡形、坡率开挖边坡，杜绝坡面超挖或欠挖现象；严控锚杆、锚索等工程的压浆工艺，确保压浆质量和锚固力。</w:t>
      </w:r>
    </w:p>
    <w:p w14:paraId="18F77B2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实行边坡首件验收制。路堑边坡首件验收由项目监理单位组织，业主参与，选取先行施工、有代表性的土质和石质两类边坡分别进行首件验收，明确有关管理程序、质量标准、监管措施等，经验收合格后方可开展大面积施工。</w:t>
      </w:r>
    </w:p>
    <w:p w14:paraId="1E862AE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（4）加强边坡施工过程管理及其他具体要求按《广东省交通运输厅关于切实加强我省高速公路路堑边坡管理的通知》执行。</w:t>
      </w:r>
    </w:p>
    <w:p w14:paraId="60D3572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 环境保护</w:t>
      </w:r>
    </w:p>
    <w:p w14:paraId="59277F7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9.4.7（1）目补充：</w:t>
      </w:r>
    </w:p>
    <w:p w14:paraId="1049D41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施工噪声和施工时间应满足国家及地方环境保护法律法规的规定和要求，不得影响周边单位和居民正常的生产生活。施工单位应使用经环保主管部门信息编码登记且符合排放标准的非道路移动机械。</w:t>
      </w:r>
    </w:p>
    <w:p w14:paraId="2AADF24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9.4.7（2）目补充：</w:t>
      </w:r>
    </w:p>
    <w:p w14:paraId="602F941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e.隧道出渣、钻孔灌注桩施工时排出的泥浆等施工废弃物要妥善处理，弃置形式及地点须经相关主管部门的批准，严禁向海洋、河流、荒地或市政管道等排放。</w:t>
      </w:r>
    </w:p>
    <w:p w14:paraId="6F6E84F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f.承包人必须依照《广东省交通运输厅关于加强公路水运建设项目施工现场扬尘管理的通知》，加强施工现场管理，防止工程周边扬尘污染，运输车辆经冲洗干净后方可驶出建设工地。</w:t>
      </w:r>
    </w:p>
    <w:p w14:paraId="6F718C0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g.承包人应严格执行《广东省重污染天气交通建设工程施工扬尘控制应急工作方案》有关规定，城市区域内交通建设工程要切实做到“六个 100%”：施工现场 100%围蔽，工地砂土 100%覆盖，工地路面 100%硬地化，拆除工程 100%洒水压尘，出工地车辆100%冲净车轮车身，暂不开发的场地 100%绿化。</w:t>
      </w:r>
    </w:p>
    <w:p w14:paraId="4B94286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9.4.10 项末补充：</w:t>
      </w:r>
    </w:p>
    <w:p w14:paraId="32117D9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广东省国土资源厅关于印发《非农建设占用水田耕作层剥离再利用工作指引》的通知的要求，本项目按照《耕作层土壤剥离利用技术规范》（TD/T1048---2016）对占用水田耕作层进行剥离再利用，承包人应积极配合。发包人将根据相关政策及地方政府制定的实施方案，推进本项目占用水田耕作层剥离工作，相关费用由发包人承担。</w:t>
      </w:r>
    </w:p>
    <w:p w14:paraId="07AC6B1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 9.4 款下增加 9.4.12～9.4.17 项：</w:t>
      </w:r>
    </w:p>
    <w:p w14:paraId="7E72383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9.4.12 承包人应落实环境保护及水土保持的责任人，严格按照《广东省水利厅广东省交通运输厅关于进一步加强交通建设项目水土保持工作的通知》的要求开展水土保持工作。自觉接受监理人的环保及水土保持教育，落实实施施工场地符合相关环保要求布设；施工组织设计应按“水土保持方案报告书”有关要求制定施工中的水保措施，认真做好项目实施过程及工程结束后的水土保持的防御措施，做好有关水土保持的资料的记录。各类废弃物统一收集处理，施工临时弃渣堆放应做好水土保持措施。</w:t>
      </w:r>
    </w:p>
    <w:p w14:paraId="4E510FA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9.4.13 承包人依法取得砍伐许可后方可按照砍伐许可的面积、株数、树种进行砍伐，并注意保护野生动植物；施工结束后，对施工期占用的施工便道、料场、拌和场及施工场地等临时用地，按“破坏一处，恢复一处”的原则，进行全面恢复。施工便道、各种料场、预制场等的临时占地应充分利用荒地、废弃地、低覆盖草地和裸地，不应占压高覆盖草地、林地、基本农田，并采取有效措施防止污染。</w:t>
      </w:r>
    </w:p>
    <w:p w14:paraId="510D199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9.4.14 承包人必须采取有效预防措施，防止雨水对施工场所占有的土地、临时用地、路基土石方、取弃土场等冲刷而造成对河流、水道、灌溉渠、排水系统产生淤积、堵塞，对农田造成污染、淹没。同时也应采取措施防止在施工过程中因材料运输、混合料拌和、现场施工而对项目沿线的建筑、既有道路、农田、林地、河流、水道、灌溉渠、排水系统等产生破坏，从而造成索赔、施工停工或工程质量隐患。如承包人未采取有效措施，由此产生的一切损失由承包人自行负责。</w:t>
      </w:r>
    </w:p>
    <w:p w14:paraId="3333D61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9.4.15 除合同有另外规定外，以上工作均视为承包人已经在合同报价中计入其影响而可能发生的一切费用，对承包人采取的一切措施，发包人和监理人有权监督，如果承包人未能对上述事项采取各种必要的措施而导致或发生与此有关的违约金、索赔、损失赔偿、诉讼费用以及其他一切责任均由承包人负责。</w:t>
      </w:r>
    </w:p>
    <w:p w14:paraId="427CB71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9.4.16 承包人应严格执行《广东省公路工程施工标准化指南》关于环境保护的相关要求。</w:t>
      </w:r>
    </w:p>
    <w:p w14:paraId="5F0A120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9.4.17 文明环保施工价款</w:t>
      </w:r>
    </w:p>
    <w:p w14:paraId="11262B3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为督促承包人在施工过程中，做到文明施工，加强环境保护、水土保持等工作，本合同设立文明、环保施工价款。该金额按技术规范 100 章规定的方式在工程量清单中单列。承包人获得支付的额度取决于其施工环保情况及相关检查评比中的名次。有关评比方案发包人将在承包人进场后予以制定。</w:t>
      </w:r>
    </w:p>
    <w:p w14:paraId="27E2429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 进度计划</w:t>
      </w:r>
    </w:p>
    <w:p w14:paraId="3D32FEB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10.1 合同进度计划</w:t>
      </w:r>
    </w:p>
    <w:p w14:paraId="01F0777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编制施工方案说明的内容包括：按照关键线路网络图和主要工作横道图两种形式分别编绘合同进度计划，列出各主要工程项目的计划开工、完工时间，并应包括每个阶段预计完成的工作量和形象进度。计划中应包括工程的施工时间、方法和顺序，资源的安排，材料、设备及人员的获得和运输等。</w:t>
      </w:r>
    </w:p>
    <w:p w14:paraId="0CD8D20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10.3 年度施工计划</w:t>
      </w:r>
    </w:p>
    <w:p w14:paraId="1393B4E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在本款末增加以下内容：</w:t>
      </w:r>
    </w:p>
    <w:p w14:paraId="372133F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在年度施工计划的基础上，承包人应根据发包人及监理人的具体安排编制和落实其他阶段性施工计划。</w:t>
      </w:r>
    </w:p>
    <w:p w14:paraId="43B72B2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本条补充第 10.5 款、第 10.6 款、第 10.7 款：</w:t>
      </w:r>
    </w:p>
    <w:p w14:paraId="7A18BAA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10.5 工程进度记录</w:t>
      </w:r>
    </w:p>
    <w:p w14:paraId="78E92DD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承包人应保持每日、每月和其他定期的工程进度记录和报告，这些记录和报告包括下列有关资料：</w:t>
      </w:r>
    </w:p>
    <w:p w14:paraId="072D144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(a)气象条件；</w:t>
      </w:r>
    </w:p>
    <w:p w14:paraId="59970D9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(b)施工记录；</w:t>
      </w:r>
    </w:p>
    <w:p w14:paraId="1D8002D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(c)施工设施和设备状况；</w:t>
      </w:r>
    </w:p>
    <w:p w14:paraId="41DE047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(d)承包人人员统计；</w:t>
      </w:r>
    </w:p>
    <w:p w14:paraId="0EAD3A6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(e)现场材料，材料搬移记录、交货期、发票及有关资料；</w:t>
      </w:r>
    </w:p>
    <w:p w14:paraId="0A48490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(f)环境保护、水土保持实施记录；</w:t>
      </w:r>
    </w:p>
    <w:p w14:paraId="2E946E8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(g)安全生产实施记录；</w:t>
      </w:r>
    </w:p>
    <w:p w14:paraId="1E1043A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(h)所有在施工过程中发生的其他事项。</w:t>
      </w:r>
    </w:p>
    <w:p w14:paraId="5916515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10.6 工程的进度奖罚</w:t>
      </w:r>
    </w:p>
    <w:p w14:paraId="1AD4896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为激励承包人加快工程进度，确保合同工期，本合同设立工程进度奖金，用于承包人提前或确保进度的奖励。该金额由发包人统一掌握使用。承包人获得支付的额度取决于其完成进度的情况及在评比中的名次。有关评比方案发包人将在承包人进场后予以制定。</w:t>
      </w:r>
    </w:p>
    <w:p w14:paraId="54E8B21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11.开工和竣工</w:t>
      </w:r>
    </w:p>
    <w:p w14:paraId="6402461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 发包人的工期延误</w:t>
      </w:r>
    </w:p>
    <w:p w14:paraId="2937758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11445B4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在履行合同过程中，由于发包人的下列原因造成工期延误的，承包人在满足发包人的项目总体工期目标前提下，有权要求发包人顺延工期，需要修订合同进度计划的，按照第 10.2 款的约定办理。</w:t>
      </w:r>
    </w:p>
    <w:p w14:paraId="446F100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 由于征地拆迁的原因造成关键线路上的工程暂停施工；</w:t>
      </w:r>
    </w:p>
    <w:p w14:paraId="43D69D6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 未按合同约定及时支付预付款、进度款；</w:t>
      </w:r>
    </w:p>
    <w:p w14:paraId="3EDDF35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如顺延合同工期在项目专用合同条款数据表的时间以内的，发包人将不予增加费用；</w:t>
      </w:r>
    </w:p>
    <w:p w14:paraId="4868B52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如顺延合同工期在项目专用合同条款数据表的时间以上的，发包人将按如下原则给予补偿：</w:t>
      </w:r>
    </w:p>
    <w:p w14:paraId="27EEF17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①驻地建设场地租金；</w:t>
      </w:r>
    </w:p>
    <w:p w14:paraId="48BD30A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②合同承诺投入且已进场的机械设备停置费，停置费按以下两种情况计算：</w:t>
      </w:r>
    </w:p>
    <w:p w14:paraId="5935D4C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a.《公路工程机械台班费用定额》包含的机械设备停置费按如下公式计算：</w:t>
      </w:r>
    </w:p>
    <w:p w14:paraId="6C57EEC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停置费=（折旧费+检修费+维护费）*50%+人工费+机上人员管理费+养路费及车船使用税</w:t>
      </w:r>
    </w:p>
    <w:p w14:paraId="220A13E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其中：机上人员管理费按人工费的 10%计算；车船使用税按规定的广东省车船使用税标准计算。</w:t>
      </w:r>
    </w:p>
    <w:p w14:paraId="53CE5C1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b. 《公路工程机械台班费用定额》未包含的机械设备停置费按如下公式计算：</w:t>
      </w:r>
    </w:p>
    <w:p w14:paraId="52FC699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按照年限平均法直线计提折旧，折旧年限为 10 年，年折旧额=固定资产原值×（1-残值率）/折旧年限，残值率为 4%；月折旧额=年折旧额/12，末月的天数≥16 时，按 1个月计算，否则末月不计。</w:t>
      </w:r>
    </w:p>
    <w:p w14:paraId="156D787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③已进场的主要管理人员的工资费用。补偿的人员数量不得超过合同承诺投入的相应数量；补偿单价以统计局公布的项目所在地上一年度平均月收入为基数，具有高级职称的人员工资按 3 倍计算，具有中级职称的人员工资按 2 倍计算，其他管理人员工资按 1 倍计算；</w:t>
      </w:r>
    </w:p>
    <w:p w14:paraId="2D8B434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④仅对超出</w:t>
      </w:r>
      <w:r>
        <w:rPr>
          <w:rFonts w:hint="eastAsia" w:ascii="宋体" w:hAnsi="宋体" w:cs="宋体"/>
          <w:color w:val="auto"/>
          <w:sz w:val="24"/>
          <w:highlight w:val="none"/>
          <w:u w:val="single"/>
        </w:rPr>
        <w:t>6个月</w:t>
      </w:r>
      <w:r>
        <w:rPr>
          <w:rFonts w:hint="eastAsia" w:ascii="宋体" w:hAnsi="宋体" w:cs="宋体"/>
          <w:color w:val="auto"/>
          <w:sz w:val="24"/>
          <w:highlight w:val="none"/>
        </w:rPr>
        <w:t>以上部分进行补偿；</w:t>
      </w:r>
    </w:p>
    <w:p w14:paraId="3443926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⑤除上述规定的补偿项目之外，其余由于工期顺延增加的费用由承包人承担。</w:t>
      </w:r>
    </w:p>
    <w:p w14:paraId="0D0DEAD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（3）由于重大设计方案调整造成关键线路上的工程暂停施工；</w:t>
      </w:r>
    </w:p>
    <w:p w14:paraId="22CADDF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（4）甲供材料断供或供应不及时。</w:t>
      </w:r>
    </w:p>
    <w:p w14:paraId="5B24626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11.4 异常恶劣的气候条件</w:t>
      </w:r>
    </w:p>
    <w:p w14:paraId="4DE4959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异常恶劣的气候条件是指十级以上强风暴、龙卷风或五十年一遇以上洪水造成重大破坏等情况无法施工持续 30 天以上者。</w:t>
      </w:r>
    </w:p>
    <w:p w14:paraId="2A560EB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11.5 承包人的工期延误</w:t>
      </w:r>
    </w:p>
    <w:p w14:paraId="6666D3B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在本款后增加第(6)项：</w:t>
      </w:r>
    </w:p>
    <w:p w14:paraId="5EFD7E1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（6）承包人连续三个月未能完成发包人下发（批复）的月计划任务的 80%或累计未能完成发包人下发（批复）的季度计划任务的 80%，发包人和监理人认为承包人无法在合同工期内完成任务的，发包人有权按第 4.3.8 款、第 4.3.9 款进行处理。</w:t>
      </w:r>
    </w:p>
    <w:p w14:paraId="20C6521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 暂停施工</w:t>
      </w:r>
    </w:p>
    <w:p w14:paraId="6936398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承包人暂停施工的责任</w:t>
      </w:r>
    </w:p>
    <w:p w14:paraId="7E05FA50">
      <w:pPr>
        <w:pStyle w:val="61"/>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 (6)由承包人承担的其他暂停施工：</w:t>
      </w:r>
      <w:r>
        <w:rPr>
          <w:rFonts w:hint="eastAsia" w:ascii="宋体" w:hAnsi="宋体" w:cs="宋体"/>
          <w:color w:val="auto"/>
          <w:sz w:val="24"/>
          <w:highlight w:val="none"/>
          <w:u w:val="single"/>
        </w:rPr>
        <w:t xml:space="preserve"> 无</w:t>
      </w:r>
    </w:p>
    <w:p w14:paraId="48BE974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12.2 发包人暂停施工的责任</w:t>
      </w:r>
    </w:p>
    <w:p w14:paraId="7522D4C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42F931C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由于发包人原因引起的暂停施工造成工期延误的，按第 11.3 款的约定执行。</w:t>
      </w:r>
    </w:p>
    <w:p w14:paraId="1E793DC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 工程质量</w:t>
      </w:r>
    </w:p>
    <w:p w14:paraId="48E2078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13.1 工程质量要求</w:t>
      </w:r>
    </w:p>
    <w:p w14:paraId="6FC763A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在本款第 13.1.2 项后增加以下内容：</w:t>
      </w:r>
    </w:p>
    <w:p w14:paraId="755DEC8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工程经过验收并计量之后的任何时候，因任何方式（包括政府质量监督部门、发包人或监理人组织的各类检查）发现的关键工程质量不合格、工序不规范造成质量隐患，承包人应负责自费返工。发包人将根据本合同《工程质量、安全及文明施工违约项目一览表》对承包人进行处理。该处理不免除承包人自费进行返工或修复的责任。</w:t>
      </w:r>
    </w:p>
    <w:p w14:paraId="329E079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增加第 13.7～13.12 款：</w:t>
      </w:r>
    </w:p>
    <w:p w14:paraId="6EDDBBE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13.7 承包人偷工减料</w:t>
      </w:r>
    </w:p>
    <w:p w14:paraId="29C5F3E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施工过程中存在偷工减料，有意降低工程质量，企图蒙骗发包人、监理人的，属于承包人违约，经发包人发现确认，情节严重的，发包人有权单方终止合同，另选承包人进行剩余工程的施工。发包人按照承包人自开工以来，至发包人发出终止合同的函件止所完成的工程量与承包人清算，因承包人退场产生的所有费用由承包人自行负责，发包人不因此额外补偿任何费用。同时，发包人单方终止合同并不免除承包人修复已施工的不合格工程的责任。</w:t>
      </w:r>
    </w:p>
    <w:p w14:paraId="0A2D113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13.8 承包人质量自检</w:t>
      </w:r>
    </w:p>
    <w:p w14:paraId="43A58AA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承包人必须建立完善的质量自检体系，对已完工程进行严格的质量自检，只有自检合格的工程才能向监理人、发包人提出验收和计量的申请。监理人在收到验收申请后的48 小时内对工程进行抽检和验收，对抽检不合格的工程由承包人自费修复或返工。</w:t>
      </w:r>
    </w:p>
    <w:p w14:paraId="1ABB736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13.9 不定期现场检查</w:t>
      </w:r>
    </w:p>
    <w:p w14:paraId="657DA80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发包人和监理人将不定期进行现场检查，对检查结果按本合同《工程质量、安全及文明施工违约项目一览表》进行处理，承包人必须接受。</w:t>
      </w:r>
    </w:p>
    <w:p w14:paraId="0421B3C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13.10 施工误差</w:t>
      </w:r>
    </w:p>
    <w:p w14:paraId="64F7BB5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施工质量不满足要求的，承包人须承担一切返工费用。其中：</w:t>
      </w:r>
    </w:p>
    <w:p w14:paraId="3DB7090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（1）路基交工时，如有部分路基高出设计 1cm，则由路基桥涵承包人修整。如有部分路基低于设计 1.5cm(土质)或 2.0 cm(石质)，则由路面承包人用规定的填料回填，超过偏差的处理费用由路基桥涵承包人负责。如路槽开挖由路面承包人负责施工的，则超过偏差的处理由路面承包人负责并承担费用。</w:t>
      </w:r>
    </w:p>
    <w:p w14:paraId="018BE87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由现浇或预制梁板的上拱度造成的桥面铺装（调平层、沥青面层）工程量变化，当引起的调坡所增加的费用，由梁板预制承包人和该合同段路基桥涵承包人各承担50%；不需调坡时，桥面铺装（调平层、沥青面层）工程量的偏差的风险由该合同段路基桥涵承包人承担。</w:t>
      </w:r>
    </w:p>
    <w:p w14:paraId="32CD9D5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13.11 优质优价价款</w:t>
      </w:r>
    </w:p>
    <w:p w14:paraId="7BFA4C9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项目建设全过程中，全面推行“双标管理”（标准化管理、标杆管理），建立工程质量优质优价奖罚制度，激励承包人提高工程质量和管理水平，具体按发包人根据广东省交通运输厅《关于印发广东省高速公路工程优质优价和施工监理优监优酬实施意见的通知》等文件制订的实施细则执行。</w:t>
      </w:r>
    </w:p>
    <w:p w14:paraId="3980CCB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发包人将根据工程实际开展各项工程的质量评比和奖罚，项目（如项目采用分段管理，则按项目段计列）用于奖励的金额比例详见项目专用合同条款数据表的约定，由项目统筹使用。</w:t>
      </w:r>
    </w:p>
    <w:p w14:paraId="7BB151E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13.12 未解除承包人的义务和责任</w:t>
      </w:r>
    </w:p>
    <w:p w14:paraId="28EB5AF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是工程质量的直接责任人，监理人对工程材料和施工工艺的认可或对工程进行验收和计量支付，并不免除承包人对这些工程的合同责任。承包人不但应对质量缺陷或质量事故进行自费修复或返工，还应承担由此带来的一切损失。如承包人出现严重的质量缺陷或质量事故，除应承担上述责任和处罚外，视为承包人违约，发包人有权单方终止合同。</w:t>
      </w:r>
    </w:p>
    <w:p w14:paraId="3D589FA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 变更</w:t>
      </w:r>
    </w:p>
    <w:p w14:paraId="723877D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 变更程序</w:t>
      </w:r>
    </w:p>
    <w:p w14:paraId="5BFB2DD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在本款第 15.3.4 项后增加以下内容：</w:t>
      </w:r>
    </w:p>
    <w:p w14:paraId="5782233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同时工程变更还应执行广东省交通运输厅及发包人颁布的相关变更管理办法规定。</w:t>
      </w:r>
    </w:p>
    <w:p w14:paraId="2F651E3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 变更的估价原则</w:t>
      </w:r>
    </w:p>
    <w:p w14:paraId="11B0633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将本款第 15.4.1～15.4.5 项删除，并用以下内容代替：</w:t>
      </w:r>
    </w:p>
    <w:p w14:paraId="7DFA525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因变更引起的价格调整，应按以下优先顺序所列原则进行处理：</w:t>
      </w:r>
    </w:p>
    <w:p w14:paraId="3C00EAD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15.4.1 如果取消某项工作，则该项工作的总额价不予支付；</w:t>
      </w:r>
    </w:p>
    <w:p w14:paraId="6FD20A8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15.4.2 本合同段工程量清单中有相同或相似工程细目单价的，经发包人与承包人协商一致同意可直接套用该单价。本合同段内没有相同或适用合同单价的，原则上应套用同类合同段相应单价的算术平均值/加权平均值；但监理人认为受施工现场自然环境影响大的工程项目单价，报发包人同意后可套用自然环境相近似的合同段相应细目；</w:t>
      </w:r>
    </w:p>
    <w:p w14:paraId="4DA4DEE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15.4.3 以综合单价报价的计量项目，如果只是由于使用材料或局部尺寸调整，则原支付单价不变，而只在原合同单价基础上，调整相应的材料价差和合理的工效增减费用。对于机电设备，如发包人未提高技术标准或参数指标，任何品牌或型号的调整，其性能指标不得低于技术规范及设计文件要求，且发包人不予价格调整。</w:t>
      </w:r>
    </w:p>
    <w:p w14:paraId="663E306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15.4.4 如上述价格调整原则不适用或按上述原则计算的单价不合理，经发包人同意，按以下原则执行。</w:t>
      </w:r>
    </w:p>
    <w:p w14:paraId="2148BBF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15.4.4.1 参照招标人公布的最高投标限价编制时选用的有关定额及补充的定额，人工、材料、机械单价按最高投标限价采用的月份（**年**月）信息价编制预算，并在上述预算价的基础上按本合同段投标人中标总价较最高投标限价之下浮比例下浮确定变更工程价格。上述“信息价”指由广东省交通运输工程造价事务中心发布的“广东省交通建设工程主要外购材料信息价”中的项目施工所在地区材料信息价（如无相应信息价，由发包人另行确定）。</w:t>
      </w:r>
    </w:p>
    <w:p w14:paraId="357F7A5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下浮率=（本合同段最高投标限价-中标总价）/本合同段最高投标限价*100%</w:t>
      </w:r>
    </w:p>
    <w:p w14:paraId="4BF0354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15.4.4.2 按变更程序办理的应急抢险工程，经变更预算对应审批权限单位同意后，可根据实际情况编制预算，变更金额确定原则在项目专用合同条款数据表中约定。</w:t>
      </w:r>
    </w:p>
    <w:p w14:paraId="24A0FEA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15.4.4.3 新增机电设备的变更作价，按以下优先顺序所列原则进行处理：</w:t>
      </w:r>
    </w:p>
    <w:p w14:paraId="6A0FBA3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（1）参考省内近 1 年内通车的高速公路项目合同单价（或总额价）进行确定；</w:t>
      </w:r>
    </w:p>
    <w:p w14:paraId="1365C38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（2）变更预算按发包人核定的市场价格加上采保费、税金及合理利润进行计算，变更单价或费用=变更预算×（1-中标下浮率）</w:t>
      </w:r>
    </w:p>
    <w:p w14:paraId="38E161E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15.4.5 如果双方对变更工程价款有争议，则请政府主管部门或发包人和承包人双方认可的机构按 15.4.4 款要求编制预算，由发包人委托，委托费用由发包人和承包人各负责一半，变更工程造价或单价按本合同段投标人中标价较招标时最高投标限价之下浮比例下浮确定。</w:t>
      </w:r>
    </w:p>
    <w:p w14:paraId="7C2263A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发包人与承包人如按上述原则协商未果，发包人有权根据实际情况按上述某一原则进行处理，承包人必须无条件接受。</w:t>
      </w:r>
    </w:p>
    <w:p w14:paraId="3ED837E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所有的变更设计都必须按发包人及其上级主管部门颁布的变更设计管理办法进行审批。</w:t>
      </w:r>
    </w:p>
    <w:p w14:paraId="7AF4AB0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 价格调整</w:t>
      </w:r>
    </w:p>
    <w:p w14:paraId="3A439B7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 物价波动引起的价格调整</w:t>
      </w:r>
    </w:p>
    <w:p w14:paraId="24C8658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16.1.2 采用造价信息调整价格差额</w:t>
      </w:r>
    </w:p>
    <w:p w14:paraId="65C81FE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本项细化为：</w:t>
      </w:r>
    </w:p>
    <w:p w14:paraId="50A2DEC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履行期间，发包人参照《广东省交通运输厅关于于印发我省交通建设项目材料价差调整指导性意见的通知》，对项目允许调整价格差额的材料进行价差调整。材料价差调整费用系指材料价格（包含材料采购增值税）变化产生的综合调整费用，不再计算材料采购及保管费、管理费等费用。除本款约定允许调整价格差额的材料以外，其他材料、设备等不进行价差调整，承包人应将上述风险考虑在投标报价中。</w:t>
      </w:r>
    </w:p>
    <w:p w14:paraId="4DEDF04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16.1.2.1 统一采购供应材料、甲控乙购材料价差调整</w:t>
      </w:r>
    </w:p>
    <w:p w14:paraId="504DAB9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发包人招标文件规定的统一采购供应材料、甲控乙购材料按以下办法进行价差调整：</w:t>
      </w:r>
    </w:p>
    <w:p w14:paraId="3E81D3D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（1）材料范围：详见招标文件中《统一采购供应材料一览表》、《甲控乙购材料一览表》；</w:t>
      </w:r>
    </w:p>
    <w:p w14:paraId="4AE7B76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（2）材料价差计算方法：</w:t>
      </w:r>
    </w:p>
    <w:p w14:paraId="540AF13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按月调整材料价差，具体如下：</w:t>
      </w:r>
    </w:p>
    <w:p w14:paraId="6A11BFD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以广东省交通运输工程造价事务中心每月公布的广东省交通建设工程主要外购材料信息价为依据，每个月 15 日（不含当天）后供应的货物纳入下个月进行价格调整。</w:t>
      </w:r>
    </w:p>
    <w:p w14:paraId="41F0411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A=(B-C)(1+D)</w:t>
      </w:r>
    </w:p>
    <w:p w14:paraId="3FC3FBA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A:实际调整价差，A 为正值时，由发包人补给承包人该价差，A 为负值时，由发包人从承包人承包价中扣回该价差。</w:t>
      </w:r>
    </w:p>
    <w:p w14:paraId="0F70FAE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B:实际采购供应价，该价格为实际支付给供应商（卖方）的价格，该价格按与供应商签定的采购供应合同（含补充合同/协议）确定。</w:t>
      </w:r>
    </w:p>
    <w:p w14:paraId="29E55C4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C:材料基准价格，由招标人在招标文件（或补遗书）中统一规定。</w:t>
      </w:r>
    </w:p>
    <w:p w14:paraId="18E9E25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D:销售货物增值税税率。增值税税率应采用材料发票开具的税率。材料供应商根据结算价格提交增值税发票给承包人。</w:t>
      </w:r>
    </w:p>
    <w:p w14:paraId="27DF205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16.1.2.2 承包人自行采购材料价差调整</w:t>
      </w:r>
    </w:p>
    <w:p w14:paraId="0DB2BEA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16.1.2.2.1 工程范围</w:t>
      </w:r>
    </w:p>
    <w:p w14:paraId="677D7F2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指建设项目的实体工程所消耗的主要材料（含构成永久性结构的水中钢护筒、溶洞处理钢护筒等），以及特大桥梁、特长隧道、大型船闸等有专项设计的大型临时工程所消耗的主要材料纳入材料调差调整范围。一般性临时工程、临时设施所消耗的材料以及属于水运工程范围的材料均不纳入材料调差调整范围。</w:t>
      </w:r>
    </w:p>
    <w:p w14:paraId="11313A8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16.1.2.1.2 材料范围</w:t>
      </w:r>
    </w:p>
    <w:p w14:paraId="1EEAA2C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可调差主要材料范围如下：</w:t>
      </w:r>
    </w:p>
    <w:p w14:paraId="077469C6">
      <w:pPr>
        <w:pStyle w:val="61"/>
        <w:shd w:val="clear" w:fill="FFFFFF" w:themeFill="background1"/>
        <w:spacing w:line="360" w:lineRule="auto"/>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可调差材料一览表</w:t>
      </w:r>
    </w:p>
    <w:tbl>
      <w:tblPr>
        <w:tblStyle w:val="46"/>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2"/>
        <w:gridCol w:w="1222"/>
        <w:gridCol w:w="1222"/>
        <w:gridCol w:w="1222"/>
        <w:gridCol w:w="1223"/>
        <w:gridCol w:w="1223"/>
        <w:gridCol w:w="1223"/>
        <w:gridCol w:w="1223"/>
      </w:tblGrid>
      <w:tr w14:paraId="5958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1222" w:type="dxa"/>
          </w:tcPr>
          <w:p w14:paraId="2A59630A">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22" w:type="dxa"/>
          </w:tcPr>
          <w:p w14:paraId="277AE6C4">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材料名称</w:t>
            </w:r>
          </w:p>
        </w:tc>
        <w:tc>
          <w:tcPr>
            <w:tcW w:w="1222" w:type="dxa"/>
          </w:tcPr>
          <w:p w14:paraId="1680ADD3">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代号</w:t>
            </w:r>
          </w:p>
        </w:tc>
        <w:tc>
          <w:tcPr>
            <w:tcW w:w="1222" w:type="dxa"/>
          </w:tcPr>
          <w:p w14:paraId="3148245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1223" w:type="dxa"/>
          </w:tcPr>
          <w:p w14:paraId="5D9A7A0E">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23" w:type="dxa"/>
          </w:tcPr>
          <w:p w14:paraId="5925EAA2">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材料名称</w:t>
            </w:r>
          </w:p>
        </w:tc>
        <w:tc>
          <w:tcPr>
            <w:tcW w:w="1223" w:type="dxa"/>
          </w:tcPr>
          <w:p w14:paraId="522D1ACC">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代号</w:t>
            </w:r>
          </w:p>
        </w:tc>
        <w:tc>
          <w:tcPr>
            <w:tcW w:w="1223" w:type="dxa"/>
          </w:tcPr>
          <w:p w14:paraId="616C6597">
            <w:pPr>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单位</w:t>
            </w:r>
          </w:p>
        </w:tc>
      </w:tr>
      <w:tr w14:paraId="3903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2" w:type="dxa"/>
          </w:tcPr>
          <w:p w14:paraId="65529017">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w:t>
            </w:r>
          </w:p>
        </w:tc>
        <w:tc>
          <w:tcPr>
            <w:tcW w:w="1222" w:type="dxa"/>
          </w:tcPr>
          <w:p w14:paraId="134B73D0">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w:t>
            </w:r>
          </w:p>
        </w:tc>
        <w:tc>
          <w:tcPr>
            <w:tcW w:w="1222" w:type="dxa"/>
          </w:tcPr>
          <w:p w14:paraId="631477A5">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w:t>
            </w:r>
          </w:p>
        </w:tc>
        <w:tc>
          <w:tcPr>
            <w:tcW w:w="1222" w:type="dxa"/>
          </w:tcPr>
          <w:p w14:paraId="28C0B694">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4</w:t>
            </w:r>
          </w:p>
        </w:tc>
        <w:tc>
          <w:tcPr>
            <w:tcW w:w="1223" w:type="dxa"/>
          </w:tcPr>
          <w:p w14:paraId="05AB6702">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1</w:t>
            </w:r>
          </w:p>
        </w:tc>
        <w:tc>
          <w:tcPr>
            <w:tcW w:w="1223" w:type="dxa"/>
          </w:tcPr>
          <w:p w14:paraId="29712714">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2</w:t>
            </w:r>
          </w:p>
        </w:tc>
        <w:tc>
          <w:tcPr>
            <w:tcW w:w="1223" w:type="dxa"/>
          </w:tcPr>
          <w:p w14:paraId="34D15A5B">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3</w:t>
            </w:r>
          </w:p>
        </w:tc>
        <w:tc>
          <w:tcPr>
            <w:tcW w:w="1223" w:type="dxa"/>
          </w:tcPr>
          <w:p w14:paraId="16276262">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4</w:t>
            </w:r>
          </w:p>
        </w:tc>
      </w:tr>
      <w:tr w14:paraId="509B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22" w:type="dxa"/>
          </w:tcPr>
          <w:p w14:paraId="1B9C2FC2">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一</w:t>
            </w:r>
          </w:p>
        </w:tc>
        <w:tc>
          <w:tcPr>
            <w:tcW w:w="1222" w:type="dxa"/>
          </w:tcPr>
          <w:p w14:paraId="5733E3A1">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钢材</w:t>
            </w:r>
          </w:p>
        </w:tc>
        <w:tc>
          <w:tcPr>
            <w:tcW w:w="1222" w:type="dxa"/>
          </w:tcPr>
          <w:p w14:paraId="48EAE62C">
            <w:pPr>
              <w:pStyle w:val="61"/>
              <w:shd w:val="clear" w:fill="FFFFFF" w:themeFill="background1"/>
              <w:jc w:val="center"/>
              <w:rPr>
                <w:rFonts w:ascii="宋体" w:hAnsi="宋体" w:cs="宋体"/>
                <w:color w:val="auto"/>
                <w:szCs w:val="21"/>
                <w:highlight w:val="none"/>
              </w:rPr>
            </w:pPr>
          </w:p>
        </w:tc>
        <w:tc>
          <w:tcPr>
            <w:tcW w:w="1222" w:type="dxa"/>
          </w:tcPr>
          <w:p w14:paraId="4A351541">
            <w:pPr>
              <w:pStyle w:val="61"/>
              <w:shd w:val="clear" w:fill="FFFFFF" w:themeFill="background1"/>
              <w:jc w:val="center"/>
              <w:rPr>
                <w:rFonts w:ascii="宋体" w:hAnsi="宋体" w:cs="宋体"/>
                <w:color w:val="auto"/>
                <w:szCs w:val="21"/>
                <w:highlight w:val="none"/>
              </w:rPr>
            </w:pPr>
          </w:p>
        </w:tc>
        <w:tc>
          <w:tcPr>
            <w:tcW w:w="1223" w:type="dxa"/>
          </w:tcPr>
          <w:p w14:paraId="74A81B41">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二</w:t>
            </w:r>
          </w:p>
        </w:tc>
        <w:tc>
          <w:tcPr>
            <w:tcW w:w="1223" w:type="dxa"/>
          </w:tcPr>
          <w:p w14:paraId="208BC4B3">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水泥</w:t>
            </w:r>
          </w:p>
        </w:tc>
        <w:tc>
          <w:tcPr>
            <w:tcW w:w="1223" w:type="dxa"/>
          </w:tcPr>
          <w:p w14:paraId="15F089DB">
            <w:pPr>
              <w:pStyle w:val="61"/>
              <w:shd w:val="clear" w:fill="FFFFFF" w:themeFill="background1"/>
              <w:jc w:val="center"/>
              <w:rPr>
                <w:rFonts w:ascii="宋体" w:hAnsi="宋体" w:cs="宋体"/>
                <w:color w:val="auto"/>
                <w:szCs w:val="21"/>
                <w:highlight w:val="none"/>
              </w:rPr>
            </w:pPr>
          </w:p>
        </w:tc>
        <w:tc>
          <w:tcPr>
            <w:tcW w:w="1223" w:type="dxa"/>
          </w:tcPr>
          <w:p w14:paraId="44D1BAB9">
            <w:pPr>
              <w:pStyle w:val="61"/>
              <w:shd w:val="clear" w:fill="FFFFFF" w:themeFill="background1"/>
              <w:jc w:val="center"/>
              <w:rPr>
                <w:rFonts w:ascii="宋体" w:hAnsi="宋体" w:cs="宋体"/>
                <w:color w:val="auto"/>
                <w:szCs w:val="21"/>
                <w:highlight w:val="none"/>
              </w:rPr>
            </w:pPr>
          </w:p>
        </w:tc>
      </w:tr>
      <w:tr w14:paraId="4841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367D16A3">
            <w:pPr>
              <w:pStyle w:val="61"/>
              <w:shd w:val="clear" w:fill="FFFFFF" w:themeFill="background1"/>
              <w:jc w:val="center"/>
              <w:rPr>
                <w:rFonts w:ascii="宋体" w:hAnsi="宋体" w:cs="宋体"/>
                <w:color w:val="auto"/>
                <w:szCs w:val="21"/>
                <w:highlight w:val="none"/>
              </w:rPr>
            </w:pPr>
          </w:p>
        </w:tc>
        <w:tc>
          <w:tcPr>
            <w:tcW w:w="1222" w:type="dxa"/>
          </w:tcPr>
          <w:p w14:paraId="7D64B105">
            <w:pPr>
              <w:pStyle w:val="61"/>
              <w:shd w:val="clear" w:fill="FFFFFF" w:themeFill="background1"/>
              <w:jc w:val="center"/>
              <w:rPr>
                <w:rFonts w:ascii="宋体" w:hAnsi="宋体" w:cs="宋体"/>
                <w:color w:val="auto"/>
                <w:szCs w:val="21"/>
                <w:highlight w:val="none"/>
              </w:rPr>
            </w:pPr>
          </w:p>
        </w:tc>
        <w:tc>
          <w:tcPr>
            <w:tcW w:w="1222" w:type="dxa"/>
          </w:tcPr>
          <w:p w14:paraId="592177CF">
            <w:pPr>
              <w:pStyle w:val="61"/>
              <w:shd w:val="clear" w:fill="FFFFFF" w:themeFill="background1"/>
              <w:jc w:val="center"/>
              <w:rPr>
                <w:rFonts w:ascii="宋体" w:hAnsi="宋体" w:cs="宋体"/>
                <w:color w:val="auto"/>
                <w:szCs w:val="21"/>
                <w:highlight w:val="none"/>
              </w:rPr>
            </w:pPr>
          </w:p>
        </w:tc>
        <w:tc>
          <w:tcPr>
            <w:tcW w:w="1222" w:type="dxa"/>
          </w:tcPr>
          <w:p w14:paraId="39CC0C1D">
            <w:pPr>
              <w:pStyle w:val="61"/>
              <w:shd w:val="clear" w:fill="FFFFFF" w:themeFill="background1"/>
              <w:jc w:val="center"/>
              <w:rPr>
                <w:rFonts w:ascii="宋体" w:hAnsi="宋体" w:cs="宋体"/>
                <w:color w:val="auto"/>
                <w:szCs w:val="21"/>
                <w:highlight w:val="none"/>
              </w:rPr>
            </w:pPr>
          </w:p>
        </w:tc>
        <w:tc>
          <w:tcPr>
            <w:tcW w:w="1223" w:type="dxa"/>
          </w:tcPr>
          <w:p w14:paraId="15D07176">
            <w:pPr>
              <w:pStyle w:val="61"/>
              <w:shd w:val="clear" w:fill="FFFFFF" w:themeFill="background1"/>
              <w:jc w:val="center"/>
              <w:rPr>
                <w:rFonts w:ascii="宋体" w:hAnsi="宋体" w:cs="宋体"/>
                <w:color w:val="auto"/>
                <w:szCs w:val="21"/>
                <w:highlight w:val="none"/>
              </w:rPr>
            </w:pPr>
          </w:p>
        </w:tc>
        <w:tc>
          <w:tcPr>
            <w:tcW w:w="1223" w:type="dxa"/>
          </w:tcPr>
          <w:p w14:paraId="2B41D56C">
            <w:pPr>
              <w:pStyle w:val="61"/>
              <w:shd w:val="clear" w:fill="FFFFFF" w:themeFill="background1"/>
              <w:jc w:val="center"/>
              <w:rPr>
                <w:rFonts w:ascii="宋体" w:hAnsi="宋体" w:cs="宋体"/>
                <w:color w:val="auto"/>
                <w:szCs w:val="21"/>
                <w:highlight w:val="none"/>
              </w:rPr>
            </w:pPr>
          </w:p>
        </w:tc>
        <w:tc>
          <w:tcPr>
            <w:tcW w:w="1223" w:type="dxa"/>
          </w:tcPr>
          <w:p w14:paraId="1BE3C0DF">
            <w:pPr>
              <w:pStyle w:val="61"/>
              <w:shd w:val="clear" w:fill="FFFFFF" w:themeFill="background1"/>
              <w:jc w:val="center"/>
              <w:rPr>
                <w:rFonts w:ascii="宋体" w:hAnsi="宋体" w:cs="宋体"/>
                <w:color w:val="auto"/>
                <w:szCs w:val="21"/>
                <w:highlight w:val="none"/>
              </w:rPr>
            </w:pPr>
          </w:p>
        </w:tc>
        <w:tc>
          <w:tcPr>
            <w:tcW w:w="1223" w:type="dxa"/>
          </w:tcPr>
          <w:p w14:paraId="6F15DBB5">
            <w:pPr>
              <w:pStyle w:val="61"/>
              <w:shd w:val="clear" w:fill="FFFFFF" w:themeFill="background1"/>
              <w:jc w:val="center"/>
              <w:rPr>
                <w:rFonts w:ascii="宋体" w:hAnsi="宋体" w:cs="宋体"/>
                <w:color w:val="auto"/>
                <w:szCs w:val="21"/>
                <w:highlight w:val="none"/>
              </w:rPr>
            </w:pPr>
          </w:p>
        </w:tc>
      </w:tr>
      <w:tr w14:paraId="04EC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0AAD14C9">
            <w:pPr>
              <w:pStyle w:val="61"/>
              <w:shd w:val="clear" w:fill="FFFFFF" w:themeFill="background1"/>
              <w:jc w:val="center"/>
              <w:rPr>
                <w:rFonts w:ascii="宋体" w:hAnsi="宋体" w:cs="宋体"/>
                <w:color w:val="auto"/>
                <w:szCs w:val="21"/>
                <w:highlight w:val="none"/>
              </w:rPr>
            </w:pPr>
          </w:p>
        </w:tc>
        <w:tc>
          <w:tcPr>
            <w:tcW w:w="1222" w:type="dxa"/>
          </w:tcPr>
          <w:p w14:paraId="7017161B">
            <w:pPr>
              <w:pStyle w:val="61"/>
              <w:shd w:val="clear" w:fill="FFFFFF" w:themeFill="background1"/>
              <w:jc w:val="center"/>
              <w:rPr>
                <w:rFonts w:ascii="宋体" w:hAnsi="宋体" w:cs="宋体"/>
                <w:color w:val="auto"/>
                <w:szCs w:val="21"/>
                <w:highlight w:val="none"/>
              </w:rPr>
            </w:pPr>
          </w:p>
        </w:tc>
        <w:tc>
          <w:tcPr>
            <w:tcW w:w="1222" w:type="dxa"/>
          </w:tcPr>
          <w:p w14:paraId="6D6EAA34">
            <w:pPr>
              <w:pStyle w:val="61"/>
              <w:shd w:val="clear" w:fill="FFFFFF" w:themeFill="background1"/>
              <w:jc w:val="center"/>
              <w:rPr>
                <w:rFonts w:ascii="宋体" w:hAnsi="宋体" w:cs="宋体"/>
                <w:color w:val="auto"/>
                <w:szCs w:val="21"/>
                <w:highlight w:val="none"/>
              </w:rPr>
            </w:pPr>
          </w:p>
        </w:tc>
        <w:tc>
          <w:tcPr>
            <w:tcW w:w="1222" w:type="dxa"/>
          </w:tcPr>
          <w:p w14:paraId="0013063D">
            <w:pPr>
              <w:pStyle w:val="61"/>
              <w:shd w:val="clear" w:fill="FFFFFF" w:themeFill="background1"/>
              <w:jc w:val="center"/>
              <w:rPr>
                <w:rFonts w:ascii="宋体" w:hAnsi="宋体" w:cs="宋体"/>
                <w:color w:val="auto"/>
                <w:szCs w:val="21"/>
                <w:highlight w:val="none"/>
              </w:rPr>
            </w:pPr>
          </w:p>
        </w:tc>
        <w:tc>
          <w:tcPr>
            <w:tcW w:w="1223" w:type="dxa"/>
          </w:tcPr>
          <w:p w14:paraId="34F4B20A">
            <w:pPr>
              <w:pStyle w:val="61"/>
              <w:shd w:val="clear" w:fill="FFFFFF" w:themeFill="background1"/>
              <w:jc w:val="center"/>
              <w:rPr>
                <w:rFonts w:ascii="宋体" w:hAnsi="宋体" w:cs="宋体"/>
                <w:color w:val="auto"/>
                <w:szCs w:val="21"/>
                <w:highlight w:val="none"/>
              </w:rPr>
            </w:pPr>
          </w:p>
        </w:tc>
        <w:tc>
          <w:tcPr>
            <w:tcW w:w="1223" w:type="dxa"/>
          </w:tcPr>
          <w:p w14:paraId="6B463DAC">
            <w:pPr>
              <w:pStyle w:val="61"/>
              <w:shd w:val="clear" w:fill="FFFFFF" w:themeFill="background1"/>
              <w:jc w:val="center"/>
              <w:rPr>
                <w:rFonts w:ascii="宋体" w:hAnsi="宋体" w:cs="宋体"/>
                <w:color w:val="auto"/>
                <w:szCs w:val="21"/>
                <w:highlight w:val="none"/>
              </w:rPr>
            </w:pPr>
          </w:p>
        </w:tc>
        <w:tc>
          <w:tcPr>
            <w:tcW w:w="1223" w:type="dxa"/>
          </w:tcPr>
          <w:p w14:paraId="7A30C9CA">
            <w:pPr>
              <w:pStyle w:val="61"/>
              <w:shd w:val="clear" w:fill="FFFFFF" w:themeFill="background1"/>
              <w:jc w:val="center"/>
              <w:rPr>
                <w:rFonts w:ascii="宋体" w:hAnsi="宋体" w:cs="宋体"/>
                <w:color w:val="auto"/>
                <w:szCs w:val="21"/>
                <w:highlight w:val="none"/>
              </w:rPr>
            </w:pPr>
          </w:p>
        </w:tc>
        <w:tc>
          <w:tcPr>
            <w:tcW w:w="1223" w:type="dxa"/>
          </w:tcPr>
          <w:p w14:paraId="0BF75406">
            <w:pPr>
              <w:pStyle w:val="61"/>
              <w:shd w:val="clear" w:fill="FFFFFF" w:themeFill="background1"/>
              <w:jc w:val="center"/>
              <w:rPr>
                <w:rFonts w:ascii="宋体" w:hAnsi="宋体" w:cs="宋体"/>
                <w:color w:val="auto"/>
                <w:szCs w:val="21"/>
                <w:highlight w:val="none"/>
              </w:rPr>
            </w:pPr>
          </w:p>
        </w:tc>
      </w:tr>
      <w:tr w14:paraId="2FDCC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66884270">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三</w:t>
            </w:r>
          </w:p>
        </w:tc>
        <w:tc>
          <w:tcPr>
            <w:tcW w:w="1222" w:type="dxa"/>
          </w:tcPr>
          <w:p w14:paraId="1E6E27CC">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砂石料</w:t>
            </w:r>
          </w:p>
        </w:tc>
        <w:tc>
          <w:tcPr>
            <w:tcW w:w="1222" w:type="dxa"/>
          </w:tcPr>
          <w:p w14:paraId="63FDD31C">
            <w:pPr>
              <w:pStyle w:val="61"/>
              <w:shd w:val="clear" w:fill="FFFFFF" w:themeFill="background1"/>
              <w:jc w:val="center"/>
              <w:rPr>
                <w:rFonts w:ascii="宋体" w:hAnsi="宋体" w:cs="宋体"/>
                <w:color w:val="auto"/>
                <w:szCs w:val="21"/>
                <w:highlight w:val="none"/>
              </w:rPr>
            </w:pPr>
          </w:p>
        </w:tc>
        <w:tc>
          <w:tcPr>
            <w:tcW w:w="1222" w:type="dxa"/>
          </w:tcPr>
          <w:p w14:paraId="7CD7D2B0">
            <w:pPr>
              <w:pStyle w:val="61"/>
              <w:shd w:val="clear" w:fill="FFFFFF" w:themeFill="background1"/>
              <w:jc w:val="center"/>
              <w:rPr>
                <w:rFonts w:ascii="宋体" w:hAnsi="宋体" w:cs="宋体"/>
                <w:color w:val="auto"/>
                <w:szCs w:val="21"/>
                <w:highlight w:val="none"/>
              </w:rPr>
            </w:pPr>
          </w:p>
        </w:tc>
        <w:tc>
          <w:tcPr>
            <w:tcW w:w="1223" w:type="dxa"/>
          </w:tcPr>
          <w:p w14:paraId="2BCD0E27">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四</w:t>
            </w:r>
          </w:p>
        </w:tc>
        <w:tc>
          <w:tcPr>
            <w:tcW w:w="1223" w:type="dxa"/>
          </w:tcPr>
          <w:p w14:paraId="1CB4372E">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油料</w:t>
            </w:r>
          </w:p>
        </w:tc>
        <w:tc>
          <w:tcPr>
            <w:tcW w:w="1223" w:type="dxa"/>
          </w:tcPr>
          <w:p w14:paraId="2D0B4193">
            <w:pPr>
              <w:pStyle w:val="61"/>
              <w:shd w:val="clear" w:fill="FFFFFF" w:themeFill="background1"/>
              <w:jc w:val="center"/>
              <w:rPr>
                <w:rFonts w:ascii="宋体" w:hAnsi="宋体" w:cs="宋体"/>
                <w:color w:val="auto"/>
                <w:szCs w:val="21"/>
                <w:highlight w:val="none"/>
              </w:rPr>
            </w:pPr>
          </w:p>
        </w:tc>
        <w:tc>
          <w:tcPr>
            <w:tcW w:w="1223" w:type="dxa"/>
          </w:tcPr>
          <w:p w14:paraId="06C23526">
            <w:pPr>
              <w:pStyle w:val="61"/>
              <w:shd w:val="clear" w:fill="FFFFFF" w:themeFill="background1"/>
              <w:jc w:val="center"/>
              <w:rPr>
                <w:rFonts w:ascii="宋体" w:hAnsi="宋体" w:cs="宋体"/>
                <w:color w:val="auto"/>
                <w:szCs w:val="21"/>
                <w:highlight w:val="none"/>
              </w:rPr>
            </w:pPr>
          </w:p>
        </w:tc>
      </w:tr>
      <w:tr w14:paraId="10D2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5B6FD3EA">
            <w:pPr>
              <w:pStyle w:val="61"/>
              <w:shd w:val="clear" w:fill="FFFFFF" w:themeFill="background1"/>
              <w:jc w:val="center"/>
              <w:rPr>
                <w:rFonts w:ascii="宋体" w:hAnsi="宋体" w:cs="宋体"/>
                <w:color w:val="auto"/>
                <w:szCs w:val="21"/>
                <w:highlight w:val="none"/>
              </w:rPr>
            </w:pPr>
          </w:p>
        </w:tc>
        <w:tc>
          <w:tcPr>
            <w:tcW w:w="1222" w:type="dxa"/>
          </w:tcPr>
          <w:p w14:paraId="5EC19733">
            <w:pPr>
              <w:pStyle w:val="61"/>
              <w:shd w:val="clear" w:fill="FFFFFF" w:themeFill="background1"/>
              <w:jc w:val="center"/>
              <w:rPr>
                <w:rFonts w:ascii="宋体" w:hAnsi="宋体" w:cs="宋体"/>
                <w:color w:val="auto"/>
                <w:szCs w:val="21"/>
                <w:highlight w:val="none"/>
              </w:rPr>
            </w:pPr>
          </w:p>
        </w:tc>
        <w:tc>
          <w:tcPr>
            <w:tcW w:w="1222" w:type="dxa"/>
          </w:tcPr>
          <w:p w14:paraId="44A467D2">
            <w:pPr>
              <w:pStyle w:val="61"/>
              <w:shd w:val="clear" w:fill="FFFFFF" w:themeFill="background1"/>
              <w:jc w:val="center"/>
              <w:rPr>
                <w:rFonts w:ascii="宋体" w:hAnsi="宋体" w:cs="宋体"/>
                <w:color w:val="auto"/>
                <w:szCs w:val="21"/>
                <w:highlight w:val="none"/>
              </w:rPr>
            </w:pPr>
          </w:p>
        </w:tc>
        <w:tc>
          <w:tcPr>
            <w:tcW w:w="1222" w:type="dxa"/>
          </w:tcPr>
          <w:p w14:paraId="4107F6D3">
            <w:pPr>
              <w:pStyle w:val="61"/>
              <w:shd w:val="clear" w:fill="FFFFFF" w:themeFill="background1"/>
              <w:jc w:val="center"/>
              <w:rPr>
                <w:rFonts w:ascii="宋体" w:hAnsi="宋体" w:cs="宋体"/>
                <w:color w:val="auto"/>
                <w:szCs w:val="21"/>
                <w:highlight w:val="none"/>
              </w:rPr>
            </w:pPr>
          </w:p>
        </w:tc>
        <w:tc>
          <w:tcPr>
            <w:tcW w:w="1223" w:type="dxa"/>
          </w:tcPr>
          <w:p w14:paraId="6CAEE47E">
            <w:pPr>
              <w:pStyle w:val="61"/>
              <w:shd w:val="clear" w:fill="FFFFFF" w:themeFill="background1"/>
              <w:jc w:val="center"/>
              <w:rPr>
                <w:rFonts w:ascii="宋体" w:hAnsi="宋体" w:cs="宋体"/>
                <w:color w:val="auto"/>
                <w:szCs w:val="21"/>
                <w:highlight w:val="none"/>
              </w:rPr>
            </w:pPr>
          </w:p>
        </w:tc>
        <w:tc>
          <w:tcPr>
            <w:tcW w:w="1223" w:type="dxa"/>
          </w:tcPr>
          <w:p w14:paraId="2D981281">
            <w:pPr>
              <w:pStyle w:val="61"/>
              <w:shd w:val="clear" w:fill="FFFFFF" w:themeFill="background1"/>
              <w:jc w:val="center"/>
              <w:rPr>
                <w:rFonts w:ascii="宋体" w:hAnsi="宋体" w:cs="宋体"/>
                <w:color w:val="auto"/>
                <w:szCs w:val="21"/>
                <w:highlight w:val="none"/>
              </w:rPr>
            </w:pPr>
          </w:p>
        </w:tc>
        <w:tc>
          <w:tcPr>
            <w:tcW w:w="1223" w:type="dxa"/>
          </w:tcPr>
          <w:p w14:paraId="44703CC2">
            <w:pPr>
              <w:pStyle w:val="61"/>
              <w:shd w:val="clear" w:fill="FFFFFF" w:themeFill="background1"/>
              <w:jc w:val="center"/>
              <w:rPr>
                <w:rFonts w:ascii="宋体" w:hAnsi="宋体" w:cs="宋体"/>
                <w:color w:val="auto"/>
                <w:szCs w:val="21"/>
                <w:highlight w:val="none"/>
              </w:rPr>
            </w:pPr>
          </w:p>
        </w:tc>
        <w:tc>
          <w:tcPr>
            <w:tcW w:w="1223" w:type="dxa"/>
          </w:tcPr>
          <w:p w14:paraId="357067E3">
            <w:pPr>
              <w:pStyle w:val="61"/>
              <w:shd w:val="clear" w:fill="FFFFFF" w:themeFill="background1"/>
              <w:jc w:val="center"/>
              <w:rPr>
                <w:rFonts w:ascii="宋体" w:hAnsi="宋体" w:cs="宋体"/>
                <w:color w:val="auto"/>
                <w:szCs w:val="21"/>
                <w:highlight w:val="none"/>
              </w:rPr>
            </w:pPr>
          </w:p>
        </w:tc>
      </w:tr>
      <w:tr w14:paraId="045B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7F751720">
            <w:pPr>
              <w:pStyle w:val="61"/>
              <w:shd w:val="clear" w:fill="FFFFFF" w:themeFill="background1"/>
              <w:jc w:val="center"/>
              <w:rPr>
                <w:rFonts w:ascii="宋体" w:hAnsi="宋体" w:cs="宋体"/>
                <w:color w:val="auto"/>
                <w:szCs w:val="21"/>
                <w:highlight w:val="none"/>
              </w:rPr>
            </w:pPr>
          </w:p>
        </w:tc>
        <w:tc>
          <w:tcPr>
            <w:tcW w:w="1222" w:type="dxa"/>
          </w:tcPr>
          <w:p w14:paraId="342DCA4E">
            <w:pPr>
              <w:pStyle w:val="61"/>
              <w:shd w:val="clear" w:fill="FFFFFF" w:themeFill="background1"/>
              <w:jc w:val="center"/>
              <w:rPr>
                <w:rFonts w:ascii="宋体" w:hAnsi="宋体" w:cs="宋体"/>
                <w:color w:val="auto"/>
                <w:szCs w:val="21"/>
                <w:highlight w:val="none"/>
              </w:rPr>
            </w:pPr>
          </w:p>
        </w:tc>
        <w:tc>
          <w:tcPr>
            <w:tcW w:w="1222" w:type="dxa"/>
          </w:tcPr>
          <w:p w14:paraId="5BA49F13">
            <w:pPr>
              <w:pStyle w:val="61"/>
              <w:shd w:val="clear" w:fill="FFFFFF" w:themeFill="background1"/>
              <w:jc w:val="center"/>
              <w:rPr>
                <w:rFonts w:ascii="宋体" w:hAnsi="宋体" w:cs="宋体"/>
                <w:color w:val="auto"/>
                <w:szCs w:val="21"/>
                <w:highlight w:val="none"/>
              </w:rPr>
            </w:pPr>
          </w:p>
        </w:tc>
        <w:tc>
          <w:tcPr>
            <w:tcW w:w="1222" w:type="dxa"/>
          </w:tcPr>
          <w:p w14:paraId="23446CFB">
            <w:pPr>
              <w:pStyle w:val="61"/>
              <w:shd w:val="clear" w:fill="FFFFFF" w:themeFill="background1"/>
              <w:jc w:val="center"/>
              <w:rPr>
                <w:rFonts w:ascii="宋体" w:hAnsi="宋体" w:cs="宋体"/>
                <w:color w:val="auto"/>
                <w:szCs w:val="21"/>
                <w:highlight w:val="none"/>
              </w:rPr>
            </w:pPr>
          </w:p>
        </w:tc>
        <w:tc>
          <w:tcPr>
            <w:tcW w:w="1223" w:type="dxa"/>
          </w:tcPr>
          <w:p w14:paraId="48818ADF">
            <w:pPr>
              <w:pStyle w:val="61"/>
              <w:shd w:val="clear" w:fill="FFFFFF" w:themeFill="background1"/>
              <w:jc w:val="center"/>
              <w:rPr>
                <w:rFonts w:ascii="宋体" w:hAnsi="宋体" w:cs="宋体"/>
                <w:color w:val="auto"/>
                <w:szCs w:val="21"/>
                <w:highlight w:val="none"/>
              </w:rPr>
            </w:pPr>
          </w:p>
        </w:tc>
        <w:tc>
          <w:tcPr>
            <w:tcW w:w="1223" w:type="dxa"/>
          </w:tcPr>
          <w:p w14:paraId="419A154D">
            <w:pPr>
              <w:pStyle w:val="61"/>
              <w:shd w:val="clear" w:fill="FFFFFF" w:themeFill="background1"/>
              <w:jc w:val="center"/>
              <w:rPr>
                <w:rFonts w:ascii="宋体" w:hAnsi="宋体" w:cs="宋体"/>
                <w:color w:val="auto"/>
                <w:szCs w:val="21"/>
                <w:highlight w:val="none"/>
              </w:rPr>
            </w:pPr>
          </w:p>
        </w:tc>
        <w:tc>
          <w:tcPr>
            <w:tcW w:w="1223" w:type="dxa"/>
          </w:tcPr>
          <w:p w14:paraId="02C8C068">
            <w:pPr>
              <w:pStyle w:val="61"/>
              <w:shd w:val="clear" w:fill="FFFFFF" w:themeFill="background1"/>
              <w:jc w:val="center"/>
              <w:rPr>
                <w:rFonts w:ascii="宋体" w:hAnsi="宋体" w:cs="宋体"/>
                <w:color w:val="auto"/>
                <w:szCs w:val="21"/>
                <w:highlight w:val="none"/>
              </w:rPr>
            </w:pPr>
          </w:p>
        </w:tc>
        <w:tc>
          <w:tcPr>
            <w:tcW w:w="1223" w:type="dxa"/>
          </w:tcPr>
          <w:p w14:paraId="45CF7DAA">
            <w:pPr>
              <w:pStyle w:val="61"/>
              <w:shd w:val="clear" w:fill="FFFFFF" w:themeFill="background1"/>
              <w:jc w:val="center"/>
              <w:rPr>
                <w:rFonts w:ascii="宋体" w:hAnsi="宋体" w:cs="宋体"/>
                <w:color w:val="auto"/>
                <w:szCs w:val="21"/>
                <w:highlight w:val="none"/>
              </w:rPr>
            </w:pPr>
          </w:p>
        </w:tc>
      </w:tr>
      <w:tr w14:paraId="0F0D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4ECC0044">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五</w:t>
            </w:r>
          </w:p>
        </w:tc>
        <w:tc>
          <w:tcPr>
            <w:tcW w:w="1222" w:type="dxa"/>
          </w:tcPr>
          <w:p w14:paraId="498EC513">
            <w:pPr>
              <w:pStyle w:val="61"/>
              <w:shd w:val="clear" w:fill="FFFFFF" w:themeFill="background1"/>
              <w:jc w:val="center"/>
              <w:rPr>
                <w:rFonts w:ascii="宋体" w:hAnsi="宋体" w:cs="宋体"/>
                <w:color w:val="auto"/>
                <w:szCs w:val="21"/>
                <w:highlight w:val="none"/>
              </w:rPr>
            </w:pPr>
            <w:r>
              <w:rPr>
                <w:rFonts w:hint="eastAsia" w:ascii="宋体" w:hAnsi="宋体" w:cs="宋体"/>
                <w:color w:val="auto"/>
                <w:szCs w:val="21"/>
                <w:highlight w:val="none"/>
              </w:rPr>
              <w:t>其他</w:t>
            </w:r>
          </w:p>
        </w:tc>
        <w:tc>
          <w:tcPr>
            <w:tcW w:w="1222" w:type="dxa"/>
          </w:tcPr>
          <w:p w14:paraId="49B9D69C">
            <w:pPr>
              <w:pStyle w:val="61"/>
              <w:shd w:val="clear" w:fill="FFFFFF" w:themeFill="background1"/>
              <w:jc w:val="center"/>
              <w:rPr>
                <w:rFonts w:ascii="宋体" w:hAnsi="宋体" w:cs="宋体"/>
                <w:color w:val="auto"/>
                <w:szCs w:val="21"/>
                <w:highlight w:val="none"/>
              </w:rPr>
            </w:pPr>
          </w:p>
        </w:tc>
        <w:tc>
          <w:tcPr>
            <w:tcW w:w="1222" w:type="dxa"/>
          </w:tcPr>
          <w:p w14:paraId="133B81EF">
            <w:pPr>
              <w:pStyle w:val="61"/>
              <w:shd w:val="clear" w:fill="FFFFFF" w:themeFill="background1"/>
              <w:jc w:val="center"/>
              <w:rPr>
                <w:rFonts w:ascii="宋体" w:hAnsi="宋体" w:cs="宋体"/>
                <w:color w:val="auto"/>
                <w:szCs w:val="21"/>
                <w:highlight w:val="none"/>
              </w:rPr>
            </w:pPr>
          </w:p>
        </w:tc>
        <w:tc>
          <w:tcPr>
            <w:tcW w:w="1223" w:type="dxa"/>
          </w:tcPr>
          <w:p w14:paraId="0DAE8511">
            <w:pPr>
              <w:pStyle w:val="61"/>
              <w:shd w:val="clear" w:fill="FFFFFF" w:themeFill="background1"/>
              <w:jc w:val="center"/>
              <w:rPr>
                <w:rFonts w:ascii="宋体" w:hAnsi="宋体" w:cs="宋体"/>
                <w:color w:val="auto"/>
                <w:szCs w:val="21"/>
                <w:highlight w:val="none"/>
              </w:rPr>
            </w:pPr>
          </w:p>
        </w:tc>
        <w:tc>
          <w:tcPr>
            <w:tcW w:w="1223" w:type="dxa"/>
          </w:tcPr>
          <w:p w14:paraId="1A7C2AE9">
            <w:pPr>
              <w:pStyle w:val="61"/>
              <w:shd w:val="clear" w:fill="FFFFFF" w:themeFill="background1"/>
              <w:jc w:val="center"/>
              <w:rPr>
                <w:rFonts w:ascii="宋体" w:hAnsi="宋体" w:cs="宋体"/>
                <w:color w:val="auto"/>
                <w:szCs w:val="21"/>
                <w:highlight w:val="none"/>
              </w:rPr>
            </w:pPr>
          </w:p>
        </w:tc>
        <w:tc>
          <w:tcPr>
            <w:tcW w:w="1223" w:type="dxa"/>
          </w:tcPr>
          <w:p w14:paraId="48147D10">
            <w:pPr>
              <w:pStyle w:val="61"/>
              <w:shd w:val="clear" w:fill="FFFFFF" w:themeFill="background1"/>
              <w:jc w:val="center"/>
              <w:rPr>
                <w:rFonts w:ascii="宋体" w:hAnsi="宋体" w:cs="宋体"/>
                <w:color w:val="auto"/>
                <w:szCs w:val="21"/>
                <w:highlight w:val="none"/>
              </w:rPr>
            </w:pPr>
          </w:p>
        </w:tc>
        <w:tc>
          <w:tcPr>
            <w:tcW w:w="1223" w:type="dxa"/>
          </w:tcPr>
          <w:p w14:paraId="65C6C70E">
            <w:pPr>
              <w:pStyle w:val="61"/>
              <w:shd w:val="clear" w:fill="FFFFFF" w:themeFill="background1"/>
              <w:jc w:val="center"/>
              <w:rPr>
                <w:rFonts w:ascii="宋体" w:hAnsi="宋体" w:cs="宋体"/>
                <w:color w:val="auto"/>
                <w:szCs w:val="21"/>
                <w:highlight w:val="none"/>
              </w:rPr>
            </w:pPr>
          </w:p>
        </w:tc>
      </w:tr>
      <w:tr w14:paraId="2D9C6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8" w:hRule="atLeast"/>
        </w:trPr>
        <w:tc>
          <w:tcPr>
            <w:tcW w:w="9780" w:type="dxa"/>
            <w:gridSpan w:val="8"/>
          </w:tcPr>
          <w:p w14:paraId="793A25AF">
            <w:pPr>
              <w:pStyle w:val="61"/>
              <w:shd w:val="clear" w:fill="FFFFFF" w:themeFill="background1"/>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1.当采用商品水泥混凝土、商品沥青混凝土、混凝土构件、钢筋混凝土构件、钢构件等半成品时：若有对应的地区发布的半成品信息价，则按信息价调差；若没有该信息价，则按照交通运输部颁布的《公路工程预算定额》附录中的配合比表，将半成品换算成对应的组成材料后进行调差。</w:t>
            </w:r>
          </w:p>
          <w:p w14:paraId="3A48BA57">
            <w:pPr>
              <w:pStyle w:val="61"/>
              <w:shd w:val="clear" w:fill="FFFFFF" w:themeFill="background1"/>
              <w:spacing w:line="360" w:lineRule="auto"/>
              <w:ind w:firstLine="630" w:firstLineChars="300"/>
              <w:jc w:val="left"/>
              <w:rPr>
                <w:rFonts w:ascii="宋体" w:hAnsi="宋体" w:cs="宋体"/>
                <w:color w:val="auto"/>
                <w:szCs w:val="21"/>
                <w:highlight w:val="none"/>
              </w:rPr>
            </w:pPr>
            <w:r>
              <w:rPr>
                <w:rFonts w:hint="eastAsia" w:ascii="宋体" w:hAnsi="宋体" w:cs="宋体"/>
                <w:color w:val="auto"/>
                <w:szCs w:val="21"/>
                <w:highlight w:val="none"/>
              </w:rPr>
              <w:t>2.表中材料代号按交通运输部颁布的《公路工程预算定额》（JTG/T3832-2018）编制。</w:t>
            </w:r>
          </w:p>
        </w:tc>
      </w:tr>
    </w:tbl>
    <w:p w14:paraId="3DC5892A">
      <w:pPr>
        <w:pStyle w:val="61"/>
        <w:shd w:val="clear" w:fill="FFFFFF" w:themeFill="background1"/>
        <w:spacing w:line="360" w:lineRule="auto"/>
        <w:ind w:firstLine="480" w:firstLineChars="200"/>
        <w:jc w:val="center"/>
        <w:rPr>
          <w:rFonts w:ascii="宋体" w:hAnsi="宋体" w:cs="宋体"/>
          <w:color w:val="auto"/>
          <w:sz w:val="24"/>
          <w:highlight w:val="none"/>
        </w:rPr>
      </w:pPr>
    </w:p>
    <w:p w14:paraId="137066C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16.1.2.2.3风险幅度（r）</w:t>
      </w:r>
    </w:p>
    <w:p w14:paraId="4A203B4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风险幅度是指交通建设项目合同双方各自应承担的材料价格涨跌风险比例大小。风险幅度范围内的价差应作为建设单位（项目法人）、承包人的风险，不予调差。各类材料幅度系数如下：</w:t>
      </w:r>
    </w:p>
    <w:p w14:paraId="736162A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砂石料，r＝</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%；(幅度系数范围为（-5～+5）%)</w:t>
      </w:r>
    </w:p>
    <w:p w14:paraId="44BC218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水泥、半成品，r＝</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%；(幅度系数范围为（-4～+4）%)</w:t>
      </w:r>
    </w:p>
    <w:p w14:paraId="60E5CC8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钢材、油料及其他，r＝</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%；(幅度系数范围为（-3～+3）%)</w:t>
      </w:r>
    </w:p>
    <w:p w14:paraId="546155E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16.1.2.2.4计算方法</w:t>
      </w:r>
    </w:p>
    <w:p w14:paraId="6801080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ΔC=（ΔP-Po×r）×Q×（1+D），其中：</w:t>
      </w:r>
    </w:p>
    <w:p w14:paraId="36606F4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｜ΔP｜＞｜Po×r｜ ΔP＝Pi（i=1,…,n）－Po，i指计量申报时间。</w:t>
      </w:r>
    </w:p>
    <w:p w14:paraId="6B7C13C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式中：</w:t>
      </w:r>
    </w:p>
    <w:p w14:paraId="7F2AA57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ΔC—价差调整费用，系按调价周期计算的当次费用。</w:t>
      </w:r>
    </w:p>
    <w:p w14:paraId="43E0A65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ΔP—材料价格差。</w:t>
      </w:r>
    </w:p>
    <w:p w14:paraId="4BF4AA6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Po—基准价（不含税），指建设单位（项目法人）确定最高投标限价时所采用的交通建设项目所在地地级市及以上工程造价专业机构发布的</w:t>
      </w:r>
      <w:r>
        <w:rPr>
          <w:rFonts w:hint="eastAsia" w:ascii="宋体" w:hAnsi="宋体" w:cs="宋体"/>
          <w:color w:val="auto"/>
          <w:sz w:val="24"/>
          <w:highlight w:val="none"/>
          <w:u w:val="single"/>
        </w:rPr>
        <w:t xml:space="preserve">   年  月（或季度）</w:t>
      </w:r>
      <w:r>
        <w:rPr>
          <w:rFonts w:hint="eastAsia" w:ascii="宋体" w:hAnsi="宋体" w:cs="宋体"/>
          <w:color w:val="auto"/>
          <w:sz w:val="24"/>
          <w:highlight w:val="none"/>
        </w:rPr>
        <w:t>信息价，如项目或合同段跨两个以上地级市的，按权重取平均值计算。</w:t>
      </w:r>
    </w:p>
    <w:p w14:paraId="6555727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Pi—信息价（不含税），指采购材料时交通建设项目所在地级市及以上工程造价专业机构发布的上季（月）度信息价，如项目或合同段跨两个以上地级市的，按权重取平均值计算。</w:t>
      </w:r>
    </w:p>
    <w:p w14:paraId="406861E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Q—调整材料数量，指工程实际使用的可调差的材料数量。《调价材料单位用量指标表》中所列材料以承包人当月计量的实体工程量为基础，按照表中的单位用量指标计算调整材料数量。通车后计量部分统一按通车时点计算工程量。</w:t>
      </w:r>
    </w:p>
    <w:p w14:paraId="3FC8D8B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r—风险幅度系数。当ΔP&gt;0时，r为正值，当ΔP&lt;0 时，r为负值。</w:t>
      </w:r>
    </w:p>
    <w:p w14:paraId="7B8945B7">
      <w:pPr>
        <w:pStyle w:val="61"/>
        <w:shd w:val="clear" w:fill="FFFFFF" w:themeFill="background1"/>
        <w:spacing w:line="269" w:lineRule="auto"/>
        <w:ind w:firstLine="480" w:firstLineChars="200"/>
        <w:jc w:val="center"/>
        <w:rPr>
          <w:rFonts w:ascii="宋体" w:hAnsi="宋体" w:cs="宋体"/>
          <w:color w:val="auto"/>
          <w:sz w:val="24"/>
          <w:szCs w:val="21"/>
          <w:highlight w:val="none"/>
        </w:rPr>
      </w:pPr>
      <w:r>
        <w:rPr>
          <w:rFonts w:hint="eastAsia" w:ascii="宋体" w:hAnsi="宋体" w:cs="宋体"/>
          <w:color w:val="auto"/>
          <w:sz w:val="24"/>
          <w:szCs w:val="21"/>
          <w:highlight w:val="none"/>
        </w:rPr>
        <w:t>调价材料单位用量指标表</w:t>
      </w:r>
    </w:p>
    <w:tbl>
      <w:tblPr>
        <w:tblStyle w:val="45"/>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2271"/>
        <w:gridCol w:w="2172"/>
        <w:gridCol w:w="3273"/>
      </w:tblGrid>
      <w:tr w14:paraId="5326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6A5F9C11">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调价的材料名称</w:t>
            </w:r>
          </w:p>
        </w:tc>
        <w:tc>
          <w:tcPr>
            <w:tcW w:w="2271" w:type="dxa"/>
            <w:vAlign w:val="center"/>
          </w:tcPr>
          <w:p w14:paraId="7BA4D46A">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调价的清单</w:t>
            </w:r>
          </w:p>
          <w:p w14:paraId="112C933D">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子目编号</w:t>
            </w:r>
          </w:p>
        </w:tc>
        <w:tc>
          <w:tcPr>
            <w:tcW w:w="2172" w:type="dxa"/>
            <w:vAlign w:val="center"/>
          </w:tcPr>
          <w:p w14:paraId="2BC44F3D">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调价的项目名称</w:t>
            </w:r>
          </w:p>
        </w:tc>
        <w:tc>
          <w:tcPr>
            <w:tcW w:w="3273" w:type="dxa"/>
            <w:vAlign w:val="center"/>
          </w:tcPr>
          <w:p w14:paraId="7492E14C">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计算调价材料数量的单位</w:t>
            </w:r>
          </w:p>
          <w:p w14:paraId="51FC1C6F">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用量指标</w:t>
            </w:r>
          </w:p>
        </w:tc>
      </w:tr>
      <w:tr w14:paraId="3F4E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3BD729CC">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碎石</w:t>
            </w:r>
          </w:p>
        </w:tc>
        <w:tc>
          <w:tcPr>
            <w:tcW w:w="2271" w:type="dxa"/>
            <w:vAlign w:val="center"/>
          </w:tcPr>
          <w:p w14:paraId="1AE7FF61">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具体清单子目编号</w:t>
            </w:r>
          </w:p>
        </w:tc>
        <w:tc>
          <w:tcPr>
            <w:tcW w:w="2172" w:type="dxa"/>
            <w:vAlign w:val="center"/>
          </w:tcPr>
          <w:p w14:paraId="01F6C07D">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具体清单项目名称</w:t>
            </w:r>
          </w:p>
        </w:tc>
        <w:tc>
          <w:tcPr>
            <w:tcW w:w="3273" w:type="dxa"/>
            <w:vAlign w:val="center"/>
          </w:tcPr>
          <w:p w14:paraId="527DB076">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m³/m³</w:t>
            </w:r>
          </w:p>
        </w:tc>
      </w:tr>
      <w:tr w14:paraId="302A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5DC3A4B5">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砂</w:t>
            </w:r>
          </w:p>
        </w:tc>
        <w:tc>
          <w:tcPr>
            <w:tcW w:w="2271" w:type="dxa"/>
            <w:vAlign w:val="center"/>
          </w:tcPr>
          <w:p w14:paraId="37ABA183">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具体清单子目编号</w:t>
            </w:r>
          </w:p>
        </w:tc>
        <w:tc>
          <w:tcPr>
            <w:tcW w:w="2172" w:type="dxa"/>
            <w:vAlign w:val="center"/>
          </w:tcPr>
          <w:p w14:paraId="74EB3A29">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具体清单项目名称</w:t>
            </w:r>
          </w:p>
        </w:tc>
        <w:tc>
          <w:tcPr>
            <w:tcW w:w="3273" w:type="dxa"/>
            <w:vAlign w:val="center"/>
          </w:tcPr>
          <w:p w14:paraId="49621B84">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w:t>
            </w:r>
            <w:r>
              <w:rPr>
                <w:rFonts w:hint="eastAsia" w:ascii="宋体" w:hAnsi="宋体" w:cs="宋体"/>
                <w:color w:val="auto"/>
                <w:sz w:val="22"/>
                <w:szCs w:val="20"/>
                <w:highlight w:val="none"/>
              </w:rPr>
              <w:t>m³/m³</w:t>
            </w:r>
          </w:p>
        </w:tc>
      </w:tr>
      <w:tr w14:paraId="1E6D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6A32CC05">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水泥</w:t>
            </w:r>
          </w:p>
        </w:tc>
        <w:tc>
          <w:tcPr>
            <w:tcW w:w="2271" w:type="dxa"/>
            <w:vAlign w:val="center"/>
          </w:tcPr>
          <w:p w14:paraId="737C47F6">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rPr>
              <w:t>清单的200-900章中所有含轻质土、水泥稳定层、水泥混凝土的清单子目</w:t>
            </w:r>
          </w:p>
        </w:tc>
        <w:tc>
          <w:tcPr>
            <w:tcW w:w="2172" w:type="dxa"/>
            <w:vAlign w:val="center"/>
          </w:tcPr>
          <w:p w14:paraId="070D430A">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rPr>
              <w:t>轻质土、水泥稳定层、水泥混凝土中的水泥</w:t>
            </w:r>
          </w:p>
        </w:tc>
        <w:tc>
          <w:tcPr>
            <w:tcW w:w="3273" w:type="dxa"/>
            <w:vAlign w:val="center"/>
          </w:tcPr>
          <w:p w14:paraId="1C17378A">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rPr>
              <w:t>1、轻质土：按批准的施工配合比计算水泥用量。</w:t>
            </w:r>
          </w:p>
          <w:p w14:paraId="0E348D89">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rPr>
              <w:t>2、水泥稳定层：按批准的施工配合比计算水泥用量。</w:t>
            </w:r>
          </w:p>
          <w:p w14:paraId="2B9473DB">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rPr>
              <w:t>3、桥梁桩基础混凝土（按m计量的须换算为m³）：</w:t>
            </w:r>
            <w:r>
              <w:rPr>
                <w:rFonts w:hint="eastAsia" w:ascii="宋体" w:hAnsi="宋体" w:cs="宋体"/>
                <w:color w:val="auto"/>
                <w:sz w:val="22"/>
                <w:szCs w:val="20"/>
                <w:highlight w:val="none"/>
                <w:u w:val="single"/>
              </w:rPr>
              <w:t xml:space="preserve">    t/m³</w:t>
            </w:r>
            <w:r>
              <w:rPr>
                <w:rFonts w:hint="eastAsia" w:ascii="宋体" w:hAnsi="宋体" w:cs="宋体"/>
                <w:color w:val="auto"/>
                <w:sz w:val="22"/>
                <w:szCs w:val="20"/>
                <w:highlight w:val="none"/>
              </w:rPr>
              <w:t>（不分混凝土标号)</w:t>
            </w:r>
          </w:p>
          <w:p w14:paraId="1F49B038">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rPr>
              <w:t>4、其他实体工程混凝土：</w:t>
            </w:r>
          </w:p>
          <w:p w14:paraId="09BB8325">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t/m³</w:t>
            </w:r>
            <w:r>
              <w:rPr>
                <w:rFonts w:hint="eastAsia" w:ascii="宋体" w:hAnsi="宋体" w:cs="宋体"/>
                <w:color w:val="auto"/>
                <w:sz w:val="22"/>
                <w:szCs w:val="20"/>
                <w:highlight w:val="none"/>
              </w:rPr>
              <w:t>（C20及以下）</w:t>
            </w:r>
          </w:p>
          <w:p w14:paraId="2DE5FC12">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t/m³</w:t>
            </w:r>
            <w:r>
              <w:rPr>
                <w:rFonts w:hint="eastAsia" w:ascii="宋体" w:hAnsi="宋体" w:cs="宋体"/>
                <w:color w:val="auto"/>
                <w:sz w:val="22"/>
                <w:szCs w:val="20"/>
                <w:highlight w:val="none"/>
              </w:rPr>
              <w:t>（C25、C30、C35）</w:t>
            </w:r>
          </w:p>
          <w:p w14:paraId="12B58DA9">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t/m³</w:t>
            </w:r>
            <w:r>
              <w:rPr>
                <w:rFonts w:hint="eastAsia" w:ascii="宋体" w:hAnsi="宋体" w:cs="宋体"/>
                <w:color w:val="auto"/>
                <w:sz w:val="22"/>
                <w:szCs w:val="20"/>
                <w:highlight w:val="none"/>
              </w:rPr>
              <w:t>（C40）</w:t>
            </w:r>
          </w:p>
          <w:p w14:paraId="5B77F80D">
            <w:pPr>
              <w:pStyle w:val="61"/>
              <w:shd w:val="clear" w:fill="FFFFFF" w:themeFill="background1"/>
              <w:spacing w:line="269" w:lineRule="auto"/>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t/m³</w:t>
            </w:r>
            <w:r>
              <w:rPr>
                <w:rFonts w:hint="eastAsia" w:ascii="宋体" w:hAnsi="宋体" w:cs="宋体"/>
                <w:color w:val="auto"/>
                <w:sz w:val="22"/>
                <w:szCs w:val="20"/>
                <w:highlight w:val="none"/>
              </w:rPr>
              <w:t>（C50及以上）</w:t>
            </w:r>
          </w:p>
        </w:tc>
      </w:tr>
      <w:tr w14:paraId="1959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34B33274">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钢筋</w:t>
            </w:r>
          </w:p>
        </w:tc>
        <w:tc>
          <w:tcPr>
            <w:tcW w:w="2271" w:type="dxa"/>
            <w:vAlign w:val="center"/>
          </w:tcPr>
          <w:p w14:paraId="21A490D5">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实体工程中所有钢筋的清单子目</w:t>
            </w:r>
          </w:p>
        </w:tc>
        <w:tc>
          <w:tcPr>
            <w:tcW w:w="2172" w:type="dxa"/>
            <w:vAlign w:val="center"/>
          </w:tcPr>
          <w:p w14:paraId="3F51D8C3">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钢筋</w:t>
            </w:r>
          </w:p>
        </w:tc>
        <w:tc>
          <w:tcPr>
            <w:tcW w:w="3273" w:type="dxa"/>
            <w:vAlign w:val="center"/>
          </w:tcPr>
          <w:p w14:paraId="766BBC1C">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t</w:t>
            </w:r>
            <w:r>
              <w:rPr>
                <w:rFonts w:hint="eastAsia" w:ascii="宋体" w:hAnsi="宋体" w:cs="宋体"/>
                <w:color w:val="auto"/>
                <w:sz w:val="22"/>
                <w:szCs w:val="20"/>
                <w:highlight w:val="none"/>
              </w:rPr>
              <w:t>/t（各钢筋清单子目取此同一单位用量）</w:t>
            </w:r>
          </w:p>
        </w:tc>
      </w:tr>
      <w:tr w14:paraId="29873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63896C71">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钢绞线</w:t>
            </w:r>
          </w:p>
        </w:tc>
        <w:tc>
          <w:tcPr>
            <w:tcW w:w="2271" w:type="dxa"/>
            <w:vAlign w:val="center"/>
          </w:tcPr>
          <w:p w14:paraId="0791C6E0">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实体工程中所有钢绞线的清单子目</w:t>
            </w:r>
          </w:p>
        </w:tc>
        <w:tc>
          <w:tcPr>
            <w:tcW w:w="2172" w:type="dxa"/>
            <w:vAlign w:val="center"/>
          </w:tcPr>
          <w:p w14:paraId="7782F0B7">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钢绞线</w:t>
            </w:r>
          </w:p>
        </w:tc>
        <w:tc>
          <w:tcPr>
            <w:tcW w:w="3273" w:type="dxa"/>
            <w:vAlign w:val="center"/>
          </w:tcPr>
          <w:p w14:paraId="11E473D1">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t</w:t>
            </w:r>
            <w:r>
              <w:rPr>
                <w:rFonts w:hint="eastAsia" w:ascii="宋体" w:hAnsi="宋体" w:cs="宋体"/>
                <w:color w:val="auto"/>
                <w:sz w:val="22"/>
                <w:szCs w:val="20"/>
                <w:highlight w:val="none"/>
              </w:rPr>
              <w:t>/t（各钢绞线清单子目取此同一单位用量）</w:t>
            </w:r>
          </w:p>
        </w:tc>
      </w:tr>
      <w:tr w14:paraId="1C8E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0DC40D8F">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沥青</w:t>
            </w:r>
          </w:p>
        </w:tc>
        <w:tc>
          <w:tcPr>
            <w:tcW w:w="2271" w:type="dxa"/>
            <w:vAlign w:val="center"/>
          </w:tcPr>
          <w:p w14:paraId="44F5B2D3">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实体工程中所有含沥青的清单子目</w:t>
            </w:r>
          </w:p>
        </w:tc>
        <w:tc>
          <w:tcPr>
            <w:tcW w:w="2172" w:type="dxa"/>
            <w:vAlign w:val="center"/>
          </w:tcPr>
          <w:p w14:paraId="32969E03">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沥青</w:t>
            </w:r>
          </w:p>
        </w:tc>
        <w:tc>
          <w:tcPr>
            <w:tcW w:w="3273" w:type="dxa"/>
            <w:vAlign w:val="center"/>
          </w:tcPr>
          <w:p w14:paraId="028342FF">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按批准的施工配合比计算沥青用量</w:t>
            </w:r>
          </w:p>
        </w:tc>
      </w:tr>
      <w:tr w14:paraId="2829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012DD057">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柴油</w:t>
            </w:r>
          </w:p>
        </w:tc>
        <w:tc>
          <w:tcPr>
            <w:tcW w:w="2271" w:type="dxa"/>
            <w:vAlign w:val="center"/>
          </w:tcPr>
          <w:p w14:paraId="3A6DE38B">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具体清单子目编号</w:t>
            </w:r>
          </w:p>
        </w:tc>
        <w:tc>
          <w:tcPr>
            <w:tcW w:w="2172" w:type="dxa"/>
            <w:vAlign w:val="center"/>
          </w:tcPr>
          <w:p w14:paraId="15B0D879">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具体清单项目名称</w:t>
            </w:r>
          </w:p>
        </w:tc>
        <w:tc>
          <w:tcPr>
            <w:tcW w:w="3273" w:type="dxa"/>
            <w:vAlign w:val="center"/>
          </w:tcPr>
          <w:p w14:paraId="700D22F5">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kg/m³</w:t>
            </w:r>
          </w:p>
        </w:tc>
      </w:tr>
      <w:tr w14:paraId="64899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59F26F3F">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混凝土</w:t>
            </w:r>
          </w:p>
          <w:p w14:paraId="167BAA65">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管桩</w:t>
            </w:r>
          </w:p>
        </w:tc>
        <w:tc>
          <w:tcPr>
            <w:tcW w:w="2271" w:type="dxa"/>
            <w:vAlign w:val="center"/>
          </w:tcPr>
          <w:p w14:paraId="4695C2D3">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实体工程中所有混凝土管桩的清单子目</w:t>
            </w:r>
          </w:p>
        </w:tc>
        <w:tc>
          <w:tcPr>
            <w:tcW w:w="2172" w:type="dxa"/>
            <w:vAlign w:val="center"/>
          </w:tcPr>
          <w:p w14:paraId="6488E862">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混凝土管桩</w:t>
            </w:r>
          </w:p>
        </w:tc>
        <w:tc>
          <w:tcPr>
            <w:tcW w:w="3273" w:type="dxa"/>
            <w:vAlign w:val="center"/>
          </w:tcPr>
          <w:p w14:paraId="0FD5DEF8">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u w:val="single"/>
              </w:rPr>
              <w:t xml:space="preserve">      m/m</w:t>
            </w:r>
          </w:p>
        </w:tc>
      </w:tr>
      <w:tr w14:paraId="13D6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2" w:type="dxa"/>
            <w:vAlign w:val="center"/>
          </w:tcPr>
          <w:p w14:paraId="4AAC2877">
            <w:pPr>
              <w:pStyle w:val="61"/>
              <w:shd w:val="clear" w:fill="FFFFFF" w:themeFill="background1"/>
              <w:spacing w:line="269" w:lineRule="auto"/>
              <w:jc w:val="center"/>
              <w:rPr>
                <w:rFonts w:ascii="宋体" w:hAnsi="宋体" w:cs="宋体"/>
                <w:color w:val="auto"/>
                <w:sz w:val="22"/>
                <w:szCs w:val="20"/>
                <w:highlight w:val="none"/>
              </w:rPr>
            </w:pPr>
            <w:r>
              <w:rPr>
                <w:rFonts w:hint="eastAsia" w:ascii="宋体" w:hAnsi="宋体" w:cs="宋体"/>
                <w:color w:val="auto"/>
                <w:sz w:val="22"/>
                <w:szCs w:val="20"/>
                <w:highlight w:val="none"/>
              </w:rPr>
              <w:t>…</w:t>
            </w:r>
          </w:p>
        </w:tc>
        <w:tc>
          <w:tcPr>
            <w:tcW w:w="2271" w:type="dxa"/>
            <w:vAlign w:val="center"/>
          </w:tcPr>
          <w:p w14:paraId="7CC6F7C0">
            <w:pPr>
              <w:pStyle w:val="61"/>
              <w:shd w:val="clear" w:fill="FFFFFF" w:themeFill="background1"/>
              <w:spacing w:line="269" w:lineRule="auto"/>
              <w:jc w:val="center"/>
              <w:rPr>
                <w:rFonts w:ascii="宋体" w:hAnsi="宋体" w:cs="宋体"/>
                <w:color w:val="auto"/>
                <w:sz w:val="22"/>
                <w:szCs w:val="20"/>
                <w:highlight w:val="none"/>
              </w:rPr>
            </w:pPr>
          </w:p>
        </w:tc>
        <w:tc>
          <w:tcPr>
            <w:tcW w:w="2172" w:type="dxa"/>
            <w:vAlign w:val="center"/>
          </w:tcPr>
          <w:p w14:paraId="51C2FFC6">
            <w:pPr>
              <w:pStyle w:val="61"/>
              <w:shd w:val="clear" w:fill="FFFFFF" w:themeFill="background1"/>
              <w:spacing w:line="269" w:lineRule="auto"/>
              <w:jc w:val="center"/>
              <w:rPr>
                <w:rFonts w:ascii="宋体" w:hAnsi="宋体" w:cs="宋体"/>
                <w:color w:val="auto"/>
                <w:sz w:val="22"/>
                <w:szCs w:val="20"/>
                <w:highlight w:val="none"/>
              </w:rPr>
            </w:pPr>
          </w:p>
        </w:tc>
        <w:tc>
          <w:tcPr>
            <w:tcW w:w="3273" w:type="dxa"/>
            <w:vAlign w:val="center"/>
          </w:tcPr>
          <w:p w14:paraId="1FA9E497">
            <w:pPr>
              <w:pStyle w:val="61"/>
              <w:shd w:val="clear" w:fill="FFFFFF" w:themeFill="background1"/>
              <w:spacing w:line="269" w:lineRule="auto"/>
              <w:jc w:val="center"/>
              <w:rPr>
                <w:rFonts w:ascii="宋体" w:hAnsi="宋体" w:cs="宋体"/>
                <w:color w:val="auto"/>
                <w:sz w:val="22"/>
                <w:szCs w:val="20"/>
                <w:highlight w:val="none"/>
              </w:rPr>
            </w:pPr>
          </w:p>
        </w:tc>
      </w:tr>
    </w:tbl>
    <w:p w14:paraId="6673E8B9">
      <w:pPr>
        <w:pStyle w:val="61"/>
        <w:shd w:val="clear" w:fill="FFFFFF" w:themeFill="background1"/>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 1.石料单位用量指标中单位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m³/m³代表每计量1立方米实体工程消耗的石料堆方数量为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立方米；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kg/m³代表每计量1立方米实体工程消耗的重量为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公斤。其余以此类推。</w:t>
      </w:r>
    </w:p>
    <w:p w14:paraId="3246C5F3">
      <w:pPr>
        <w:pStyle w:val="61"/>
        <w:shd w:val="clear" w:fill="FFFFFF" w:themeFill="background1"/>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碎石统一按照定额材料代号5505016号“碎石”价格进行调整；砂统一按照定额材料代号5503005号“中（粗）砂”价格进行调整；机制砂统一按照定额材料代号5503002号“机制砂”价格进行调整。若采用机制砂，计算调价材料数量的单位用量指标按砂用量。</w:t>
      </w:r>
    </w:p>
    <w:p w14:paraId="05025E1D">
      <w:pPr>
        <w:pStyle w:val="61"/>
        <w:shd w:val="clear" w:fill="FFFFFF" w:themeFill="background1"/>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 桥梁桩基础混凝土中的水泥统一按照定额材料代号5509002号“42.5级水泥”价格进行调整；其他实体工程混凝土中的水泥，标号小于等于C40的统一按照定额材料代号5509002号“42.5级水泥”价格进行调整，标号大于等于C50的统一按照定额材料代号5509003号“52.5级水泥”价格进行调整；桥梁桩基础根据设计桩径按计量长度换算为混凝土体积，相关成孔损耗已在上表中水泥用量指标综合考虑。</w:t>
      </w:r>
    </w:p>
    <w:p w14:paraId="7B594CB5">
      <w:pPr>
        <w:pStyle w:val="61"/>
        <w:shd w:val="clear" w:fill="FFFFFF" w:themeFill="background1"/>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4.沥青视采用的品种，按照定额材料代号3001001020号“国产沥青”或3001001021号“进口石油沥青”、3001002010号“国产改性沥青”或3001002011号“进口改性沥青”的价格进行调整。</w:t>
      </w:r>
    </w:p>
    <w:p w14:paraId="216A3DCE">
      <w:pPr>
        <w:pStyle w:val="61"/>
        <w:shd w:val="clear" w:fill="FFFFFF" w:themeFill="background1"/>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5.沥青混合料及改性沥青混合料拌合消耗的燃油、天然气统一按定额材料代号3003001 号“重油”价格进行调整。</w:t>
      </w:r>
    </w:p>
    <w:p w14:paraId="2497681B">
      <w:pPr>
        <w:pStyle w:val="61"/>
        <w:shd w:val="clear" w:fill="FFFFFF" w:themeFill="background1"/>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6.混凝土管桩仅按成品信息价格进行调差。</w:t>
      </w:r>
    </w:p>
    <w:p w14:paraId="6845E222">
      <w:pPr>
        <w:pStyle w:val="61"/>
        <w:shd w:val="clear" w:fill="FFFFFF" w:themeFill="background1"/>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7.表中的单位用量指标，发包人应参照《公路工程预算定额》的定额消耗量确定。</w:t>
      </w:r>
    </w:p>
    <w:p w14:paraId="706311A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16.1.3 实际采购价格法</w:t>
      </w:r>
    </w:p>
    <w:p w14:paraId="1DCE2E7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ΔC=（ΔP-Po×r）×Q，其中｜ΔP｜＞｜Po×r｜ ΔP＝Pa－Po，式中：ΔC、ΔP、Q、r同16.1.2款。</w:t>
      </w:r>
    </w:p>
    <w:p w14:paraId="54BF2A2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Po—基准价，指项目招标时，建设单位（项目法人）确定最高投标限价时采用的材料单价。建设单位（项目法人）应在招标文件中明确基准价（Po）的价格。</w:t>
      </w:r>
    </w:p>
    <w:p w14:paraId="7956970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Pa—采购价，经建设单位（项目法人）、监理核实的， 有相应的合法支撑依据的实际采购材料价格</w:t>
      </w:r>
    </w:p>
    <w:p w14:paraId="4A8E05D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①，分批采购时按权重取平均值计算。</w:t>
      </w:r>
    </w:p>
    <w:p w14:paraId="32AEFCF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采用实际采购价格法调整材料价差的其他约定，同16.1.2.2目。</w:t>
      </w:r>
    </w:p>
    <w:p w14:paraId="7FB4378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16.1.4砂石料运输费用调整</w:t>
      </w:r>
    </w:p>
    <w:p w14:paraId="7919BD5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合同工程量清单中的沥青混凝土路面上面层用的砂石料（砂石料指碎石及同母材的机制砂）材料单价包含了</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公里运输费用（其中：水路运输 Y 公里，公路运输 Z 公里），如实际运输方式和运输距离与清单预算不一致时，运输费用按如下原则进行调整：</w:t>
      </w:r>
    </w:p>
    <w:p w14:paraId="0AA3E6D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1、本项目实际运距指单个沥青拌和场至单个石场的运输距离，运输距离及砂石料用量以承包人、监理人、发包人三方确定为准；</w:t>
      </w:r>
    </w:p>
    <w:p w14:paraId="546A730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2、从不同石场采购的砂石料按各自的实际运距计算调整费用，公路运输单价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元/m³·km，水运单价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元/m³·km，调整运输费用=（（水路运输实际运距-Y-A）×</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+（公路运输实际运距-Z-B）×</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）×砂石料运输数量，正数为发包人向承包人支付调差（承包人应向发包人提供等额的完税发票），负数为发包人向承包人扣回调差（从应付工程款中扣除）。其中：</w:t>
      </w:r>
    </w:p>
    <w:p w14:paraId="136F6D5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(1)当水路运输实际运距在（Y-k）～（Y+k）公里之间（含界值）时，水路运输费用不作调整；小于（Y-k）公里时，A=-k；大于（Y+k）公里时，A=k；</w:t>
      </w:r>
    </w:p>
    <w:p w14:paraId="64AEDF0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(2)当公路运输实际运距在（Z-k）～（Z+k）公里之间（含界值）时，公路运输费用不作调整；小于（Z-k）公里时，B=-k；大于（Z+k）公里时，B=k；</w:t>
      </w:r>
    </w:p>
    <w:p w14:paraId="011CC86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(3)运输运距以公里为单位，运输数量以m³为单位；k一般取值30。</w:t>
      </w:r>
    </w:p>
    <w:p w14:paraId="0C9818D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(4)采用铁路运输，铁路运输单价及运输费用调整同水路运输；</w:t>
      </w:r>
    </w:p>
    <w:p w14:paraId="5C5B1DA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(5)可补偿的实际运距费用按其对应数量计算最多不超过</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元/m³。</w:t>
      </w:r>
    </w:p>
    <w:p w14:paraId="1762EB2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3、按以上原则计算的调整费用为包干费用，不再考虑路桥费、装卸费、转运、仓储、管理费。</w:t>
      </w:r>
    </w:p>
    <w:p w14:paraId="3182C4E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16.1.5 税费增减</w:t>
      </w:r>
    </w:p>
    <w:p w14:paraId="342C336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由材料价差调整所产生的材料采购增值税增减额由发包人承担，其他税费由承包人承担。</w:t>
      </w:r>
    </w:p>
    <w:p w14:paraId="66042DD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法律变化引起的价格调整</w:t>
      </w:r>
    </w:p>
    <w:p w14:paraId="385F395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79FB002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（1）除合同另有约定外，如果在投标文件递交截止日 28 天之后，国家或省颁布的法律、法规出现修改或变更，因采用上述法律、法规使承包人在履行合同中发生第 16.1款规定的价格调整以外的费用增加或减少的，相关增减费用由监理人与承包人协商后，报发包人审核审批。</w:t>
      </w:r>
    </w:p>
    <w:p w14:paraId="5035450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在工程实施过程中，所引用的国家标准和规范如果有修改或新颁，应由发包人决定是否采用新标准或新规范，承包人应在监理人的监督下按发包人的决定执行。采用新标准、新规范（相对于招标文件）所增加的相应费用由发包人承担。</w:t>
      </w:r>
    </w:p>
    <w:p w14:paraId="00C404A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执行期间，如发生税务政策调整，则执行新的税务政策，按以下公式调整剩余合同价款，并签订补充协议。调整后合同价=原合同价/(1+原税率）*（1+新税率），因承包人提供发票不及时或有误导致工程款不能支付的责任由承包人承担。</w:t>
      </w:r>
    </w:p>
    <w:p w14:paraId="3E68C8F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本条补充第 16.3 款、第 16.4 款、第 16.5 款：</w:t>
      </w:r>
    </w:p>
    <w:p w14:paraId="104F722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 执行国家和行业标准</w:t>
      </w:r>
    </w:p>
    <w:p w14:paraId="291FB54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除非发包人和监理人专门批准，如果本工程技术规范和图纸标准低于国家和行业标准，则应按国家和行业标准执行，承包人不能因此提出增加费用的要求和索赔。</w:t>
      </w:r>
    </w:p>
    <w:p w14:paraId="10970B3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16.4 工期拖期的价格调整</w:t>
      </w:r>
    </w:p>
    <w:p w14:paraId="1681652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由于承包人原因未能在投标书附录中写明的工期内完成本合同工程，在超出合同工期以后施工的工程，承包人不能因此提出调整合同单价（总额价）要求。即使某种延期符合第 11.4 条及本合同条款相关规定，在该延长的合同工期到期以后施工的工程，承包人也不能因此提出调整合同单价（总额价）要求。</w:t>
      </w:r>
    </w:p>
    <w:p w14:paraId="60E004D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16.5其他原因引起的价格调整</w:t>
      </w:r>
    </w:p>
    <w:p w14:paraId="47052A9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16.5.1应急抢险工程</w:t>
      </w:r>
    </w:p>
    <w:p w14:paraId="49DB22C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因自然灾害、地质灾害以及其他突发事件引发，导致高速公路及沿线设施受损，正在发生严重危害或即将产生严重危害，必须迅速采取措施的工程或因应对突发事件需要在短期内启动并尽快完成的抢险修复工程，经发包人和监理人确认后，按应急抢险工程进行处理。应急抢险工程的变更作价按 15.4.4 款约定执行。</w:t>
      </w:r>
    </w:p>
    <w:p w14:paraId="6843A91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16.5.2施工图设计和合同清单工程数量出现“差、错、漏、碰”的，经勘误后，按合同条款及计量支付规则约定的计量原则，作变更处理。</w:t>
      </w:r>
    </w:p>
    <w:p w14:paraId="6A9B0C0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16.5.3 </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（其他可调整价格的情形）。</w:t>
      </w:r>
    </w:p>
    <w:p w14:paraId="40F8366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 计量与支付</w:t>
      </w:r>
    </w:p>
    <w:p w14:paraId="7A59B6B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 计量</w:t>
      </w:r>
    </w:p>
    <w:p w14:paraId="7C74359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17.1.5 总价子目的计量</w:t>
      </w:r>
    </w:p>
    <w:p w14:paraId="3C1C5B7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本项目工程量清单中要求承包人以“总额”方式报价的子目，各子目的支付原则和支付进度按本合同文件工程量清单计量规则中的规定执行。</w:t>
      </w:r>
    </w:p>
    <w:p w14:paraId="0564DF6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 17.1.6-17.1.8 项：</w:t>
      </w:r>
    </w:p>
    <w:p w14:paraId="185DA45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17.1.6 变更工程的暂定计量和支付</w:t>
      </w:r>
    </w:p>
    <w:p w14:paraId="47EB82F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需报发包人上级主管部门审批的变更工程项目，在发包人审核完成而尚未获得上级主管部门审批时，可采用暂定计量，暂定计量金额不超过发包人审核后的合同变更金额的85%。待上级主管部门审批后按审批结果进行实际计量，并扣回已暂计量的金额。</w:t>
      </w:r>
    </w:p>
    <w:p w14:paraId="3DF2F8F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17.1.7 路面备料款的计量和支付</w:t>
      </w:r>
    </w:p>
    <w:p w14:paraId="25718C7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发包人将对承包人的路面碎石、机制砂备料款进行暂定计量，具体操作办法如下：</w:t>
      </w:r>
    </w:p>
    <w:p w14:paraId="0BDFAFB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（1）计量数量：以承包人实际进场并经监理人和发包人代表验收确认数量的项目专用合同条款数据表约定的比例计；</w:t>
      </w:r>
    </w:p>
    <w:p w14:paraId="134D109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（2）计量单价：本合同段招标最高投标限价清单预算采用的相应规格材料预算价</w:t>
      </w:r>
      <w:r>
        <w:rPr>
          <w:rFonts w:hint="eastAsia" w:ascii="宋体" w:hAnsi="宋体" w:cs="宋体"/>
          <w:color w:val="auto"/>
          <w:sz w:val="24"/>
          <w:highlight w:val="none"/>
          <w:u w:val="single"/>
        </w:rPr>
        <w:t>（含税/不含税）</w:t>
      </w:r>
      <w:r>
        <w:rPr>
          <w:rFonts w:hint="eastAsia" w:ascii="宋体" w:hAnsi="宋体" w:cs="宋体"/>
          <w:color w:val="auto"/>
          <w:sz w:val="24"/>
          <w:highlight w:val="none"/>
        </w:rPr>
        <w:t>；</w:t>
      </w:r>
    </w:p>
    <w:p w14:paraId="6636DD0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（3）计量方式：每月计量一次；</w:t>
      </w:r>
    </w:p>
    <w:p w14:paraId="00A4ADA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（4）暂定计量备料款的扣回：承包人所备的碎石、机制砂材料已用于路面施工并得到正常计量后，发包人将在计量当期扣回对应的暂定计量备料款。</w:t>
      </w:r>
    </w:p>
    <w:p w14:paraId="004D3B8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17.1.8 过程结算的计量和支付</w:t>
      </w:r>
    </w:p>
    <w:p w14:paraId="18E5D8E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发包人制定过程结算制度并明确有关过程结算的计量支付规则，未按要求完成过程结算的费用项，最高支付金额不宜超过建设单位审核确认的 97%，过程结算完成后方可支付余下金额。完工结算率低于 30%的，在后续计量支付中可暂扣工程进度款一定比例，具体在过程结算条款中明确。</w:t>
      </w:r>
    </w:p>
    <w:p w14:paraId="58033E1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 预付款</w:t>
      </w:r>
    </w:p>
    <w:p w14:paraId="4241C85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17.2.3 预付款的扣回与还清</w:t>
      </w:r>
    </w:p>
    <w:p w14:paraId="4BC6764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本款补充第(3)目如下：</w:t>
      </w:r>
    </w:p>
    <w:p w14:paraId="323AB9A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 如有需要，发包人可根据实际情况制定更符合工程需要的预付款月扣款比例。</w:t>
      </w:r>
    </w:p>
    <w:p w14:paraId="64F02D4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 工程进度付款</w:t>
      </w:r>
    </w:p>
    <w:p w14:paraId="30785F9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17.3.1 付款周期</w:t>
      </w:r>
    </w:p>
    <w:p w14:paraId="1498A67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本项补充：</w:t>
      </w:r>
    </w:p>
    <w:p w14:paraId="273EDF2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根据工程进度需要，可在一个计量周期内实行“一次计量、两次支付”的方式，即在承包人上报月计量报表经监理人审核后，发包人暂按当期计量金额的50%进行第一次支付，待月计量报表审核流程结束后，发包人根据审批的付款证书进行第二次支付，并扣回第一次的暂定支付金额。”</w:t>
      </w:r>
    </w:p>
    <w:p w14:paraId="3E87979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将本款第 17.3.5 项细化如下:</w:t>
      </w:r>
    </w:p>
    <w:p w14:paraId="2C81BD3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17.3.5 农民工工资保证金</w:t>
      </w:r>
    </w:p>
    <w:p w14:paraId="09B5D7A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按广东省交通运输厅转发人力资源社会保障部等部门《工程建设领域农民工工资保证金规定》的通知执行。</w:t>
      </w:r>
    </w:p>
    <w:p w14:paraId="5BDB597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 质量保证金</w:t>
      </w:r>
    </w:p>
    <w:p w14:paraId="1271EF9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17.4.2 项细化为：</w:t>
      </w:r>
    </w:p>
    <w:p w14:paraId="42FC124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项目完成竣工决算审查备案和竣工决算审计，且发包人和承包人最终确定结算金额后 30天内，发包人退还剩余质量保证金的80%给承包人。通过竣工验收后30天内，发包人将质量保证金的余额一次性退还给承包人。若承包人在项目竣工验收时工程质量评分未达优良等级，发包人全额扣回承包人在施工过程中所获得的全部优质优价价款。</w:t>
      </w:r>
    </w:p>
    <w:p w14:paraId="6EA53A0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17.6 最终结清</w:t>
      </w:r>
    </w:p>
    <w:p w14:paraId="3F86CCE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17.6.1 最终结清申请单</w:t>
      </w:r>
    </w:p>
    <w:p w14:paraId="38E6D30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本项(1)目约定为：</w:t>
      </w:r>
    </w:p>
    <w:p w14:paraId="6CCCBA1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按交通运输部及广东省交通运输厅关于交通基本建设项目竣工决算编制和省级造价信息化平台的有关规定，及时编制相应的工程结算文件，报监理人审核，发包人确认。承包人向监理人提交最终结清申请单(包括相关证明材料)的份数在项目专用合同条款数据表中约定；期限：缺陷责任期终止证书签发后28天内。</w:t>
      </w:r>
    </w:p>
    <w:p w14:paraId="2D53864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最终结清申请单中的总金额应认为是代表了根据合同规定应付给承包人的全部款项的最后结算。</w:t>
      </w:r>
    </w:p>
    <w:p w14:paraId="6586CF4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竣工决算报告经政府审计部门审计、交通行业主管部门审查后，发包人将按以下原则作为调整承包人最终合同费用的依据，承包人需无条件接受：行业主管部门和审计部门对不同内容进行核减的，综合行业主管部门和审计部门的意见进行调整。</w:t>
      </w:r>
    </w:p>
    <w:p w14:paraId="722D5FC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 交工验收</w:t>
      </w:r>
    </w:p>
    <w:p w14:paraId="6C14B32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18.3 验收</w:t>
      </w:r>
    </w:p>
    <w:p w14:paraId="393B398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18.3.2 项补充：</w:t>
      </w:r>
    </w:p>
    <w:p w14:paraId="51E7F29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交工验收由发包人主持，由发包人、监理人、质监、设计、施工、运营、管理养护等有关部门代表组成交工验收小组，对本项目的工程质量进行评定，并写出交工验收报告报交通主管部门备案。项目交工验收报告上报备案前14天，项目必须依法依规提供完整的专项验收工作报告，包括但不限于：涉航、防雷、消防、安全性评价、工程质量检测报告等。承包人应按发包人的要求提交竣工资料，完成交工验收准备工作。 </w:t>
      </w:r>
    </w:p>
    <w:p w14:paraId="69ABB00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交工验收是建设项目投产使用前的重要的、关键的工作，建设项目各参建单位要切实提高站位，压实主体责任，坚决扭转项目交工验收工作总结流于形式、质量差等突出问题，严格按照《广东省交通运输厅关于进一步加强公路建设项目交工验收工作管理的通知》的规定执行，要结合本项目实际认真扎实做好总结工作，总结材料力求简明扼要，文字精炼，重点突出，必要时辅以图表等辅助材料。</w:t>
      </w:r>
    </w:p>
    <w:p w14:paraId="2493043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18.9 竣工文件</w:t>
      </w:r>
    </w:p>
    <w:p w14:paraId="30781C0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在本款后增加以下内容：</w:t>
      </w:r>
    </w:p>
    <w:p w14:paraId="2064BDD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工程实施过程中及在项目完工后，承包人应按照《广东省交通运输厅关于公路建设项目档案的管理办法》和发包人制定的竣工文件资料管理办法的规定开展竣工文件材料的编制、收集、整理、立卷、归档及信息化平台上传等工作，相应的竣工档案编制费按指定金额在工程量清单第 100 章中以总额报价。承包人向发包人提交的合格的竣工文件中必须包括有整套竣工图的电子档案。承包人在完成施工图表等竣工文件的同时，还应按《广东省交通运输厅关于印发广东省公路工程竣工决算文件编制指南的通知》、《交通运输部基本建设项目竣工财务决算编审规定》的规定，编制由承包人实施的工程结算文件，报监理人审核，作为竣工文件的一部分。</w:t>
      </w:r>
    </w:p>
    <w:p w14:paraId="23D84B6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如有需要发包人有权指定单位或相关部门进行整个项目的竣工资料统一编制，承包人应予以积极配合，所发生费用由承包人承担。</w:t>
      </w:r>
    </w:p>
    <w:p w14:paraId="1C295A3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 缺陷责任与保修责任</w:t>
      </w:r>
    </w:p>
    <w:p w14:paraId="26D2823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 缺陷责任</w:t>
      </w:r>
    </w:p>
    <w:p w14:paraId="4A90868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 19.2.2 项后增加以下内容：</w:t>
      </w:r>
    </w:p>
    <w:p w14:paraId="564653E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承包人应在缺陷责任期内安排专人负责缺陷责任期的管理工作，并确保在接到发包人要求处理有关缺陷事项的通知后 24 小时内到达现场，到达现场后随即采取有效措施解决工程遗留的缺陷或其他问题。承包人未履行本款规定的缺陷处治责任义务，视为承包人违约并按 22.1 款约定处理。</w:t>
      </w:r>
    </w:p>
    <w:p w14:paraId="5E56F9B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19.7 保修责任</w:t>
      </w:r>
    </w:p>
    <w:p w14:paraId="34A765B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19.7（1）目补充：</w:t>
      </w:r>
    </w:p>
    <w:p w14:paraId="331B980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详见项目专用合同条款数据表中约定。</w:t>
      </w:r>
    </w:p>
    <w:p w14:paraId="7C12B8C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 保险</w:t>
      </w:r>
    </w:p>
    <w:p w14:paraId="5FE557F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 工程保险</w:t>
      </w:r>
    </w:p>
    <w:p w14:paraId="23A3B33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20.1 款修改为：</w:t>
      </w:r>
    </w:p>
    <w:p w14:paraId="2BE2E35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 建筑工程一切险及第三者责任险</w:t>
      </w:r>
    </w:p>
    <w:p w14:paraId="2436FEB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20.1.1 建筑工程一切险的投保内容：为本合同工程的永久工程、临时工程和设备及已运至施工工地用于永久工程的材料和设备所投的保险。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0AEF6A93">
      <w:pPr>
        <w:pStyle w:val="61"/>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保险金额：</w:t>
      </w:r>
      <w:r>
        <w:rPr>
          <w:rFonts w:hint="eastAsia" w:ascii="宋体" w:hAnsi="宋体" w:cs="宋体"/>
          <w:color w:val="auto"/>
          <w:sz w:val="24"/>
          <w:highlight w:val="none"/>
          <w:u w:val="single"/>
        </w:rPr>
        <w:t>工程量清单第 100 章至 900 章费用之和，扣除建筑工程一切险及第三者责任险的保险费、机电工程设备购置费。</w:t>
      </w:r>
    </w:p>
    <w:p w14:paraId="5CF11DB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保险费率：在项目专用合同条款数据表中约定。</w:t>
      </w:r>
    </w:p>
    <w:p w14:paraId="05FF16C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保险期限：开工日起直至本合同工程签发缺陷责任期终止证书止（即合同工期＋缺陷责任期）。</w:t>
      </w:r>
    </w:p>
    <w:p w14:paraId="7BD8CA9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发包人或承包人应以发包人和承包人的共同名义投保建筑工程一切险及第三者责任险。建筑工程一切险及第三者责任险的保险费由承包人报价时按项目专用合同条款数据表规定的费率计算并列入工程量清单 100 章内。不论实际投保费用是高于或低于按上述办法计算的保费，发包人都不作调整。上述保险费，将由发包人从承包人的应付款中代扣，统一向保险公司支付；或先由承包人支付，在接到保险公司的保险单并经监理人签证后，发包人将按照保险单的费用直接向承包人支付，但不得高于投标文件该项所报总额价。</w:t>
      </w:r>
    </w:p>
    <w:p w14:paraId="68992A1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20.1.2 保险标的出险后，承包人应自行向保险人报案、登记、索赔并报告发包人，并做好资料整理、工程损失计算等。上述工作所产生的费用由承包人承担。</w:t>
      </w:r>
    </w:p>
    <w:p w14:paraId="476654D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20.1.3 因保险事故产生的修复、索赔等责任由承包人承担。若承包人放弃索赔或因自身原因延误索赔，发包人保留索赔的权利，保险索赔所得费用归发包人所有。</w:t>
      </w:r>
    </w:p>
    <w:p w14:paraId="4C594C3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20.2.1 承包人员工伤事故的保险</w:t>
      </w:r>
    </w:p>
    <w:p w14:paraId="1F4C678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本项补充：</w:t>
      </w:r>
    </w:p>
    <w:p w14:paraId="1762CD9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为促进承包人加强安全生产，预防和减少工伤事故，承包人应按《关于做好我省铁路、公路、水运、水利、能源、机场工程建设项目参加工伤保险工作的通知》（粤人社规[2018]15 号）等相关规定参加工伤保险，为其履行合同所雇用的全部人员缴纳工伤保险费，并要求其分包人也进行此项保险。</w:t>
      </w:r>
    </w:p>
    <w:p w14:paraId="7A95B3C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20.4 第三者责任险</w:t>
      </w:r>
    </w:p>
    <w:p w14:paraId="5B00E8A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20.4.2 项补充：</w:t>
      </w:r>
    </w:p>
    <w:p w14:paraId="5239D30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第三者责任险的购买、报险、索赔等，参照第 20.1 款约定执行。</w:t>
      </w:r>
    </w:p>
    <w:p w14:paraId="4628270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三者责任险保险费，将由发包人从承包人的应付款中代扣，统一向保险公司支付；或先由承包人支付，在接到保险公司的保险单并经监理人签证后，发包人将按照保险单的费用直接向承包人支付，但不得高于对应的承包人投标报价。具体在项目专用合同条款数据表中约定。</w:t>
      </w:r>
    </w:p>
    <w:p w14:paraId="01F8E165">
      <w:pPr>
        <w:pStyle w:val="61"/>
        <w:shd w:val="clear" w:fill="FFFFFF" w:themeFill="background1"/>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21.不可抗力</w:t>
      </w:r>
    </w:p>
    <w:p w14:paraId="39D9F46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 不可抗力的确认</w:t>
      </w:r>
    </w:p>
    <w:p w14:paraId="254C72D8">
      <w:pPr>
        <w:pStyle w:val="61"/>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 xml:space="preserve">21.1.1 (6)不可抗力的其他情形： </w:t>
      </w:r>
      <w:r>
        <w:rPr>
          <w:rFonts w:hint="eastAsia" w:ascii="宋体" w:hAnsi="宋体" w:cs="宋体"/>
          <w:color w:val="auto"/>
          <w:sz w:val="24"/>
          <w:highlight w:val="none"/>
          <w:u w:val="single"/>
        </w:rPr>
        <w:t>详见项目专用合同条款数据表</w:t>
      </w:r>
    </w:p>
    <w:p w14:paraId="4B2D931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 不可抗力后果及其处理</w:t>
      </w:r>
    </w:p>
    <w:p w14:paraId="569152F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21.3.1 不可抗力造成损害的责任</w:t>
      </w:r>
    </w:p>
    <w:p w14:paraId="4F5F571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本款补充如下内容：本款中凡是约定由发包人承担损失和赔偿责任的，均按照第20 条的约定，属保险范围内的均由承保人承担。如保险金不足以补偿上述损失（包括免赔额和超过赔偿限额的部分），则按照第 21.3.1 不可抗力造成损害的责任的分摊原则执行。</w:t>
      </w:r>
    </w:p>
    <w:p w14:paraId="2DEEAF77">
      <w:pPr>
        <w:pStyle w:val="61"/>
        <w:shd w:val="clear" w:fill="FFFFFF" w:themeFill="background1"/>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22. 违约</w:t>
      </w:r>
    </w:p>
    <w:p w14:paraId="14A234E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22.1 承包人违约</w:t>
      </w:r>
    </w:p>
    <w:p w14:paraId="31CC548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第 22.1.1(4)目补充为：承包人未能按合同进度计划及时完成合同约定的工作，或未切实履行第 4.1.7 款的约定，导致发生工程阻工、停工，已造成或预期造成工期延误；</w:t>
      </w:r>
    </w:p>
    <w:p w14:paraId="4425CA1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22.1.2 对承包人违约的处理</w:t>
      </w:r>
    </w:p>
    <w:p w14:paraId="2E3CBFB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将本款第(4)目修改如下：</w:t>
      </w:r>
    </w:p>
    <w:p w14:paraId="01F6B6B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 承包人发生第 22.1.1 项约定的违约情况时，无论发包人是否解除合同，发包人均有权按本合同附件的规定向承包人课以违约金，并由发包人将其违约行为上报上级交通运输主管部门，作为不良记录纳入公路建设市场信用信息管理系统。</w:t>
      </w:r>
    </w:p>
    <w:p w14:paraId="5FBDBDA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在本款下增加第(5)～第(7)目如下：</w:t>
      </w:r>
    </w:p>
    <w:p w14:paraId="1DCC934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发包人按合同规定向承包人开出的任何违约金，除合同另有规定外，均从发包人应向承包人支付的工程款中直接扣除。除非合同另有规定，发包人向承包人开出的任何违约金将导致承包人最终的应得结算价款相应地减少（除合同另有约定外）。承包人必须完全接受上述条款。</w:t>
      </w:r>
    </w:p>
    <w:p w14:paraId="791231C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发包人按合同规定向承包人开出的任何违约处罚金的扣除时间，可以在发包人认为合适的任何一个期中支付月份中扣除。发包人扣除承包人违约金时间的延迟或滞后，并不代表处罚不再执行，也不代表对承包人行为的认可或默认。</w:t>
      </w:r>
    </w:p>
    <w:p w14:paraId="74CBDF2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（7）本项目所有承包人的违约金均由业主掌握使用，可部分或全部用于本项目的各项评比和奖励。</w:t>
      </w:r>
    </w:p>
    <w:p w14:paraId="439B7A5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22.2 发包人违约</w:t>
      </w:r>
    </w:p>
    <w:p w14:paraId="1102E93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本款细化为：</w:t>
      </w:r>
    </w:p>
    <w:p w14:paraId="505F9EA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22.2.1 如果发包人无合理的理由去阻挠或拒绝符合合同规定的付款证书颁发所需的批准，则可视为发包人违约。承包人有权终止合同，并在通知发包人和将通知副本提交监理人的 28 天后，合同终止生效。</w:t>
      </w:r>
    </w:p>
    <w:p w14:paraId="0C3531E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22.2.2 如果合同因发包人违约而终止，承包人可要求发包人支付以下费用：</w:t>
      </w:r>
    </w:p>
    <w:p w14:paraId="47C5D77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(a)发包人需向承包人支付合同终止之日前已完成的全部工程费用。</w:t>
      </w:r>
    </w:p>
    <w:p w14:paraId="6A84041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(b)即将交付承包人的，或承包人依法有责任接收的为该工程合理订购的材料、工程设备或货物的费用，发包人一经支付此项费用，该材料、工程设备或货物即成为发包人的财产。</w:t>
      </w:r>
    </w:p>
    <w:p w14:paraId="2886289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(c)已合理开支的确定属于承包人为完成整个工程而合理发生的其他费用，而该费用未在本条款的其他各项下支付。</w:t>
      </w:r>
    </w:p>
    <w:p w14:paraId="315B503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(d)考虑已完工程的付款比例，给予适当人员、设备等的退场费。</w:t>
      </w:r>
    </w:p>
    <w:p w14:paraId="5FDAF9D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22.2.3 发包人除按本款规定支付上述费用给承包人外，亦有权要求承包人偿还按合同条款规定的或未结清的承包人欠发包人的各种款项。</w:t>
      </w:r>
    </w:p>
    <w:p w14:paraId="1CD8467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22.2.4 承包人（包括其分包人）出于追索本合同条款以外的利益，以有违社会规范的行为构成对发包人骚扰的，承包人须承担法律和经济责任。</w:t>
      </w:r>
    </w:p>
    <w:p w14:paraId="77E43C10">
      <w:pPr>
        <w:pStyle w:val="61"/>
        <w:shd w:val="clear" w:fill="FFFFFF" w:themeFill="background1"/>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增加第 25 条</w:t>
      </w:r>
    </w:p>
    <w:p w14:paraId="5EC4D7FF">
      <w:pPr>
        <w:pStyle w:val="61"/>
        <w:shd w:val="clear" w:fill="FFFFFF" w:themeFill="background1"/>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25 本项目需增加的专用合同条款</w:t>
      </w:r>
    </w:p>
    <w:p w14:paraId="068BD5A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25.1 承包人退出机制</w:t>
      </w:r>
    </w:p>
    <w:p w14:paraId="2DEA0BB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发包人对不能满足各阶段工作目标的承包人实行强制退出本项目建设的办法。</w:t>
      </w:r>
    </w:p>
    <w:p w14:paraId="1D3BE68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发包人将视承包人的实际施工能力情况，可按 4.3.8、4.3.9 款将该标段内剩余工程的部分或全部进行特殊分包，强制部分或整体退出。由发包人在本项目选择履约情况好的承包人承接剩余工程或采用招标方式选择承包人。如承包人逾期不退场的， 发包人有权委托第三方清理，所需费用由承包人承担。</w:t>
      </w:r>
    </w:p>
    <w:p w14:paraId="0EFFBA9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25.1.1 部分退出</w:t>
      </w:r>
    </w:p>
    <w:p w14:paraId="6BD005A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（1）人员退出：承包人的主要管理人员和技术骨干如不满足要求的，按 4.6.3 项的规定进行违约处理。</w:t>
      </w:r>
    </w:p>
    <w:p w14:paraId="67CBA88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（2）机械退出：机械设备达不到额定产能的 85 %者退出，并按监理人或发包人的要求及时组织性能良好的同类型的机械进驻施工现场。</w:t>
      </w:r>
    </w:p>
    <w:p w14:paraId="6D312AF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（3）专业队伍退出：在施工过程中累计发生两次生产安全事故或两次较大质量问题者强制退出。</w:t>
      </w:r>
    </w:p>
    <w:p w14:paraId="4E40E98C">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（4）工程进度达不到上述要求，承包人增加人员、设备仍达不到进度要求的，发包人有权对相应分项工程进行强制分割处理。</w:t>
      </w:r>
    </w:p>
    <w:p w14:paraId="4963791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25.1.2 整体退出</w:t>
      </w:r>
    </w:p>
    <w:p w14:paraId="6C04D77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（1）出现转包、非法分包；</w:t>
      </w:r>
    </w:p>
    <w:p w14:paraId="34D370B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（2）出现重大安全责任，造成严重社会影响；</w:t>
      </w:r>
    </w:p>
    <w:p w14:paraId="506190C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（3）出现重大质量事故，严重影响工程质量和进度，造成严重社会影响；</w:t>
      </w:r>
    </w:p>
    <w:p w14:paraId="05818B0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（4）由承包人自身原因导致使上述计划任务无法完成的；</w:t>
      </w:r>
    </w:p>
    <w:p w14:paraId="111E60C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整体退出的施工企业，发包人将建议交通主管部门降低其信用等级。</w:t>
      </w:r>
    </w:p>
    <w:p w14:paraId="7538EE5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25.1.3 退出清算</w:t>
      </w:r>
    </w:p>
    <w:p w14:paraId="3E47AD7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（1）发包人对承包人整体退出本项目工程建设进行公示，并要求承包人对拖欠款项的单位和个人及时清算。</w:t>
      </w:r>
    </w:p>
    <w:p w14:paraId="704D866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（2）发包人扣押履约担保、质量保证金、停止计量支付。</w:t>
      </w:r>
    </w:p>
    <w:p w14:paraId="3D6E3CE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（3）承包人必须向发包人提交已完成工程的齐全的施工资料。</w:t>
      </w:r>
    </w:p>
    <w:p w14:paraId="7BD4774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（4）清算后特殊分包单位的确定原则：</w:t>
      </w:r>
    </w:p>
    <w:p w14:paraId="2BE3B3E1">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由发包人选择本项目实力较强、 质量进度评比排名靠前的承包单位或由发包人通过合法方式选择分包单位；</w:t>
      </w:r>
    </w:p>
    <w:p w14:paraId="2E78850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分包单位选择情况上报上级行政主管部门；</w:t>
      </w:r>
    </w:p>
    <w:p w14:paraId="37DCE88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特殊分包单位应具备特殊分包工程相对应的资质要求。</w:t>
      </w:r>
    </w:p>
    <w:p w14:paraId="6E2C583E">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（5）清算后费用承担：特殊分包范围内的项目，由于上述（4）确定的分包价与承包人合同价产生的价差由承包人承担。</w:t>
      </w:r>
    </w:p>
    <w:p w14:paraId="2DF175D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（6）承包人应无条件接受，指定特殊分包单位无须向承包人交纳管理费。</w:t>
      </w:r>
    </w:p>
    <w:p w14:paraId="160A2FF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但无论如何，承包人应按发包人要求提供已有的临时设施（如便道、电力线路等）供特殊分包人使用，承包人不得为此要求增加任何费用。</w:t>
      </w:r>
    </w:p>
    <w:p w14:paraId="573B0484">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25.2 工程管理要求</w:t>
      </w:r>
    </w:p>
    <w:p w14:paraId="29A82D7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鉴于发包人在项目建设管理过程中将推行交通运输部、广东省关于绿色公路、品质工程等公路工程现代化管理和公路施工标准化管理，为确保对项目生产一线的有效管理，承包人在进场施工时应配备足够的车辆用于项目管理现场，直至本项目建成通车。承包人应针对上述管理要求制定相应的工作方案，相应的人员、车辆应报监理人及发包人审批。</w:t>
      </w:r>
    </w:p>
    <w:p w14:paraId="23F074A3">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25.3 电子文件归档和电子档案管理：</w:t>
      </w:r>
    </w:p>
    <w:p w14:paraId="140E5EAD">
      <w:pPr>
        <w:pStyle w:val="61"/>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工程交工验收后，承包人需根据有关规定提供工程相关的电子档案，含关键工序、重点部位、隐蔽工程等影像资料等。</w:t>
      </w:r>
    </w:p>
    <w:p w14:paraId="7021A71B">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25.4 过程结算</w:t>
      </w:r>
    </w:p>
    <w:p w14:paraId="0C4E48D0">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本合同工程执行过程中，建立过程结算制度，开展过程结算工作评价和考核，提高合同结算工作效率。具体执行《广东省交通运输厅关于印发广东省公路建设项目过程结算工作指导意见的通知》的规定, 并符合以下规定：</w:t>
      </w:r>
    </w:p>
    <w:p w14:paraId="7B949E48">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项目开工前，发包人制订过程结算的目标和计划,按《广东省公路工程造价标准化管理指南》规定及发包人要求建立标准费用项目、合同工程量清单、图纸工程量三者的对应关系,明确过程结算的结算范围、单元划分、工作程序和考核标准等。承包人应配备专业人员、明确责任领导，按计划编制过程结算文件，将结算计划纳入总体施工组织设计内容, 作为开工报告组成部分。</w:t>
      </w:r>
    </w:p>
    <w:p w14:paraId="419B4235">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2.发包人、承包人均应保障承担过程结算工作人员的配置和稳定, 做到过程结算和工程建设同步推进、应结尽结。</w:t>
      </w:r>
    </w:p>
    <w:p w14:paraId="710D95B7">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3.结算单元按合同约定完成并通过质量中间验收，原则上按项目专用合同条款数据表约定的时间完成过程结算文件的编制、审核、签认工作。</w:t>
      </w:r>
    </w:p>
    <w:p w14:paraId="0BB174D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4.未按要求完成过程结算的费用项, 按项目专用合同条款数据表约定内容执行。</w:t>
      </w:r>
    </w:p>
    <w:p w14:paraId="0F6B316F">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5.发包人、承包人签署认可的过程结算文件, 是最终结算文件和竣工决算文件的组成部分,具有法律效力, 最终结算时不需对已确认的过程结算重新办理确认。</w:t>
      </w:r>
    </w:p>
    <w:p w14:paraId="59DF30C6">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25.5 合同结算</w:t>
      </w:r>
    </w:p>
    <w:p w14:paraId="44BFF522">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本合同工程交工验收后，承包人应按《广东省交通运输厅关于印发广东省公路建设项目竣工决算实行备案制管理的通知》的具体要求完成结算工作，发包人可根据项目实际情况制定相应的奖罚措施。</w:t>
      </w:r>
    </w:p>
    <w:p w14:paraId="4991ED5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为了按期完成工程竣工决算审查备案、审计及竣工验收工作，如发包人和承包人对结算确实存在分歧，经双方协商未果情况下，发包人有权进行合同单方结算，承包人须无条件接受。</w:t>
      </w:r>
    </w:p>
    <w:p w14:paraId="11ACDC6D">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25.6 本合同未尽事宜</w:t>
      </w:r>
    </w:p>
    <w:p w14:paraId="5A65A1CA">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未能明确的有关规定，如质量管理、计划管理、计量与支付管理、台帐管理办法、变更管理、材料管理、安全管理、有关评比方案以及奖惩办法等，按发包人在项目建设管理过程中颁发的项目管理手册或另行发布的相关管理办法执行。</w:t>
      </w:r>
    </w:p>
    <w:p w14:paraId="6A063EF9">
      <w:pPr>
        <w:pStyle w:val="61"/>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发包人对项目实施动态管理，根据工程进展情况及项目目标实现情况，通过修正专用项目管理制度，不断建设完善项目管理责任体系，承包人须积极配合并无条件的接受。</w:t>
      </w:r>
    </w:p>
    <w:p w14:paraId="3D4D01D4">
      <w:pPr>
        <w:pStyle w:val="61"/>
        <w:shd w:val="clear" w:fill="FFFFFF" w:themeFill="background1"/>
        <w:spacing w:line="360" w:lineRule="auto"/>
        <w:ind w:firstLine="480" w:firstLineChars="200"/>
        <w:rPr>
          <w:rFonts w:ascii="宋体" w:hAnsi="宋体" w:cs="宋体"/>
          <w:color w:val="auto"/>
          <w:sz w:val="24"/>
          <w:highlight w:val="none"/>
        </w:rPr>
      </w:pPr>
    </w:p>
    <w:p w14:paraId="7A765584">
      <w:pPr>
        <w:pStyle w:val="61"/>
        <w:shd w:val="clear" w:fill="FFFFFF" w:themeFill="background1"/>
        <w:spacing w:line="360" w:lineRule="auto"/>
        <w:ind w:firstLine="480" w:firstLineChars="200"/>
        <w:rPr>
          <w:rFonts w:ascii="宋体" w:hAnsi="宋体" w:cs="宋体"/>
          <w:color w:val="auto"/>
          <w:sz w:val="24"/>
          <w:highlight w:val="none"/>
        </w:rPr>
      </w:pPr>
    </w:p>
    <w:p w14:paraId="3F1169CB">
      <w:pPr>
        <w:pStyle w:val="61"/>
        <w:shd w:val="clear" w:fill="FFFFFF" w:themeFill="background1"/>
        <w:spacing w:line="360" w:lineRule="auto"/>
        <w:ind w:firstLine="480" w:firstLineChars="200"/>
        <w:rPr>
          <w:rFonts w:ascii="宋体" w:hAnsi="宋体" w:cs="宋体"/>
          <w:color w:val="auto"/>
          <w:sz w:val="24"/>
          <w:highlight w:val="none"/>
        </w:rPr>
      </w:pPr>
    </w:p>
    <w:p w14:paraId="26844B94">
      <w:pPr>
        <w:pStyle w:val="61"/>
        <w:shd w:val="clear" w:fill="FFFFFF" w:themeFill="background1"/>
        <w:spacing w:line="360" w:lineRule="auto"/>
        <w:ind w:firstLine="480" w:firstLineChars="200"/>
        <w:rPr>
          <w:rFonts w:ascii="宋体" w:hAnsi="宋体" w:cs="宋体"/>
          <w:color w:val="auto"/>
          <w:sz w:val="24"/>
          <w:highlight w:val="none"/>
        </w:rPr>
      </w:pPr>
    </w:p>
    <w:p w14:paraId="4BE34221">
      <w:pPr>
        <w:pStyle w:val="61"/>
        <w:shd w:val="clear" w:fill="FFFFFF" w:themeFill="background1"/>
        <w:spacing w:line="360" w:lineRule="auto"/>
        <w:ind w:firstLine="480" w:firstLineChars="200"/>
        <w:rPr>
          <w:rFonts w:ascii="宋体" w:hAnsi="宋体" w:cs="宋体"/>
          <w:color w:val="auto"/>
          <w:sz w:val="24"/>
          <w:highlight w:val="none"/>
        </w:rPr>
      </w:pPr>
    </w:p>
    <w:p w14:paraId="05E875C4">
      <w:pPr>
        <w:pStyle w:val="61"/>
        <w:shd w:val="clear" w:fill="FFFFFF" w:themeFill="background1"/>
        <w:spacing w:line="360" w:lineRule="auto"/>
        <w:ind w:firstLine="480" w:firstLineChars="200"/>
        <w:rPr>
          <w:rFonts w:ascii="宋体" w:hAnsi="宋体" w:cs="宋体"/>
          <w:color w:val="auto"/>
          <w:sz w:val="24"/>
          <w:highlight w:val="none"/>
        </w:rPr>
      </w:pPr>
    </w:p>
    <w:p w14:paraId="70508C63">
      <w:pPr>
        <w:pStyle w:val="61"/>
        <w:shd w:val="clear" w:fill="FFFFFF" w:themeFill="background1"/>
        <w:spacing w:line="360" w:lineRule="auto"/>
        <w:ind w:firstLine="480" w:firstLineChars="200"/>
        <w:rPr>
          <w:rFonts w:ascii="宋体" w:hAnsi="宋体" w:cs="宋体"/>
          <w:color w:val="auto"/>
          <w:sz w:val="24"/>
          <w:szCs w:val="21"/>
          <w:highlight w:val="none"/>
        </w:rPr>
      </w:pPr>
      <w:r>
        <w:rPr>
          <w:rFonts w:hint="eastAsia" w:ascii="宋体" w:hAnsi="宋体" w:cs="宋体"/>
          <w:color w:val="auto"/>
          <w:sz w:val="24"/>
          <w:szCs w:val="21"/>
          <w:highlight w:val="none"/>
        </w:rPr>
        <w:br w:type="page"/>
      </w:r>
    </w:p>
    <w:bookmarkEnd w:id="1685"/>
    <w:bookmarkEnd w:id="1686"/>
    <w:p w14:paraId="6F19774A">
      <w:pPr>
        <w:pStyle w:val="4"/>
        <w:shd w:val="clear" w:fill="FFFFFF" w:themeFill="background1"/>
        <w:spacing w:after="120" w:line="240" w:lineRule="auto"/>
        <w:jc w:val="center"/>
        <w:rPr>
          <w:rFonts w:ascii="宋体" w:hAnsi="宋体"/>
          <w:color w:val="auto"/>
          <w:highlight w:val="none"/>
        </w:rPr>
      </w:pPr>
      <w:bookmarkStart w:id="1687" w:name="_Toc43476005"/>
      <w:bookmarkEnd w:id="1687"/>
      <w:r>
        <w:rPr>
          <w:rFonts w:ascii="宋体" w:hAnsi="宋体"/>
          <w:color w:val="auto"/>
          <w:highlight w:val="none"/>
        </w:rPr>
        <w:t>第三节合同附件格式</w:t>
      </w:r>
    </w:p>
    <w:p w14:paraId="51B515C9">
      <w:pPr>
        <w:shd w:val="clear" w:fill="FFFFFF" w:themeFill="background1"/>
        <w:rPr>
          <w:rFonts w:ascii="宋体" w:hAnsi="宋体"/>
          <w:color w:val="auto"/>
          <w:sz w:val="24"/>
          <w:highlight w:val="none"/>
        </w:rPr>
      </w:pPr>
    </w:p>
    <w:p w14:paraId="27F85C7B">
      <w:pPr>
        <w:pStyle w:val="78"/>
        <w:shd w:val="clear" w:fill="FFFFFF" w:themeFill="background1"/>
        <w:spacing w:line="360" w:lineRule="auto"/>
        <w:rPr>
          <w:rFonts w:ascii="宋体" w:hAnsi="宋体"/>
          <w:color w:val="auto"/>
          <w:sz w:val="24"/>
          <w:szCs w:val="24"/>
          <w:highlight w:val="none"/>
        </w:rPr>
      </w:pPr>
      <w:bookmarkStart w:id="1688" w:name="_Toc4937"/>
      <w:bookmarkEnd w:id="1688"/>
      <w:bookmarkStart w:id="1689" w:name="_Toc43476006"/>
      <w:bookmarkEnd w:id="1689"/>
      <w:r>
        <w:rPr>
          <w:rFonts w:ascii="宋体" w:hAnsi="宋体"/>
          <w:color w:val="auto"/>
          <w:sz w:val="24"/>
          <w:szCs w:val="24"/>
          <w:highlight w:val="none"/>
        </w:rPr>
        <w:t>附件一</w:t>
      </w:r>
      <w:r>
        <w:rPr>
          <w:rFonts w:hint="eastAsia" w:ascii="宋体" w:hAnsi="宋体"/>
          <w:color w:val="auto"/>
          <w:sz w:val="24"/>
          <w:szCs w:val="24"/>
          <w:highlight w:val="none"/>
        </w:rPr>
        <w:t xml:space="preserve">  </w:t>
      </w:r>
      <w:r>
        <w:rPr>
          <w:rFonts w:ascii="宋体" w:hAnsi="宋体"/>
          <w:color w:val="auto"/>
          <w:sz w:val="24"/>
          <w:szCs w:val="24"/>
          <w:highlight w:val="none"/>
        </w:rPr>
        <w:t>合同协议书</w:t>
      </w:r>
    </w:p>
    <w:p w14:paraId="128B5CF7">
      <w:pPr>
        <w:shd w:val="clear" w:fill="FFFFFF" w:themeFill="background1"/>
        <w:rPr>
          <w:rFonts w:ascii="宋体" w:hAnsi="宋体"/>
          <w:color w:val="auto"/>
          <w:sz w:val="24"/>
          <w:highlight w:val="none"/>
        </w:rPr>
      </w:pPr>
    </w:p>
    <w:p w14:paraId="12142088">
      <w:pPr>
        <w:shd w:val="clear" w:fill="FFFFFF" w:themeFill="background1"/>
        <w:jc w:val="center"/>
        <w:rPr>
          <w:rFonts w:ascii="宋体" w:hAnsi="宋体"/>
          <w:b/>
          <w:color w:val="auto"/>
          <w:sz w:val="32"/>
          <w:szCs w:val="32"/>
          <w:highlight w:val="none"/>
        </w:rPr>
      </w:pPr>
      <w:r>
        <w:rPr>
          <w:rFonts w:hint="eastAsia" w:ascii="宋体" w:hAnsi="宋体"/>
          <w:b/>
          <w:color w:val="auto"/>
          <w:sz w:val="32"/>
          <w:szCs w:val="32"/>
          <w:highlight w:val="none"/>
        </w:rPr>
        <w:t>合同协议书</w:t>
      </w:r>
    </w:p>
    <w:p w14:paraId="056C5CE5">
      <w:pPr>
        <w:shd w:val="clear" w:fill="FFFFFF" w:themeFill="background1"/>
        <w:rPr>
          <w:rFonts w:ascii="宋体" w:hAnsi="宋体"/>
          <w:color w:val="auto"/>
          <w:sz w:val="24"/>
          <w:highlight w:val="none"/>
        </w:rPr>
      </w:pPr>
    </w:p>
    <w:p w14:paraId="7A1A2B44">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u w:val="single"/>
        </w:rPr>
        <w:t>（发包人名称，以下简称“发包人”）</w:t>
      </w:r>
      <w:r>
        <w:rPr>
          <w:rFonts w:ascii="宋体" w:hAnsi="宋体"/>
          <w:color w:val="auto"/>
          <w:sz w:val="24"/>
          <w:highlight w:val="none"/>
        </w:rPr>
        <w:t>为实施</w:t>
      </w:r>
      <w:r>
        <w:rPr>
          <w:rFonts w:ascii="宋体" w:hAnsi="宋体"/>
          <w:color w:val="auto"/>
          <w:sz w:val="24"/>
          <w:highlight w:val="none"/>
          <w:u w:val="single"/>
        </w:rPr>
        <w:t>（项目名称）</w:t>
      </w:r>
      <w:r>
        <w:rPr>
          <w:rFonts w:ascii="宋体" w:hAnsi="宋体"/>
          <w:color w:val="auto"/>
          <w:sz w:val="24"/>
          <w:highlight w:val="none"/>
        </w:rPr>
        <w:t>，已接受</w:t>
      </w:r>
      <w:r>
        <w:rPr>
          <w:rFonts w:ascii="宋体" w:hAnsi="宋体"/>
          <w:color w:val="auto"/>
          <w:sz w:val="24"/>
          <w:highlight w:val="none"/>
          <w:u w:val="single"/>
        </w:rPr>
        <w:t>（承包人名称，以下简称“承包人”）</w:t>
      </w:r>
      <w:r>
        <w:rPr>
          <w:rFonts w:ascii="宋体" w:hAnsi="宋体"/>
          <w:color w:val="auto"/>
          <w:sz w:val="24"/>
          <w:highlight w:val="none"/>
        </w:rPr>
        <w:t>对该项目标段施工的投标。发包人和承包人共同达成如下协议。</w:t>
      </w:r>
    </w:p>
    <w:p w14:paraId="58A54CC8">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1.第标段由K+</w:t>
      </w:r>
      <w:r>
        <w:rPr>
          <w:rFonts w:hint="eastAsia" w:ascii="宋体" w:hAnsi="宋体"/>
          <w:color w:val="auto"/>
          <w:sz w:val="24"/>
          <w:highlight w:val="none"/>
          <w:u w:val="single"/>
        </w:rPr>
        <w:t xml:space="preserve">   </w:t>
      </w:r>
      <w:r>
        <w:rPr>
          <w:rFonts w:hint="eastAsia" w:ascii="宋体" w:hAnsi="宋体"/>
          <w:color w:val="auto"/>
          <w:sz w:val="24"/>
          <w:highlight w:val="none"/>
        </w:rPr>
        <w:t>至K+</w:t>
      </w:r>
      <w:r>
        <w:rPr>
          <w:rFonts w:hint="eastAsia" w:ascii="宋体" w:hAnsi="宋体"/>
          <w:color w:val="auto"/>
          <w:sz w:val="24"/>
          <w:highlight w:val="none"/>
          <w:u w:val="single"/>
        </w:rPr>
        <w:t xml:space="preserve">   </w:t>
      </w:r>
      <w:r>
        <w:rPr>
          <w:rFonts w:hint="eastAsia" w:ascii="宋体" w:hAnsi="宋体"/>
          <w:color w:val="auto"/>
          <w:sz w:val="24"/>
          <w:highlight w:val="none"/>
        </w:rPr>
        <w:t>，长约</w:t>
      </w:r>
      <w:r>
        <w:rPr>
          <w:rFonts w:hint="eastAsia" w:ascii="宋体" w:hAnsi="宋体"/>
          <w:color w:val="auto"/>
          <w:sz w:val="24"/>
          <w:highlight w:val="none"/>
          <w:u w:val="single"/>
        </w:rPr>
        <w:t xml:space="preserve">   </w:t>
      </w:r>
      <w:r>
        <w:rPr>
          <w:rFonts w:hint="eastAsia" w:ascii="宋体" w:hAnsi="宋体"/>
          <w:color w:val="auto"/>
          <w:sz w:val="24"/>
          <w:highlight w:val="none"/>
        </w:rPr>
        <w:t>km，公路等级为</w:t>
      </w:r>
      <w:r>
        <w:rPr>
          <w:rFonts w:hint="eastAsia" w:ascii="宋体" w:hAnsi="宋体"/>
          <w:color w:val="auto"/>
          <w:sz w:val="24"/>
          <w:highlight w:val="none"/>
          <w:u w:val="single"/>
        </w:rPr>
        <w:t xml:space="preserve">   </w:t>
      </w:r>
      <w:r>
        <w:rPr>
          <w:rFonts w:hint="eastAsia" w:ascii="宋体" w:hAnsi="宋体"/>
          <w:color w:val="auto"/>
          <w:sz w:val="24"/>
          <w:highlight w:val="none"/>
        </w:rPr>
        <w:t>，设计时速为</w:t>
      </w:r>
      <w:r>
        <w:rPr>
          <w:rFonts w:hint="eastAsia" w:ascii="宋体" w:hAnsi="宋体"/>
          <w:color w:val="auto"/>
          <w:sz w:val="24"/>
          <w:highlight w:val="none"/>
          <w:u w:val="single"/>
        </w:rPr>
        <w:t xml:space="preserve">   </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rPr>
        <w:t>路面，有立交</w:t>
      </w:r>
      <w:r>
        <w:rPr>
          <w:rFonts w:hint="eastAsia" w:ascii="宋体" w:hAnsi="宋体"/>
          <w:color w:val="auto"/>
          <w:sz w:val="24"/>
          <w:highlight w:val="none"/>
          <w:u w:val="single"/>
        </w:rPr>
        <w:t xml:space="preserve">   </w:t>
      </w:r>
      <w:r>
        <w:rPr>
          <w:rFonts w:hint="eastAsia" w:ascii="宋体" w:hAnsi="宋体"/>
          <w:color w:val="auto"/>
          <w:sz w:val="24"/>
          <w:highlight w:val="none"/>
        </w:rPr>
        <w:t>处；特大桥</w:t>
      </w:r>
      <w:r>
        <w:rPr>
          <w:rFonts w:hint="eastAsia" w:ascii="宋体" w:hAnsi="宋体"/>
          <w:color w:val="auto"/>
          <w:sz w:val="24"/>
          <w:highlight w:val="none"/>
          <w:u w:val="single"/>
        </w:rPr>
        <w:t xml:space="preserve">   </w:t>
      </w:r>
      <w:r>
        <w:rPr>
          <w:rFonts w:hint="eastAsia" w:ascii="宋体" w:hAnsi="宋体"/>
          <w:color w:val="auto"/>
          <w:sz w:val="24"/>
          <w:highlight w:val="none"/>
        </w:rPr>
        <w:t>座，计长</w:t>
      </w:r>
      <w:r>
        <w:rPr>
          <w:rFonts w:hint="eastAsia" w:ascii="宋体" w:hAnsi="宋体"/>
          <w:color w:val="auto"/>
          <w:sz w:val="24"/>
          <w:highlight w:val="none"/>
          <w:u w:val="single"/>
        </w:rPr>
        <w:t xml:space="preserve">   </w:t>
      </w:r>
      <w:r>
        <w:rPr>
          <w:rFonts w:hint="eastAsia" w:ascii="宋体" w:hAnsi="宋体"/>
          <w:color w:val="auto"/>
          <w:sz w:val="24"/>
          <w:highlight w:val="none"/>
        </w:rPr>
        <w:t>m；大中桥</w:t>
      </w:r>
      <w:r>
        <w:rPr>
          <w:rFonts w:hint="eastAsia" w:ascii="宋体" w:hAnsi="宋体"/>
          <w:color w:val="auto"/>
          <w:sz w:val="24"/>
          <w:highlight w:val="none"/>
          <w:u w:val="single"/>
        </w:rPr>
        <w:t xml:space="preserve">   </w:t>
      </w:r>
      <w:r>
        <w:rPr>
          <w:rFonts w:hint="eastAsia" w:ascii="宋体" w:hAnsi="宋体"/>
          <w:color w:val="auto"/>
          <w:sz w:val="24"/>
          <w:highlight w:val="none"/>
        </w:rPr>
        <w:t>座，计长</w:t>
      </w:r>
      <w:r>
        <w:rPr>
          <w:rFonts w:hint="eastAsia" w:ascii="宋体" w:hAnsi="宋体"/>
          <w:color w:val="auto"/>
          <w:sz w:val="24"/>
          <w:highlight w:val="none"/>
          <w:u w:val="single"/>
        </w:rPr>
        <w:t xml:space="preserve">   </w:t>
      </w:r>
      <w:r>
        <w:rPr>
          <w:rFonts w:hint="eastAsia" w:ascii="宋体" w:hAnsi="宋体"/>
          <w:color w:val="auto"/>
          <w:sz w:val="24"/>
          <w:highlight w:val="none"/>
        </w:rPr>
        <w:t>m；隧道</w:t>
      </w:r>
      <w:r>
        <w:rPr>
          <w:rFonts w:hint="eastAsia" w:ascii="宋体" w:hAnsi="宋体"/>
          <w:color w:val="auto"/>
          <w:sz w:val="24"/>
          <w:highlight w:val="none"/>
          <w:u w:val="single"/>
        </w:rPr>
        <w:t xml:space="preserve">   </w:t>
      </w:r>
      <w:r>
        <w:rPr>
          <w:rFonts w:hint="eastAsia" w:ascii="宋体" w:hAnsi="宋体"/>
          <w:color w:val="auto"/>
          <w:sz w:val="24"/>
          <w:highlight w:val="none"/>
        </w:rPr>
        <w:t>座，计长</w:t>
      </w:r>
      <w:r>
        <w:rPr>
          <w:rFonts w:hint="eastAsia" w:ascii="宋体" w:hAnsi="宋体"/>
          <w:color w:val="auto"/>
          <w:sz w:val="24"/>
          <w:highlight w:val="none"/>
          <w:u w:val="single"/>
        </w:rPr>
        <w:t xml:space="preserve">   </w:t>
      </w:r>
      <w:r>
        <w:rPr>
          <w:rFonts w:hint="eastAsia" w:ascii="宋体" w:hAnsi="宋体"/>
          <w:color w:val="auto"/>
          <w:sz w:val="24"/>
          <w:highlight w:val="none"/>
        </w:rPr>
        <w:t>m以及其他构造物工程等。</w:t>
      </w:r>
    </w:p>
    <w:p w14:paraId="78DC2EC9">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下列文件应视为构成合同文件的组成部分</w:t>
      </w:r>
      <w:r>
        <w:rPr>
          <w:rFonts w:ascii="宋体" w:hAnsi="宋体"/>
          <w:color w:val="auto"/>
          <w:sz w:val="24"/>
          <w:highlight w:val="none"/>
        </w:rPr>
        <w:t>：</w:t>
      </w:r>
    </w:p>
    <w:p w14:paraId="09A0560B">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（1）本协议书及各种合同附件（含评标期间和合同谈判过程中的澄清文件和补充资料）；</w:t>
      </w:r>
    </w:p>
    <w:p w14:paraId="2D74069D">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（2）中标通知书；</w:t>
      </w:r>
    </w:p>
    <w:p w14:paraId="6DBBBF8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（3）投标函及投标函附录；</w:t>
      </w:r>
    </w:p>
    <w:p w14:paraId="47ED412F">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（4）项目专用合同条款；</w:t>
      </w:r>
    </w:p>
    <w:p w14:paraId="298E0FEC">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（5）公路工程专用合同条款；</w:t>
      </w:r>
    </w:p>
    <w:p w14:paraId="2F98D0AD">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（6）通用合同条款；</w:t>
      </w:r>
    </w:p>
    <w:p w14:paraId="1033630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（7）工程量清单计量规则；</w:t>
      </w:r>
    </w:p>
    <w:p w14:paraId="005D956F">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（8）技术规范；</w:t>
      </w:r>
    </w:p>
    <w:p w14:paraId="3937ACB7">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（9）图纸；</w:t>
      </w:r>
    </w:p>
    <w:p w14:paraId="6EA35E2C">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（10）已标价工程量清单；</w:t>
      </w:r>
    </w:p>
    <w:p w14:paraId="3110F53F">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（11）承包人有关人员、设备投入的承诺及投标文件中的施工组织设计；</w:t>
      </w:r>
    </w:p>
    <w:p w14:paraId="36A6B0C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（12）其他合同文件。</w:t>
      </w:r>
    </w:p>
    <w:p w14:paraId="588E79BF">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上述</w:t>
      </w:r>
      <w:r>
        <w:rPr>
          <w:rFonts w:hint="eastAsia" w:ascii="宋体" w:hAnsi="宋体"/>
          <w:color w:val="auto"/>
          <w:sz w:val="24"/>
          <w:highlight w:val="none"/>
        </w:rPr>
        <w:t>合同</w:t>
      </w:r>
      <w:r>
        <w:rPr>
          <w:rFonts w:ascii="宋体" w:hAnsi="宋体"/>
          <w:color w:val="auto"/>
          <w:sz w:val="24"/>
          <w:highlight w:val="none"/>
        </w:rPr>
        <w:t>文件互相补充和解释</w:t>
      </w:r>
      <w:r>
        <w:rPr>
          <w:rFonts w:hint="eastAsia" w:ascii="宋体" w:hAnsi="宋体"/>
          <w:color w:val="auto"/>
          <w:sz w:val="24"/>
          <w:highlight w:val="none"/>
        </w:rPr>
        <w:t>。</w:t>
      </w:r>
      <w:r>
        <w:rPr>
          <w:rFonts w:ascii="宋体" w:hAnsi="宋体"/>
          <w:color w:val="auto"/>
          <w:sz w:val="24"/>
          <w:highlight w:val="none"/>
        </w:rPr>
        <w:t>如有</w:t>
      </w:r>
      <w:r>
        <w:rPr>
          <w:rFonts w:hint="eastAsia" w:ascii="宋体" w:hAnsi="宋体"/>
          <w:color w:val="auto"/>
          <w:sz w:val="24"/>
          <w:highlight w:val="none"/>
        </w:rPr>
        <w:t>合同文件之间存在矛盾</w:t>
      </w:r>
      <w:r>
        <w:rPr>
          <w:rFonts w:ascii="宋体" w:hAnsi="宋体"/>
          <w:color w:val="auto"/>
          <w:sz w:val="24"/>
          <w:highlight w:val="none"/>
        </w:rPr>
        <w:t>或不一致之处，以</w:t>
      </w:r>
      <w:r>
        <w:rPr>
          <w:rFonts w:hint="eastAsia" w:ascii="宋体" w:hAnsi="宋体"/>
          <w:color w:val="auto"/>
          <w:sz w:val="24"/>
          <w:highlight w:val="none"/>
        </w:rPr>
        <w:t>上述文件的排列顺序</w:t>
      </w:r>
      <w:r>
        <w:rPr>
          <w:rFonts w:ascii="宋体" w:hAnsi="宋体"/>
          <w:color w:val="auto"/>
          <w:sz w:val="24"/>
          <w:highlight w:val="none"/>
        </w:rPr>
        <w:t>在先者为准。</w:t>
      </w:r>
    </w:p>
    <w:p w14:paraId="3EBDEE5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 xml:space="preserve">. </w:t>
      </w:r>
      <w:r>
        <w:rPr>
          <w:rFonts w:hint="eastAsia" w:ascii="宋体" w:hAnsi="宋体"/>
          <w:color w:val="auto"/>
          <w:sz w:val="24"/>
          <w:highlight w:val="none"/>
        </w:rPr>
        <w:t>根据工程量清单所列的预计数量和单价或总额价计算的签约</w:t>
      </w:r>
      <w:r>
        <w:rPr>
          <w:rFonts w:ascii="宋体" w:hAnsi="宋体"/>
          <w:color w:val="auto"/>
          <w:sz w:val="24"/>
          <w:highlight w:val="none"/>
        </w:rPr>
        <w:t>合同价：</w:t>
      </w:r>
      <w:r>
        <w:rPr>
          <w:rFonts w:ascii="宋体" w:hAnsi="宋体"/>
          <w:color w:val="auto"/>
          <w:sz w:val="24"/>
          <w:highlight w:val="none"/>
          <w:u w:val="single"/>
        </w:rPr>
        <w:t>人民币（大写）</w:t>
      </w:r>
      <w:r>
        <w:rPr>
          <w:rFonts w:hint="eastAsia" w:ascii="宋体" w:hAnsi="宋体"/>
          <w:color w:val="auto"/>
          <w:sz w:val="24"/>
          <w:highlight w:val="none"/>
          <w:u w:val="single"/>
        </w:rPr>
        <w:t xml:space="preserve">         .</w:t>
      </w:r>
      <w:r>
        <w:rPr>
          <w:rFonts w:ascii="宋体" w:hAnsi="宋体"/>
          <w:color w:val="auto"/>
          <w:sz w:val="24"/>
          <w:highlight w:val="none"/>
          <w:u w:val="single"/>
        </w:rPr>
        <w:t>（¥</w:t>
      </w:r>
      <w:r>
        <w:rPr>
          <w:rFonts w:hint="eastAsia" w:ascii="宋体" w:hAnsi="宋体"/>
          <w:color w:val="auto"/>
          <w:sz w:val="24"/>
          <w:highlight w:val="none"/>
          <w:u w:val="single"/>
        </w:rPr>
        <w:t xml:space="preserve">      </w:t>
      </w:r>
      <w:r>
        <w:rPr>
          <w:rFonts w:ascii="宋体" w:hAnsi="宋体"/>
          <w:color w:val="auto"/>
          <w:sz w:val="24"/>
          <w:highlight w:val="none"/>
          <w:u w:val="single"/>
        </w:rPr>
        <w:t>元）</w:t>
      </w:r>
      <w:r>
        <w:rPr>
          <w:rFonts w:ascii="宋体" w:hAnsi="宋体"/>
          <w:color w:val="auto"/>
          <w:sz w:val="24"/>
          <w:highlight w:val="none"/>
        </w:rPr>
        <w:t>。</w:t>
      </w:r>
    </w:p>
    <w:p w14:paraId="41006EC9">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 承包人项目经理：</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承包人项目总工：</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2CF46BC9">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 工程质量符合标准</w:t>
      </w:r>
      <w:r>
        <w:rPr>
          <w:rFonts w:hint="eastAsia" w:ascii="宋体" w:hAnsi="宋体"/>
          <w:color w:val="auto"/>
          <w:sz w:val="24"/>
          <w:highlight w:val="none"/>
          <w:u w:val="single"/>
        </w:rPr>
        <w:t xml:space="preserve">       </w:t>
      </w:r>
      <w:r>
        <w:rPr>
          <w:rFonts w:ascii="宋体" w:hAnsi="宋体"/>
          <w:color w:val="auto"/>
          <w:sz w:val="24"/>
          <w:highlight w:val="none"/>
        </w:rPr>
        <w:t>。</w:t>
      </w:r>
      <w:r>
        <w:rPr>
          <w:rFonts w:hint="eastAsia" w:ascii="宋体" w:hAnsi="宋体"/>
          <w:color w:val="auto"/>
          <w:sz w:val="24"/>
          <w:highlight w:val="none"/>
        </w:rPr>
        <w:t>工程安全目标：</w:t>
      </w:r>
      <w:r>
        <w:rPr>
          <w:rFonts w:hint="eastAsia" w:ascii="宋体" w:hAnsi="宋体"/>
          <w:color w:val="auto"/>
          <w:sz w:val="24"/>
          <w:highlight w:val="none"/>
          <w:u w:val="single"/>
        </w:rPr>
        <w:t xml:space="preserve">       </w:t>
      </w:r>
      <w:r>
        <w:rPr>
          <w:rFonts w:hint="eastAsia" w:ascii="宋体" w:hAnsi="宋体"/>
          <w:color w:val="auto"/>
          <w:sz w:val="24"/>
          <w:highlight w:val="none"/>
        </w:rPr>
        <w:t>。</w:t>
      </w:r>
    </w:p>
    <w:p w14:paraId="12235B98">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 承包人承诺按合同约定承担工程的实施、完成及缺陷修复。</w:t>
      </w:r>
    </w:p>
    <w:p w14:paraId="223A4046">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7</w:t>
      </w:r>
      <w:r>
        <w:rPr>
          <w:rFonts w:ascii="宋体" w:hAnsi="宋体"/>
          <w:color w:val="auto"/>
          <w:sz w:val="24"/>
          <w:highlight w:val="none"/>
        </w:rPr>
        <w:t>. 发包人承诺按合同约定的条件、时间和方式向承包人支付合同价款。</w:t>
      </w:r>
    </w:p>
    <w:p w14:paraId="548D2BE4">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8</w:t>
      </w:r>
      <w:r>
        <w:rPr>
          <w:rFonts w:ascii="宋体" w:hAnsi="宋体"/>
          <w:color w:val="auto"/>
          <w:sz w:val="24"/>
          <w:highlight w:val="none"/>
        </w:rPr>
        <w:t>. 承包人应按照监理人指示开工，工期为</w:t>
      </w:r>
      <w:r>
        <w:rPr>
          <w:rFonts w:hint="eastAsia" w:ascii="宋体" w:hAnsi="宋体"/>
          <w:color w:val="auto"/>
          <w:sz w:val="24"/>
          <w:highlight w:val="none"/>
          <w:u w:val="single"/>
        </w:rPr>
        <w:t xml:space="preserve">       </w:t>
      </w:r>
      <w:r>
        <w:rPr>
          <w:rFonts w:ascii="宋体" w:hAnsi="宋体"/>
          <w:color w:val="auto"/>
          <w:sz w:val="24"/>
          <w:highlight w:val="none"/>
        </w:rPr>
        <w:t>日历天。</w:t>
      </w:r>
    </w:p>
    <w:p w14:paraId="70C8ED36">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9. 本协议书在承包人提供履约保证金后，由双方法定代表人或其委托代理人签署并加盖单位章后生效。全部工程完工后经交工验收合格、缺陷责任期满签发缺陷责任终止证书后失效。</w:t>
      </w:r>
    </w:p>
    <w:p w14:paraId="3C9DBA4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10.本协议书正本二份、副本份，合同双方各执正本一份，副本份，当正本与副本的内容不一致时，以正本为准。</w:t>
      </w:r>
    </w:p>
    <w:p w14:paraId="16C9C6E7">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1</w:t>
      </w:r>
      <w:r>
        <w:rPr>
          <w:rFonts w:ascii="宋体" w:hAnsi="宋体"/>
          <w:color w:val="auto"/>
          <w:sz w:val="24"/>
          <w:highlight w:val="none"/>
        </w:rPr>
        <w:t>.合同未尽事宜，双方另行签订补充协议。补充协议是合同的组成部分。</w:t>
      </w:r>
    </w:p>
    <w:p w14:paraId="6C9FD439">
      <w:pPr>
        <w:shd w:val="clear" w:fill="FFFFFF" w:themeFill="background1"/>
        <w:spacing w:line="400" w:lineRule="exact"/>
        <w:rPr>
          <w:rFonts w:ascii="宋体" w:hAnsi="宋体"/>
          <w:color w:val="auto"/>
          <w:sz w:val="24"/>
          <w:highlight w:val="none"/>
        </w:rPr>
      </w:pPr>
    </w:p>
    <w:p w14:paraId="25000F16">
      <w:pPr>
        <w:shd w:val="clear" w:fill="FFFFFF" w:themeFill="background1"/>
        <w:spacing w:line="400" w:lineRule="exact"/>
        <w:rPr>
          <w:rFonts w:ascii="宋体" w:hAnsi="宋体"/>
          <w:color w:val="auto"/>
          <w:sz w:val="24"/>
          <w:highlight w:val="none"/>
        </w:rPr>
      </w:pPr>
    </w:p>
    <w:p w14:paraId="6F7B2FEA">
      <w:pPr>
        <w:shd w:val="clear" w:fill="FFFFFF" w:themeFill="background1"/>
        <w:spacing w:line="400" w:lineRule="exact"/>
        <w:rPr>
          <w:rFonts w:ascii="宋体" w:hAnsi="宋体"/>
          <w:color w:val="auto"/>
          <w:sz w:val="24"/>
          <w:highlight w:val="none"/>
        </w:rPr>
      </w:pPr>
      <w:r>
        <w:rPr>
          <w:rFonts w:ascii="宋体" w:hAnsi="宋体"/>
          <w:color w:val="auto"/>
          <w:sz w:val="24"/>
          <w:highlight w:val="none"/>
        </w:rPr>
        <w:t>发包人：（盖单位章）</w:t>
      </w:r>
      <w:r>
        <w:rPr>
          <w:rFonts w:hint="eastAsia" w:ascii="宋体" w:hAnsi="宋体"/>
          <w:color w:val="auto"/>
          <w:sz w:val="24"/>
          <w:highlight w:val="none"/>
        </w:rPr>
        <w:t xml:space="preserve">                           </w:t>
      </w:r>
      <w:r>
        <w:rPr>
          <w:rFonts w:ascii="宋体" w:hAnsi="宋体"/>
          <w:color w:val="auto"/>
          <w:sz w:val="24"/>
          <w:highlight w:val="none"/>
        </w:rPr>
        <w:t xml:space="preserve">承包人：（盖单位章） </w:t>
      </w:r>
    </w:p>
    <w:p w14:paraId="01AA7A11">
      <w:pPr>
        <w:shd w:val="clear" w:fill="FFFFFF" w:themeFill="background1"/>
        <w:spacing w:line="400" w:lineRule="exact"/>
        <w:rPr>
          <w:rFonts w:ascii="宋体" w:hAnsi="宋体"/>
          <w:color w:val="auto"/>
          <w:sz w:val="24"/>
          <w:highlight w:val="none"/>
        </w:rPr>
      </w:pPr>
      <w:r>
        <w:rPr>
          <w:rFonts w:ascii="宋体" w:hAnsi="宋体"/>
          <w:color w:val="auto"/>
          <w:sz w:val="24"/>
          <w:highlight w:val="none"/>
        </w:rPr>
        <w:t>法定代表人或其委托代理人：</w:t>
      </w:r>
      <w:r>
        <w:rPr>
          <w:rFonts w:hint="eastAsia" w:ascii="宋体" w:hAnsi="宋体"/>
          <w:color w:val="auto"/>
          <w:sz w:val="24"/>
          <w:highlight w:val="none"/>
        </w:rPr>
        <w:t>（</w:t>
      </w:r>
      <w:r>
        <w:rPr>
          <w:rFonts w:ascii="宋体" w:hAnsi="宋体"/>
          <w:color w:val="auto"/>
          <w:sz w:val="24"/>
          <w:highlight w:val="none"/>
        </w:rPr>
        <w:t>签字）</w:t>
      </w:r>
      <w:r>
        <w:rPr>
          <w:rFonts w:hint="eastAsia" w:ascii="宋体" w:hAnsi="宋体"/>
          <w:color w:val="auto"/>
          <w:sz w:val="24"/>
          <w:highlight w:val="none"/>
        </w:rPr>
        <w:t xml:space="preserve">              </w:t>
      </w:r>
      <w:r>
        <w:rPr>
          <w:rFonts w:ascii="宋体" w:hAnsi="宋体"/>
          <w:color w:val="auto"/>
          <w:sz w:val="24"/>
          <w:highlight w:val="none"/>
        </w:rPr>
        <w:t>法定代表人或其委托代理人：（签字）</w:t>
      </w:r>
    </w:p>
    <w:p w14:paraId="335D6749">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年   月   日                                   年   月   日</w:t>
      </w:r>
    </w:p>
    <w:p w14:paraId="0001FDFB">
      <w:pPr>
        <w:pStyle w:val="78"/>
        <w:shd w:val="clear" w:fill="FFFFFF" w:themeFill="background1"/>
        <w:spacing w:line="360" w:lineRule="auto"/>
        <w:rPr>
          <w:rFonts w:ascii="宋体" w:hAnsi="宋体"/>
          <w:color w:val="auto"/>
          <w:sz w:val="24"/>
          <w:szCs w:val="24"/>
          <w:highlight w:val="none"/>
        </w:rPr>
      </w:pPr>
      <w:bookmarkStart w:id="1690" w:name="_Toc3544"/>
      <w:bookmarkEnd w:id="1690"/>
      <w:bookmarkStart w:id="1691" w:name="_Toc505844505"/>
      <w:bookmarkEnd w:id="1691"/>
      <w:bookmarkStart w:id="1692" w:name="_Toc43476007"/>
      <w:bookmarkEnd w:id="1692"/>
      <w:r>
        <w:rPr>
          <w:rFonts w:ascii="宋体" w:hAnsi="宋体"/>
          <w:b w:val="0"/>
          <w:bCs w:val="0"/>
          <w:color w:val="auto"/>
          <w:kern w:val="2"/>
          <w:sz w:val="21"/>
          <w:szCs w:val="24"/>
          <w:highlight w:val="none"/>
        </w:rPr>
        <w:br w:type="page"/>
      </w:r>
      <w:r>
        <w:rPr>
          <w:rFonts w:hint="eastAsia" w:ascii="宋体" w:hAnsi="宋体"/>
          <w:color w:val="auto"/>
          <w:sz w:val="24"/>
          <w:szCs w:val="24"/>
          <w:highlight w:val="none"/>
        </w:rPr>
        <w:t>附件二   廉政合同</w:t>
      </w:r>
    </w:p>
    <w:p w14:paraId="53AE06BB">
      <w:pPr>
        <w:shd w:val="clear" w:fill="FFFFFF" w:themeFill="background1"/>
        <w:spacing w:before="120" w:after="120"/>
        <w:jc w:val="center"/>
        <w:rPr>
          <w:rFonts w:ascii="宋体" w:hAnsi="宋体"/>
          <w:b/>
          <w:color w:val="auto"/>
          <w:sz w:val="32"/>
          <w:szCs w:val="32"/>
          <w:highlight w:val="none"/>
        </w:rPr>
      </w:pPr>
      <w:r>
        <w:rPr>
          <w:rFonts w:hint="eastAsia" w:ascii="宋体" w:hAnsi="宋体"/>
          <w:b/>
          <w:color w:val="auto"/>
          <w:sz w:val="32"/>
          <w:szCs w:val="32"/>
          <w:highlight w:val="none"/>
        </w:rPr>
        <w:t>廉政合同</w:t>
      </w:r>
    </w:p>
    <w:p w14:paraId="5519BB0E">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宋体" w:hAnsi="宋体"/>
          <w:color w:val="auto"/>
          <w:sz w:val="24"/>
          <w:highlight w:val="none"/>
          <w:u w:val="single"/>
        </w:rPr>
        <w:t>（项目名称）</w:t>
      </w:r>
      <w:r>
        <w:rPr>
          <w:rFonts w:hint="eastAsia" w:ascii="宋体" w:hAnsi="宋体"/>
          <w:color w:val="auto"/>
          <w:sz w:val="24"/>
          <w:highlight w:val="none"/>
        </w:rPr>
        <w:t xml:space="preserve">项目法人 </w:t>
      </w:r>
      <w:r>
        <w:rPr>
          <w:rFonts w:hint="eastAsia" w:ascii="宋体" w:hAnsi="宋体"/>
          <w:color w:val="auto"/>
          <w:sz w:val="24"/>
          <w:highlight w:val="none"/>
          <w:u w:val="single"/>
        </w:rPr>
        <w:t>（项目法人名称，以下简称“发包人”）</w:t>
      </w:r>
      <w:r>
        <w:rPr>
          <w:rFonts w:hint="eastAsia" w:ascii="宋体" w:hAnsi="宋体"/>
          <w:color w:val="auto"/>
          <w:sz w:val="24"/>
          <w:highlight w:val="none"/>
        </w:rPr>
        <w:t>与该项目标段的施工单位</w:t>
      </w:r>
      <w:r>
        <w:rPr>
          <w:rFonts w:hint="eastAsia" w:ascii="宋体" w:hAnsi="宋体"/>
          <w:color w:val="auto"/>
          <w:sz w:val="24"/>
          <w:highlight w:val="none"/>
          <w:u w:val="single"/>
        </w:rPr>
        <w:t>（施工单位名称，以下简称“承包人”）</w:t>
      </w:r>
      <w:r>
        <w:rPr>
          <w:rFonts w:hint="eastAsia" w:ascii="宋体" w:hAnsi="宋体"/>
          <w:color w:val="auto"/>
          <w:sz w:val="24"/>
          <w:highlight w:val="none"/>
        </w:rPr>
        <w:t>，特订立如下合同。</w:t>
      </w:r>
    </w:p>
    <w:p w14:paraId="6250024C">
      <w:pPr>
        <w:shd w:val="clear" w:fill="FFFFFF" w:themeFill="background1"/>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1.发包人和承包人双方的权利和义务</w:t>
      </w:r>
    </w:p>
    <w:p w14:paraId="6C59D859">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（1）严格遵守党的政策规定和国家有关法律法规及交通运输部的有关规定。</w:t>
      </w:r>
    </w:p>
    <w:p w14:paraId="528DA38B">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（2）严格执行</w:t>
      </w:r>
      <w:r>
        <w:rPr>
          <w:rFonts w:hint="eastAsia" w:ascii="宋体" w:hAnsi="宋体"/>
          <w:color w:val="auto"/>
          <w:sz w:val="24"/>
          <w:highlight w:val="none"/>
          <w:u w:val="single"/>
        </w:rPr>
        <w:t xml:space="preserve">     （项目名称）      </w:t>
      </w:r>
      <w:r>
        <w:rPr>
          <w:rFonts w:hint="eastAsia" w:ascii="宋体" w:hAnsi="宋体"/>
          <w:color w:val="auto"/>
          <w:sz w:val="24"/>
          <w:highlight w:val="none"/>
        </w:rPr>
        <w:t>合同文件，自觉按合同办事。</w:t>
      </w:r>
    </w:p>
    <w:p w14:paraId="40497CD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（3）双方的业务活动坚持公开、公正、诚信、透明的原则（法律认定的商业秘密和合同文件另有规定除外），不得损害国家和集体利益，不得违反工程建设管理规章制度。</w:t>
      </w:r>
    </w:p>
    <w:p w14:paraId="5EA14747">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（4）建立健全廉政制度，开展廉政教育，设立廉政告示牌，公布举报电话，监督并认真查处违法违纪行为。</w:t>
      </w:r>
    </w:p>
    <w:p w14:paraId="5009E47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（5）发现对方在业务活动中有违反廉政规定的行为，有及时提醒对方纠正的权利和义务。</w:t>
      </w:r>
    </w:p>
    <w:p w14:paraId="405D8944">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（6）发现对方严重违反本合同义务条款的行为，有向其上级有关部门举报、建议给予处理并要求告知处理结果的权利。</w:t>
      </w:r>
    </w:p>
    <w:p w14:paraId="7A64A566">
      <w:pPr>
        <w:shd w:val="clear" w:fill="FFFFFF" w:themeFill="background1"/>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2.发包人的义务</w:t>
      </w:r>
    </w:p>
    <w:p w14:paraId="762A18F6">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（1）发包人及其工作人员不得索要或接受承包人的礼金、有价证券和贵重物品，不得让承包人报销任何应由发包人或发包人工作人员个人支付的费用等。</w:t>
      </w:r>
    </w:p>
    <w:p w14:paraId="6D5EDFDE">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（2）发包人工作人员不得参加承包人安排的超标准宴请和娱乐活动；不得接受承包人提供的通讯工具、交通工具和高档办公用品等。</w:t>
      </w:r>
    </w:p>
    <w:p w14:paraId="7ACA8626">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（3）发包人及其工作人员不得要求或者接受承包人为其住房装修、婚丧嫁娶活动、配偶子女的工作安排以及出国出境、旅游等提供方便等。</w:t>
      </w:r>
    </w:p>
    <w:p w14:paraId="7C606C99">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（4）发包人工作人员及其配偶、子女不得从事与发包人工作有关的材料设备供应、工程分包、劳务等经济活动等。</w:t>
      </w:r>
    </w:p>
    <w:p w14:paraId="53F2F76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（5）发包人及期工作人员不得以任何理由向承包人推荐分包单位或推销材料，不得要求承包人购买合同规定外的材料和设备。</w:t>
      </w:r>
    </w:p>
    <w:p w14:paraId="5B5B2475">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（6）发包人工作人员要秉公办事，不准营私舞弊，不准利用职权从事各种个人有偿中介活动和安排个人施工队伍。</w:t>
      </w:r>
    </w:p>
    <w:p w14:paraId="2F85F878">
      <w:pPr>
        <w:shd w:val="clear" w:fill="FFFFFF" w:themeFill="background1"/>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3.承包人的义务</w:t>
      </w:r>
    </w:p>
    <w:p w14:paraId="14AA15FD">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（1）承包人不得以任何理由向发包人及其工作人员行贿或馈赠礼金、有价证券、贵重礼品。</w:t>
      </w:r>
    </w:p>
    <w:p w14:paraId="7859A77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（2）承包人不得以任何名义为发包人及其工作人员报销应由发包人单位或个人支付的任何费用。</w:t>
      </w:r>
    </w:p>
    <w:p w14:paraId="2669BF8E">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（3）承包人不得以任何理由安排发包人工作人员参加超标准宴请及娱乐活动。</w:t>
      </w:r>
    </w:p>
    <w:p w14:paraId="3636EC70">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（4）承包人不得为发包人单位和个人购置或提供通讯工具、交通工具和高档办公用品等。</w:t>
      </w:r>
    </w:p>
    <w:p w14:paraId="1244D29B">
      <w:pPr>
        <w:shd w:val="clear" w:fill="FFFFFF" w:themeFill="background1"/>
        <w:spacing w:line="400" w:lineRule="exact"/>
        <w:ind w:firstLine="482" w:firstLineChars="200"/>
        <w:rPr>
          <w:rFonts w:ascii="宋体" w:hAnsi="宋体"/>
          <w:b/>
          <w:color w:val="auto"/>
          <w:sz w:val="24"/>
          <w:highlight w:val="none"/>
        </w:rPr>
      </w:pPr>
      <w:r>
        <w:rPr>
          <w:rFonts w:hint="eastAsia" w:ascii="宋体" w:hAnsi="宋体"/>
          <w:b/>
          <w:color w:val="auto"/>
          <w:sz w:val="24"/>
          <w:highlight w:val="none"/>
        </w:rPr>
        <w:t>4.违约责任</w:t>
      </w:r>
    </w:p>
    <w:p w14:paraId="7D9D01B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（1）发包人及其工作人员违反本合同第1、2条，按管理权限，依据有关规定给予党纪、政纪或组织处理；涉嫌犯罪的，移交司法机关追究刑事责任；给承包人单位造成经济损失的，应予以赔偿。</w:t>
      </w:r>
    </w:p>
    <w:p w14:paraId="2C606028">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承包人及其工作人员违反本合同第1、3条，按管理权限，依据有关规定给予党纪、政纪或组织处理；给发包人单位造成经济损失的，应予以赔偿；情节严重的，发包人建议交通运输主管部门给予承包人一至三年内不得进入其主管的公路建设市场的处罚。</w:t>
      </w:r>
    </w:p>
    <w:p w14:paraId="4EB7A3D7">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510C2C2F">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6.本合同有效期为发包人和承包人签署之日起至该工程项目竣工验收后止。</w:t>
      </w:r>
    </w:p>
    <w:p w14:paraId="42CE73A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7.本合同作为</w:t>
      </w:r>
      <w:r>
        <w:rPr>
          <w:rFonts w:hint="eastAsia" w:ascii="宋体" w:hAnsi="宋体"/>
          <w:color w:val="auto"/>
          <w:sz w:val="24"/>
          <w:highlight w:val="none"/>
          <w:u w:val="single"/>
        </w:rPr>
        <w:t xml:space="preserve">         （项目名称）     </w:t>
      </w:r>
      <w:r>
        <w:rPr>
          <w:rFonts w:hint="eastAsia" w:ascii="宋体" w:hAnsi="宋体"/>
          <w:color w:val="auto"/>
          <w:sz w:val="24"/>
          <w:highlight w:val="none"/>
        </w:rPr>
        <w:t>合同的附件，与工程施工合同具有同等的法律效力，经合同双方签署后立即生效。</w:t>
      </w:r>
    </w:p>
    <w:p w14:paraId="3E459DFB">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8.本合同一式四份，由发包人和承包人各执—份，送交发包人和承包人的监督单位各一份</w:t>
      </w:r>
    </w:p>
    <w:p w14:paraId="353DAD78">
      <w:pPr>
        <w:shd w:val="clear" w:fill="FFFFFF" w:themeFill="background1"/>
        <w:spacing w:line="400" w:lineRule="exact"/>
        <w:rPr>
          <w:rFonts w:ascii="宋体" w:hAnsi="宋体"/>
          <w:color w:val="auto"/>
          <w:sz w:val="24"/>
          <w:highlight w:val="none"/>
        </w:rPr>
      </w:pPr>
    </w:p>
    <w:p w14:paraId="683A8894">
      <w:pPr>
        <w:shd w:val="clear" w:fill="FFFFFF" w:themeFill="background1"/>
        <w:spacing w:line="400" w:lineRule="exact"/>
        <w:rPr>
          <w:rFonts w:ascii="宋体" w:hAnsi="宋体"/>
          <w:color w:val="auto"/>
          <w:sz w:val="24"/>
          <w:highlight w:val="none"/>
        </w:rPr>
      </w:pPr>
      <w:r>
        <w:rPr>
          <w:rFonts w:ascii="宋体" w:hAnsi="宋体"/>
          <w:color w:val="auto"/>
          <w:sz w:val="24"/>
          <w:highlight w:val="none"/>
        </w:rPr>
        <w:t>发包人：（盖单位章）</w:t>
      </w:r>
      <w:r>
        <w:rPr>
          <w:rFonts w:hint="eastAsia" w:ascii="宋体" w:hAnsi="宋体"/>
          <w:color w:val="auto"/>
          <w:sz w:val="24"/>
          <w:highlight w:val="none"/>
        </w:rPr>
        <w:t xml:space="preserve">                       </w:t>
      </w:r>
      <w:r>
        <w:rPr>
          <w:rFonts w:ascii="宋体" w:hAnsi="宋体"/>
          <w:color w:val="auto"/>
          <w:sz w:val="24"/>
          <w:highlight w:val="none"/>
        </w:rPr>
        <w:t xml:space="preserve">承包人：（盖单位章） </w:t>
      </w:r>
    </w:p>
    <w:p w14:paraId="0C2281F0">
      <w:pPr>
        <w:shd w:val="clear" w:fill="FFFFFF" w:themeFill="background1"/>
        <w:spacing w:line="400" w:lineRule="exact"/>
        <w:rPr>
          <w:rFonts w:ascii="宋体" w:hAnsi="宋体"/>
          <w:color w:val="auto"/>
          <w:sz w:val="24"/>
          <w:highlight w:val="none"/>
        </w:rPr>
      </w:pPr>
      <w:r>
        <w:rPr>
          <w:rFonts w:ascii="宋体" w:hAnsi="宋体"/>
          <w:color w:val="auto"/>
          <w:sz w:val="24"/>
          <w:highlight w:val="none"/>
        </w:rPr>
        <w:t>法定代表人或其委托代理人：</w:t>
      </w:r>
      <w:r>
        <w:rPr>
          <w:rFonts w:hint="eastAsia" w:ascii="宋体" w:hAnsi="宋体"/>
          <w:color w:val="auto"/>
          <w:sz w:val="24"/>
          <w:highlight w:val="none"/>
        </w:rPr>
        <w:t>（</w:t>
      </w:r>
      <w:r>
        <w:rPr>
          <w:rFonts w:ascii="宋体" w:hAnsi="宋体"/>
          <w:color w:val="auto"/>
          <w:sz w:val="24"/>
          <w:highlight w:val="none"/>
        </w:rPr>
        <w:t>签字）</w:t>
      </w:r>
      <w:r>
        <w:rPr>
          <w:rFonts w:hint="eastAsia" w:ascii="宋体" w:hAnsi="宋体"/>
          <w:color w:val="auto"/>
          <w:sz w:val="24"/>
          <w:highlight w:val="none"/>
        </w:rPr>
        <w:t xml:space="preserve">         </w:t>
      </w:r>
      <w:r>
        <w:rPr>
          <w:rFonts w:ascii="宋体" w:hAnsi="宋体"/>
          <w:color w:val="auto"/>
          <w:sz w:val="24"/>
          <w:highlight w:val="none"/>
        </w:rPr>
        <w:t>法定代表人或其委托代理人：（签字）</w:t>
      </w:r>
    </w:p>
    <w:p w14:paraId="40C82E44">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年   月   日                               年   月   日</w:t>
      </w:r>
    </w:p>
    <w:p w14:paraId="3B419030">
      <w:pPr>
        <w:shd w:val="clear" w:fill="FFFFFF" w:themeFill="background1"/>
        <w:spacing w:line="400" w:lineRule="exact"/>
        <w:rPr>
          <w:rFonts w:ascii="宋体" w:hAnsi="宋体"/>
          <w:color w:val="auto"/>
          <w:sz w:val="24"/>
          <w:highlight w:val="none"/>
        </w:rPr>
      </w:pPr>
      <w:r>
        <w:rPr>
          <w:rFonts w:hint="eastAsia" w:ascii="宋体" w:hAnsi="宋体"/>
          <w:color w:val="auto"/>
          <w:sz w:val="24"/>
          <w:highlight w:val="none"/>
        </w:rPr>
        <w:t>发包人监督单位：</w:t>
      </w:r>
      <w:r>
        <w:rPr>
          <w:rFonts w:hint="eastAsia" w:ascii="宋体" w:hAnsi="宋体"/>
          <w:color w:val="auto"/>
          <w:sz w:val="24"/>
          <w:highlight w:val="none"/>
          <w:u w:val="single"/>
        </w:rPr>
        <w:t>（全称） （盖单位章）</w:t>
      </w:r>
      <w:r>
        <w:rPr>
          <w:rFonts w:hint="eastAsia" w:ascii="宋体" w:hAnsi="宋体"/>
          <w:color w:val="auto"/>
          <w:sz w:val="24"/>
          <w:highlight w:val="none"/>
        </w:rPr>
        <w:t xml:space="preserve">      承包人监督单位：</w:t>
      </w:r>
      <w:r>
        <w:rPr>
          <w:rFonts w:hint="eastAsia" w:ascii="宋体" w:hAnsi="宋体"/>
          <w:color w:val="auto"/>
          <w:sz w:val="24"/>
          <w:highlight w:val="none"/>
          <w:u w:val="single"/>
        </w:rPr>
        <w:t>（全称） （盖单位章）</w:t>
      </w:r>
    </w:p>
    <w:p w14:paraId="7F592A28">
      <w:pPr>
        <w:pStyle w:val="78"/>
        <w:shd w:val="clear" w:fill="FFFFFF" w:themeFill="background1"/>
        <w:spacing w:line="360" w:lineRule="auto"/>
        <w:rPr>
          <w:rFonts w:ascii="宋体" w:hAnsi="宋体"/>
          <w:color w:val="auto"/>
          <w:sz w:val="24"/>
          <w:szCs w:val="24"/>
          <w:highlight w:val="none"/>
        </w:rPr>
      </w:pPr>
      <w:bookmarkStart w:id="1693" w:name="_Toc30177"/>
      <w:bookmarkEnd w:id="1693"/>
      <w:bookmarkStart w:id="1694" w:name="_Toc505844506"/>
      <w:bookmarkEnd w:id="1694"/>
      <w:bookmarkStart w:id="1695" w:name="_Toc43476008"/>
      <w:bookmarkEnd w:id="1695"/>
      <w:r>
        <w:rPr>
          <w:rFonts w:hint="eastAsia" w:ascii="宋体" w:hAnsi="宋体"/>
          <w:color w:val="auto"/>
          <w:sz w:val="24"/>
          <w:szCs w:val="24"/>
          <w:highlight w:val="none"/>
        </w:rPr>
        <w:br w:type="page"/>
      </w:r>
      <w:r>
        <w:rPr>
          <w:rFonts w:hint="eastAsia" w:ascii="宋体" w:hAnsi="宋体"/>
          <w:color w:val="auto"/>
          <w:sz w:val="24"/>
          <w:szCs w:val="24"/>
          <w:highlight w:val="none"/>
        </w:rPr>
        <w:t>附件三   安全生产合同</w:t>
      </w:r>
    </w:p>
    <w:p w14:paraId="1556B94C">
      <w:pPr>
        <w:shd w:val="clear" w:fill="FFFFFF" w:themeFill="background1"/>
        <w:spacing w:before="120" w:after="120"/>
        <w:jc w:val="center"/>
        <w:rPr>
          <w:rFonts w:ascii="宋体" w:hAnsi="宋体"/>
          <w:b/>
          <w:color w:val="auto"/>
          <w:sz w:val="32"/>
          <w:szCs w:val="32"/>
          <w:highlight w:val="none"/>
        </w:rPr>
      </w:pPr>
      <w:r>
        <w:rPr>
          <w:rFonts w:hint="eastAsia" w:ascii="宋体" w:hAnsi="宋体"/>
          <w:b/>
          <w:color w:val="auto"/>
          <w:sz w:val="32"/>
          <w:szCs w:val="32"/>
          <w:highlight w:val="none"/>
        </w:rPr>
        <w:t>安全生产合同</w:t>
      </w:r>
    </w:p>
    <w:p w14:paraId="30394B2C">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根据《中华人民共和国安全生产法》，国务院《建设工程安全生产管理条例》，交通运输部《公路水运工程安全生产监督管理办法》，交通运输部《公路水运工程施工安全标准化指南》有关规定，为切实做好</w:t>
      </w:r>
      <w:r>
        <w:rPr>
          <w:rFonts w:hint="eastAsia" w:ascii="宋体" w:hAnsi="宋体"/>
          <w:color w:val="auto"/>
          <w:sz w:val="24"/>
          <w:highlight w:val="none"/>
          <w:u w:val="single"/>
        </w:rPr>
        <w:t xml:space="preserve">   (项目名称)   标类（或标段）     </w:t>
      </w:r>
      <w:r>
        <w:rPr>
          <w:rFonts w:hint="eastAsia" w:ascii="宋体" w:hAnsi="宋体"/>
          <w:color w:val="auto"/>
          <w:sz w:val="24"/>
          <w:highlight w:val="none"/>
        </w:rPr>
        <w:t>工程安全生产管理工作，明确项目参建各方的安全生产责任，促进实现工程项目安全管理目标，建设单位全称（以下简称“发包人”）与施工单位全称（以下简称“承包人”）特此签订安全生产合同：</w:t>
      </w:r>
    </w:p>
    <w:p w14:paraId="7DCB63FE">
      <w:pPr>
        <w:shd w:val="clear" w:fill="FFFFFF" w:themeFill="background1"/>
        <w:spacing w:line="400" w:lineRule="exact"/>
        <w:ind w:firstLine="840"/>
        <w:rPr>
          <w:rFonts w:ascii="宋体" w:hAnsi="宋体"/>
          <w:b/>
          <w:bCs/>
          <w:color w:val="auto"/>
          <w:sz w:val="24"/>
          <w:highlight w:val="none"/>
        </w:rPr>
      </w:pPr>
      <w:r>
        <w:rPr>
          <w:rFonts w:hint="eastAsia" w:ascii="宋体" w:hAnsi="宋体"/>
          <w:b/>
          <w:bCs/>
          <w:color w:val="auto"/>
          <w:sz w:val="24"/>
          <w:highlight w:val="none"/>
        </w:rPr>
        <w:t>1.发包人职责</w:t>
      </w:r>
    </w:p>
    <w:p w14:paraId="5B085BEC">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(1)编制工程招标文件及项目概算时，应确定保障建设工程安全作业环境及安全施工措施所需的安全生产费用，并不低于国家规定的标准。</w:t>
      </w:r>
    </w:p>
    <w:p w14:paraId="230635EE">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(2)按照有关规定对承包人的安全生产条件、安全生产信用情况、安全生产管理体系及保障措施等提出明确要求并检查实施情况。</w:t>
      </w:r>
    </w:p>
    <w:p w14:paraId="2BE0D8CE">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(3)开展工程项目安全生产条件核查，按规定组织风险评估。针对工程项目特点和风险评估情况制定项目生产安全事故综合应急预案，并定期组织演练。</w:t>
      </w:r>
    </w:p>
    <w:p w14:paraId="35728FDF">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(4)按照法律法规及合同文件约定督促承包人落实安全生产责任，对承包人的安全生产工作统一协调、管理，定期进行安全检查，发现安全问题的，应当及时督促整改。</w:t>
      </w:r>
    </w:p>
    <w:p w14:paraId="14C77E1F">
      <w:pPr>
        <w:shd w:val="clear" w:fill="FFFFFF" w:themeFill="background1"/>
        <w:spacing w:line="400" w:lineRule="exact"/>
        <w:ind w:firstLine="840"/>
        <w:rPr>
          <w:rFonts w:ascii="宋体" w:hAnsi="宋体"/>
          <w:b/>
          <w:bCs/>
          <w:color w:val="auto"/>
          <w:sz w:val="24"/>
          <w:highlight w:val="none"/>
        </w:rPr>
      </w:pPr>
      <w:r>
        <w:rPr>
          <w:rFonts w:hint="eastAsia" w:ascii="宋体" w:hAnsi="宋体"/>
          <w:b/>
          <w:bCs/>
          <w:color w:val="auto"/>
          <w:sz w:val="24"/>
          <w:highlight w:val="none"/>
        </w:rPr>
        <w:t>2.承包人职责</w:t>
      </w:r>
    </w:p>
    <w:p w14:paraId="63E5AAE5">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(1)严格执行安全生产有关法律法规、规章及标准规范，落实合同、《广东省高速公路工程施工安全标准化指南》《公路工程施工安全防护设施技术指南》以及其他有关安全生产方面的规定和要求。</w:t>
      </w:r>
    </w:p>
    <w:p w14:paraId="66A3E95A">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(2)应具备相应的安全生产条件及安全生产资质，对施工现场的安全生产负主体责任，主要负责人依法对项目安全生产工作全面负责。</w:t>
      </w:r>
    </w:p>
    <w:p w14:paraId="4B9251E0">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(3)坚持国家安全生产方针、政策及原则，建立健全并落实项目安全生产管理制度、责任、组织机构等管理体系，配足符合资质条件的专职安全生产管理人员。</w:t>
      </w:r>
    </w:p>
    <w:p w14:paraId="03C53C77">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(4)应保证本项目合同段所应具备的安全生产条件必需的资金投入，依法参加各类安全保险，保障从业人员安全生产方面的权利。</w:t>
      </w:r>
    </w:p>
    <w:p w14:paraId="4989C21F">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(5)应切实加强作业工人安全培训教育和安全技术交底。运用《公路施工安全视频教程》及配套口袋书、配套测试题集，建立工人学校或安全教育体验馆，开展岗前安全教育培训和经常性安全再教育，提高全员安全意识和安全技能。认真细致做好工人作业前安全技术交底，落实基层班组班前会制度，确保作业工人熟知作业的安全要求和班前危险预知内容。</w:t>
      </w:r>
    </w:p>
    <w:p w14:paraId="54EA738A">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(6)按规定编制危险性较大工程专项施工方案，按程序逐级审批，必要时应组织专家论证。</w:t>
      </w:r>
    </w:p>
    <w:p w14:paraId="1C668523">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(7)各类施工设备设施及用品、用具等应具备相关资质证书，定期检查维护，按规定及时报废；特种设备及支撑体系设施设备投入使用前应按规定组织验收。</w:t>
      </w:r>
    </w:p>
    <w:p w14:paraId="5249C88A">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(8)两区三厂、临建设施等选址及相关防护设施的设置应符合安全要求。</w:t>
      </w:r>
    </w:p>
    <w:p w14:paraId="44B0FEB0">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(9)建立施工现场及驻地消防安全责任制度，确定消防安全责任人，落实消防安全管理和消防安全检查，及时消除火灾事故隐患。</w:t>
      </w:r>
    </w:p>
    <w:p w14:paraId="0530DE01">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(10)按规定建立并落实安全风险分级管控及事故隐患排查治理双重预防工作机制，并按要求开展各类安全生产检查，重大事故隐患及时上报和专项治理。</w:t>
      </w:r>
    </w:p>
    <w:p w14:paraId="38502DB4">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(11)建立健全本项目合同段生产安全事故应急预案体系，并定期组织演练。</w:t>
      </w:r>
    </w:p>
    <w:p w14:paraId="34E685A3">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(12)及时、如实报告生产安全事故。发生事故时，应立即组织抢救，并积极配合事故调查处理。</w:t>
      </w:r>
    </w:p>
    <w:p w14:paraId="3095002A">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(13)安全生产法律法规、政策等规定的其他职责。</w:t>
      </w:r>
    </w:p>
    <w:p w14:paraId="1FC1B6AC">
      <w:pPr>
        <w:shd w:val="clear" w:fill="FFFFFF" w:themeFill="background1"/>
        <w:spacing w:line="400" w:lineRule="exact"/>
        <w:ind w:firstLine="840"/>
        <w:rPr>
          <w:rFonts w:ascii="宋体" w:hAnsi="宋体"/>
          <w:b/>
          <w:bCs/>
          <w:color w:val="auto"/>
          <w:sz w:val="24"/>
          <w:highlight w:val="none"/>
        </w:rPr>
      </w:pPr>
      <w:r>
        <w:rPr>
          <w:rFonts w:hint="eastAsia" w:ascii="宋体" w:hAnsi="宋体"/>
          <w:b/>
          <w:bCs/>
          <w:color w:val="auto"/>
          <w:sz w:val="24"/>
          <w:highlight w:val="none"/>
        </w:rPr>
        <w:t>3.违约责任</w:t>
      </w:r>
    </w:p>
    <w:p w14:paraId="3EABA53A">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如因发包人或承包人违约造成安全事故，将依法追究责任。</w:t>
      </w:r>
    </w:p>
    <w:p w14:paraId="334C4C67">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4.本合同由双方法定代表人或其授权的代理人签署并加盖单位章后生效，全部工程竣工验收后失效。 .</w:t>
      </w:r>
    </w:p>
    <w:p w14:paraId="004D1939">
      <w:pPr>
        <w:shd w:val="clear" w:fill="FFFFFF" w:themeFill="background1"/>
        <w:spacing w:line="400" w:lineRule="exact"/>
        <w:ind w:firstLine="840"/>
        <w:rPr>
          <w:rFonts w:ascii="宋体" w:hAnsi="宋体"/>
          <w:color w:val="auto"/>
          <w:sz w:val="24"/>
          <w:highlight w:val="none"/>
        </w:rPr>
      </w:pPr>
      <w:r>
        <w:rPr>
          <w:rFonts w:hint="eastAsia" w:ascii="宋体" w:hAnsi="宋体"/>
          <w:color w:val="auto"/>
          <w:sz w:val="24"/>
          <w:highlight w:val="none"/>
        </w:rPr>
        <w:t>5.本合同正本二份、副本</w:t>
      </w:r>
      <w:r>
        <w:rPr>
          <w:rFonts w:hint="eastAsia" w:ascii="宋体" w:hAnsi="宋体"/>
          <w:color w:val="auto"/>
          <w:sz w:val="24"/>
          <w:highlight w:val="none"/>
          <w:u w:val="single"/>
        </w:rPr>
        <w:t xml:space="preserve">   </w:t>
      </w:r>
      <w:r>
        <w:rPr>
          <w:rFonts w:hint="eastAsia" w:ascii="宋体" w:hAnsi="宋体"/>
          <w:color w:val="auto"/>
          <w:sz w:val="24"/>
          <w:highlight w:val="none"/>
        </w:rPr>
        <w:t>份，合同双方各执正本一份，副本</w:t>
      </w:r>
      <w:r>
        <w:rPr>
          <w:rFonts w:hint="eastAsia" w:ascii="宋体" w:hAnsi="宋体"/>
          <w:color w:val="auto"/>
          <w:sz w:val="24"/>
          <w:highlight w:val="none"/>
          <w:u w:val="single"/>
        </w:rPr>
        <w:t xml:space="preserve">    </w:t>
      </w:r>
      <w:r>
        <w:rPr>
          <w:rFonts w:hint="eastAsia" w:ascii="宋体" w:hAnsi="宋体"/>
          <w:color w:val="auto"/>
          <w:sz w:val="24"/>
          <w:highlight w:val="none"/>
        </w:rPr>
        <w:t>份，当正本与副本的内容不一致时，以正本为准。</w:t>
      </w:r>
    </w:p>
    <w:p w14:paraId="7896E741">
      <w:pPr>
        <w:pStyle w:val="78"/>
        <w:shd w:val="clear" w:fill="FFFFFF" w:themeFill="background1"/>
        <w:spacing w:line="360" w:lineRule="auto"/>
        <w:rPr>
          <w:rFonts w:ascii="宋体" w:hAnsi="宋体"/>
          <w:color w:val="auto"/>
          <w:sz w:val="24"/>
          <w:szCs w:val="24"/>
          <w:highlight w:val="none"/>
        </w:rPr>
      </w:pPr>
    </w:p>
    <w:p w14:paraId="6F9BD4A9">
      <w:pPr>
        <w:pStyle w:val="78"/>
        <w:shd w:val="clear" w:fill="FFFFFF" w:themeFill="background1"/>
        <w:spacing w:line="360" w:lineRule="auto"/>
        <w:rPr>
          <w:rFonts w:ascii="宋体" w:hAnsi="宋体"/>
          <w:color w:val="auto"/>
          <w:sz w:val="24"/>
          <w:szCs w:val="24"/>
          <w:highlight w:val="none"/>
        </w:rPr>
      </w:pPr>
    </w:p>
    <w:p w14:paraId="79A54A45">
      <w:pPr>
        <w:pStyle w:val="78"/>
        <w:shd w:val="clear" w:fill="FFFFFF" w:themeFill="background1"/>
        <w:spacing w:line="360" w:lineRule="auto"/>
        <w:rPr>
          <w:rFonts w:ascii="宋体" w:hAnsi="宋体"/>
          <w:color w:val="auto"/>
          <w:sz w:val="24"/>
          <w:szCs w:val="24"/>
          <w:highlight w:val="none"/>
        </w:rPr>
      </w:pPr>
    </w:p>
    <w:p w14:paraId="73132A28">
      <w:pPr>
        <w:pStyle w:val="78"/>
        <w:shd w:val="clear" w:fill="FFFFFF" w:themeFill="background1"/>
        <w:spacing w:line="360" w:lineRule="auto"/>
        <w:rPr>
          <w:rFonts w:ascii="宋体" w:hAnsi="宋体"/>
          <w:b w:val="0"/>
          <w:bCs w:val="0"/>
          <w:color w:val="auto"/>
          <w:sz w:val="24"/>
          <w:szCs w:val="24"/>
          <w:highlight w:val="none"/>
        </w:rPr>
      </w:pPr>
      <w:r>
        <w:rPr>
          <w:rFonts w:hint="eastAsia" w:ascii="宋体" w:hAnsi="宋体"/>
          <w:b w:val="0"/>
          <w:bCs w:val="0"/>
          <w:color w:val="auto"/>
          <w:sz w:val="24"/>
          <w:szCs w:val="24"/>
          <w:highlight w:val="none"/>
        </w:rPr>
        <w:t>发包人： (盖单位章)                         承包人： (盖单位章)</w:t>
      </w:r>
    </w:p>
    <w:p w14:paraId="2F83FE4F">
      <w:pPr>
        <w:pStyle w:val="78"/>
        <w:shd w:val="clear" w:fill="FFFFFF" w:themeFill="background1"/>
        <w:spacing w:line="360" w:lineRule="auto"/>
        <w:rPr>
          <w:rFonts w:ascii="宋体" w:hAnsi="宋体"/>
          <w:b w:val="0"/>
          <w:bCs w:val="0"/>
          <w:color w:val="auto"/>
          <w:sz w:val="24"/>
          <w:szCs w:val="24"/>
          <w:highlight w:val="none"/>
        </w:rPr>
      </w:pPr>
      <w:r>
        <w:rPr>
          <w:rFonts w:hint="eastAsia" w:ascii="宋体" w:hAnsi="宋体"/>
          <w:b w:val="0"/>
          <w:bCs w:val="0"/>
          <w:color w:val="auto"/>
          <w:sz w:val="24"/>
          <w:szCs w:val="24"/>
          <w:highlight w:val="none"/>
        </w:rPr>
        <w:t>法定代表人或其委托代理人： (签字)           法定代表人或其委托代理人： (签字)</w:t>
      </w:r>
    </w:p>
    <w:p w14:paraId="06358951">
      <w:pPr>
        <w:pStyle w:val="78"/>
        <w:shd w:val="clear" w:fill="FFFFFF" w:themeFill="background1"/>
        <w:spacing w:line="360" w:lineRule="auto"/>
        <w:ind w:firstLine="720" w:firstLineChars="300"/>
        <w:rPr>
          <w:rFonts w:ascii="宋体" w:hAnsi="宋体"/>
          <w:color w:val="auto"/>
          <w:sz w:val="24"/>
          <w:szCs w:val="24"/>
          <w:highlight w:val="none"/>
        </w:rPr>
      </w:pPr>
      <w:bookmarkStart w:id="1696" w:name="_Toc43476009"/>
      <w:bookmarkEnd w:id="1696"/>
      <w:bookmarkStart w:id="1697" w:name="_Toc17112"/>
      <w:bookmarkEnd w:id="1697"/>
      <w:r>
        <w:rPr>
          <w:rFonts w:hint="eastAsia" w:ascii="宋体" w:hAnsi="宋体"/>
          <w:b w:val="0"/>
          <w:bCs w:val="0"/>
          <w:color w:val="auto"/>
          <w:sz w:val="24"/>
          <w:szCs w:val="24"/>
          <w:highlight w:val="none"/>
        </w:rPr>
        <w:t>年    月    日                               年    月    日</w:t>
      </w:r>
      <w:r>
        <w:rPr>
          <w:rFonts w:hint="eastAsia" w:ascii="宋体" w:hAnsi="宋体"/>
          <w:b w:val="0"/>
          <w:bCs w:val="0"/>
          <w:color w:val="auto"/>
          <w:sz w:val="24"/>
          <w:szCs w:val="24"/>
          <w:highlight w:val="none"/>
        </w:rPr>
        <w:br w:type="page"/>
      </w:r>
      <w:r>
        <w:rPr>
          <w:rFonts w:hint="eastAsia" w:ascii="宋体" w:hAnsi="宋体"/>
          <w:color w:val="auto"/>
          <w:sz w:val="24"/>
          <w:szCs w:val="24"/>
          <w:highlight w:val="none"/>
        </w:rPr>
        <w:t>附件四   其他管理人员和技术人员最低要求</w:t>
      </w:r>
    </w:p>
    <w:p w14:paraId="1AB9FE10">
      <w:pPr>
        <w:shd w:val="clear" w:fill="FFFFFF" w:themeFill="background1"/>
        <w:rPr>
          <w:color w:val="auto"/>
          <w:highlight w:val="none"/>
        </w:rPr>
      </w:pPr>
    </w:p>
    <w:tbl>
      <w:tblPr>
        <w:tblStyle w:val="45"/>
        <w:tblW w:w="936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35"/>
        <w:gridCol w:w="1143"/>
        <w:gridCol w:w="6488"/>
      </w:tblGrid>
      <w:tr w14:paraId="34EDC4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735" w:type="dxa"/>
            <w:tcBorders>
              <w:top w:val="single" w:color="auto" w:sz="12" w:space="0"/>
            </w:tcBorders>
            <w:vAlign w:val="center"/>
          </w:tcPr>
          <w:p w14:paraId="5DAAEABC">
            <w:pPr>
              <w:shd w:val="clear" w:fill="FFFFFF" w:themeFill="background1"/>
              <w:spacing w:line="276" w:lineRule="auto"/>
              <w:jc w:val="center"/>
              <w:rPr>
                <w:rFonts w:ascii="宋体" w:hAnsi="宋体"/>
                <w:color w:val="auto"/>
                <w:sz w:val="24"/>
                <w:highlight w:val="none"/>
              </w:rPr>
            </w:pPr>
            <w:bookmarkStart w:id="1698" w:name="_Toc505844507"/>
            <w:r>
              <w:rPr>
                <w:rFonts w:hint="eastAsia" w:ascii="宋体" w:hAnsi="宋体"/>
                <w:color w:val="auto"/>
                <w:sz w:val="24"/>
                <w:highlight w:val="none"/>
              </w:rPr>
              <w:t>人  员</w:t>
            </w:r>
          </w:p>
        </w:tc>
        <w:tc>
          <w:tcPr>
            <w:tcW w:w="1143" w:type="dxa"/>
            <w:tcBorders>
              <w:top w:val="single" w:color="auto" w:sz="12" w:space="0"/>
            </w:tcBorders>
            <w:vAlign w:val="center"/>
          </w:tcPr>
          <w:p w14:paraId="291A8149">
            <w:pPr>
              <w:shd w:val="clear" w:fill="FFFFFF" w:themeFill="background1"/>
              <w:spacing w:line="276" w:lineRule="auto"/>
              <w:jc w:val="center"/>
              <w:rPr>
                <w:rFonts w:ascii="宋体" w:hAnsi="宋体"/>
                <w:color w:val="auto"/>
                <w:sz w:val="24"/>
                <w:highlight w:val="none"/>
              </w:rPr>
            </w:pPr>
            <w:r>
              <w:rPr>
                <w:rFonts w:hint="eastAsia" w:ascii="宋体" w:hAnsi="宋体"/>
                <w:color w:val="auto"/>
                <w:sz w:val="24"/>
                <w:highlight w:val="none"/>
              </w:rPr>
              <w:t>数  量</w:t>
            </w:r>
          </w:p>
        </w:tc>
        <w:tc>
          <w:tcPr>
            <w:tcW w:w="6488" w:type="dxa"/>
            <w:tcBorders>
              <w:top w:val="single" w:color="auto" w:sz="12" w:space="0"/>
            </w:tcBorders>
            <w:vAlign w:val="center"/>
          </w:tcPr>
          <w:p w14:paraId="537D5F92">
            <w:pPr>
              <w:shd w:val="clear" w:fill="FFFFFF" w:themeFill="background1"/>
              <w:spacing w:line="276" w:lineRule="auto"/>
              <w:jc w:val="center"/>
              <w:rPr>
                <w:rFonts w:ascii="宋体"/>
                <w:color w:val="auto"/>
                <w:sz w:val="24"/>
                <w:highlight w:val="none"/>
              </w:rPr>
            </w:pPr>
            <w:r>
              <w:rPr>
                <w:rFonts w:hint="eastAsia" w:ascii="宋体" w:hAnsi="宋体"/>
                <w:color w:val="auto"/>
                <w:sz w:val="24"/>
                <w:highlight w:val="none"/>
              </w:rPr>
              <w:t>资格要求</w:t>
            </w:r>
          </w:p>
        </w:tc>
      </w:tr>
      <w:tr w14:paraId="332471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2D804BF8">
            <w:pPr>
              <w:pStyle w:val="2"/>
              <w:shd w:val="clear" w:fill="FFFFFF" w:themeFill="background1"/>
              <w:rPr>
                <w:color w:val="auto"/>
                <w:highlight w:val="none"/>
              </w:rPr>
            </w:pPr>
          </w:p>
        </w:tc>
        <w:tc>
          <w:tcPr>
            <w:tcW w:w="1143" w:type="dxa"/>
            <w:vAlign w:val="center"/>
          </w:tcPr>
          <w:p w14:paraId="3F6B9CE0">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4316FD9D">
            <w:pPr>
              <w:shd w:val="clear" w:fill="FFFFFF" w:themeFill="background1"/>
              <w:spacing w:line="276" w:lineRule="auto"/>
              <w:ind w:firstLine="480" w:firstLineChars="200"/>
              <w:jc w:val="left"/>
              <w:rPr>
                <w:rFonts w:ascii="宋体" w:hAnsi="宋体"/>
                <w:color w:val="auto"/>
                <w:sz w:val="24"/>
                <w:highlight w:val="none"/>
              </w:rPr>
            </w:pPr>
          </w:p>
        </w:tc>
      </w:tr>
      <w:tr w14:paraId="2FC94D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3B9FCB26">
            <w:pPr>
              <w:shd w:val="clear" w:fill="FFFFFF" w:themeFill="background1"/>
              <w:spacing w:line="276" w:lineRule="auto"/>
              <w:rPr>
                <w:rFonts w:ascii="宋体" w:hAnsi="宋体"/>
                <w:color w:val="auto"/>
                <w:sz w:val="24"/>
                <w:highlight w:val="none"/>
              </w:rPr>
            </w:pPr>
          </w:p>
        </w:tc>
        <w:tc>
          <w:tcPr>
            <w:tcW w:w="1143" w:type="dxa"/>
            <w:vAlign w:val="center"/>
          </w:tcPr>
          <w:p w14:paraId="62EFBBD5">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2DEABB0C">
            <w:pPr>
              <w:shd w:val="clear" w:fill="FFFFFF" w:themeFill="background1"/>
              <w:spacing w:line="276" w:lineRule="auto"/>
              <w:ind w:firstLine="480" w:firstLineChars="200"/>
              <w:jc w:val="left"/>
              <w:rPr>
                <w:rFonts w:ascii="宋体" w:hAnsi="宋体"/>
                <w:color w:val="auto"/>
                <w:sz w:val="24"/>
                <w:highlight w:val="none"/>
              </w:rPr>
            </w:pPr>
          </w:p>
        </w:tc>
      </w:tr>
      <w:tr w14:paraId="50315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0B3D99C5">
            <w:pPr>
              <w:shd w:val="clear" w:fill="FFFFFF" w:themeFill="background1"/>
              <w:spacing w:line="276" w:lineRule="auto"/>
              <w:rPr>
                <w:rFonts w:ascii="宋体" w:hAnsi="宋体"/>
                <w:color w:val="auto"/>
                <w:sz w:val="24"/>
                <w:highlight w:val="none"/>
              </w:rPr>
            </w:pPr>
          </w:p>
        </w:tc>
        <w:tc>
          <w:tcPr>
            <w:tcW w:w="1143" w:type="dxa"/>
            <w:vAlign w:val="center"/>
          </w:tcPr>
          <w:p w14:paraId="41D6A3C3">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2CF4EC10">
            <w:pPr>
              <w:shd w:val="clear" w:fill="FFFFFF" w:themeFill="background1"/>
              <w:spacing w:line="276" w:lineRule="auto"/>
              <w:ind w:firstLine="480" w:firstLineChars="200"/>
              <w:jc w:val="left"/>
              <w:rPr>
                <w:rFonts w:ascii="宋体" w:hAnsi="宋体"/>
                <w:color w:val="auto"/>
                <w:sz w:val="24"/>
                <w:highlight w:val="none"/>
              </w:rPr>
            </w:pPr>
          </w:p>
        </w:tc>
      </w:tr>
      <w:tr w14:paraId="1CC2F9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26084CC8">
            <w:pPr>
              <w:shd w:val="clear" w:fill="FFFFFF" w:themeFill="background1"/>
              <w:spacing w:line="276" w:lineRule="auto"/>
              <w:rPr>
                <w:rFonts w:ascii="宋体" w:hAnsi="宋体"/>
                <w:color w:val="auto"/>
                <w:sz w:val="24"/>
                <w:highlight w:val="none"/>
              </w:rPr>
            </w:pPr>
          </w:p>
        </w:tc>
        <w:tc>
          <w:tcPr>
            <w:tcW w:w="1143" w:type="dxa"/>
            <w:vAlign w:val="center"/>
          </w:tcPr>
          <w:p w14:paraId="289C8C24">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76C03AAC">
            <w:pPr>
              <w:shd w:val="clear" w:fill="FFFFFF" w:themeFill="background1"/>
              <w:spacing w:line="276" w:lineRule="auto"/>
              <w:ind w:firstLine="480" w:firstLineChars="200"/>
              <w:jc w:val="left"/>
              <w:rPr>
                <w:rFonts w:ascii="宋体" w:hAnsi="宋体"/>
                <w:color w:val="auto"/>
                <w:sz w:val="24"/>
                <w:highlight w:val="none"/>
              </w:rPr>
            </w:pPr>
          </w:p>
        </w:tc>
      </w:tr>
      <w:tr w14:paraId="4F1C8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36A693A0">
            <w:pPr>
              <w:shd w:val="clear" w:fill="FFFFFF" w:themeFill="background1"/>
              <w:spacing w:line="276" w:lineRule="auto"/>
              <w:rPr>
                <w:rFonts w:ascii="宋体" w:hAnsi="宋体"/>
                <w:color w:val="auto"/>
                <w:sz w:val="24"/>
                <w:highlight w:val="none"/>
              </w:rPr>
            </w:pPr>
          </w:p>
        </w:tc>
        <w:tc>
          <w:tcPr>
            <w:tcW w:w="1143" w:type="dxa"/>
            <w:vAlign w:val="center"/>
          </w:tcPr>
          <w:p w14:paraId="73B55C7E">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03780156">
            <w:pPr>
              <w:shd w:val="clear" w:fill="FFFFFF" w:themeFill="background1"/>
              <w:spacing w:line="276" w:lineRule="auto"/>
              <w:ind w:firstLine="480" w:firstLineChars="200"/>
              <w:jc w:val="left"/>
              <w:rPr>
                <w:rFonts w:ascii="宋体" w:hAnsi="宋体"/>
                <w:color w:val="auto"/>
                <w:sz w:val="24"/>
                <w:highlight w:val="none"/>
              </w:rPr>
            </w:pPr>
          </w:p>
        </w:tc>
      </w:tr>
      <w:tr w14:paraId="6B67A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5931F646">
            <w:pPr>
              <w:shd w:val="clear" w:fill="FFFFFF" w:themeFill="background1"/>
              <w:spacing w:line="276" w:lineRule="auto"/>
              <w:rPr>
                <w:rFonts w:ascii="宋体" w:hAnsi="宋体"/>
                <w:color w:val="auto"/>
                <w:sz w:val="24"/>
                <w:highlight w:val="none"/>
              </w:rPr>
            </w:pPr>
          </w:p>
        </w:tc>
        <w:tc>
          <w:tcPr>
            <w:tcW w:w="1143" w:type="dxa"/>
            <w:vAlign w:val="center"/>
          </w:tcPr>
          <w:p w14:paraId="549ADAA9">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3A20E46C">
            <w:pPr>
              <w:shd w:val="clear" w:fill="FFFFFF" w:themeFill="background1"/>
              <w:spacing w:line="276" w:lineRule="auto"/>
              <w:ind w:firstLine="480" w:firstLineChars="200"/>
              <w:jc w:val="left"/>
              <w:rPr>
                <w:rFonts w:ascii="宋体" w:hAnsi="宋体"/>
                <w:color w:val="auto"/>
                <w:sz w:val="24"/>
                <w:highlight w:val="none"/>
              </w:rPr>
            </w:pPr>
          </w:p>
        </w:tc>
      </w:tr>
      <w:tr w14:paraId="38ED8A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7EB9F69C">
            <w:pPr>
              <w:shd w:val="clear" w:fill="FFFFFF" w:themeFill="background1"/>
              <w:spacing w:line="276" w:lineRule="auto"/>
              <w:rPr>
                <w:rFonts w:ascii="宋体" w:hAnsi="宋体"/>
                <w:color w:val="auto"/>
                <w:sz w:val="24"/>
                <w:highlight w:val="none"/>
              </w:rPr>
            </w:pPr>
          </w:p>
        </w:tc>
        <w:tc>
          <w:tcPr>
            <w:tcW w:w="1143" w:type="dxa"/>
            <w:vAlign w:val="center"/>
          </w:tcPr>
          <w:p w14:paraId="33B32682">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6657F6A0">
            <w:pPr>
              <w:shd w:val="clear" w:fill="FFFFFF" w:themeFill="background1"/>
              <w:spacing w:line="276" w:lineRule="auto"/>
              <w:ind w:firstLine="480" w:firstLineChars="200"/>
              <w:jc w:val="left"/>
              <w:rPr>
                <w:rFonts w:ascii="宋体" w:hAnsi="宋体"/>
                <w:color w:val="auto"/>
                <w:sz w:val="24"/>
                <w:highlight w:val="none"/>
              </w:rPr>
            </w:pPr>
          </w:p>
        </w:tc>
      </w:tr>
      <w:tr w14:paraId="5C63E7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1D92D1C3">
            <w:pPr>
              <w:shd w:val="clear" w:fill="FFFFFF" w:themeFill="background1"/>
              <w:spacing w:line="276" w:lineRule="auto"/>
              <w:rPr>
                <w:rFonts w:ascii="宋体" w:hAnsi="宋体"/>
                <w:color w:val="auto"/>
                <w:sz w:val="24"/>
                <w:highlight w:val="none"/>
              </w:rPr>
            </w:pPr>
          </w:p>
        </w:tc>
        <w:tc>
          <w:tcPr>
            <w:tcW w:w="1143" w:type="dxa"/>
            <w:vAlign w:val="center"/>
          </w:tcPr>
          <w:p w14:paraId="0709FCB2">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65B7DD11">
            <w:pPr>
              <w:shd w:val="clear" w:fill="FFFFFF" w:themeFill="background1"/>
              <w:spacing w:line="276" w:lineRule="auto"/>
              <w:ind w:firstLine="480" w:firstLineChars="200"/>
              <w:jc w:val="left"/>
              <w:rPr>
                <w:rFonts w:ascii="宋体" w:hAnsi="宋体"/>
                <w:color w:val="auto"/>
                <w:sz w:val="24"/>
                <w:highlight w:val="none"/>
              </w:rPr>
            </w:pPr>
          </w:p>
        </w:tc>
      </w:tr>
      <w:tr w14:paraId="1B4D11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4CAE97E3">
            <w:pPr>
              <w:shd w:val="clear" w:fill="FFFFFF" w:themeFill="background1"/>
              <w:spacing w:line="276" w:lineRule="auto"/>
              <w:rPr>
                <w:rFonts w:ascii="宋体" w:hAnsi="宋体"/>
                <w:color w:val="auto"/>
                <w:sz w:val="24"/>
                <w:highlight w:val="none"/>
              </w:rPr>
            </w:pPr>
          </w:p>
        </w:tc>
        <w:tc>
          <w:tcPr>
            <w:tcW w:w="1143" w:type="dxa"/>
            <w:vAlign w:val="center"/>
          </w:tcPr>
          <w:p w14:paraId="4452C4AF">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60B735AA">
            <w:pPr>
              <w:shd w:val="clear" w:fill="FFFFFF" w:themeFill="background1"/>
              <w:spacing w:line="276" w:lineRule="auto"/>
              <w:ind w:firstLine="480" w:firstLineChars="200"/>
              <w:jc w:val="left"/>
              <w:rPr>
                <w:rFonts w:ascii="宋体" w:hAnsi="宋体"/>
                <w:color w:val="auto"/>
                <w:sz w:val="24"/>
                <w:highlight w:val="none"/>
              </w:rPr>
            </w:pPr>
          </w:p>
        </w:tc>
      </w:tr>
      <w:tr w14:paraId="180C29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68EFB032">
            <w:pPr>
              <w:shd w:val="clear" w:fill="FFFFFF" w:themeFill="background1"/>
              <w:spacing w:line="276" w:lineRule="auto"/>
              <w:rPr>
                <w:rFonts w:ascii="宋体" w:hAnsi="宋体"/>
                <w:color w:val="auto"/>
                <w:sz w:val="24"/>
                <w:highlight w:val="none"/>
              </w:rPr>
            </w:pPr>
          </w:p>
        </w:tc>
        <w:tc>
          <w:tcPr>
            <w:tcW w:w="1143" w:type="dxa"/>
            <w:vAlign w:val="center"/>
          </w:tcPr>
          <w:p w14:paraId="2CB922BF">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66873BC5">
            <w:pPr>
              <w:shd w:val="clear" w:fill="FFFFFF" w:themeFill="background1"/>
              <w:spacing w:line="276" w:lineRule="auto"/>
              <w:ind w:firstLine="480" w:firstLineChars="200"/>
              <w:jc w:val="left"/>
              <w:rPr>
                <w:rFonts w:ascii="宋体" w:hAnsi="宋体"/>
                <w:color w:val="auto"/>
                <w:sz w:val="24"/>
                <w:highlight w:val="none"/>
              </w:rPr>
            </w:pPr>
          </w:p>
        </w:tc>
      </w:tr>
      <w:tr w14:paraId="6C1DD3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4A6773CA">
            <w:pPr>
              <w:shd w:val="clear" w:fill="FFFFFF" w:themeFill="background1"/>
              <w:spacing w:line="276" w:lineRule="auto"/>
              <w:rPr>
                <w:rFonts w:ascii="宋体" w:hAnsi="宋体"/>
                <w:color w:val="auto"/>
                <w:sz w:val="24"/>
                <w:highlight w:val="none"/>
              </w:rPr>
            </w:pPr>
          </w:p>
        </w:tc>
        <w:tc>
          <w:tcPr>
            <w:tcW w:w="1143" w:type="dxa"/>
            <w:vAlign w:val="center"/>
          </w:tcPr>
          <w:p w14:paraId="58031835">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6848B5A6">
            <w:pPr>
              <w:shd w:val="clear" w:fill="FFFFFF" w:themeFill="background1"/>
              <w:spacing w:line="276" w:lineRule="auto"/>
              <w:ind w:firstLine="480" w:firstLineChars="200"/>
              <w:jc w:val="left"/>
              <w:rPr>
                <w:rFonts w:ascii="宋体" w:hAnsi="宋体"/>
                <w:color w:val="auto"/>
                <w:sz w:val="24"/>
                <w:highlight w:val="none"/>
              </w:rPr>
            </w:pPr>
          </w:p>
        </w:tc>
      </w:tr>
      <w:tr w14:paraId="2E042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vAlign w:val="center"/>
          </w:tcPr>
          <w:p w14:paraId="23F3F25B">
            <w:pPr>
              <w:shd w:val="clear" w:fill="FFFFFF" w:themeFill="background1"/>
              <w:spacing w:line="276" w:lineRule="auto"/>
              <w:rPr>
                <w:rFonts w:ascii="宋体" w:hAnsi="宋体"/>
                <w:color w:val="auto"/>
                <w:sz w:val="24"/>
                <w:highlight w:val="none"/>
              </w:rPr>
            </w:pPr>
          </w:p>
        </w:tc>
        <w:tc>
          <w:tcPr>
            <w:tcW w:w="1143" w:type="dxa"/>
            <w:vAlign w:val="center"/>
          </w:tcPr>
          <w:p w14:paraId="41D7E14F">
            <w:pPr>
              <w:shd w:val="clear" w:fill="FFFFFF" w:themeFill="background1"/>
              <w:spacing w:line="276" w:lineRule="auto"/>
              <w:ind w:firstLine="480" w:firstLineChars="200"/>
              <w:rPr>
                <w:rFonts w:ascii="宋体" w:hAnsi="宋体"/>
                <w:color w:val="auto"/>
                <w:sz w:val="24"/>
                <w:highlight w:val="none"/>
              </w:rPr>
            </w:pPr>
          </w:p>
        </w:tc>
        <w:tc>
          <w:tcPr>
            <w:tcW w:w="6488" w:type="dxa"/>
            <w:vAlign w:val="center"/>
          </w:tcPr>
          <w:p w14:paraId="57C7B617">
            <w:pPr>
              <w:shd w:val="clear" w:fill="FFFFFF" w:themeFill="background1"/>
              <w:spacing w:line="276" w:lineRule="auto"/>
              <w:ind w:firstLine="480" w:firstLineChars="200"/>
              <w:jc w:val="left"/>
              <w:rPr>
                <w:rFonts w:ascii="宋体" w:hAnsi="宋体"/>
                <w:color w:val="auto"/>
                <w:sz w:val="24"/>
                <w:highlight w:val="none"/>
              </w:rPr>
            </w:pPr>
          </w:p>
        </w:tc>
      </w:tr>
      <w:tr w14:paraId="33421B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35" w:type="dxa"/>
            <w:tcBorders>
              <w:bottom w:val="single" w:color="auto" w:sz="12" w:space="0"/>
            </w:tcBorders>
            <w:vAlign w:val="center"/>
          </w:tcPr>
          <w:p w14:paraId="6D66BC13">
            <w:pPr>
              <w:shd w:val="clear" w:fill="FFFFFF" w:themeFill="background1"/>
              <w:spacing w:line="276" w:lineRule="auto"/>
              <w:rPr>
                <w:rFonts w:ascii="宋体" w:hAnsi="宋体"/>
                <w:color w:val="auto"/>
                <w:sz w:val="24"/>
                <w:highlight w:val="none"/>
              </w:rPr>
            </w:pPr>
          </w:p>
        </w:tc>
        <w:tc>
          <w:tcPr>
            <w:tcW w:w="1143" w:type="dxa"/>
            <w:tcBorders>
              <w:bottom w:val="single" w:color="auto" w:sz="12" w:space="0"/>
            </w:tcBorders>
            <w:vAlign w:val="center"/>
          </w:tcPr>
          <w:p w14:paraId="217037D4">
            <w:pPr>
              <w:shd w:val="clear" w:fill="FFFFFF" w:themeFill="background1"/>
              <w:spacing w:line="276" w:lineRule="auto"/>
              <w:ind w:firstLine="480" w:firstLineChars="200"/>
              <w:rPr>
                <w:rFonts w:ascii="宋体" w:hAnsi="宋体"/>
                <w:color w:val="auto"/>
                <w:sz w:val="24"/>
                <w:highlight w:val="none"/>
              </w:rPr>
            </w:pPr>
          </w:p>
        </w:tc>
        <w:tc>
          <w:tcPr>
            <w:tcW w:w="6488" w:type="dxa"/>
            <w:tcBorders>
              <w:bottom w:val="single" w:color="auto" w:sz="12" w:space="0"/>
            </w:tcBorders>
            <w:vAlign w:val="center"/>
          </w:tcPr>
          <w:p w14:paraId="5DBBD806">
            <w:pPr>
              <w:shd w:val="clear" w:fill="FFFFFF" w:themeFill="background1"/>
              <w:spacing w:line="276" w:lineRule="auto"/>
              <w:ind w:firstLine="480" w:firstLineChars="200"/>
              <w:jc w:val="left"/>
              <w:rPr>
                <w:rFonts w:ascii="宋体" w:hAnsi="宋体"/>
                <w:color w:val="auto"/>
                <w:sz w:val="24"/>
                <w:highlight w:val="none"/>
              </w:rPr>
            </w:pPr>
          </w:p>
        </w:tc>
      </w:tr>
    </w:tbl>
    <w:p w14:paraId="68F0236F">
      <w:pPr>
        <w:shd w:val="clear" w:fill="FFFFFF" w:themeFill="background1"/>
        <w:rPr>
          <w:color w:val="auto"/>
          <w:highlight w:val="none"/>
        </w:rPr>
      </w:pPr>
      <w:r>
        <w:rPr>
          <w:rFonts w:hint="eastAsia"/>
          <w:color w:val="auto"/>
          <w:sz w:val="24"/>
          <w:highlight w:val="none"/>
        </w:rPr>
        <w:t>注：本表所要求人员须按招标文件投标函的格式承诺，中标人在进场前向招标人提交实际投入的人员。</w:t>
      </w:r>
    </w:p>
    <w:p w14:paraId="00E2A71A">
      <w:pPr>
        <w:pStyle w:val="78"/>
        <w:shd w:val="clear" w:fill="FFFFFF" w:themeFill="background1"/>
        <w:spacing w:line="360" w:lineRule="auto"/>
        <w:rPr>
          <w:rFonts w:ascii="宋体" w:hAnsi="宋体"/>
          <w:color w:val="auto"/>
          <w:sz w:val="24"/>
          <w:szCs w:val="24"/>
          <w:highlight w:val="none"/>
        </w:rPr>
      </w:pPr>
    </w:p>
    <w:p w14:paraId="4B6DC167">
      <w:pPr>
        <w:shd w:val="clear" w:fill="FFFFFF" w:themeFill="background1"/>
        <w:rPr>
          <w:color w:val="auto"/>
          <w:highlight w:val="none"/>
        </w:rPr>
      </w:pPr>
    </w:p>
    <w:bookmarkEnd w:id="1698"/>
    <w:p w14:paraId="5C8C1478">
      <w:pPr>
        <w:pStyle w:val="78"/>
        <w:shd w:val="clear" w:fill="FFFFFF" w:themeFill="background1"/>
        <w:spacing w:line="360" w:lineRule="auto"/>
        <w:rPr>
          <w:rFonts w:ascii="宋体" w:hAnsi="宋体"/>
          <w:color w:val="auto"/>
          <w:sz w:val="24"/>
          <w:szCs w:val="24"/>
          <w:highlight w:val="none"/>
        </w:rPr>
      </w:pPr>
      <w:bookmarkStart w:id="1699" w:name="_Toc26675"/>
      <w:bookmarkEnd w:id="1699"/>
      <w:bookmarkStart w:id="1700" w:name="_Toc43476010"/>
      <w:bookmarkEnd w:id="1700"/>
      <w:bookmarkStart w:id="1701" w:name="_Toc43476011"/>
      <w:bookmarkEnd w:id="1701"/>
      <w:r>
        <w:rPr>
          <w:rFonts w:hint="eastAsia" w:ascii="宋体" w:hAnsi="宋体"/>
          <w:color w:val="auto"/>
          <w:sz w:val="24"/>
          <w:szCs w:val="24"/>
          <w:highlight w:val="none"/>
        </w:rPr>
        <w:br w:type="page"/>
      </w:r>
      <w:r>
        <w:rPr>
          <w:rFonts w:hint="eastAsia" w:ascii="宋体" w:hAnsi="宋体"/>
          <w:color w:val="auto"/>
          <w:sz w:val="24"/>
          <w:szCs w:val="24"/>
          <w:highlight w:val="none"/>
        </w:rPr>
        <w:t>附件五   主要设备最低要求</w:t>
      </w:r>
    </w:p>
    <w:tbl>
      <w:tblPr>
        <w:tblStyle w:val="45"/>
        <w:tblpPr w:leftFromText="180" w:rightFromText="180" w:vertAnchor="text" w:horzAnchor="page" w:tblpXSpec="center" w:tblpY="109"/>
        <w:tblOverlap w:val="never"/>
        <w:tblW w:w="8765" w:type="dxa"/>
        <w:jc w:val="center"/>
        <w:tblLayout w:type="fixed"/>
        <w:tblCellMar>
          <w:top w:w="0" w:type="dxa"/>
          <w:left w:w="0" w:type="dxa"/>
          <w:bottom w:w="0" w:type="dxa"/>
          <w:right w:w="0" w:type="dxa"/>
        </w:tblCellMar>
      </w:tblPr>
      <w:tblGrid>
        <w:gridCol w:w="772"/>
        <w:gridCol w:w="2736"/>
        <w:gridCol w:w="2972"/>
        <w:gridCol w:w="842"/>
        <w:gridCol w:w="1443"/>
      </w:tblGrid>
      <w:tr w14:paraId="6F260013">
        <w:tblPrEx>
          <w:tblCellMar>
            <w:top w:w="0" w:type="dxa"/>
            <w:left w:w="0" w:type="dxa"/>
            <w:bottom w:w="0" w:type="dxa"/>
            <w:right w:w="0" w:type="dxa"/>
          </w:tblCellMar>
        </w:tblPrEx>
        <w:trPr>
          <w:trHeight w:val="565" w:hRule="exact"/>
          <w:jc w:val="center"/>
        </w:trPr>
        <w:tc>
          <w:tcPr>
            <w:tcW w:w="772" w:type="dxa"/>
            <w:tcBorders>
              <w:top w:val="single" w:color="000000" w:sz="12" w:space="0"/>
              <w:left w:val="single" w:color="000000" w:sz="12" w:space="0"/>
              <w:bottom w:val="single" w:color="000000" w:sz="8" w:space="0"/>
              <w:right w:val="single" w:color="000000" w:sz="8" w:space="0"/>
            </w:tcBorders>
            <w:vAlign w:val="center"/>
          </w:tcPr>
          <w:p w14:paraId="40384B11">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2736" w:type="dxa"/>
            <w:tcBorders>
              <w:top w:val="single" w:color="000000" w:sz="12" w:space="0"/>
              <w:left w:val="single" w:color="000000" w:sz="8" w:space="0"/>
              <w:bottom w:val="single" w:color="000000" w:sz="8" w:space="0"/>
              <w:right w:val="single" w:color="000000" w:sz="8" w:space="0"/>
            </w:tcBorders>
            <w:vAlign w:val="center"/>
          </w:tcPr>
          <w:p w14:paraId="25165D69">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2972" w:type="dxa"/>
            <w:tcBorders>
              <w:top w:val="single" w:color="000000" w:sz="12" w:space="0"/>
              <w:left w:val="single" w:color="000000" w:sz="8" w:space="0"/>
              <w:bottom w:val="single" w:color="000000" w:sz="8" w:space="0"/>
              <w:right w:val="single" w:color="000000" w:sz="8" w:space="0"/>
            </w:tcBorders>
            <w:vAlign w:val="center"/>
          </w:tcPr>
          <w:p w14:paraId="75A2EA3D">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规格、功率及容量</w:t>
            </w:r>
          </w:p>
        </w:tc>
        <w:tc>
          <w:tcPr>
            <w:tcW w:w="842" w:type="dxa"/>
            <w:tcBorders>
              <w:top w:val="single" w:color="000000" w:sz="12" w:space="0"/>
              <w:left w:val="single" w:color="000000" w:sz="8" w:space="0"/>
              <w:bottom w:val="single" w:color="000000" w:sz="8" w:space="0"/>
              <w:right w:val="single" w:color="000000" w:sz="8" w:space="0"/>
            </w:tcBorders>
            <w:vAlign w:val="center"/>
          </w:tcPr>
          <w:p w14:paraId="2C60BCE9">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1443" w:type="dxa"/>
            <w:tcBorders>
              <w:top w:val="single" w:color="000000" w:sz="12" w:space="0"/>
              <w:left w:val="single" w:color="000000" w:sz="8" w:space="0"/>
              <w:bottom w:val="single" w:color="000000" w:sz="8" w:space="0"/>
              <w:right w:val="single" w:color="000000" w:sz="12" w:space="0"/>
            </w:tcBorders>
            <w:vAlign w:val="center"/>
          </w:tcPr>
          <w:p w14:paraId="462CA0B8">
            <w:pPr>
              <w:shd w:val="clear" w:fill="FFFFFF" w:themeFill="background1"/>
              <w:spacing w:line="360" w:lineRule="auto"/>
              <w:jc w:val="center"/>
              <w:rPr>
                <w:rFonts w:ascii="宋体" w:hAnsi="宋体" w:cs="宋体"/>
                <w:color w:val="auto"/>
                <w:sz w:val="24"/>
                <w:highlight w:val="none"/>
              </w:rPr>
            </w:pPr>
            <w:r>
              <w:rPr>
                <w:rFonts w:hint="eastAsia" w:ascii="宋体" w:hAnsi="宋体" w:cs="宋体"/>
                <w:color w:val="auto"/>
                <w:sz w:val="24"/>
                <w:highlight w:val="none"/>
              </w:rPr>
              <w:t>最低数量</w:t>
            </w:r>
          </w:p>
        </w:tc>
      </w:tr>
      <w:tr w14:paraId="63412351">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694BAB2">
            <w:pPr>
              <w:shd w:val="clear" w:fill="FFFFFF" w:themeFill="background1"/>
              <w:tabs>
                <w:tab w:val="left" w:pos="425"/>
              </w:tabs>
              <w:jc w:val="center"/>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74FAB">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A87C45">
            <w:pPr>
              <w:shd w:val="clear" w:fill="FFFFFF" w:themeFill="background1"/>
              <w:spacing w:line="360" w:lineRule="auto"/>
              <w:jc w:val="center"/>
              <w:rPr>
                <w:rFonts w:ascii="宋体" w:hAnsi="宋体" w:cs="宋体" w:eastAsiaTheme="minorEastAsia"/>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DFB9E0">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D3C418C">
            <w:pPr>
              <w:shd w:val="clear" w:fill="FFFFFF" w:themeFill="background1"/>
              <w:spacing w:line="360" w:lineRule="auto"/>
              <w:jc w:val="center"/>
              <w:rPr>
                <w:rFonts w:ascii="宋体" w:hAnsi="宋体" w:cs="宋体"/>
                <w:color w:val="auto"/>
                <w:sz w:val="24"/>
                <w:highlight w:val="none"/>
              </w:rPr>
            </w:pPr>
          </w:p>
        </w:tc>
      </w:tr>
      <w:tr w14:paraId="34CFD449">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DC15C9C">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9BD48B">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D64DFF2">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398357">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CB7D045">
            <w:pPr>
              <w:shd w:val="clear" w:fill="FFFFFF" w:themeFill="background1"/>
              <w:spacing w:line="360" w:lineRule="auto"/>
              <w:jc w:val="center"/>
              <w:rPr>
                <w:rFonts w:ascii="宋体" w:hAnsi="宋体" w:cs="宋体"/>
                <w:color w:val="auto"/>
                <w:sz w:val="24"/>
                <w:highlight w:val="none"/>
              </w:rPr>
            </w:pPr>
          </w:p>
        </w:tc>
      </w:tr>
      <w:tr w14:paraId="49149F7F">
        <w:tblPrEx>
          <w:tblCellMar>
            <w:top w:w="0" w:type="dxa"/>
            <w:left w:w="0" w:type="dxa"/>
            <w:bottom w:w="0" w:type="dxa"/>
            <w:right w:w="0" w:type="dxa"/>
          </w:tblCellMar>
        </w:tblPrEx>
        <w:trPr>
          <w:trHeight w:val="486"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29B8A1C1">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ECF227">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A84F13">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A55B23">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90BF287">
            <w:pPr>
              <w:shd w:val="clear" w:fill="FFFFFF" w:themeFill="background1"/>
              <w:spacing w:line="360" w:lineRule="auto"/>
              <w:jc w:val="center"/>
              <w:rPr>
                <w:rFonts w:ascii="宋体" w:hAnsi="宋体" w:cs="宋体"/>
                <w:color w:val="auto"/>
                <w:sz w:val="24"/>
                <w:highlight w:val="none"/>
              </w:rPr>
            </w:pPr>
          </w:p>
        </w:tc>
      </w:tr>
      <w:tr w14:paraId="122F2FD9">
        <w:tblPrEx>
          <w:tblCellMar>
            <w:top w:w="0" w:type="dxa"/>
            <w:left w:w="0" w:type="dxa"/>
            <w:bottom w:w="0" w:type="dxa"/>
            <w:right w:w="0" w:type="dxa"/>
          </w:tblCellMar>
        </w:tblPrEx>
        <w:trPr>
          <w:trHeight w:val="486"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B9D8825">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884215">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5FB7FD">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A2AC63">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9642C6A">
            <w:pPr>
              <w:shd w:val="clear" w:fill="FFFFFF" w:themeFill="background1"/>
              <w:spacing w:line="360" w:lineRule="auto"/>
              <w:jc w:val="center"/>
              <w:rPr>
                <w:rFonts w:ascii="宋体" w:hAnsi="宋体" w:cs="宋体"/>
                <w:color w:val="auto"/>
                <w:sz w:val="24"/>
                <w:highlight w:val="none"/>
              </w:rPr>
            </w:pPr>
          </w:p>
        </w:tc>
      </w:tr>
      <w:tr w14:paraId="34BEBD8F">
        <w:tblPrEx>
          <w:tblCellMar>
            <w:top w:w="0" w:type="dxa"/>
            <w:left w:w="0" w:type="dxa"/>
            <w:bottom w:w="0" w:type="dxa"/>
            <w:right w:w="0" w:type="dxa"/>
          </w:tblCellMar>
        </w:tblPrEx>
        <w:trPr>
          <w:trHeight w:val="486"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0251222">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1A7626">
            <w:pPr>
              <w:shd w:val="clear" w:fill="FFFFFF" w:themeFill="background1"/>
              <w:spacing w:line="360" w:lineRule="auto"/>
              <w:ind w:firstLine="240" w:firstLineChars="100"/>
              <w:jc w:val="left"/>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B277D1">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808DAEF">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193E205">
            <w:pPr>
              <w:shd w:val="clear" w:fill="FFFFFF" w:themeFill="background1"/>
              <w:spacing w:line="360" w:lineRule="auto"/>
              <w:jc w:val="center"/>
              <w:rPr>
                <w:rFonts w:ascii="宋体" w:hAnsi="宋体" w:cs="宋体"/>
                <w:color w:val="auto"/>
                <w:sz w:val="24"/>
                <w:highlight w:val="none"/>
              </w:rPr>
            </w:pPr>
          </w:p>
        </w:tc>
      </w:tr>
      <w:tr w14:paraId="665BD53D">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308BBAA">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D686D3">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4BF96">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B1CC28">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066189A6">
            <w:pPr>
              <w:shd w:val="clear" w:fill="FFFFFF" w:themeFill="background1"/>
              <w:spacing w:line="360" w:lineRule="auto"/>
              <w:jc w:val="center"/>
              <w:rPr>
                <w:rFonts w:ascii="宋体" w:hAnsi="宋体" w:cs="宋体"/>
                <w:color w:val="auto"/>
                <w:sz w:val="24"/>
                <w:highlight w:val="none"/>
              </w:rPr>
            </w:pPr>
          </w:p>
        </w:tc>
      </w:tr>
      <w:tr w14:paraId="352424FC">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7EC88B4D">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B3E49E">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6AFFE1">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B6B1CD">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168620D6">
            <w:pPr>
              <w:shd w:val="clear" w:fill="FFFFFF" w:themeFill="background1"/>
              <w:spacing w:line="360" w:lineRule="auto"/>
              <w:jc w:val="center"/>
              <w:rPr>
                <w:rFonts w:ascii="宋体" w:hAnsi="宋体" w:cs="宋体"/>
                <w:color w:val="auto"/>
                <w:sz w:val="24"/>
                <w:highlight w:val="none"/>
              </w:rPr>
            </w:pPr>
          </w:p>
        </w:tc>
      </w:tr>
      <w:tr w14:paraId="6F19CD62">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47FB12FA">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FBBE14">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6B28E4">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EB35DCE">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0CC6651E">
            <w:pPr>
              <w:shd w:val="clear" w:fill="FFFFFF" w:themeFill="background1"/>
              <w:spacing w:line="360" w:lineRule="auto"/>
              <w:jc w:val="center"/>
              <w:rPr>
                <w:rFonts w:ascii="宋体" w:hAnsi="宋体" w:cs="宋体"/>
                <w:color w:val="auto"/>
                <w:sz w:val="24"/>
                <w:highlight w:val="none"/>
              </w:rPr>
            </w:pPr>
          </w:p>
        </w:tc>
      </w:tr>
      <w:tr w14:paraId="458ED4CC">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60856252">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7BF5A9">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D33BA7">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D24B3E">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4C0F5E4D">
            <w:pPr>
              <w:shd w:val="clear" w:fill="FFFFFF" w:themeFill="background1"/>
              <w:spacing w:line="360" w:lineRule="auto"/>
              <w:jc w:val="center"/>
              <w:rPr>
                <w:rFonts w:ascii="宋体" w:hAnsi="宋体" w:cs="宋体"/>
                <w:color w:val="auto"/>
                <w:sz w:val="24"/>
                <w:highlight w:val="none"/>
              </w:rPr>
            </w:pPr>
          </w:p>
        </w:tc>
      </w:tr>
      <w:tr w14:paraId="490F94D0">
        <w:tblPrEx>
          <w:tblCellMar>
            <w:top w:w="0" w:type="dxa"/>
            <w:left w:w="0" w:type="dxa"/>
            <w:bottom w:w="0" w:type="dxa"/>
            <w:right w:w="0" w:type="dxa"/>
          </w:tblCellMar>
        </w:tblPrEx>
        <w:trPr>
          <w:trHeight w:val="550"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8378B7E">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914C80">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E574DE">
            <w:pPr>
              <w:shd w:val="clear" w:fill="FFFFFF" w:themeFill="background1"/>
              <w:adjustRightInd w:val="0"/>
              <w:snapToGrid w:val="0"/>
              <w:jc w:val="center"/>
              <w:rPr>
                <w:rFonts w:ascii="宋体" w:hAnsi="宋体" w:cs="宋体" w:eastAsiaTheme="minorEastAsia"/>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C9CEAC">
            <w:pPr>
              <w:shd w:val="clear" w:fill="FFFFFF" w:themeFill="background1"/>
              <w:adjustRightInd w:val="0"/>
              <w:snapToGrid w:val="0"/>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5D79BBE0">
            <w:pPr>
              <w:shd w:val="clear" w:fill="FFFFFF" w:themeFill="background1"/>
              <w:adjustRightInd w:val="0"/>
              <w:snapToGrid w:val="0"/>
              <w:jc w:val="center"/>
              <w:rPr>
                <w:rFonts w:ascii="宋体" w:hAnsi="宋体" w:cs="宋体" w:eastAsiaTheme="minorEastAsia"/>
                <w:color w:val="auto"/>
                <w:sz w:val="24"/>
                <w:highlight w:val="none"/>
              </w:rPr>
            </w:pPr>
          </w:p>
        </w:tc>
      </w:tr>
      <w:tr w14:paraId="63DDA1A8">
        <w:tblPrEx>
          <w:tblCellMar>
            <w:top w:w="0" w:type="dxa"/>
            <w:left w:w="0" w:type="dxa"/>
            <w:bottom w:w="0" w:type="dxa"/>
            <w:right w:w="0" w:type="dxa"/>
          </w:tblCellMar>
        </w:tblPrEx>
        <w:trPr>
          <w:trHeight w:val="525" w:hRule="atLeas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0AD7BD0F">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D9773E8">
            <w:pPr>
              <w:shd w:val="clear" w:fill="FFFFFF" w:themeFill="background1"/>
              <w:spacing w:line="360" w:lineRule="auto"/>
              <w:ind w:firstLine="240" w:firstLineChars="100"/>
              <w:rPr>
                <w:rFonts w:ascii="宋体" w:hAnsi="宋体" w:cs="宋体" w:eastAsiaTheme="minorEastAsia"/>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466666">
            <w:pPr>
              <w:shd w:val="clear" w:fill="FFFFFF" w:themeFill="background1"/>
              <w:adjustRightInd w:val="0"/>
              <w:snapToGrid w:val="0"/>
              <w:jc w:val="center"/>
              <w:rPr>
                <w:rFonts w:ascii="宋体" w:hAnsi="宋体" w:cs="宋体" w:eastAsiaTheme="minorEastAsia"/>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19E35C">
            <w:pPr>
              <w:shd w:val="clear" w:fill="FFFFFF" w:themeFill="background1"/>
              <w:adjustRightInd w:val="0"/>
              <w:snapToGrid w:val="0"/>
              <w:jc w:val="center"/>
              <w:rPr>
                <w:rFonts w:ascii="宋体" w:hAnsi="宋体" w:cs="宋体" w:eastAsiaTheme="minorEastAsia"/>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09E46862">
            <w:pPr>
              <w:shd w:val="clear" w:fill="FFFFFF" w:themeFill="background1"/>
              <w:adjustRightInd w:val="0"/>
              <w:snapToGrid w:val="0"/>
              <w:jc w:val="center"/>
              <w:rPr>
                <w:rFonts w:ascii="宋体" w:hAnsi="宋体" w:cs="宋体" w:eastAsiaTheme="minorEastAsia"/>
                <w:color w:val="auto"/>
                <w:sz w:val="24"/>
                <w:highlight w:val="none"/>
              </w:rPr>
            </w:pPr>
          </w:p>
        </w:tc>
      </w:tr>
      <w:tr w14:paraId="02DD2677">
        <w:tblPrEx>
          <w:tblCellMar>
            <w:top w:w="0" w:type="dxa"/>
            <w:left w:w="0" w:type="dxa"/>
            <w:bottom w:w="0" w:type="dxa"/>
            <w:right w:w="0" w:type="dxa"/>
          </w:tblCellMar>
        </w:tblPrEx>
        <w:trPr>
          <w:trHeight w:val="568" w:hRule="atLeas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CB1CD4E">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82330F7">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C108052">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8CDDF2">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393CC6EB">
            <w:pPr>
              <w:shd w:val="clear" w:fill="FFFFFF" w:themeFill="background1"/>
              <w:spacing w:line="360" w:lineRule="auto"/>
              <w:jc w:val="center"/>
              <w:rPr>
                <w:rFonts w:ascii="宋体" w:hAnsi="宋体" w:cs="宋体"/>
                <w:color w:val="auto"/>
                <w:sz w:val="24"/>
                <w:highlight w:val="none"/>
              </w:rPr>
            </w:pPr>
          </w:p>
        </w:tc>
      </w:tr>
      <w:tr w14:paraId="0C4DF813">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shd w:val="clear" w:color="auto" w:fill="auto"/>
            <w:vAlign w:val="center"/>
          </w:tcPr>
          <w:p w14:paraId="5EC17642">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4D0360">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5BA95A">
            <w:pPr>
              <w:shd w:val="clear" w:fill="FFFFFF" w:themeFill="background1"/>
              <w:spacing w:line="360" w:lineRule="auto"/>
              <w:jc w:val="center"/>
              <w:rPr>
                <w:rFonts w:ascii="宋体" w:hAnsi="宋体" w:cs="宋体"/>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E7F014">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shd w:val="clear" w:color="auto" w:fill="FFFFFF"/>
            <w:vAlign w:val="center"/>
          </w:tcPr>
          <w:p w14:paraId="2B8DB88F">
            <w:pPr>
              <w:shd w:val="clear" w:fill="FFFFFF" w:themeFill="background1"/>
              <w:spacing w:line="360" w:lineRule="auto"/>
              <w:jc w:val="center"/>
              <w:rPr>
                <w:rFonts w:ascii="宋体" w:hAnsi="宋体" w:cs="宋体"/>
                <w:color w:val="auto"/>
                <w:sz w:val="24"/>
                <w:highlight w:val="none"/>
              </w:rPr>
            </w:pPr>
          </w:p>
        </w:tc>
      </w:tr>
      <w:tr w14:paraId="53C8070D">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vAlign w:val="center"/>
          </w:tcPr>
          <w:p w14:paraId="33A0F9B2">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vAlign w:val="center"/>
          </w:tcPr>
          <w:p w14:paraId="64BCF9F9">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vAlign w:val="center"/>
          </w:tcPr>
          <w:p w14:paraId="3151ED2B">
            <w:pPr>
              <w:shd w:val="clear" w:fill="FFFFFF" w:themeFill="background1"/>
              <w:spacing w:line="360" w:lineRule="auto"/>
              <w:jc w:val="center"/>
              <w:rPr>
                <w:rFonts w:ascii="宋体" w:hAnsi="宋体" w:cs="宋体" w:eastAsiaTheme="minorEastAsia"/>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vAlign w:val="center"/>
          </w:tcPr>
          <w:p w14:paraId="11C5FB82">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vAlign w:val="center"/>
          </w:tcPr>
          <w:p w14:paraId="0985E3D6">
            <w:pPr>
              <w:shd w:val="clear" w:fill="FFFFFF" w:themeFill="background1"/>
              <w:spacing w:line="360" w:lineRule="auto"/>
              <w:jc w:val="center"/>
              <w:rPr>
                <w:rFonts w:ascii="宋体" w:hAnsi="宋体" w:cs="宋体" w:eastAsiaTheme="minorEastAsia"/>
                <w:color w:val="auto"/>
                <w:sz w:val="24"/>
                <w:highlight w:val="none"/>
              </w:rPr>
            </w:pPr>
          </w:p>
        </w:tc>
      </w:tr>
      <w:tr w14:paraId="28342299">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vAlign w:val="center"/>
          </w:tcPr>
          <w:p w14:paraId="32055BE6">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vAlign w:val="center"/>
          </w:tcPr>
          <w:p w14:paraId="6F3B58B4">
            <w:pPr>
              <w:shd w:val="clear" w:fill="FFFFFF" w:themeFill="background1"/>
              <w:spacing w:line="360" w:lineRule="auto"/>
              <w:ind w:firstLine="240" w:firstLineChars="100"/>
              <w:rPr>
                <w:rFonts w:ascii="宋体" w:hAnsi="宋体" w:cs="宋体"/>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vAlign w:val="center"/>
          </w:tcPr>
          <w:p w14:paraId="07BA94D5">
            <w:pPr>
              <w:shd w:val="clear" w:fill="FFFFFF" w:themeFill="background1"/>
              <w:spacing w:line="360" w:lineRule="auto"/>
              <w:jc w:val="center"/>
              <w:rPr>
                <w:rFonts w:ascii="宋体" w:hAnsi="宋体" w:cs="宋体" w:eastAsiaTheme="minorEastAsia"/>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vAlign w:val="center"/>
          </w:tcPr>
          <w:p w14:paraId="27B6213D">
            <w:pPr>
              <w:shd w:val="clear" w:fill="FFFFFF" w:themeFill="background1"/>
              <w:spacing w:line="360" w:lineRule="auto"/>
              <w:jc w:val="center"/>
              <w:rPr>
                <w:rFonts w:ascii="宋体" w:hAnsi="宋体" w:cs="宋体"/>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vAlign w:val="center"/>
          </w:tcPr>
          <w:p w14:paraId="6A923F08">
            <w:pPr>
              <w:shd w:val="clear" w:fill="FFFFFF" w:themeFill="background1"/>
              <w:spacing w:line="360" w:lineRule="auto"/>
              <w:jc w:val="center"/>
              <w:rPr>
                <w:rFonts w:ascii="宋体" w:hAnsi="宋体" w:cs="宋体" w:eastAsiaTheme="minorEastAsia"/>
                <w:color w:val="auto"/>
                <w:sz w:val="24"/>
                <w:highlight w:val="none"/>
              </w:rPr>
            </w:pPr>
          </w:p>
        </w:tc>
      </w:tr>
      <w:tr w14:paraId="5F3CD2FA">
        <w:tblPrEx>
          <w:tblCellMar>
            <w:top w:w="0" w:type="dxa"/>
            <w:left w:w="0" w:type="dxa"/>
            <w:bottom w:w="0" w:type="dxa"/>
            <w:right w:w="0" w:type="dxa"/>
          </w:tblCellMar>
        </w:tblPrEx>
        <w:trPr>
          <w:trHeight w:val="565" w:hRule="exact"/>
          <w:jc w:val="center"/>
        </w:trPr>
        <w:tc>
          <w:tcPr>
            <w:tcW w:w="772" w:type="dxa"/>
            <w:tcBorders>
              <w:top w:val="single" w:color="000000" w:sz="8" w:space="0"/>
              <w:left w:val="single" w:color="000000" w:sz="12" w:space="0"/>
              <w:bottom w:val="single" w:color="000000" w:sz="8" w:space="0"/>
              <w:right w:val="single" w:color="000000" w:sz="8" w:space="0"/>
            </w:tcBorders>
            <w:vAlign w:val="center"/>
          </w:tcPr>
          <w:p w14:paraId="6CFDA2DA">
            <w:pPr>
              <w:shd w:val="clear" w:fill="FFFFFF" w:themeFill="background1"/>
              <w:tabs>
                <w:tab w:val="left" w:pos="425"/>
              </w:tabs>
              <w:ind w:left="299"/>
              <w:rPr>
                <w:rFonts w:ascii="宋体" w:hAnsi="宋体" w:cs="宋体"/>
                <w:color w:val="auto"/>
                <w:sz w:val="24"/>
                <w:highlight w:val="none"/>
              </w:rPr>
            </w:pPr>
          </w:p>
        </w:tc>
        <w:tc>
          <w:tcPr>
            <w:tcW w:w="2736" w:type="dxa"/>
            <w:tcBorders>
              <w:top w:val="single" w:color="000000" w:sz="8" w:space="0"/>
              <w:left w:val="single" w:color="000000" w:sz="8" w:space="0"/>
              <w:bottom w:val="single" w:color="000000" w:sz="8" w:space="0"/>
              <w:right w:val="single" w:color="000000" w:sz="8" w:space="0"/>
            </w:tcBorders>
            <w:vAlign w:val="center"/>
          </w:tcPr>
          <w:p w14:paraId="6F0A2B15">
            <w:pPr>
              <w:shd w:val="clear" w:fill="FFFFFF" w:themeFill="background1"/>
              <w:spacing w:line="360" w:lineRule="auto"/>
              <w:ind w:firstLine="240" w:firstLineChars="100"/>
              <w:rPr>
                <w:rFonts w:ascii="宋体" w:hAnsi="宋体" w:cs="宋体" w:eastAsiaTheme="minorEastAsia"/>
                <w:color w:val="auto"/>
                <w:sz w:val="24"/>
                <w:highlight w:val="none"/>
              </w:rPr>
            </w:pPr>
          </w:p>
        </w:tc>
        <w:tc>
          <w:tcPr>
            <w:tcW w:w="2972" w:type="dxa"/>
            <w:tcBorders>
              <w:top w:val="single" w:color="000000" w:sz="8" w:space="0"/>
              <w:left w:val="single" w:color="000000" w:sz="8" w:space="0"/>
              <w:bottom w:val="single" w:color="000000" w:sz="8" w:space="0"/>
              <w:right w:val="single" w:color="000000" w:sz="8" w:space="0"/>
            </w:tcBorders>
            <w:vAlign w:val="center"/>
          </w:tcPr>
          <w:p w14:paraId="13F05095">
            <w:pPr>
              <w:shd w:val="clear" w:fill="FFFFFF" w:themeFill="background1"/>
              <w:spacing w:line="360" w:lineRule="auto"/>
              <w:jc w:val="center"/>
              <w:rPr>
                <w:rFonts w:ascii="宋体" w:hAnsi="宋体" w:cs="宋体" w:eastAsiaTheme="minorEastAsia"/>
                <w:color w:val="auto"/>
                <w:sz w:val="24"/>
                <w:highlight w:val="none"/>
              </w:rPr>
            </w:pPr>
          </w:p>
        </w:tc>
        <w:tc>
          <w:tcPr>
            <w:tcW w:w="842" w:type="dxa"/>
            <w:tcBorders>
              <w:top w:val="single" w:color="000000" w:sz="8" w:space="0"/>
              <w:left w:val="single" w:color="000000" w:sz="8" w:space="0"/>
              <w:bottom w:val="single" w:color="000000" w:sz="8" w:space="0"/>
              <w:right w:val="single" w:color="000000" w:sz="8" w:space="0"/>
            </w:tcBorders>
            <w:vAlign w:val="center"/>
          </w:tcPr>
          <w:p w14:paraId="7BB695DD">
            <w:pPr>
              <w:shd w:val="clear" w:fill="FFFFFF" w:themeFill="background1"/>
              <w:spacing w:line="360" w:lineRule="auto"/>
              <w:jc w:val="center"/>
              <w:rPr>
                <w:rFonts w:ascii="宋体" w:hAnsi="宋体" w:cs="宋体" w:eastAsiaTheme="minorEastAsia"/>
                <w:color w:val="auto"/>
                <w:sz w:val="24"/>
                <w:highlight w:val="none"/>
              </w:rPr>
            </w:pPr>
          </w:p>
        </w:tc>
        <w:tc>
          <w:tcPr>
            <w:tcW w:w="1443" w:type="dxa"/>
            <w:tcBorders>
              <w:top w:val="single" w:color="000000" w:sz="8" w:space="0"/>
              <w:left w:val="single" w:color="000000" w:sz="8" w:space="0"/>
              <w:bottom w:val="single" w:color="000000" w:sz="8" w:space="0"/>
              <w:right w:val="single" w:color="000000" w:sz="12" w:space="0"/>
            </w:tcBorders>
            <w:vAlign w:val="center"/>
          </w:tcPr>
          <w:p w14:paraId="2DE55F5A">
            <w:pPr>
              <w:shd w:val="clear" w:fill="FFFFFF" w:themeFill="background1"/>
              <w:spacing w:line="360" w:lineRule="auto"/>
              <w:jc w:val="center"/>
              <w:rPr>
                <w:rFonts w:ascii="宋体" w:hAnsi="宋体" w:cs="宋体" w:eastAsiaTheme="minorEastAsia"/>
                <w:color w:val="auto"/>
                <w:sz w:val="24"/>
                <w:highlight w:val="none"/>
              </w:rPr>
            </w:pPr>
          </w:p>
        </w:tc>
      </w:tr>
    </w:tbl>
    <w:p w14:paraId="0C29EA0A">
      <w:pPr>
        <w:shd w:val="clear" w:fill="FFFFFF" w:themeFill="background1"/>
        <w:rPr>
          <w:rFonts w:ascii="宋体" w:hAnsi="宋体"/>
          <w:color w:val="auto"/>
          <w:sz w:val="24"/>
          <w:highlight w:val="none"/>
        </w:rPr>
      </w:pPr>
    </w:p>
    <w:p w14:paraId="54D2D973">
      <w:pPr>
        <w:pStyle w:val="55"/>
        <w:shd w:val="clear" w:fill="FFFFFF" w:themeFill="background1"/>
        <w:rPr>
          <w:rFonts w:ascii="宋体" w:hAnsi="宋体"/>
          <w:color w:val="auto"/>
          <w:sz w:val="24"/>
          <w:highlight w:val="none"/>
        </w:rPr>
      </w:pPr>
    </w:p>
    <w:p w14:paraId="114A07CF">
      <w:pPr>
        <w:pStyle w:val="55"/>
        <w:shd w:val="clear" w:fill="FFFFFF" w:themeFill="background1"/>
        <w:rPr>
          <w:rFonts w:ascii="宋体" w:hAnsi="宋体"/>
          <w:color w:val="auto"/>
          <w:sz w:val="24"/>
          <w:highlight w:val="none"/>
        </w:rPr>
      </w:pPr>
    </w:p>
    <w:p w14:paraId="6A6AF1C8">
      <w:pPr>
        <w:pStyle w:val="55"/>
        <w:shd w:val="clear" w:fill="FFFFFF" w:themeFill="background1"/>
        <w:rPr>
          <w:rFonts w:ascii="宋体" w:hAnsi="宋体"/>
          <w:color w:val="auto"/>
          <w:sz w:val="24"/>
          <w:highlight w:val="none"/>
        </w:rPr>
      </w:pPr>
    </w:p>
    <w:p w14:paraId="55F85E80">
      <w:pPr>
        <w:pStyle w:val="55"/>
        <w:shd w:val="clear" w:fill="FFFFFF" w:themeFill="background1"/>
        <w:rPr>
          <w:rFonts w:ascii="宋体" w:hAnsi="宋体"/>
          <w:color w:val="auto"/>
          <w:sz w:val="24"/>
          <w:highlight w:val="none"/>
        </w:rPr>
      </w:pPr>
    </w:p>
    <w:p w14:paraId="73C364BE">
      <w:pPr>
        <w:pStyle w:val="55"/>
        <w:shd w:val="clear" w:fill="FFFFFF" w:themeFill="background1"/>
        <w:rPr>
          <w:rFonts w:ascii="宋体" w:hAnsi="宋体"/>
          <w:color w:val="auto"/>
          <w:sz w:val="24"/>
          <w:highlight w:val="none"/>
        </w:rPr>
      </w:pPr>
    </w:p>
    <w:p w14:paraId="6A0C39BC">
      <w:pPr>
        <w:pStyle w:val="55"/>
        <w:shd w:val="clear" w:fill="FFFFFF" w:themeFill="background1"/>
        <w:rPr>
          <w:rFonts w:ascii="宋体" w:hAnsi="宋体"/>
          <w:color w:val="auto"/>
          <w:sz w:val="24"/>
          <w:highlight w:val="none"/>
        </w:rPr>
      </w:pPr>
    </w:p>
    <w:p w14:paraId="22507DC1">
      <w:pPr>
        <w:pStyle w:val="55"/>
        <w:shd w:val="clear" w:fill="FFFFFF" w:themeFill="background1"/>
        <w:rPr>
          <w:rFonts w:ascii="宋体" w:hAnsi="宋体"/>
          <w:color w:val="auto"/>
          <w:sz w:val="24"/>
          <w:highlight w:val="none"/>
        </w:rPr>
      </w:pPr>
    </w:p>
    <w:p w14:paraId="4639F534">
      <w:pPr>
        <w:pStyle w:val="55"/>
        <w:shd w:val="clear" w:fill="FFFFFF" w:themeFill="background1"/>
        <w:rPr>
          <w:rFonts w:ascii="宋体" w:hAnsi="宋体"/>
          <w:color w:val="auto"/>
          <w:sz w:val="24"/>
          <w:highlight w:val="none"/>
        </w:rPr>
      </w:pPr>
    </w:p>
    <w:p w14:paraId="34EF5F3B">
      <w:pPr>
        <w:pStyle w:val="55"/>
        <w:shd w:val="clear" w:fill="FFFFFF" w:themeFill="background1"/>
        <w:rPr>
          <w:rFonts w:ascii="宋体" w:hAnsi="宋体"/>
          <w:color w:val="auto"/>
          <w:sz w:val="24"/>
          <w:highlight w:val="none"/>
        </w:rPr>
      </w:pPr>
    </w:p>
    <w:p w14:paraId="0828D66D">
      <w:pPr>
        <w:pStyle w:val="55"/>
        <w:shd w:val="clear" w:fill="FFFFFF" w:themeFill="background1"/>
        <w:rPr>
          <w:rFonts w:ascii="宋体" w:hAnsi="宋体"/>
          <w:color w:val="auto"/>
          <w:sz w:val="24"/>
          <w:highlight w:val="none"/>
        </w:rPr>
      </w:pPr>
    </w:p>
    <w:p w14:paraId="5904B912">
      <w:pPr>
        <w:pStyle w:val="55"/>
        <w:shd w:val="clear" w:fill="FFFFFF" w:themeFill="background1"/>
        <w:rPr>
          <w:rFonts w:ascii="宋体" w:hAnsi="宋体"/>
          <w:color w:val="auto"/>
          <w:sz w:val="24"/>
          <w:highlight w:val="none"/>
        </w:rPr>
      </w:pPr>
    </w:p>
    <w:p w14:paraId="349941B1">
      <w:pPr>
        <w:pStyle w:val="55"/>
        <w:shd w:val="clear" w:fill="FFFFFF" w:themeFill="background1"/>
        <w:rPr>
          <w:rFonts w:ascii="宋体" w:hAnsi="宋体"/>
          <w:color w:val="auto"/>
          <w:sz w:val="24"/>
          <w:highlight w:val="none"/>
        </w:rPr>
      </w:pPr>
    </w:p>
    <w:p w14:paraId="658BB3B1">
      <w:pPr>
        <w:pStyle w:val="55"/>
        <w:shd w:val="clear" w:fill="FFFFFF" w:themeFill="background1"/>
        <w:rPr>
          <w:rFonts w:ascii="宋体" w:hAnsi="宋体"/>
          <w:color w:val="auto"/>
          <w:sz w:val="24"/>
          <w:highlight w:val="none"/>
        </w:rPr>
      </w:pPr>
    </w:p>
    <w:p w14:paraId="1F5E5C50">
      <w:pPr>
        <w:pStyle w:val="55"/>
        <w:shd w:val="clear" w:fill="FFFFFF" w:themeFill="background1"/>
        <w:rPr>
          <w:rFonts w:ascii="宋体" w:hAnsi="宋体"/>
          <w:color w:val="auto"/>
          <w:sz w:val="24"/>
          <w:highlight w:val="none"/>
        </w:rPr>
      </w:pPr>
    </w:p>
    <w:p w14:paraId="3D34C65B">
      <w:pPr>
        <w:pStyle w:val="55"/>
        <w:shd w:val="clear" w:fill="FFFFFF" w:themeFill="background1"/>
        <w:rPr>
          <w:rFonts w:ascii="宋体" w:hAnsi="宋体"/>
          <w:color w:val="auto"/>
          <w:sz w:val="24"/>
          <w:highlight w:val="none"/>
        </w:rPr>
      </w:pPr>
    </w:p>
    <w:p w14:paraId="26532D1F">
      <w:pPr>
        <w:pStyle w:val="55"/>
        <w:shd w:val="clear" w:fill="FFFFFF" w:themeFill="background1"/>
        <w:rPr>
          <w:rFonts w:ascii="宋体" w:hAnsi="宋体"/>
          <w:color w:val="auto"/>
          <w:sz w:val="24"/>
          <w:highlight w:val="none"/>
        </w:rPr>
      </w:pPr>
    </w:p>
    <w:p w14:paraId="4ED74AE4">
      <w:pPr>
        <w:pStyle w:val="55"/>
        <w:shd w:val="clear" w:fill="FFFFFF" w:themeFill="background1"/>
        <w:rPr>
          <w:rFonts w:ascii="宋体" w:hAnsi="宋体"/>
          <w:color w:val="auto"/>
          <w:sz w:val="24"/>
          <w:highlight w:val="none"/>
        </w:rPr>
      </w:pPr>
    </w:p>
    <w:p w14:paraId="0FEBBBE3">
      <w:pPr>
        <w:pStyle w:val="80"/>
        <w:shd w:val="clear" w:fill="FFFFFF" w:themeFill="background1"/>
        <w:spacing w:before="81"/>
        <w:ind w:right="164"/>
        <w:jc w:val="left"/>
        <w:rPr>
          <w:rFonts w:ascii="宋体" w:hAnsi="宋体" w:cs="宋体"/>
          <w:color w:val="auto"/>
          <w:sz w:val="24"/>
          <w:szCs w:val="22"/>
          <w:highlight w:val="none"/>
        </w:rPr>
      </w:pPr>
      <w:r>
        <w:rPr>
          <w:rFonts w:hint="eastAsia" w:ascii="宋体" w:hAnsi="宋体" w:cs="宋体"/>
          <w:color w:val="auto"/>
          <w:sz w:val="24"/>
          <w:szCs w:val="22"/>
          <w:highlight w:val="none"/>
        </w:rPr>
        <w:t>注：1、本表所要求的主要机械设备和试验检测设备须按招标文件投标函的格式承诺，中标人在进场前向招标人提交实际投入的机械设备。</w:t>
      </w:r>
    </w:p>
    <w:p w14:paraId="78CA485D">
      <w:pPr>
        <w:pStyle w:val="80"/>
        <w:shd w:val="clear" w:fill="FFFFFF" w:themeFill="background1"/>
        <w:spacing w:before="81"/>
        <w:ind w:right="164" w:firstLine="480"/>
        <w:jc w:val="left"/>
        <w:rPr>
          <w:rFonts w:ascii="宋体" w:hAnsi="宋体" w:cs="宋体"/>
          <w:color w:val="auto"/>
          <w:sz w:val="24"/>
          <w:highlight w:val="none"/>
        </w:rPr>
      </w:pPr>
      <w:r>
        <w:rPr>
          <w:rFonts w:hint="eastAsia" w:ascii="宋体" w:hAnsi="宋体" w:cs="宋体"/>
          <w:color w:val="auto"/>
          <w:sz w:val="24"/>
          <w:szCs w:val="22"/>
          <w:highlight w:val="none"/>
        </w:rPr>
        <w:t>2、招标人有权根据标段的工程特点、工程量及工程进度情况要求增加相应的施工设备，由此不存在索赔问题</w:t>
      </w:r>
      <w:r>
        <w:rPr>
          <w:rFonts w:hint="eastAsia" w:ascii="宋体" w:hAnsi="宋体" w:cs="宋体"/>
          <w:color w:val="auto"/>
          <w:sz w:val="24"/>
          <w:highlight w:val="none"/>
        </w:rPr>
        <w:t>。</w:t>
      </w:r>
    </w:p>
    <w:p w14:paraId="0F5FC3BF">
      <w:pPr>
        <w:pStyle w:val="5"/>
        <w:shd w:val="clear" w:fill="FFFFFF" w:themeFill="background1"/>
        <w:rPr>
          <w:color w:val="auto"/>
          <w:highlight w:val="none"/>
        </w:rPr>
      </w:pPr>
      <w:bookmarkStart w:id="1702" w:name="_Toc43476012"/>
      <w:bookmarkEnd w:id="1702"/>
      <w:bookmarkStart w:id="1703" w:name="_Toc16658"/>
      <w:bookmarkEnd w:id="1703"/>
      <w:bookmarkStart w:id="1704" w:name="_Toc505844508"/>
      <w:bookmarkEnd w:id="1704"/>
      <w:r>
        <w:rPr>
          <w:rFonts w:hint="eastAsia"/>
          <w:color w:val="auto"/>
          <w:highlight w:val="none"/>
        </w:rPr>
        <w:br w:type="page"/>
      </w:r>
      <w:r>
        <w:rPr>
          <w:rFonts w:hint="eastAsia"/>
          <w:color w:val="auto"/>
          <w:sz w:val="24"/>
          <w:szCs w:val="24"/>
          <w:highlight w:val="none"/>
        </w:rPr>
        <w:t>附件六  项目经理委托书</w:t>
      </w:r>
    </w:p>
    <w:p w14:paraId="503BEF1B">
      <w:pPr>
        <w:shd w:val="clear" w:fill="FFFFFF" w:themeFill="background1"/>
        <w:spacing w:line="400" w:lineRule="exact"/>
        <w:rPr>
          <w:rFonts w:ascii="宋体" w:hAnsi="宋体"/>
          <w:color w:val="auto"/>
          <w:sz w:val="24"/>
          <w:highlight w:val="none"/>
        </w:rPr>
      </w:pPr>
    </w:p>
    <w:p w14:paraId="391E3875">
      <w:pPr>
        <w:shd w:val="clear" w:fill="FFFFFF" w:themeFill="background1"/>
        <w:spacing w:line="400" w:lineRule="exact"/>
        <w:jc w:val="center"/>
        <w:rPr>
          <w:rFonts w:ascii="宋体" w:hAnsi="宋体"/>
          <w:color w:val="auto"/>
          <w:sz w:val="24"/>
          <w:highlight w:val="none"/>
          <w:u w:val="single"/>
        </w:rPr>
      </w:pPr>
      <w:r>
        <w:rPr>
          <w:rFonts w:hint="eastAsia" w:ascii="宋体" w:hAnsi="宋体"/>
          <w:color w:val="auto"/>
          <w:sz w:val="24"/>
          <w:highlight w:val="none"/>
          <w:u w:val="single"/>
        </w:rPr>
        <w:t>（承包人全称）</w:t>
      </w:r>
    </w:p>
    <w:p w14:paraId="65114EBC">
      <w:pPr>
        <w:shd w:val="clear" w:fill="FFFFFF" w:themeFill="background1"/>
        <w:spacing w:line="400" w:lineRule="exact"/>
        <w:jc w:val="center"/>
        <w:rPr>
          <w:rFonts w:ascii="宋体" w:hAnsi="宋体"/>
          <w:color w:val="auto"/>
          <w:sz w:val="24"/>
          <w:highlight w:val="none"/>
          <w:u w:val="single"/>
        </w:rPr>
      </w:pPr>
      <w:r>
        <w:rPr>
          <w:rFonts w:hint="eastAsia" w:ascii="宋体" w:hAnsi="宋体"/>
          <w:color w:val="auto"/>
          <w:sz w:val="24"/>
          <w:highlight w:val="none"/>
          <w:u w:val="single"/>
        </w:rPr>
        <w:t>（合同工程名称）</w:t>
      </w:r>
      <w:r>
        <w:rPr>
          <w:rFonts w:hint="eastAsia" w:ascii="宋体" w:hAnsi="宋体"/>
          <w:color w:val="auto"/>
          <w:sz w:val="24"/>
          <w:highlight w:val="none"/>
        </w:rPr>
        <w:t>项目经理委任书</w:t>
      </w:r>
    </w:p>
    <w:p w14:paraId="149D4511">
      <w:pPr>
        <w:shd w:val="clear" w:fill="FFFFFF" w:themeFill="background1"/>
        <w:spacing w:line="400" w:lineRule="exact"/>
        <w:rPr>
          <w:rFonts w:ascii="宋体" w:hAnsi="宋体"/>
          <w:color w:val="auto"/>
          <w:sz w:val="24"/>
          <w:highlight w:val="none"/>
        </w:rPr>
      </w:pPr>
    </w:p>
    <w:p w14:paraId="28060EC4">
      <w:pPr>
        <w:shd w:val="clear" w:fill="FFFFFF" w:themeFill="background1"/>
        <w:spacing w:line="400" w:lineRule="exact"/>
        <w:rPr>
          <w:rFonts w:ascii="宋体" w:hAnsi="宋体"/>
          <w:color w:val="auto"/>
          <w:sz w:val="24"/>
          <w:highlight w:val="none"/>
        </w:rPr>
      </w:pPr>
      <w:r>
        <w:rPr>
          <w:rFonts w:hint="eastAsia" w:ascii="宋体" w:hAnsi="宋体"/>
          <w:color w:val="auto"/>
          <w:sz w:val="24"/>
          <w:highlight w:val="none"/>
        </w:rPr>
        <w:t>致：</w:t>
      </w:r>
      <w:r>
        <w:rPr>
          <w:rFonts w:hint="eastAsia" w:ascii="宋体" w:hAnsi="宋体"/>
          <w:color w:val="auto"/>
          <w:sz w:val="24"/>
          <w:highlight w:val="none"/>
          <w:u w:val="single"/>
        </w:rPr>
        <w:t>（发包人全称</w:t>
      </w:r>
      <w:r>
        <w:rPr>
          <w:rFonts w:hint="eastAsia" w:ascii="宋体" w:hAnsi="宋体"/>
          <w:color w:val="auto"/>
          <w:sz w:val="24"/>
          <w:highlight w:val="none"/>
        </w:rPr>
        <w:t>）</w:t>
      </w:r>
    </w:p>
    <w:p w14:paraId="667ED288">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u w:val="single"/>
        </w:rPr>
        <w:t>（承包人全称）</w:t>
      </w: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（职务、姓名）</w:t>
      </w:r>
      <w:r>
        <w:rPr>
          <w:rFonts w:hint="eastAsia" w:ascii="宋体" w:hAnsi="宋体"/>
          <w:color w:val="auto"/>
          <w:sz w:val="24"/>
          <w:highlight w:val="none"/>
        </w:rPr>
        <w:t xml:space="preserve"> 代表本单位委任 </w:t>
      </w:r>
      <w:r>
        <w:rPr>
          <w:rFonts w:hint="eastAsia" w:ascii="宋体" w:hAnsi="宋体"/>
          <w:color w:val="auto"/>
          <w:sz w:val="24"/>
          <w:highlight w:val="none"/>
          <w:u w:val="single"/>
        </w:rPr>
        <w:t>（职务、姓名）</w:t>
      </w:r>
      <w:r>
        <w:rPr>
          <w:rFonts w:hint="eastAsia" w:ascii="宋体" w:hAnsi="宋体"/>
          <w:color w:val="auto"/>
          <w:sz w:val="24"/>
          <w:highlight w:val="none"/>
        </w:rPr>
        <w:t xml:space="preserve"> 为</w:t>
      </w:r>
      <w:r>
        <w:rPr>
          <w:rFonts w:hint="eastAsia" w:ascii="宋体" w:hAnsi="宋体"/>
          <w:color w:val="auto"/>
          <w:sz w:val="24"/>
          <w:highlight w:val="none"/>
          <w:u w:val="single"/>
        </w:rPr>
        <w:t>（合同工程名称）</w:t>
      </w:r>
      <w:r>
        <w:rPr>
          <w:rFonts w:hint="eastAsia" w:ascii="宋体" w:hAnsi="宋体"/>
          <w:color w:val="auto"/>
          <w:sz w:val="24"/>
          <w:highlight w:val="none"/>
        </w:rPr>
        <w:t>的项目经理。凡本合同执行中的有关技术、工程进度、现场管理、质量检验、结算与支付等方面工作，由</w:t>
      </w:r>
      <w:r>
        <w:rPr>
          <w:rFonts w:hint="eastAsia" w:ascii="宋体" w:hAnsi="宋体"/>
          <w:color w:val="auto"/>
          <w:sz w:val="24"/>
          <w:highlight w:val="none"/>
          <w:u w:val="single"/>
        </w:rPr>
        <w:t xml:space="preserve"> （姓名） </w:t>
      </w:r>
      <w:r>
        <w:rPr>
          <w:rFonts w:hint="eastAsia" w:ascii="宋体" w:hAnsi="宋体"/>
          <w:color w:val="auto"/>
          <w:sz w:val="24"/>
          <w:highlight w:val="none"/>
        </w:rPr>
        <w:t>代表本单位全面负责。</w:t>
      </w:r>
    </w:p>
    <w:p w14:paraId="360D9995">
      <w:pPr>
        <w:shd w:val="clear" w:fill="FFFFFF" w:themeFill="background1"/>
        <w:spacing w:line="400" w:lineRule="exact"/>
        <w:rPr>
          <w:rFonts w:ascii="宋体" w:hAnsi="宋体"/>
          <w:color w:val="auto"/>
          <w:sz w:val="24"/>
          <w:highlight w:val="none"/>
        </w:rPr>
      </w:pPr>
    </w:p>
    <w:p w14:paraId="3F392E46">
      <w:pPr>
        <w:shd w:val="clear" w:fill="FFFFFF" w:themeFill="background1"/>
        <w:wordWrap w:val="0"/>
        <w:spacing w:line="400" w:lineRule="exact"/>
        <w:jc w:val="center"/>
        <w:rPr>
          <w:rFonts w:ascii="宋体" w:hAnsi="宋体"/>
          <w:color w:val="auto"/>
          <w:sz w:val="24"/>
          <w:highlight w:val="none"/>
        </w:rPr>
      </w:pPr>
      <w:r>
        <w:rPr>
          <w:rFonts w:hint="eastAsia" w:ascii="宋体" w:hAnsi="宋体"/>
          <w:color w:val="auto"/>
          <w:sz w:val="24"/>
          <w:highlight w:val="none"/>
        </w:rPr>
        <w:t xml:space="preserve">                       </w:t>
      </w:r>
    </w:p>
    <w:p w14:paraId="38609C70">
      <w:pPr>
        <w:shd w:val="clear" w:fill="FFFFFF" w:themeFill="background1"/>
        <w:wordWrap w:val="0"/>
        <w:spacing w:line="400" w:lineRule="exact"/>
        <w:jc w:val="center"/>
        <w:rPr>
          <w:rFonts w:ascii="宋体" w:hAnsi="宋体"/>
          <w:color w:val="auto"/>
          <w:sz w:val="24"/>
          <w:highlight w:val="none"/>
        </w:rPr>
      </w:pPr>
    </w:p>
    <w:p w14:paraId="2141E642">
      <w:pPr>
        <w:shd w:val="clear" w:fill="FFFFFF" w:themeFill="background1"/>
        <w:wordWrap w:val="0"/>
        <w:spacing w:line="400" w:lineRule="exact"/>
        <w:jc w:val="center"/>
        <w:rPr>
          <w:rFonts w:ascii="宋体" w:hAnsi="宋体"/>
          <w:color w:val="auto"/>
          <w:sz w:val="24"/>
          <w:highlight w:val="none"/>
        </w:rPr>
      </w:pPr>
      <w:r>
        <w:rPr>
          <w:rFonts w:hint="eastAsia" w:ascii="宋体" w:hAnsi="宋体"/>
          <w:color w:val="auto"/>
          <w:sz w:val="24"/>
          <w:highlight w:val="none"/>
        </w:rPr>
        <w:t xml:space="preserve">                                   承包人：（盖单位章）</w:t>
      </w:r>
    </w:p>
    <w:p w14:paraId="70698BAD">
      <w:pPr>
        <w:shd w:val="clear" w:fill="FFFFFF" w:themeFill="background1"/>
        <w:wordWrap w:val="0"/>
        <w:spacing w:line="400" w:lineRule="exact"/>
        <w:jc w:val="center"/>
        <w:rPr>
          <w:rFonts w:ascii="宋体" w:hAnsi="宋体"/>
          <w:color w:val="auto"/>
          <w:sz w:val="24"/>
          <w:highlight w:val="none"/>
          <w:u w:val="single"/>
        </w:rPr>
      </w:pPr>
      <w:r>
        <w:rPr>
          <w:rFonts w:hint="eastAsia" w:ascii="宋体" w:hAnsi="宋体"/>
          <w:color w:val="auto"/>
          <w:sz w:val="24"/>
          <w:highlight w:val="none"/>
        </w:rPr>
        <w:t xml:space="preserve">                                      法定代表人：</w:t>
      </w:r>
      <w:r>
        <w:rPr>
          <w:rFonts w:hint="eastAsia" w:ascii="宋体" w:hAnsi="宋体"/>
          <w:color w:val="auto"/>
          <w:sz w:val="24"/>
          <w:highlight w:val="none"/>
          <w:u w:val="single"/>
        </w:rPr>
        <w:t xml:space="preserve">  （职务） </w:t>
      </w:r>
    </w:p>
    <w:p w14:paraId="52497D12">
      <w:pPr>
        <w:shd w:val="clear" w:fill="FFFFFF" w:themeFill="background1"/>
        <w:wordWrap w:val="0"/>
        <w:spacing w:line="400" w:lineRule="exact"/>
        <w:ind w:firstLine="1800" w:firstLineChars="750"/>
        <w:jc w:val="center"/>
        <w:rPr>
          <w:rFonts w:ascii="宋体" w:hAnsi="宋体"/>
          <w:color w:val="auto"/>
          <w:sz w:val="24"/>
          <w:highlight w:val="none"/>
          <w:u w:val="singl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（姓名） </w:t>
      </w:r>
    </w:p>
    <w:p w14:paraId="053FAE3A">
      <w:pPr>
        <w:shd w:val="clear" w:fill="FFFFFF" w:themeFill="background1"/>
        <w:wordWrap w:val="0"/>
        <w:spacing w:line="400" w:lineRule="exact"/>
        <w:ind w:firstLine="1800" w:firstLineChars="750"/>
        <w:jc w:val="center"/>
        <w:rPr>
          <w:rFonts w:ascii="宋体" w:hAnsi="宋体"/>
          <w:color w:val="auto"/>
          <w:sz w:val="24"/>
          <w:highlight w:val="none"/>
          <w:u w:val="single"/>
        </w:rPr>
      </w:pPr>
      <w:r>
        <w:rPr>
          <w:rFonts w:hint="eastAsia" w:ascii="宋体" w:hAnsi="宋体"/>
          <w:color w:val="auto"/>
          <w:sz w:val="24"/>
          <w:highlight w:val="none"/>
        </w:rPr>
        <w:t xml:space="preserve">                        </w:t>
      </w:r>
      <w:r>
        <w:rPr>
          <w:rFonts w:hint="eastAsia" w:ascii="宋体" w:hAnsi="宋体"/>
          <w:color w:val="auto"/>
          <w:sz w:val="24"/>
          <w:highlight w:val="none"/>
          <w:u w:val="single"/>
        </w:rPr>
        <w:t xml:space="preserve">             （签字） </w:t>
      </w:r>
    </w:p>
    <w:p w14:paraId="1C8E2DFC">
      <w:pPr>
        <w:shd w:val="clear" w:fill="FFFFFF" w:themeFill="background1"/>
        <w:spacing w:line="400" w:lineRule="exact"/>
        <w:rPr>
          <w:rFonts w:ascii="宋体" w:hAnsi="宋体"/>
          <w:color w:val="auto"/>
          <w:sz w:val="24"/>
          <w:highlight w:val="none"/>
        </w:rPr>
      </w:pPr>
    </w:p>
    <w:p w14:paraId="57D064AD">
      <w:pPr>
        <w:shd w:val="clear" w:fill="FFFFFF" w:themeFill="background1"/>
        <w:wordWrap w:val="0"/>
        <w:spacing w:line="400" w:lineRule="exact"/>
        <w:jc w:val="right"/>
        <w:rPr>
          <w:rFonts w:ascii="宋体" w:hAnsi="宋体"/>
          <w:color w:val="auto"/>
          <w:sz w:val="24"/>
          <w:highlight w:val="none"/>
        </w:rPr>
      </w:pPr>
      <w:r>
        <w:rPr>
          <w:rFonts w:hint="eastAsia" w:ascii="宋体" w:hAnsi="宋体"/>
          <w:color w:val="auto"/>
          <w:sz w:val="24"/>
          <w:highlight w:val="none"/>
        </w:rPr>
        <w:t>年   月   日</w:t>
      </w:r>
    </w:p>
    <w:p w14:paraId="5A6A3F4C">
      <w:pPr>
        <w:shd w:val="clear" w:fill="FFFFFF" w:themeFill="background1"/>
        <w:spacing w:line="400" w:lineRule="exact"/>
        <w:rPr>
          <w:rFonts w:ascii="宋体" w:hAnsi="宋体"/>
          <w:color w:val="auto"/>
          <w:sz w:val="24"/>
          <w:highlight w:val="none"/>
        </w:rPr>
      </w:pPr>
    </w:p>
    <w:p w14:paraId="79E7A18D">
      <w:pPr>
        <w:shd w:val="clear" w:fill="FFFFFF" w:themeFill="background1"/>
        <w:spacing w:line="400" w:lineRule="exact"/>
        <w:jc w:val="left"/>
        <w:rPr>
          <w:rFonts w:ascii="宋体" w:hAnsi="宋体"/>
          <w:color w:val="auto"/>
          <w:sz w:val="24"/>
          <w:highlight w:val="none"/>
        </w:rPr>
      </w:pPr>
      <w:r>
        <w:rPr>
          <w:rFonts w:hint="eastAsia" w:ascii="宋体" w:hAnsi="宋体"/>
          <w:color w:val="auto"/>
          <w:sz w:val="24"/>
          <w:highlight w:val="none"/>
        </w:rPr>
        <w:t>抄送：</w:t>
      </w:r>
      <w:r>
        <w:rPr>
          <w:rFonts w:hint="eastAsia" w:ascii="宋体" w:hAnsi="宋体"/>
          <w:color w:val="auto"/>
          <w:sz w:val="24"/>
          <w:highlight w:val="none"/>
          <w:u w:val="single"/>
        </w:rPr>
        <w:t xml:space="preserve">  （监理人）</w:t>
      </w:r>
    </w:p>
    <w:p w14:paraId="735E5F64">
      <w:pPr>
        <w:pStyle w:val="78"/>
        <w:shd w:val="clear" w:fill="FFFFFF" w:themeFill="background1"/>
        <w:spacing w:line="360" w:lineRule="auto"/>
        <w:rPr>
          <w:rFonts w:ascii="宋体" w:hAnsi="宋体"/>
          <w:color w:val="auto"/>
          <w:sz w:val="24"/>
          <w:szCs w:val="24"/>
          <w:highlight w:val="none"/>
        </w:rPr>
      </w:pPr>
      <w:bookmarkStart w:id="1705" w:name="_Toc505844509"/>
      <w:bookmarkEnd w:id="1705"/>
      <w:bookmarkStart w:id="1706" w:name="_Toc43476013"/>
      <w:bookmarkEnd w:id="1706"/>
      <w:bookmarkStart w:id="1707" w:name="_Toc505608633"/>
      <w:bookmarkEnd w:id="1707"/>
      <w:bookmarkStart w:id="1708" w:name="_Toc21137"/>
      <w:bookmarkEnd w:id="1708"/>
      <w:r>
        <w:rPr>
          <w:rFonts w:ascii="宋体" w:hAnsi="宋体"/>
          <w:color w:val="auto"/>
          <w:sz w:val="24"/>
          <w:szCs w:val="24"/>
          <w:highlight w:val="none"/>
        </w:rPr>
        <w:br w:type="page"/>
      </w:r>
      <w:r>
        <w:rPr>
          <w:rFonts w:ascii="宋体" w:hAnsi="宋体"/>
          <w:color w:val="auto"/>
          <w:sz w:val="24"/>
          <w:szCs w:val="24"/>
          <w:highlight w:val="none"/>
        </w:rPr>
        <w:t>附件</w:t>
      </w:r>
      <w:r>
        <w:rPr>
          <w:rFonts w:hint="eastAsia" w:ascii="宋体" w:hAnsi="宋体"/>
          <w:color w:val="auto"/>
          <w:sz w:val="24"/>
          <w:szCs w:val="24"/>
          <w:highlight w:val="none"/>
        </w:rPr>
        <w:t xml:space="preserve">七   </w:t>
      </w:r>
      <w:r>
        <w:rPr>
          <w:rFonts w:ascii="宋体" w:hAnsi="宋体"/>
          <w:color w:val="auto"/>
          <w:sz w:val="24"/>
          <w:szCs w:val="24"/>
          <w:highlight w:val="none"/>
        </w:rPr>
        <w:t>履约担保格式</w:t>
      </w:r>
    </w:p>
    <w:p w14:paraId="65D367B0">
      <w:pPr>
        <w:shd w:val="clear" w:fill="FFFFFF" w:themeFill="background1"/>
        <w:rPr>
          <w:color w:val="auto"/>
          <w:highlight w:val="none"/>
        </w:rPr>
      </w:pPr>
      <w:r>
        <w:rPr>
          <w:rFonts w:hint="eastAsia"/>
          <w:color w:val="auto"/>
          <w:highlight w:val="none"/>
        </w:rPr>
        <w:t>如采用银行保函，格式如下。</w:t>
      </w:r>
    </w:p>
    <w:p w14:paraId="637F0BC3">
      <w:pPr>
        <w:shd w:val="clear" w:fill="FFFFFF" w:themeFill="background1"/>
        <w:jc w:val="center"/>
        <w:rPr>
          <w:rFonts w:ascii="宋体" w:hAnsi="宋体"/>
          <w:b/>
          <w:color w:val="auto"/>
          <w:sz w:val="28"/>
          <w:szCs w:val="28"/>
          <w:highlight w:val="none"/>
        </w:rPr>
      </w:pPr>
      <w:r>
        <w:rPr>
          <w:rFonts w:hint="eastAsia" w:ascii="宋体" w:hAnsi="宋体"/>
          <w:b/>
          <w:color w:val="auto"/>
          <w:sz w:val="28"/>
          <w:szCs w:val="28"/>
          <w:highlight w:val="none"/>
        </w:rPr>
        <w:t>履约保证金</w:t>
      </w:r>
    </w:p>
    <w:p w14:paraId="1BC595C3">
      <w:pPr>
        <w:shd w:val="clear" w:fill="FFFFFF" w:themeFill="background1"/>
        <w:rPr>
          <w:rFonts w:ascii="宋体" w:hAnsi="宋体"/>
          <w:color w:val="auto"/>
          <w:sz w:val="24"/>
          <w:highlight w:val="none"/>
        </w:rPr>
      </w:pPr>
    </w:p>
    <w:p w14:paraId="3E4D08EA">
      <w:pPr>
        <w:shd w:val="clear" w:fill="FFFFFF" w:themeFill="background1"/>
        <w:rPr>
          <w:rFonts w:ascii="宋体" w:hAnsi="宋体"/>
          <w:color w:val="auto"/>
          <w:sz w:val="24"/>
          <w:highlight w:val="none"/>
        </w:rPr>
      </w:pPr>
      <w:r>
        <w:rPr>
          <w:rFonts w:ascii="宋体" w:hAnsi="宋体"/>
          <w:color w:val="auto"/>
          <w:sz w:val="24"/>
          <w:highlight w:val="none"/>
        </w:rPr>
        <w:t>（发包人名称）：</w:t>
      </w:r>
    </w:p>
    <w:p w14:paraId="2539DDB7">
      <w:pPr>
        <w:shd w:val="clear" w:fill="FFFFFF" w:themeFill="background1"/>
        <w:rPr>
          <w:rFonts w:ascii="宋体" w:hAnsi="宋体"/>
          <w:color w:val="auto"/>
          <w:sz w:val="24"/>
          <w:highlight w:val="none"/>
        </w:rPr>
      </w:pPr>
    </w:p>
    <w:p w14:paraId="2FED56C1">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鉴于（发包人名称，以下简称“发包人”）接受（承包人名称）（以下称“承包人”）于</w:t>
      </w:r>
      <w:r>
        <w:rPr>
          <w:rFonts w:hint="eastAsia" w:ascii="宋体" w:hAnsi="宋体"/>
          <w:color w:val="auto"/>
          <w:sz w:val="24"/>
          <w:highlight w:val="none"/>
          <w:u w:val="single"/>
        </w:rPr>
        <w:t xml:space="preserve">     年   月   日</w:t>
      </w:r>
      <w:r>
        <w:rPr>
          <w:rFonts w:ascii="宋体" w:hAnsi="宋体"/>
          <w:color w:val="auto"/>
          <w:sz w:val="24"/>
          <w:highlight w:val="none"/>
        </w:rPr>
        <w:t>参加</w:t>
      </w:r>
      <w:r>
        <w:rPr>
          <w:rFonts w:ascii="宋体" w:hAnsi="宋体"/>
          <w:color w:val="auto"/>
          <w:sz w:val="24"/>
          <w:highlight w:val="none"/>
          <w:u w:val="single"/>
        </w:rPr>
        <w:t>（项目名称）</w:t>
      </w:r>
      <w:r>
        <w:rPr>
          <w:rFonts w:ascii="宋体" w:hAnsi="宋体"/>
          <w:color w:val="auto"/>
          <w:sz w:val="24"/>
          <w:highlight w:val="none"/>
        </w:rPr>
        <w:t>的投标。我方愿意无条件地、不可撤销地就承包人履行与你方订立的合同，向你方提供担保。</w:t>
      </w:r>
    </w:p>
    <w:p w14:paraId="529CD7F1">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1.担保金额人民币</w:t>
      </w:r>
      <w:r>
        <w:rPr>
          <w:rFonts w:ascii="宋体" w:hAnsi="宋体"/>
          <w:color w:val="auto"/>
          <w:sz w:val="24"/>
          <w:highlight w:val="none"/>
          <w:u w:val="single"/>
        </w:rPr>
        <w:t>（大写）</w:t>
      </w:r>
      <w:r>
        <w:rPr>
          <w:rFonts w:hint="eastAsia" w:ascii="宋体" w:hAnsi="宋体"/>
          <w:color w:val="auto"/>
          <w:sz w:val="24"/>
          <w:highlight w:val="none"/>
          <w:u w:val="single"/>
        </w:rPr>
        <w:t xml:space="preserve">          </w:t>
      </w:r>
      <w:r>
        <w:rPr>
          <w:rFonts w:ascii="宋体" w:hAnsi="宋体"/>
          <w:color w:val="auto"/>
          <w:sz w:val="24"/>
          <w:highlight w:val="none"/>
          <w:u w:val="single"/>
        </w:rPr>
        <w:t>（¥</w:t>
      </w:r>
      <w:r>
        <w:rPr>
          <w:rFonts w:hint="eastAsia" w:ascii="宋体" w:hAnsi="宋体"/>
          <w:color w:val="auto"/>
          <w:sz w:val="24"/>
          <w:highlight w:val="none"/>
          <w:u w:val="single"/>
        </w:rPr>
        <w:t xml:space="preserve">         </w:t>
      </w:r>
      <w:r>
        <w:rPr>
          <w:rFonts w:ascii="宋体" w:hAnsi="宋体"/>
          <w:color w:val="auto"/>
          <w:sz w:val="24"/>
          <w:highlight w:val="none"/>
          <w:u w:val="single"/>
        </w:rPr>
        <w:t>元）</w:t>
      </w:r>
      <w:r>
        <w:rPr>
          <w:rFonts w:ascii="宋体" w:hAnsi="宋体"/>
          <w:color w:val="auto"/>
          <w:sz w:val="24"/>
          <w:highlight w:val="none"/>
        </w:rPr>
        <w:t>。</w:t>
      </w:r>
    </w:p>
    <w:p w14:paraId="028BF13E">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2.担保有效期自发包人与承包人签订的合同生效之日起至发包人签发</w:t>
      </w:r>
      <w:r>
        <w:rPr>
          <w:rFonts w:hint="eastAsia" w:ascii="宋体" w:hAnsi="宋体"/>
          <w:color w:val="auto"/>
          <w:sz w:val="24"/>
          <w:highlight w:val="none"/>
        </w:rPr>
        <w:t>交工验收</w:t>
      </w:r>
      <w:r>
        <w:rPr>
          <w:rFonts w:ascii="宋体" w:hAnsi="宋体"/>
          <w:color w:val="auto"/>
          <w:sz w:val="24"/>
          <w:highlight w:val="none"/>
        </w:rPr>
        <w:t>证书</w:t>
      </w:r>
      <w:r>
        <w:rPr>
          <w:rFonts w:hint="eastAsia" w:ascii="宋体" w:hAnsi="宋体"/>
          <w:color w:val="auto"/>
          <w:sz w:val="24"/>
          <w:highlight w:val="none"/>
        </w:rPr>
        <w:t>且承包人按照合同约定缴纳质量保证金</w:t>
      </w:r>
      <w:r>
        <w:rPr>
          <w:rFonts w:ascii="宋体" w:hAnsi="宋体"/>
          <w:color w:val="auto"/>
          <w:sz w:val="24"/>
          <w:highlight w:val="none"/>
        </w:rPr>
        <w:t>之日止。</w:t>
      </w:r>
    </w:p>
    <w:p w14:paraId="105F3882">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3.在本担保有效期内，因承包人违反合同约定的义务给你方造成经济损失时，我方在收到你方以书面形式提出的在担保金额内的赔偿要求后，在7天内无条件支付</w:t>
      </w:r>
      <w:r>
        <w:rPr>
          <w:rFonts w:hint="eastAsia" w:ascii="宋体" w:hAnsi="宋体"/>
          <w:color w:val="auto"/>
          <w:sz w:val="24"/>
          <w:highlight w:val="none"/>
        </w:rPr>
        <w:t>，无须你方出具证明或陈述理由</w:t>
      </w:r>
      <w:r>
        <w:rPr>
          <w:rFonts w:ascii="宋体" w:hAnsi="宋体"/>
          <w:color w:val="auto"/>
          <w:sz w:val="24"/>
          <w:highlight w:val="none"/>
        </w:rPr>
        <w:t>。</w:t>
      </w:r>
    </w:p>
    <w:p w14:paraId="7E9F13EF">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4.发包人和承包人按</w:t>
      </w:r>
      <w:r>
        <w:rPr>
          <w:rFonts w:hint="eastAsia" w:ascii="宋体" w:hAnsi="宋体"/>
          <w:color w:val="auto"/>
          <w:sz w:val="24"/>
          <w:highlight w:val="none"/>
        </w:rPr>
        <w:t>合同条款</w:t>
      </w:r>
      <w:r>
        <w:rPr>
          <w:rFonts w:ascii="宋体" w:hAnsi="宋体"/>
          <w:color w:val="auto"/>
          <w:sz w:val="24"/>
          <w:highlight w:val="none"/>
        </w:rPr>
        <w:t>第15条变更合同时，</w:t>
      </w:r>
      <w:r>
        <w:rPr>
          <w:rFonts w:hint="eastAsia" w:ascii="宋体" w:hAnsi="宋体"/>
          <w:color w:val="auto"/>
          <w:sz w:val="24"/>
          <w:highlight w:val="none"/>
        </w:rPr>
        <w:t>无论我方是否收到该变更，</w:t>
      </w:r>
      <w:r>
        <w:rPr>
          <w:rFonts w:ascii="宋体" w:hAnsi="宋体"/>
          <w:color w:val="auto"/>
          <w:sz w:val="24"/>
          <w:highlight w:val="none"/>
        </w:rPr>
        <w:t>我方承担本担保规定的义务不变。</w:t>
      </w:r>
    </w:p>
    <w:p w14:paraId="24C4C134">
      <w:pPr>
        <w:shd w:val="clear" w:fill="FFFFFF" w:themeFill="background1"/>
        <w:rPr>
          <w:rFonts w:ascii="宋体" w:hAnsi="宋体"/>
          <w:color w:val="auto"/>
          <w:sz w:val="24"/>
          <w:highlight w:val="none"/>
        </w:rPr>
      </w:pPr>
    </w:p>
    <w:p w14:paraId="2F996A2E">
      <w:pPr>
        <w:shd w:val="clear" w:fill="FFFFFF" w:themeFill="background1"/>
        <w:rPr>
          <w:rFonts w:ascii="宋体" w:hAnsi="宋体"/>
          <w:color w:val="auto"/>
          <w:sz w:val="24"/>
          <w:highlight w:val="none"/>
        </w:rPr>
      </w:pPr>
    </w:p>
    <w:p w14:paraId="31827662">
      <w:pPr>
        <w:shd w:val="clear" w:fill="FFFFFF" w:themeFill="background1"/>
        <w:rPr>
          <w:rFonts w:ascii="宋体" w:hAnsi="宋体"/>
          <w:color w:val="auto"/>
          <w:sz w:val="24"/>
          <w:highlight w:val="none"/>
        </w:rPr>
      </w:pPr>
    </w:p>
    <w:p w14:paraId="1AD78301">
      <w:pPr>
        <w:shd w:val="clear" w:fill="FFFFFF" w:themeFill="background1"/>
        <w:rPr>
          <w:rFonts w:ascii="宋体" w:hAnsi="宋体"/>
          <w:color w:val="auto"/>
          <w:sz w:val="24"/>
          <w:highlight w:val="none"/>
        </w:rPr>
      </w:pPr>
    </w:p>
    <w:p w14:paraId="221D0AF6">
      <w:pPr>
        <w:shd w:val="clear" w:fill="FFFFFF" w:themeFill="background1"/>
        <w:spacing w:line="440" w:lineRule="exact"/>
        <w:rPr>
          <w:rFonts w:ascii="宋体" w:hAnsi="宋体"/>
          <w:color w:val="auto"/>
          <w:sz w:val="24"/>
          <w:highlight w:val="none"/>
        </w:rPr>
      </w:pPr>
      <w:r>
        <w:rPr>
          <w:rFonts w:ascii="宋体" w:hAnsi="宋体"/>
          <w:color w:val="auto"/>
          <w:sz w:val="24"/>
          <w:highlight w:val="none"/>
        </w:rPr>
        <w:t>担保人：（盖单位章）</w:t>
      </w:r>
    </w:p>
    <w:p w14:paraId="06E35925">
      <w:pPr>
        <w:shd w:val="clear" w:fill="FFFFFF" w:themeFill="background1"/>
        <w:spacing w:line="440" w:lineRule="exact"/>
        <w:rPr>
          <w:rFonts w:ascii="宋体" w:hAnsi="宋体"/>
          <w:color w:val="auto"/>
          <w:sz w:val="24"/>
          <w:highlight w:val="none"/>
        </w:rPr>
      </w:pPr>
      <w:r>
        <w:rPr>
          <w:rFonts w:ascii="宋体" w:hAnsi="宋体"/>
          <w:color w:val="auto"/>
          <w:sz w:val="24"/>
          <w:highlight w:val="none"/>
        </w:rPr>
        <w:t>法定代表人或其委托代理人：（签字）</w:t>
      </w:r>
    </w:p>
    <w:p w14:paraId="41913876">
      <w:pPr>
        <w:shd w:val="clear" w:fill="FFFFFF" w:themeFill="background1"/>
        <w:spacing w:line="440" w:lineRule="exact"/>
        <w:rPr>
          <w:rFonts w:ascii="宋体" w:hAnsi="宋体"/>
          <w:color w:val="auto"/>
          <w:sz w:val="24"/>
          <w:highlight w:val="none"/>
        </w:rPr>
      </w:pPr>
      <w:r>
        <w:rPr>
          <w:rFonts w:ascii="宋体" w:hAnsi="宋体"/>
          <w:color w:val="auto"/>
          <w:sz w:val="24"/>
          <w:highlight w:val="none"/>
        </w:rPr>
        <w:t>地址：</w:t>
      </w:r>
    </w:p>
    <w:p w14:paraId="312F0118">
      <w:pPr>
        <w:shd w:val="clear" w:fill="FFFFFF" w:themeFill="background1"/>
        <w:spacing w:line="440" w:lineRule="exact"/>
        <w:rPr>
          <w:rFonts w:ascii="宋体" w:hAnsi="宋体"/>
          <w:color w:val="auto"/>
          <w:sz w:val="24"/>
          <w:highlight w:val="none"/>
        </w:rPr>
      </w:pPr>
      <w:r>
        <w:rPr>
          <w:rFonts w:ascii="宋体" w:hAnsi="宋体"/>
          <w:color w:val="auto"/>
          <w:sz w:val="24"/>
          <w:highlight w:val="none"/>
        </w:rPr>
        <w:t>邮政编码：</w:t>
      </w:r>
    </w:p>
    <w:p w14:paraId="58D2AE0F">
      <w:pPr>
        <w:shd w:val="clear" w:fill="FFFFFF" w:themeFill="background1"/>
        <w:spacing w:line="440" w:lineRule="exact"/>
        <w:rPr>
          <w:rFonts w:ascii="宋体" w:hAnsi="宋体"/>
          <w:color w:val="auto"/>
          <w:sz w:val="24"/>
          <w:highlight w:val="none"/>
        </w:rPr>
      </w:pPr>
      <w:r>
        <w:rPr>
          <w:rFonts w:ascii="宋体" w:hAnsi="宋体"/>
          <w:color w:val="auto"/>
          <w:sz w:val="24"/>
          <w:highlight w:val="none"/>
        </w:rPr>
        <w:t>电话：</w:t>
      </w:r>
    </w:p>
    <w:p w14:paraId="654B5B30">
      <w:pPr>
        <w:shd w:val="clear" w:fill="FFFFFF" w:themeFill="background1"/>
        <w:spacing w:line="440" w:lineRule="exact"/>
        <w:rPr>
          <w:rFonts w:ascii="宋体" w:hAnsi="宋体"/>
          <w:color w:val="auto"/>
          <w:sz w:val="24"/>
          <w:highlight w:val="none"/>
        </w:rPr>
      </w:pPr>
      <w:r>
        <w:rPr>
          <w:rFonts w:ascii="宋体" w:hAnsi="宋体"/>
          <w:color w:val="auto"/>
          <w:sz w:val="24"/>
          <w:highlight w:val="none"/>
        </w:rPr>
        <w:t>传真：</w:t>
      </w:r>
    </w:p>
    <w:p w14:paraId="4DF8049E">
      <w:pPr>
        <w:shd w:val="clear" w:fill="FFFFFF" w:themeFill="background1"/>
        <w:rPr>
          <w:rFonts w:ascii="宋体" w:hAnsi="宋体"/>
          <w:color w:val="auto"/>
          <w:sz w:val="24"/>
          <w:highlight w:val="none"/>
        </w:rPr>
      </w:pPr>
    </w:p>
    <w:p w14:paraId="6B1947EA">
      <w:pPr>
        <w:shd w:val="clear" w:fill="FFFFFF" w:themeFill="background1"/>
        <w:rPr>
          <w:rFonts w:ascii="宋体" w:hAnsi="宋体"/>
          <w:color w:val="auto"/>
          <w:sz w:val="24"/>
          <w:highlight w:val="none"/>
        </w:rPr>
      </w:pPr>
    </w:p>
    <w:p w14:paraId="409B2480">
      <w:pPr>
        <w:shd w:val="clear" w:fill="FFFFFF" w:themeFill="background1"/>
        <w:ind w:firstLine="720" w:firstLineChars="300"/>
        <w:rPr>
          <w:rFonts w:ascii="宋体" w:hAnsi="宋体"/>
          <w:color w:val="auto"/>
          <w:sz w:val="24"/>
          <w:highlight w:val="none"/>
        </w:rPr>
      </w:pPr>
      <w:r>
        <w:rPr>
          <w:rFonts w:hint="eastAsia" w:ascii="宋体" w:hAnsi="宋体"/>
          <w:color w:val="auto"/>
          <w:sz w:val="24"/>
          <w:highlight w:val="none"/>
        </w:rPr>
        <w:t>年   月   日</w:t>
      </w:r>
    </w:p>
    <w:p w14:paraId="7A699737">
      <w:pPr>
        <w:pStyle w:val="78"/>
        <w:shd w:val="clear" w:fill="FFFFFF" w:themeFill="background1"/>
        <w:spacing w:line="360" w:lineRule="auto"/>
        <w:rPr>
          <w:rFonts w:ascii="宋体" w:hAnsi="宋体"/>
          <w:color w:val="auto"/>
          <w:sz w:val="24"/>
          <w:szCs w:val="24"/>
          <w:highlight w:val="none"/>
        </w:rPr>
      </w:pPr>
      <w:bookmarkStart w:id="1709" w:name="_Toc9453"/>
      <w:bookmarkEnd w:id="1709"/>
      <w:bookmarkStart w:id="1710" w:name="_Toc505844510"/>
      <w:bookmarkEnd w:id="1710"/>
      <w:bookmarkStart w:id="1711" w:name="_Toc43476014"/>
      <w:bookmarkEnd w:id="1711"/>
      <w:r>
        <w:rPr>
          <w:rFonts w:ascii="宋体" w:hAnsi="宋体"/>
          <w:color w:val="auto"/>
          <w:sz w:val="24"/>
          <w:szCs w:val="24"/>
          <w:highlight w:val="none"/>
        </w:rPr>
        <w:br w:type="page"/>
      </w:r>
      <w:r>
        <w:rPr>
          <w:rFonts w:ascii="宋体" w:hAnsi="宋体"/>
          <w:color w:val="auto"/>
          <w:sz w:val="24"/>
          <w:szCs w:val="24"/>
          <w:highlight w:val="none"/>
        </w:rPr>
        <w:t>附件</w:t>
      </w:r>
      <w:r>
        <w:rPr>
          <w:rFonts w:hint="eastAsia" w:ascii="宋体" w:hAnsi="宋体"/>
          <w:color w:val="auto"/>
          <w:sz w:val="24"/>
          <w:szCs w:val="24"/>
          <w:highlight w:val="none"/>
        </w:rPr>
        <w:t>八   工程资金监管协议</w:t>
      </w:r>
      <w:r>
        <w:rPr>
          <w:rFonts w:ascii="宋体" w:hAnsi="宋体"/>
          <w:color w:val="auto"/>
          <w:sz w:val="24"/>
          <w:szCs w:val="24"/>
          <w:highlight w:val="none"/>
        </w:rPr>
        <w:t>格式</w:t>
      </w:r>
    </w:p>
    <w:p w14:paraId="553BB5A0">
      <w:pPr>
        <w:shd w:val="clear" w:fill="FFFFFF" w:themeFill="background1"/>
        <w:ind w:firstLine="480" w:firstLineChars="200"/>
        <w:rPr>
          <w:rFonts w:ascii="宋体" w:hAnsi="宋体"/>
          <w:color w:val="auto"/>
          <w:sz w:val="24"/>
          <w:highlight w:val="none"/>
        </w:rPr>
      </w:pPr>
      <w:r>
        <w:rPr>
          <w:rFonts w:hint="eastAsia" w:ascii="宋体" w:hAnsi="宋体"/>
          <w:color w:val="auto"/>
          <w:sz w:val="24"/>
          <w:highlight w:val="none"/>
        </w:rPr>
        <w:t>（发包人与承包人签订合同协议书时应与发包人指定的银行签署工程资金监管协议，工程资金监管协议内容在保证本项目资金有效监管的前提下由三方共同商定）</w:t>
      </w:r>
    </w:p>
    <w:p w14:paraId="601B99DD">
      <w:pPr>
        <w:shd w:val="clear" w:fill="FFFFFF" w:themeFill="background1"/>
        <w:spacing w:before="240" w:after="240"/>
        <w:jc w:val="center"/>
        <w:rPr>
          <w:rFonts w:ascii="宋体" w:hAnsi="宋体"/>
          <w:b/>
          <w:color w:val="auto"/>
          <w:sz w:val="28"/>
          <w:szCs w:val="28"/>
          <w:highlight w:val="none"/>
        </w:rPr>
      </w:pPr>
      <w:r>
        <w:rPr>
          <w:rFonts w:hint="eastAsia" w:ascii="宋体" w:hAnsi="宋体"/>
          <w:b/>
          <w:color w:val="auto"/>
          <w:sz w:val="28"/>
          <w:szCs w:val="28"/>
          <w:highlight w:val="none"/>
        </w:rPr>
        <w:t>工程资金监管协议</w:t>
      </w:r>
    </w:p>
    <w:p w14:paraId="1D27D2D2">
      <w:pPr>
        <w:shd w:val="clear" w:fill="FFFFFF" w:themeFill="background1"/>
        <w:rPr>
          <w:rFonts w:ascii="宋体" w:hAnsi="宋体"/>
          <w:color w:val="auto"/>
          <w:sz w:val="24"/>
          <w:highlight w:val="none"/>
        </w:rPr>
      </w:pPr>
      <w:r>
        <w:rPr>
          <w:rFonts w:hint="eastAsia" w:ascii="宋体" w:hAnsi="宋体"/>
          <w:color w:val="auto"/>
          <w:sz w:val="24"/>
          <w:highlight w:val="none"/>
        </w:rPr>
        <w:t>发 包 人：（以下简称“甲方”）</w:t>
      </w:r>
    </w:p>
    <w:p w14:paraId="3027F453">
      <w:pPr>
        <w:shd w:val="clear" w:fill="FFFFFF" w:themeFill="background1"/>
        <w:rPr>
          <w:rFonts w:ascii="宋体" w:hAnsi="宋体"/>
          <w:color w:val="auto"/>
          <w:sz w:val="24"/>
          <w:highlight w:val="none"/>
        </w:rPr>
      </w:pPr>
      <w:r>
        <w:rPr>
          <w:rFonts w:hint="eastAsia" w:ascii="宋体" w:hAnsi="宋体"/>
          <w:color w:val="auto"/>
          <w:sz w:val="24"/>
          <w:highlight w:val="none"/>
        </w:rPr>
        <w:t>承 包 人：（以下简称“乙方”）</w:t>
      </w:r>
    </w:p>
    <w:p w14:paraId="7088B5D9">
      <w:pPr>
        <w:shd w:val="clear" w:fill="FFFFFF" w:themeFill="background1"/>
        <w:rPr>
          <w:rFonts w:ascii="宋体" w:hAnsi="宋体"/>
          <w:color w:val="auto"/>
          <w:sz w:val="24"/>
          <w:highlight w:val="none"/>
        </w:rPr>
      </w:pPr>
      <w:r>
        <w:rPr>
          <w:rFonts w:hint="eastAsia" w:ascii="宋体" w:hAnsi="宋体"/>
          <w:color w:val="auto"/>
          <w:sz w:val="24"/>
          <w:highlight w:val="none"/>
        </w:rPr>
        <w:t>经办银行：（以下简称“丙方”）</w:t>
      </w:r>
    </w:p>
    <w:p w14:paraId="067B936E">
      <w:pPr>
        <w:shd w:val="clear" w:fill="FFFFFF" w:themeFill="background1"/>
        <w:rPr>
          <w:rFonts w:ascii="宋体" w:hAnsi="宋体"/>
          <w:color w:val="auto"/>
          <w:sz w:val="24"/>
          <w:highlight w:val="none"/>
        </w:rPr>
      </w:pPr>
    </w:p>
    <w:p w14:paraId="298022DF">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为了促进（项目名称）的顺利实施，管好用好建设资金，确保工程资金专款专用，同时为承包人提供便捷有效的银行业务服务，根据</w:t>
      </w:r>
      <w:r>
        <w:rPr>
          <w:rFonts w:hint="eastAsia" w:ascii="宋体" w:hAnsi="宋体"/>
          <w:color w:val="auto"/>
          <w:sz w:val="24"/>
          <w:highlight w:val="none"/>
          <w:u w:val="single"/>
        </w:rPr>
        <w:t>（项目名称）</w:t>
      </w:r>
      <w:r>
        <w:rPr>
          <w:rFonts w:hint="eastAsia" w:ascii="宋体" w:hAnsi="宋体"/>
          <w:color w:val="auto"/>
          <w:sz w:val="24"/>
          <w:highlight w:val="none"/>
        </w:rPr>
        <w:t>合同条款有关规定，经甲、乙、丙三方协商，达成协议如下：</w:t>
      </w:r>
    </w:p>
    <w:p w14:paraId="720F8D66">
      <w:pPr>
        <w:shd w:val="clear" w:fill="FFFFFF" w:themeFill="background1"/>
        <w:spacing w:line="400" w:lineRule="exact"/>
        <w:ind w:firstLine="480" w:firstLineChars="200"/>
        <w:rPr>
          <w:rFonts w:ascii="宋体" w:hAnsi="宋体"/>
          <w:color w:val="auto"/>
          <w:sz w:val="24"/>
          <w:highlight w:val="none"/>
        </w:rPr>
      </w:pPr>
      <w:r>
        <w:rPr>
          <w:rFonts w:ascii="宋体" w:hAnsi="宋体"/>
          <w:color w:val="auto"/>
          <w:sz w:val="24"/>
          <w:highlight w:val="none"/>
        </w:rPr>
        <w:t>1.</w:t>
      </w:r>
      <w:r>
        <w:rPr>
          <w:rFonts w:hint="eastAsia" w:ascii="宋体" w:hAnsi="宋体"/>
          <w:color w:val="auto"/>
          <w:sz w:val="24"/>
          <w:highlight w:val="none"/>
        </w:rPr>
        <w:t>资金管理的内容</w:t>
      </w:r>
    </w:p>
    <w:p w14:paraId="5D4A6E5A">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（1）乙方为完成</w:t>
      </w:r>
      <w:r>
        <w:rPr>
          <w:rFonts w:hint="eastAsia" w:ascii="宋体" w:hAnsi="宋体"/>
          <w:color w:val="auto"/>
          <w:sz w:val="24"/>
          <w:highlight w:val="none"/>
          <w:u w:val="single"/>
        </w:rPr>
        <w:t>（项目名称）</w:t>
      </w:r>
      <w:r>
        <w:rPr>
          <w:rFonts w:hint="eastAsia" w:ascii="宋体" w:hAnsi="宋体"/>
          <w:color w:val="auto"/>
          <w:sz w:val="24"/>
          <w:highlight w:val="none"/>
        </w:rPr>
        <w:t>工程成立的项目经理部在丙方开设基本结算户；</w:t>
      </w:r>
    </w:p>
    <w:p w14:paraId="7ED538E6">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（2）甲方应按合同规定将工程款汇入乙方在丙方开设的账户；</w:t>
      </w:r>
    </w:p>
    <w:p w14:paraId="537AE29B">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（3）乙方应将流动资金及甲方所拨付资金专项用于</w:t>
      </w:r>
      <w:r>
        <w:rPr>
          <w:rFonts w:hint="eastAsia" w:ascii="宋体" w:hAnsi="宋体"/>
          <w:color w:val="auto"/>
          <w:sz w:val="24"/>
          <w:highlight w:val="none"/>
          <w:u w:val="single"/>
        </w:rPr>
        <w:t>（项目名称）</w:t>
      </w:r>
      <w:r>
        <w:rPr>
          <w:rFonts w:hint="eastAsia" w:ascii="宋体" w:hAnsi="宋体"/>
          <w:color w:val="auto"/>
          <w:sz w:val="24"/>
          <w:highlight w:val="none"/>
        </w:rPr>
        <w:t>；</w:t>
      </w:r>
    </w:p>
    <w:p w14:paraId="22B79168">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（4）丙方应为乙方提供便捷有效的银行业务服务，并接受甲方委托对乙方在丙方开设的基本结算户资金使用情况进行监督。</w:t>
      </w:r>
    </w:p>
    <w:p w14:paraId="2F4F689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2.甲方的权责</w:t>
      </w:r>
    </w:p>
    <w:p w14:paraId="28008504">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（1）按照（项目名称）合同有关条款规定的时间和方式，向乙方支付工程款；</w:t>
      </w:r>
    </w:p>
    <w:p w14:paraId="4FC4F7FF">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（2）在发现乙方将本项目资金挪用、转移时，甲方有权中止工程支付，直至乙方改正为止；</w:t>
      </w:r>
    </w:p>
    <w:p w14:paraId="0FB6AEA8">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（3）不定期审查丙方对乙方的资金使用监督情况，如丙方不能履行其责任，甲方有权随时终止本协议；</w:t>
      </w:r>
    </w:p>
    <w:p w14:paraId="533998C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（4）在乙、丙双方发生争议时，甲方应负责协调、解决。</w:t>
      </w:r>
    </w:p>
    <w:p w14:paraId="17B460F7">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3.乙方的权责</w:t>
      </w:r>
    </w:p>
    <w:p w14:paraId="737BD3A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（1）项目经理部成立以后，乙方应尽快在丙方开设基本结算户；</w:t>
      </w:r>
    </w:p>
    <w:p w14:paraId="5793E05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（2）确保本项目资金专款专用，不发生挪用、转移资金的现象；保证不通过权益转让、抵押、担保承担债务等任何其他方式使用基本结算户的资金；</w:t>
      </w:r>
    </w:p>
    <w:p w14:paraId="464D0CF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（3）办理材料、设备等采购业务金额在</w:t>
      </w:r>
      <w:r>
        <w:rPr>
          <w:rFonts w:hint="eastAsia" w:ascii="宋体" w:hAnsi="宋体"/>
          <w:color w:val="auto"/>
          <w:sz w:val="24"/>
          <w:highlight w:val="none"/>
          <w:u w:val="single"/>
        </w:rPr>
        <w:t xml:space="preserve"> </w:t>
      </w:r>
      <w:r>
        <w:rPr>
          <w:rFonts w:hint="eastAsia" w:ascii="宋体" w:hAnsi="宋体"/>
          <w:color w:val="auto"/>
          <w:sz w:val="24"/>
          <w:highlight w:val="none"/>
        </w:rPr>
        <w:t>万元以上的，应出示购货合同、协议和发票；在办理总额超过</w:t>
      </w:r>
      <w:r>
        <w:rPr>
          <w:rFonts w:hint="eastAsia" w:ascii="宋体" w:hAnsi="宋体"/>
          <w:color w:val="auto"/>
          <w:sz w:val="24"/>
          <w:highlight w:val="none"/>
          <w:u w:val="single"/>
        </w:rPr>
        <w:t xml:space="preserve"> </w:t>
      </w:r>
      <w:r>
        <w:rPr>
          <w:rFonts w:hint="eastAsia" w:ascii="宋体" w:hAnsi="宋体"/>
          <w:color w:val="auto"/>
          <w:sz w:val="24"/>
          <w:highlight w:val="none"/>
        </w:rPr>
        <w:t>万元以上的采购业务时，应将合同、协议和发票复印件送丙方备案；购买应急材料、设备时可先办理支付手续，但事后必须补备有关资料；</w:t>
      </w:r>
    </w:p>
    <w:p w14:paraId="3B9B31C2">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（4）用银行转账支票办理支付款项时，必须将转账支票送交丙方，由丙方负责办理支票转付手续；</w:t>
      </w:r>
    </w:p>
    <w:p w14:paraId="4AF5760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（5）向分包单位支付工程进度款时，应附甲方批准分包的文件；</w:t>
      </w:r>
    </w:p>
    <w:p w14:paraId="34E0893E">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（6）向上级单位缴纳管理费、机械设备及周转材料租赁摊销费等款项时，应附上级单位出具的转账通知等有关资料，以确保资金专款专用。</w:t>
      </w:r>
    </w:p>
    <w:p w14:paraId="6AA975C3">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4.丙方的权责</w:t>
      </w:r>
    </w:p>
    <w:p w14:paraId="03ECA59E">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（1）成立</w:t>
      </w:r>
      <w:r>
        <w:rPr>
          <w:rFonts w:hint="eastAsia" w:ascii="宋体" w:hAnsi="宋体"/>
          <w:color w:val="auto"/>
          <w:sz w:val="24"/>
          <w:highlight w:val="none"/>
          <w:u w:val="single"/>
        </w:rPr>
        <w:t>（项目名称）</w:t>
      </w:r>
      <w:r>
        <w:rPr>
          <w:rFonts w:hint="eastAsia" w:ascii="宋体" w:hAnsi="宋体"/>
          <w:color w:val="auto"/>
          <w:sz w:val="24"/>
          <w:highlight w:val="none"/>
        </w:rPr>
        <w:t>工程资金管理服务小组，明确业务流程，提高工作效率，杜绝“压票”现象；</w:t>
      </w:r>
    </w:p>
    <w:p w14:paraId="552E8F54">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（2）根据乙方提供的购货合同、协议和发票，检查其所购材料、设备是否用于</w:t>
      </w:r>
      <w:r>
        <w:rPr>
          <w:rFonts w:hint="eastAsia" w:ascii="宋体" w:hAnsi="宋体"/>
          <w:color w:val="auto"/>
          <w:sz w:val="24"/>
          <w:highlight w:val="none"/>
          <w:u w:val="single"/>
        </w:rPr>
        <w:t>（项目名称）</w:t>
      </w:r>
      <w:r>
        <w:rPr>
          <w:rFonts w:hint="eastAsia" w:ascii="宋体" w:hAnsi="宋体"/>
          <w:color w:val="auto"/>
          <w:sz w:val="24"/>
          <w:highlight w:val="none"/>
        </w:rPr>
        <w:t>工程建设，对本标段以外的购货款项，有权拒绝办理，并及时报告甲方；</w:t>
      </w:r>
    </w:p>
    <w:p w14:paraId="366D215B">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（3）根据乙方与分包单位签订的合同及支付文件，检查其支付款项是否符合有关条件，向分包单位以外单位的支付有权拒绝办理，并及时报告甲方；</w:t>
      </w:r>
    </w:p>
    <w:p w14:paraId="392235D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（4）根据乙方提供的上级单位出具的转账通知等有关资料，办理管理费、机械设备及周转材料租赁摊销费等款项的支付；对超出转账通知等有关资料以外的支付，有权拒绝办理，并及时转告甲方；</w:t>
      </w:r>
    </w:p>
    <w:p w14:paraId="51C59CB7">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（5）定期将乙方前一个周期的支付情况，整理后书面报送甲方；乙方复印备案的材料一并送甲方。</w:t>
      </w:r>
    </w:p>
    <w:p w14:paraId="383B6DA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5.甲、乙、丙三方都应履行保密责任，不得将其他两方的业务情况透露给三方以外的其他单位或个人。</w:t>
      </w:r>
    </w:p>
    <w:p w14:paraId="08180861">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6.本协议有效期自乙方在丙方开户起，至工程交工验收甲方向乙方颁发交工验收证书后结束。</w:t>
      </w:r>
    </w:p>
    <w:p w14:paraId="48587E1B">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7.本协议未尽事宜，由甲方牵头，三方协商解决。</w:t>
      </w:r>
    </w:p>
    <w:p w14:paraId="01DB3FA9">
      <w:pPr>
        <w:shd w:val="clear" w:fill="FFFFFF" w:themeFill="background1"/>
        <w:spacing w:line="400" w:lineRule="exact"/>
        <w:ind w:firstLine="480" w:firstLineChars="200"/>
        <w:rPr>
          <w:rFonts w:ascii="宋体" w:hAnsi="宋体"/>
          <w:color w:val="auto"/>
          <w:sz w:val="24"/>
          <w:highlight w:val="none"/>
        </w:rPr>
      </w:pPr>
      <w:r>
        <w:rPr>
          <w:rFonts w:hint="eastAsia" w:ascii="宋体" w:hAnsi="宋体"/>
          <w:color w:val="auto"/>
          <w:sz w:val="24"/>
          <w:highlight w:val="none"/>
        </w:rPr>
        <w:t>8.本协议正本三份、副本份。合同三方各执正本一份、副本份，当正本与副本内容不一致时，以正本为准。</w:t>
      </w:r>
    </w:p>
    <w:p w14:paraId="21BDB8E9">
      <w:pPr>
        <w:shd w:val="clear" w:fill="FFFFFF" w:themeFill="background1"/>
        <w:spacing w:line="360" w:lineRule="exact"/>
        <w:ind w:firstLine="465"/>
        <w:rPr>
          <w:rFonts w:ascii="宋体" w:hAnsi="宋体"/>
          <w:color w:val="auto"/>
          <w:sz w:val="24"/>
          <w:highlight w:val="none"/>
        </w:rPr>
      </w:pPr>
    </w:p>
    <w:p w14:paraId="3B169BCD">
      <w:pPr>
        <w:shd w:val="clear" w:fill="FFFFFF" w:themeFill="background1"/>
        <w:spacing w:line="360" w:lineRule="exact"/>
        <w:ind w:firstLine="465"/>
        <w:rPr>
          <w:rFonts w:ascii="宋体" w:hAnsi="宋体"/>
          <w:color w:val="auto"/>
          <w:sz w:val="24"/>
          <w:highlight w:val="none"/>
        </w:rPr>
      </w:pPr>
    </w:p>
    <w:p w14:paraId="742A1453">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发包人：（盖单位章）</w:t>
      </w:r>
    </w:p>
    <w:p w14:paraId="05BC83DF">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法定人或代表其委托代理人：（签字）</w:t>
      </w:r>
    </w:p>
    <w:p w14:paraId="2B5AA922">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年   月   日</w:t>
      </w:r>
    </w:p>
    <w:p w14:paraId="6720A428">
      <w:pPr>
        <w:shd w:val="clear" w:fill="FFFFFF" w:themeFill="background1"/>
        <w:spacing w:line="360" w:lineRule="exact"/>
        <w:rPr>
          <w:rFonts w:ascii="宋体" w:hAnsi="宋体"/>
          <w:color w:val="auto"/>
          <w:sz w:val="24"/>
          <w:highlight w:val="none"/>
        </w:rPr>
      </w:pPr>
    </w:p>
    <w:p w14:paraId="1F649A53">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承包人：（盖单位章）</w:t>
      </w:r>
    </w:p>
    <w:p w14:paraId="3E132274">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法定人或代表其委托代理人：（签字）</w:t>
      </w:r>
    </w:p>
    <w:p w14:paraId="34DC885F">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年   月   日</w:t>
      </w:r>
    </w:p>
    <w:p w14:paraId="3CDE4DD5">
      <w:pPr>
        <w:shd w:val="clear" w:fill="FFFFFF" w:themeFill="background1"/>
        <w:spacing w:line="360" w:lineRule="exact"/>
        <w:rPr>
          <w:rFonts w:ascii="宋体" w:hAnsi="宋体"/>
          <w:color w:val="auto"/>
          <w:sz w:val="24"/>
          <w:highlight w:val="none"/>
        </w:rPr>
      </w:pPr>
    </w:p>
    <w:p w14:paraId="09FFA24F">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经办银行：（盖单位章）</w:t>
      </w:r>
    </w:p>
    <w:p w14:paraId="6D714E9B">
      <w:pPr>
        <w:shd w:val="clear" w:fill="FFFFFF" w:themeFill="background1"/>
        <w:spacing w:line="360" w:lineRule="exact"/>
        <w:ind w:firstLine="465"/>
        <w:rPr>
          <w:rFonts w:ascii="宋体" w:hAnsi="宋体"/>
          <w:color w:val="auto"/>
          <w:sz w:val="24"/>
          <w:highlight w:val="none"/>
        </w:rPr>
      </w:pPr>
      <w:r>
        <w:rPr>
          <w:rFonts w:hint="eastAsia" w:ascii="宋体" w:hAnsi="宋体"/>
          <w:color w:val="auto"/>
          <w:sz w:val="24"/>
          <w:highlight w:val="none"/>
        </w:rPr>
        <w:t>法定人或代表其委托代理人：（签字）</w:t>
      </w:r>
    </w:p>
    <w:p w14:paraId="6CB911F5">
      <w:pPr>
        <w:shd w:val="clear" w:fill="FFFFFF" w:themeFill="background1"/>
        <w:spacing w:line="360" w:lineRule="exact"/>
        <w:ind w:firstLine="465"/>
        <w:rPr>
          <w:rFonts w:ascii="宋体" w:hAnsi="宋体"/>
          <w:color w:val="auto"/>
          <w:sz w:val="24"/>
          <w:highlight w:val="none"/>
        </w:rPr>
        <w:sectPr>
          <w:footerReference r:id="rId10" w:type="first"/>
          <w:footerReference r:id="rId9" w:type="default"/>
          <w:pgSz w:w="11906" w:h="16838"/>
          <w:pgMar w:top="1276" w:right="924" w:bottom="935" w:left="1418" w:header="624" w:footer="590" w:gutter="0"/>
          <w:cols w:space="720" w:num="1"/>
          <w:docGrid w:type="lines" w:linePitch="312" w:charSpace="0"/>
        </w:sectPr>
      </w:pPr>
      <w:r>
        <w:rPr>
          <w:rFonts w:hint="eastAsia" w:ascii="宋体" w:hAnsi="宋体"/>
          <w:color w:val="auto"/>
          <w:sz w:val="24"/>
          <w:highlight w:val="none"/>
        </w:rPr>
        <w:t>年   月   日</w:t>
      </w:r>
    </w:p>
    <w:p w14:paraId="63B0375C">
      <w:pPr>
        <w:pStyle w:val="78"/>
        <w:shd w:val="clear" w:fill="FFFFFF" w:themeFill="background1"/>
        <w:spacing w:line="360" w:lineRule="auto"/>
        <w:rPr>
          <w:rFonts w:ascii="宋体" w:hAnsi="宋体"/>
          <w:color w:val="auto"/>
          <w:sz w:val="24"/>
          <w:szCs w:val="24"/>
          <w:highlight w:val="none"/>
        </w:rPr>
      </w:pPr>
      <w:bookmarkStart w:id="1712" w:name="_Toc451261387"/>
      <w:bookmarkEnd w:id="1712"/>
      <w:bookmarkStart w:id="1713" w:name="_Toc43476015"/>
      <w:bookmarkEnd w:id="1713"/>
      <w:bookmarkStart w:id="1714" w:name="_Toc452498666"/>
      <w:bookmarkEnd w:id="1714"/>
      <w:bookmarkStart w:id="1715" w:name="_Toc453056969"/>
      <w:bookmarkEnd w:id="1715"/>
      <w:bookmarkStart w:id="1716" w:name="_Toc452498896"/>
      <w:bookmarkEnd w:id="1716"/>
      <w:bookmarkStart w:id="1717" w:name="_Toc198"/>
      <w:bookmarkEnd w:id="1717"/>
      <w:bookmarkStart w:id="1718" w:name="_Toc9003"/>
      <w:bookmarkEnd w:id="1718"/>
      <w:bookmarkStart w:id="1719" w:name="_Toc453057197"/>
      <w:bookmarkEnd w:id="1719"/>
      <w:r>
        <w:rPr>
          <w:rFonts w:hint="eastAsia" w:ascii="宋体" w:hAnsi="宋体"/>
          <w:color w:val="auto"/>
          <w:sz w:val="24"/>
          <w:szCs w:val="24"/>
          <w:highlight w:val="none"/>
        </w:rPr>
        <w:t>附件九  特殊材料设备供应一览表</w:t>
      </w:r>
    </w:p>
    <w:p w14:paraId="63D5386B">
      <w:pPr>
        <w:pStyle w:val="68"/>
        <w:shd w:val="clear" w:fill="FFFFFF" w:themeFill="background1"/>
        <w:rPr>
          <w:rFonts w:ascii="宋体" w:hAnsi="宋体" w:cs="宋体"/>
          <w:b/>
          <w:color w:val="auto"/>
          <w:sz w:val="28"/>
          <w:szCs w:val="28"/>
          <w:highlight w:val="none"/>
        </w:rPr>
      </w:pPr>
      <w:r>
        <w:rPr>
          <w:rFonts w:hint="eastAsia" w:ascii="宋体" w:hAnsi="宋体" w:cs="宋体"/>
          <w:b/>
          <w:color w:val="auto"/>
          <w:sz w:val="28"/>
          <w:szCs w:val="28"/>
          <w:highlight w:val="none"/>
        </w:rPr>
        <w:t xml:space="preserve"> 特殊材料设备供应一览表</w:t>
      </w:r>
    </w:p>
    <w:tbl>
      <w:tblPr>
        <w:tblStyle w:val="45"/>
        <w:tblW w:w="8542"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522"/>
        <w:gridCol w:w="708"/>
        <w:gridCol w:w="851"/>
        <w:gridCol w:w="1276"/>
        <w:gridCol w:w="992"/>
        <w:gridCol w:w="992"/>
        <w:gridCol w:w="709"/>
        <w:gridCol w:w="992"/>
      </w:tblGrid>
      <w:tr w14:paraId="339E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500" w:type="dxa"/>
            <w:vAlign w:val="center"/>
          </w:tcPr>
          <w:p w14:paraId="781101A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序号</w:t>
            </w:r>
          </w:p>
        </w:tc>
        <w:tc>
          <w:tcPr>
            <w:tcW w:w="1522" w:type="dxa"/>
            <w:vAlign w:val="center"/>
          </w:tcPr>
          <w:p w14:paraId="2E90D4F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材料品种或设备型号</w:t>
            </w:r>
          </w:p>
        </w:tc>
        <w:tc>
          <w:tcPr>
            <w:tcW w:w="708" w:type="dxa"/>
            <w:vAlign w:val="center"/>
          </w:tcPr>
          <w:p w14:paraId="750FF7C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单位</w:t>
            </w:r>
          </w:p>
        </w:tc>
        <w:tc>
          <w:tcPr>
            <w:tcW w:w="851" w:type="dxa"/>
            <w:vAlign w:val="center"/>
          </w:tcPr>
          <w:p w14:paraId="689514A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数量</w:t>
            </w:r>
          </w:p>
        </w:tc>
        <w:tc>
          <w:tcPr>
            <w:tcW w:w="1276" w:type="dxa"/>
            <w:vAlign w:val="center"/>
          </w:tcPr>
          <w:p w14:paraId="374DE6B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到达工地价格</w:t>
            </w:r>
          </w:p>
          <w:p w14:paraId="0C327B5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（元）</w:t>
            </w:r>
          </w:p>
        </w:tc>
        <w:tc>
          <w:tcPr>
            <w:tcW w:w="992" w:type="dxa"/>
            <w:vAlign w:val="center"/>
          </w:tcPr>
          <w:p w14:paraId="5954C16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质量</w:t>
            </w:r>
          </w:p>
          <w:p w14:paraId="2007E38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等级</w:t>
            </w:r>
          </w:p>
        </w:tc>
        <w:tc>
          <w:tcPr>
            <w:tcW w:w="992" w:type="dxa"/>
            <w:vAlign w:val="center"/>
          </w:tcPr>
          <w:p w14:paraId="5C2151D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供应</w:t>
            </w:r>
          </w:p>
          <w:p w14:paraId="509D7E2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时间</w:t>
            </w:r>
          </w:p>
        </w:tc>
        <w:tc>
          <w:tcPr>
            <w:tcW w:w="709" w:type="dxa"/>
            <w:vAlign w:val="center"/>
          </w:tcPr>
          <w:p w14:paraId="4CC3023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送达地点</w:t>
            </w:r>
          </w:p>
        </w:tc>
        <w:tc>
          <w:tcPr>
            <w:tcW w:w="992" w:type="dxa"/>
            <w:vAlign w:val="center"/>
          </w:tcPr>
          <w:p w14:paraId="2CDAADD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备注</w:t>
            </w:r>
          </w:p>
        </w:tc>
      </w:tr>
      <w:tr w14:paraId="5BAC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F137DC8">
            <w:pPr>
              <w:pStyle w:val="68"/>
              <w:shd w:val="clear" w:fill="FFFFFF" w:themeFill="background1"/>
              <w:rPr>
                <w:rFonts w:ascii="宋体" w:hAnsi="宋体" w:cs="宋体"/>
                <w:color w:val="auto"/>
                <w:sz w:val="28"/>
                <w:szCs w:val="28"/>
                <w:highlight w:val="none"/>
              </w:rPr>
            </w:pPr>
          </w:p>
        </w:tc>
        <w:tc>
          <w:tcPr>
            <w:tcW w:w="1522" w:type="dxa"/>
          </w:tcPr>
          <w:p w14:paraId="3721A7BC">
            <w:pPr>
              <w:pStyle w:val="68"/>
              <w:shd w:val="clear" w:fill="FFFFFF" w:themeFill="background1"/>
              <w:rPr>
                <w:rFonts w:ascii="宋体" w:hAnsi="宋体" w:cs="宋体"/>
                <w:color w:val="auto"/>
                <w:sz w:val="28"/>
                <w:szCs w:val="28"/>
                <w:highlight w:val="none"/>
              </w:rPr>
            </w:pPr>
          </w:p>
        </w:tc>
        <w:tc>
          <w:tcPr>
            <w:tcW w:w="708" w:type="dxa"/>
          </w:tcPr>
          <w:p w14:paraId="19D073A8">
            <w:pPr>
              <w:pStyle w:val="68"/>
              <w:shd w:val="clear" w:fill="FFFFFF" w:themeFill="background1"/>
              <w:rPr>
                <w:rFonts w:ascii="宋体" w:hAnsi="宋体" w:cs="宋体"/>
                <w:color w:val="auto"/>
                <w:sz w:val="28"/>
                <w:szCs w:val="28"/>
                <w:highlight w:val="none"/>
              </w:rPr>
            </w:pPr>
          </w:p>
        </w:tc>
        <w:tc>
          <w:tcPr>
            <w:tcW w:w="851" w:type="dxa"/>
          </w:tcPr>
          <w:p w14:paraId="072F063C">
            <w:pPr>
              <w:pStyle w:val="68"/>
              <w:shd w:val="clear" w:fill="FFFFFF" w:themeFill="background1"/>
              <w:rPr>
                <w:rFonts w:ascii="宋体" w:hAnsi="宋体" w:cs="宋体"/>
                <w:color w:val="auto"/>
                <w:sz w:val="28"/>
                <w:szCs w:val="28"/>
                <w:highlight w:val="none"/>
              </w:rPr>
            </w:pPr>
          </w:p>
        </w:tc>
        <w:tc>
          <w:tcPr>
            <w:tcW w:w="1276" w:type="dxa"/>
          </w:tcPr>
          <w:p w14:paraId="6108E442">
            <w:pPr>
              <w:pStyle w:val="68"/>
              <w:shd w:val="clear" w:fill="FFFFFF" w:themeFill="background1"/>
              <w:rPr>
                <w:rFonts w:ascii="宋体" w:hAnsi="宋体" w:cs="宋体"/>
                <w:color w:val="auto"/>
                <w:sz w:val="28"/>
                <w:szCs w:val="28"/>
                <w:highlight w:val="none"/>
              </w:rPr>
            </w:pPr>
          </w:p>
        </w:tc>
        <w:tc>
          <w:tcPr>
            <w:tcW w:w="992" w:type="dxa"/>
          </w:tcPr>
          <w:p w14:paraId="24976577">
            <w:pPr>
              <w:pStyle w:val="68"/>
              <w:shd w:val="clear" w:fill="FFFFFF" w:themeFill="background1"/>
              <w:rPr>
                <w:rFonts w:ascii="宋体" w:hAnsi="宋体" w:cs="宋体"/>
                <w:color w:val="auto"/>
                <w:sz w:val="28"/>
                <w:szCs w:val="28"/>
                <w:highlight w:val="none"/>
              </w:rPr>
            </w:pPr>
          </w:p>
        </w:tc>
        <w:tc>
          <w:tcPr>
            <w:tcW w:w="992" w:type="dxa"/>
          </w:tcPr>
          <w:p w14:paraId="74CA0D9C">
            <w:pPr>
              <w:pStyle w:val="68"/>
              <w:shd w:val="clear" w:fill="FFFFFF" w:themeFill="background1"/>
              <w:rPr>
                <w:rFonts w:ascii="宋体" w:hAnsi="宋体" w:cs="宋体"/>
                <w:color w:val="auto"/>
                <w:sz w:val="28"/>
                <w:szCs w:val="28"/>
                <w:highlight w:val="none"/>
              </w:rPr>
            </w:pPr>
          </w:p>
        </w:tc>
        <w:tc>
          <w:tcPr>
            <w:tcW w:w="709" w:type="dxa"/>
          </w:tcPr>
          <w:p w14:paraId="7832FE24">
            <w:pPr>
              <w:pStyle w:val="68"/>
              <w:shd w:val="clear" w:fill="FFFFFF" w:themeFill="background1"/>
              <w:rPr>
                <w:rFonts w:ascii="宋体" w:hAnsi="宋体" w:cs="宋体"/>
                <w:color w:val="auto"/>
                <w:sz w:val="28"/>
                <w:szCs w:val="28"/>
                <w:highlight w:val="none"/>
              </w:rPr>
            </w:pPr>
          </w:p>
        </w:tc>
        <w:tc>
          <w:tcPr>
            <w:tcW w:w="992" w:type="dxa"/>
          </w:tcPr>
          <w:p w14:paraId="60B6CB28">
            <w:pPr>
              <w:pStyle w:val="68"/>
              <w:shd w:val="clear" w:fill="FFFFFF" w:themeFill="background1"/>
              <w:rPr>
                <w:rFonts w:ascii="宋体" w:hAnsi="宋体" w:cs="宋体"/>
                <w:color w:val="auto"/>
                <w:sz w:val="28"/>
                <w:szCs w:val="28"/>
                <w:highlight w:val="none"/>
              </w:rPr>
            </w:pPr>
          </w:p>
        </w:tc>
      </w:tr>
      <w:tr w14:paraId="73DD1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1F68015D">
            <w:pPr>
              <w:pStyle w:val="68"/>
              <w:shd w:val="clear" w:fill="FFFFFF" w:themeFill="background1"/>
              <w:rPr>
                <w:rFonts w:ascii="宋体" w:hAnsi="宋体" w:cs="宋体"/>
                <w:color w:val="auto"/>
                <w:sz w:val="28"/>
                <w:szCs w:val="28"/>
                <w:highlight w:val="none"/>
              </w:rPr>
            </w:pPr>
          </w:p>
        </w:tc>
        <w:tc>
          <w:tcPr>
            <w:tcW w:w="1522" w:type="dxa"/>
          </w:tcPr>
          <w:p w14:paraId="261E8A5D">
            <w:pPr>
              <w:pStyle w:val="68"/>
              <w:shd w:val="clear" w:fill="FFFFFF" w:themeFill="background1"/>
              <w:rPr>
                <w:rFonts w:ascii="宋体" w:hAnsi="宋体" w:cs="宋体"/>
                <w:color w:val="auto"/>
                <w:sz w:val="28"/>
                <w:szCs w:val="28"/>
                <w:highlight w:val="none"/>
              </w:rPr>
            </w:pPr>
          </w:p>
        </w:tc>
        <w:tc>
          <w:tcPr>
            <w:tcW w:w="708" w:type="dxa"/>
          </w:tcPr>
          <w:p w14:paraId="15FB3657">
            <w:pPr>
              <w:pStyle w:val="68"/>
              <w:shd w:val="clear" w:fill="FFFFFF" w:themeFill="background1"/>
              <w:rPr>
                <w:rFonts w:ascii="宋体" w:hAnsi="宋体" w:cs="宋体"/>
                <w:color w:val="auto"/>
                <w:sz w:val="28"/>
                <w:szCs w:val="28"/>
                <w:highlight w:val="none"/>
              </w:rPr>
            </w:pPr>
          </w:p>
        </w:tc>
        <w:tc>
          <w:tcPr>
            <w:tcW w:w="851" w:type="dxa"/>
          </w:tcPr>
          <w:p w14:paraId="639C7198">
            <w:pPr>
              <w:pStyle w:val="68"/>
              <w:shd w:val="clear" w:fill="FFFFFF" w:themeFill="background1"/>
              <w:rPr>
                <w:rFonts w:ascii="宋体" w:hAnsi="宋体" w:cs="宋体"/>
                <w:color w:val="auto"/>
                <w:sz w:val="28"/>
                <w:szCs w:val="28"/>
                <w:highlight w:val="none"/>
              </w:rPr>
            </w:pPr>
          </w:p>
        </w:tc>
        <w:tc>
          <w:tcPr>
            <w:tcW w:w="1276" w:type="dxa"/>
          </w:tcPr>
          <w:p w14:paraId="48A77AE6">
            <w:pPr>
              <w:pStyle w:val="68"/>
              <w:shd w:val="clear" w:fill="FFFFFF" w:themeFill="background1"/>
              <w:rPr>
                <w:rFonts w:ascii="宋体" w:hAnsi="宋体" w:cs="宋体"/>
                <w:color w:val="auto"/>
                <w:sz w:val="28"/>
                <w:szCs w:val="28"/>
                <w:highlight w:val="none"/>
              </w:rPr>
            </w:pPr>
          </w:p>
        </w:tc>
        <w:tc>
          <w:tcPr>
            <w:tcW w:w="992" w:type="dxa"/>
          </w:tcPr>
          <w:p w14:paraId="6CF9E9F4">
            <w:pPr>
              <w:pStyle w:val="68"/>
              <w:shd w:val="clear" w:fill="FFFFFF" w:themeFill="background1"/>
              <w:rPr>
                <w:rFonts w:ascii="宋体" w:hAnsi="宋体" w:cs="宋体"/>
                <w:color w:val="auto"/>
                <w:sz w:val="28"/>
                <w:szCs w:val="28"/>
                <w:highlight w:val="none"/>
              </w:rPr>
            </w:pPr>
          </w:p>
        </w:tc>
        <w:tc>
          <w:tcPr>
            <w:tcW w:w="992" w:type="dxa"/>
          </w:tcPr>
          <w:p w14:paraId="17A75F9F">
            <w:pPr>
              <w:pStyle w:val="68"/>
              <w:shd w:val="clear" w:fill="FFFFFF" w:themeFill="background1"/>
              <w:rPr>
                <w:rFonts w:ascii="宋体" w:hAnsi="宋体" w:cs="宋体"/>
                <w:color w:val="auto"/>
                <w:sz w:val="28"/>
                <w:szCs w:val="28"/>
                <w:highlight w:val="none"/>
              </w:rPr>
            </w:pPr>
          </w:p>
        </w:tc>
        <w:tc>
          <w:tcPr>
            <w:tcW w:w="709" w:type="dxa"/>
          </w:tcPr>
          <w:p w14:paraId="0BFC74D4">
            <w:pPr>
              <w:pStyle w:val="68"/>
              <w:shd w:val="clear" w:fill="FFFFFF" w:themeFill="background1"/>
              <w:rPr>
                <w:rFonts w:ascii="宋体" w:hAnsi="宋体" w:cs="宋体"/>
                <w:color w:val="auto"/>
                <w:sz w:val="28"/>
                <w:szCs w:val="28"/>
                <w:highlight w:val="none"/>
              </w:rPr>
            </w:pPr>
          </w:p>
        </w:tc>
        <w:tc>
          <w:tcPr>
            <w:tcW w:w="992" w:type="dxa"/>
          </w:tcPr>
          <w:p w14:paraId="31FE957E">
            <w:pPr>
              <w:pStyle w:val="68"/>
              <w:shd w:val="clear" w:fill="FFFFFF" w:themeFill="background1"/>
              <w:rPr>
                <w:rFonts w:ascii="宋体" w:hAnsi="宋体" w:cs="宋体"/>
                <w:color w:val="auto"/>
                <w:sz w:val="28"/>
                <w:szCs w:val="28"/>
                <w:highlight w:val="none"/>
              </w:rPr>
            </w:pPr>
          </w:p>
        </w:tc>
      </w:tr>
      <w:tr w14:paraId="640F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D0FFF34">
            <w:pPr>
              <w:pStyle w:val="68"/>
              <w:shd w:val="clear" w:fill="FFFFFF" w:themeFill="background1"/>
              <w:rPr>
                <w:rFonts w:ascii="宋体" w:hAnsi="宋体" w:cs="宋体"/>
                <w:color w:val="auto"/>
                <w:sz w:val="28"/>
                <w:szCs w:val="28"/>
                <w:highlight w:val="none"/>
              </w:rPr>
            </w:pPr>
          </w:p>
        </w:tc>
        <w:tc>
          <w:tcPr>
            <w:tcW w:w="1522" w:type="dxa"/>
          </w:tcPr>
          <w:p w14:paraId="43F6C425">
            <w:pPr>
              <w:pStyle w:val="68"/>
              <w:shd w:val="clear" w:fill="FFFFFF" w:themeFill="background1"/>
              <w:rPr>
                <w:rFonts w:ascii="宋体" w:hAnsi="宋体" w:cs="宋体"/>
                <w:color w:val="auto"/>
                <w:sz w:val="28"/>
                <w:szCs w:val="28"/>
                <w:highlight w:val="none"/>
              </w:rPr>
            </w:pPr>
          </w:p>
        </w:tc>
        <w:tc>
          <w:tcPr>
            <w:tcW w:w="708" w:type="dxa"/>
          </w:tcPr>
          <w:p w14:paraId="1D0DD7C3">
            <w:pPr>
              <w:pStyle w:val="68"/>
              <w:shd w:val="clear" w:fill="FFFFFF" w:themeFill="background1"/>
              <w:rPr>
                <w:rFonts w:ascii="宋体" w:hAnsi="宋体" w:cs="宋体"/>
                <w:color w:val="auto"/>
                <w:sz w:val="28"/>
                <w:szCs w:val="28"/>
                <w:highlight w:val="none"/>
              </w:rPr>
            </w:pPr>
          </w:p>
        </w:tc>
        <w:tc>
          <w:tcPr>
            <w:tcW w:w="851" w:type="dxa"/>
          </w:tcPr>
          <w:p w14:paraId="61483559">
            <w:pPr>
              <w:pStyle w:val="68"/>
              <w:shd w:val="clear" w:fill="FFFFFF" w:themeFill="background1"/>
              <w:rPr>
                <w:rFonts w:ascii="宋体" w:hAnsi="宋体" w:cs="宋体"/>
                <w:color w:val="auto"/>
                <w:sz w:val="28"/>
                <w:szCs w:val="28"/>
                <w:highlight w:val="none"/>
              </w:rPr>
            </w:pPr>
          </w:p>
        </w:tc>
        <w:tc>
          <w:tcPr>
            <w:tcW w:w="1276" w:type="dxa"/>
          </w:tcPr>
          <w:p w14:paraId="6A2E8462">
            <w:pPr>
              <w:pStyle w:val="68"/>
              <w:shd w:val="clear" w:fill="FFFFFF" w:themeFill="background1"/>
              <w:rPr>
                <w:rFonts w:ascii="宋体" w:hAnsi="宋体" w:cs="宋体"/>
                <w:color w:val="auto"/>
                <w:sz w:val="28"/>
                <w:szCs w:val="28"/>
                <w:highlight w:val="none"/>
              </w:rPr>
            </w:pPr>
          </w:p>
        </w:tc>
        <w:tc>
          <w:tcPr>
            <w:tcW w:w="992" w:type="dxa"/>
          </w:tcPr>
          <w:p w14:paraId="1E3410AC">
            <w:pPr>
              <w:pStyle w:val="68"/>
              <w:shd w:val="clear" w:fill="FFFFFF" w:themeFill="background1"/>
              <w:rPr>
                <w:rFonts w:ascii="宋体" w:hAnsi="宋体" w:cs="宋体"/>
                <w:color w:val="auto"/>
                <w:sz w:val="28"/>
                <w:szCs w:val="28"/>
                <w:highlight w:val="none"/>
              </w:rPr>
            </w:pPr>
          </w:p>
        </w:tc>
        <w:tc>
          <w:tcPr>
            <w:tcW w:w="992" w:type="dxa"/>
          </w:tcPr>
          <w:p w14:paraId="271EA518">
            <w:pPr>
              <w:pStyle w:val="68"/>
              <w:shd w:val="clear" w:fill="FFFFFF" w:themeFill="background1"/>
              <w:rPr>
                <w:rFonts w:ascii="宋体" w:hAnsi="宋体" w:cs="宋体"/>
                <w:color w:val="auto"/>
                <w:sz w:val="28"/>
                <w:szCs w:val="28"/>
                <w:highlight w:val="none"/>
              </w:rPr>
            </w:pPr>
          </w:p>
        </w:tc>
        <w:tc>
          <w:tcPr>
            <w:tcW w:w="709" w:type="dxa"/>
          </w:tcPr>
          <w:p w14:paraId="38BAF966">
            <w:pPr>
              <w:pStyle w:val="68"/>
              <w:shd w:val="clear" w:fill="FFFFFF" w:themeFill="background1"/>
              <w:rPr>
                <w:rFonts w:ascii="宋体" w:hAnsi="宋体" w:cs="宋体"/>
                <w:color w:val="auto"/>
                <w:sz w:val="28"/>
                <w:szCs w:val="28"/>
                <w:highlight w:val="none"/>
              </w:rPr>
            </w:pPr>
          </w:p>
        </w:tc>
        <w:tc>
          <w:tcPr>
            <w:tcW w:w="992" w:type="dxa"/>
          </w:tcPr>
          <w:p w14:paraId="592A8E38">
            <w:pPr>
              <w:pStyle w:val="68"/>
              <w:shd w:val="clear" w:fill="FFFFFF" w:themeFill="background1"/>
              <w:rPr>
                <w:rFonts w:ascii="宋体" w:hAnsi="宋体" w:cs="宋体"/>
                <w:color w:val="auto"/>
                <w:sz w:val="28"/>
                <w:szCs w:val="28"/>
                <w:highlight w:val="none"/>
              </w:rPr>
            </w:pPr>
          </w:p>
        </w:tc>
      </w:tr>
      <w:tr w14:paraId="0E9F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4FED3009">
            <w:pPr>
              <w:pStyle w:val="68"/>
              <w:shd w:val="clear" w:fill="FFFFFF" w:themeFill="background1"/>
              <w:rPr>
                <w:rFonts w:ascii="宋体" w:hAnsi="宋体" w:cs="宋体"/>
                <w:color w:val="auto"/>
                <w:sz w:val="28"/>
                <w:szCs w:val="28"/>
                <w:highlight w:val="none"/>
              </w:rPr>
            </w:pPr>
          </w:p>
        </w:tc>
        <w:tc>
          <w:tcPr>
            <w:tcW w:w="1522" w:type="dxa"/>
          </w:tcPr>
          <w:p w14:paraId="13E0FFB2">
            <w:pPr>
              <w:pStyle w:val="68"/>
              <w:shd w:val="clear" w:fill="FFFFFF" w:themeFill="background1"/>
              <w:rPr>
                <w:rFonts w:ascii="宋体" w:hAnsi="宋体" w:cs="宋体"/>
                <w:color w:val="auto"/>
                <w:sz w:val="28"/>
                <w:szCs w:val="28"/>
                <w:highlight w:val="none"/>
              </w:rPr>
            </w:pPr>
          </w:p>
        </w:tc>
        <w:tc>
          <w:tcPr>
            <w:tcW w:w="708" w:type="dxa"/>
          </w:tcPr>
          <w:p w14:paraId="78E8F16D">
            <w:pPr>
              <w:pStyle w:val="68"/>
              <w:shd w:val="clear" w:fill="FFFFFF" w:themeFill="background1"/>
              <w:rPr>
                <w:rFonts w:ascii="宋体" w:hAnsi="宋体" w:cs="宋体"/>
                <w:color w:val="auto"/>
                <w:sz w:val="28"/>
                <w:szCs w:val="28"/>
                <w:highlight w:val="none"/>
              </w:rPr>
            </w:pPr>
          </w:p>
        </w:tc>
        <w:tc>
          <w:tcPr>
            <w:tcW w:w="851" w:type="dxa"/>
          </w:tcPr>
          <w:p w14:paraId="5CDEF1DB">
            <w:pPr>
              <w:pStyle w:val="68"/>
              <w:shd w:val="clear" w:fill="FFFFFF" w:themeFill="background1"/>
              <w:rPr>
                <w:rFonts w:ascii="宋体" w:hAnsi="宋体" w:cs="宋体"/>
                <w:color w:val="auto"/>
                <w:sz w:val="28"/>
                <w:szCs w:val="28"/>
                <w:highlight w:val="none"/>
              </w:rPr>
            </w:pPr>
          </w:p>
        </w:tc>
        <w:tc>
          <w:tcPr>
            <w:tcW w:w="1276" w:type="dxa"/>
          </w:tcPr>
          <w:p w14:paraId="5F99D1CD">
            <w:pPr>
              <w:pStyle w:val="68"/>
              <w:shd w:val="clear" w:fill="FFFFFF" w:themeFill="background1"/>
              <w:rPr>
                <w:rFonts w:ascii="宋体" w:hAnsi="宋体" w:cs="宋体"/>
                <w:color w:val="auto"/>
                <w:sz w:val="28"/>
                <w:szCs w:val="28"/>
                <w:highlight w:val="none"/>
              </w:rPr>
            </w:pPr>
          </w:p>
        </w:tc>
        <w:tc>
          <w:tcPr>
            <w:tcW w:w="992" w:type="dxa"/>
          </w:tcPr>
          <w:p w14:paraId="370CCA5F">
            <w:pPr>
              <w:pStyle w:val="68"/>
              <w:shd w:val="clear" w:fill="FFFFFF" w:themeFill="background1"/>
              <w:rPr>
                <w:rFonts w:ascii="宋体" w:hAnsi="宋体" w:cs="宋体"/>
                <w:color w:val="auto"/>
                <w:sz w:val="28"/>
                <w:szCs w:val="28"/>
                <w:highlight w:val="none"/>
              </w:rPr>
            </w:pPr>
          </w:p>
        </w:tc>
        <w:tc>
          <w:tcPr>
            <w:tcW w:w="992" w:type="dxa"/>
          </w:tcPr>
          <w:p w14:paraId="6A59C606">
            <w:pPr>
              <w:pStyle w:val="68"/>
              <w:shd w:val="clear" w:fill="FFFFFF" w:themeFill="background1"/>
              <w:rPr>
                <w:rFonts w:ascii="宋体" w:hAnsi="宋体" w:cs="宋体"/>
                <w:color w:val="auto"/>
                <w:sz w:val="28"/>
                <w:szCs w:val="28"/>
                <w:highlight w:val="none"/>
              </w:rPr>
            </w:pPr>
          </w:p>
        </w:tc>
        <w:tc>
          <w:tcPr>
            <w:tcW w:w="709" w:type="dxa"/>
          </w:tcPr>
          <w:p w14:paraId="08CF9DF8">
            <w:pPr>
              <w:pStyle w:val="68"/>
              <w:shd w:val="clear" w:fill="FFFFFF" w:themeFill="background1"/>
              <w:rPr>
                <w:rFonts w:ascii="宋体" w:hAnsi="宋体" w:cs="宋体"/>
                <w:color w:val="auto"/>
                <w:sz w:val="28"/>
                <w:szCs w:val="28"/>
                <w:highlight w:val="none"/>
              </w:rPr>
            </w:pPr>
          </w:p>
        </w:tc>
        <w:tc>
          <w:tcPr>
            <w:tcW w:w="992" w:type="dxa"/>
          </w:tcPr>
          <w:p w14:paraId="4148ACF5">
            <w:pPr>
              <w:pStyle w:val="68"/>
              <w:shd w:val="clear" w:fill="FFFFFF" w:themeFill="background1"/>
              <w:rPr>
                <w:rFonts w:ascii="宋体" w:hAnsi="宋体" w:cs="宋体"/>
                <w:color w:val="auto"/>
                <w:sz w:val="28"/>
                <w:szCs w:val="28"/>
                <w:highlight w:val="none"/>
              </w:rPr>
            </w:pPr>
          </w:p>
        </w:tc>
      </w:tr>
      <w:tr w14:paraId="4A008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6F60A6D8">
            <w:pPr>
              <w:pStyle w:val="68"/>
              <w:shd w:val="clear" w:fill="FFFFFF" w:themeFill="background1"/>
              <w:rPr>
                <w:rFonts w:ascii="宋体" w:hAnsi="宋体" w:cs="宋体"/>
                <w:color w:val="auto"/>
                <w:sz w:val="28"/>
                <w:szCs w:val="28"/>
                <w:highlight w:val="none"/>
              </w:rPr>
            </w:pPr>
          </w:p>
        </w:tc>
        <w:tc>
          <w:tcPr>
            <w:tcW w:w="1522" w:type="dxa"/>
          </w:tcPr>
          <w:p w14:paraId="6D650A6F">
            <w:pPr>
              <w:pStyle w:val="68"/>
              <w:shd w:val="clear" w:fill="FFFFFF" w:themeFill="background1"/>
              <w:rPr>
                <w:rFonts w:ascii="宋体" w:hAnsi="宋体" w:cs="宋体"/>
                <w:color w:val="auto"/>
                <w:sz w:val="28"/>
                <w:szCs w:val="28"/>
                <w:highlight w:val="none"/>
              </w:rPr>
            </w:pPr>
          </w:p>
        </w:tc>
        <w:tc>
          <w:tcPr>
            <w:tcW w:w="708" w:type="dxa"/>
          </w:tcPr>
          <w:p w14:paraId="56638137">
            <w:pPr>
              <w:pStyle w:val="68"/>
              <w:shd w:val="clear" w:fill="FFFFFF" w:themeFill="background1"/>
              <w:rPr>
                <w:rFonts w:ascii="宋体" w:hAnsi="宋体" w:cs="宋体"/>
                <w:color w:val="auto"/>
                <w:sz w:val="28"/>
                <w:szCs w:val="28"/>
                <w:highlight w:val="none"/>
              </w:rPr>
            </w:pPr>
          </w:p>
        </w:tc>
        <w:tc>
          <w:tcPr>
            <w:tcW w:w="851" w:type="dxa"/>
          </w:tcPr>
          <w:p w14:paraId="7E40B433">
            <w:pPr>
              <w:pStyle w:val="68"/>
              <w:shd w:val="clear" w:fill="FFFFFF" w:themeFill="background1"/>
              <w:rPr>
                <w:rFonts w:ascii="宋体" w:hAnsi="宋体" w:cs="宋体"/>
                <w:color w:val="auto"/>
                <w:sz w:val="28"/>
                <w:szCs w:val="28"/>
                <w:highlight w:val="none"/>
              </w:rPr>
            </w:pPr>
          </w:p>
        </w:tc>
        <w:tc>
          <w:tcPr>
            <w:tcW w:w="1276" w:type="dxa"/>
          </w:tcPr>
          <w:p w14:paraId="7D285C3A">
            <w:pPr>
              <w:pStyle w:val="68"/>
              <w:shd w:val="clear" w:fill="FFFFFF" w:themeFill="background1"/>
              <w:rPr>
                <w:rFonts w:ascii="宋体" w:hAnsi="宋体" w:cs="宋体"/>
                <w:color w:val="auto"/>
                <w:sz w:val="28"/>
                <w:szCs w:val="28"/>
                <w:highlight w:val="none"/>
              </w:rPr>
            </w:pPr>
          </w:p>
        </w:tc>
        <w:tc>
          <w:tcPr>
            <w:tcW w:w="992" w:type="dxa"/>
          </w:tcPr>
          <w:p w14:paraId="3E6C77AB">
            <w:pPr>
              <w:pStyle w:val="68"/>
              <w:shd w:val="clear" w:fill="FFFFFF" w:themeFill="background1"/>
              <w:rPr>
                <w:rFonts w:ascii="宋体" w:hAnsi="宋体" w:cs="宋体"/>
                <w:color w:val="auto"/>
                <w:sz w:val="28"/>
                <w:szCs w:val="28"/>
                <w:highlight w:val="none"/>
              </w:rPr>
            </w:pPr>
          </w:p>
        </w:tc>
        <w:tc>
          <w:tcPr>
            <w:tcW w:w="992" w:type="dxa"/>
          </w:tcPr>
          <w:p w14:paraId="3ACCEEB6">
            <w:pPr>
              <w:pStyle w:val="68"/>
              <w:shd w:val="clear" w:fill="FFFFFF" w:themeFill="background1"/>
              <w:rPr>
                <w:rFonts w:ascii="宋体" w:hAnsi="宋体" w:cs="宋体"/>
                <w:color w:val="auto"/>
                <w:sz w:val="28"/>
                <w:szCs w:val="28"/>
                <w:highlight w:val="none"/>
              </w:rPr>
            </w:pPr>
          </w:p>
        </w:tc>
        <w:tc>
          <w:tcPr>
            <w:tcW w:w="709" w:type="dxa"/>
          </w:tcPr>
          <w:p w14:paraId="46EBA90B">
            <w:pPr>
              <w:pStyle w:val="68"/>
              <w:shd w:val="clear" w:fill="FFFFFF" w:themeFill="background1"/>
              <w:rPr>
                <w:rFonts w:ascii="宋体" w:hAnsi="宋体" w:cs="宋体"/>
                <w:color w:val="auto"/>
                <w:sz w:val="28"/>
                <w:szCs w:val="28"/>
                <w:highlight w:val="none"/>
              </w:rPr>
            </w:pPr>
          </w:p>
        </w:tc>
        <w:tc>
          <w:tcPr>
            <w:tcW w:w="992" w:type="dxa"/>
          </w:tcPr>
          <w:p w14:paraId="6D4AC451">
            <w:pPr>
              <w:pStyle w:val="68"/>
              <w:shd w:val="clear" w:fill="FFFFFF" w:themeFill="background1"/>
              <w:rPr>
                <w:rFonts w:ascii="宋体" w:hAnsi="宋体" w:cs="宋体"/>
                <w:color w:val="auto"/>
                <w:sz w:val="28"/>
                <w:szCs w:val="28"/>
                <w:highlight w:val="none"/>
              </w:rPr>
            </w:pPr>
          </w:p>
        </w:tc>
      </w:tr>
      <w:tr w14:paraId="4D99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1F57F2BC">
            <w:pPr>
              <w:pStyle w:val="68"/>
              <w:shd w:val="clear" w:fill="FFFFFF" w:themeFill="background1"/>
              <w:rPr>
                <w:rFonts w:ascii="宋体" w:hAnsi="宋体" w:cs="宋体"/>
                <w:color w:val="auto"/>
                <w:sz w:val="28"/>
                <w:szCs w:val="28"/>
                <w:highlight w:val="none"/>
              </w:rPr>
            </w:pPr>
          </w:p>
        </w:tc>
        <w:tc>
          <w:tcPr>
            <w:tcW w:w="1522" w:type="dxa"/>
          </w:tcPr>
          <w:p w14:paraId="1C76E813">
            <w:pPr>
              <w:pStyle w:val="68"/>
              <w:shd w:val="clear" w:fill="FFFFFF" w:themeFill="background1"/>
              <w:rPr>
                <w:rFonts w:ascii="宋体" w:hAnsi="宋体" w:cs="宋体"/>
                <w:color w:val="auto"/>
                <w:sz w:val="28"/>
                <w:szCs w:val="28"/>
                <w:highlight w:val="none"/>
              </w:rPr>
            </w:pPr>
          </w:p>
        </w:tc>
        <w:tc>
          <w:tcPr>
            <w:tcW w:w="708" w:type="dxa"/>
          </w:tcPr>
          <w:p w14:paraId="173E6AD1">
            <w:pPr>
              <w:pStyle w:val="68"/>
              <w:shd w:val="clear" w:fill="FFFFFF" w:themeFill="background1"/>
              <w:rPr>
                <w:rFonts w:ascii="宋体" w:hAnsi="宋体" w:cs="宋体"/>
                <w:color w:val="auto"/>
                <w:sz w:val="28"/>
                <w:szCs w:val="28"/>
                <w:highlight w:val="none"/>
              </w:rPr>
            </w:pPr>
          </w:p>
        </w:tc>
        <w:tc>
          <w:tcPr>
            <w:tcW w:w="851" w:type="dxa"/>
          </w:tcPr>
          <w:p w14:paraId="2D14504D">
            <w:pPr>
              <w:pStyle w:val="68"/>
              <w:shd w:val="clear" w:fill="FFFFFF" w:themeFill="background1"/>
              <w:rPr>
                <w:rFonts w:ascii="宋体" w:hAnsi="宋体" w:cs="宋体"/>
                <w:color w:val="auto"/>
                <w:sz w:val="28"/>
                <w:szCs w:val="28"/>
                <w:highlight w:val="none"/>
              </w:rPr>
            </w:pPr>
          </w:p>
        </w:tc>
        <w:tc>
          <w:tcPr>
            <w:tcW w:w="1276" w:type="dxa"/>
          </w:tcPr>
          <w:p w14:paraId="00391BE0">
            <w:pPr>
              <w:pStyle w:val="68"/>
              <w:shd w:val="clear" w:fill="FFFFFF" w:themeFill="background1"/>
              <w:rPr>
                <w:rFonts w:ascii="宋体" w:hAnsi="宋体" w:cs="宋体"/>
                <w:color w:val="auto"/>
                <w:sz w:val="28"/>
                <w:szCs w:val="28"/>
                <w:highlight w:val="none"/>
              </w:rPr>
            </w:pPr>
          </w:p>
        </w:tc>
        <w:tc>
          <w:tcPr>
            <w:tcW w:w="992" w:type="dxa"/>
          </w:tcPr>
          <w:p w14:paraId="69454070">
            <w:pPr>
              <w:pStyle w:val="68"/>
              <w:shd w:val="clear" w:fill="FFFFFF" w:themeFill="background1"/>
              <w:rPr>
                <w:rFonts w:ascii="宋体" w:hAnsi="宋体" w:cs="宋体"/>
                <w:color w:val="auto"/>
                <w:sz w:val="28"/>
                <w:szCs w:val="28"/>
                <w:highlight w:val="none"/>
              </w:rPr>
            </w:pPr>
          </w:p>
        </w:tc>
        <w:tc>
          <w:tcPr>
            <w:tcW w:w="992" w:type="dxa"/>
          </w:tcPr>
          <w:p w14:paraId="4CC0DB85">
            <w:pPr>
              <w:pStyle w:val="68"/>
              <w:shd w:val="clear" w:fill="FFFFFF" w:themeFill="background1"/>
              <w:rPr>
                <w:rFonts w:ascii="宋体" w:hAnsi="宋体" w:cs="宋体"/>
                <w:color w:val="auto"/>
                <w:sz w:val="28"/>
                <w:szCs w:val="28"/>
                <w:highlight w:val="none"/>
              </w:rPr>
            </w:pPr>
          </w:p>
        </w:tc>
        <w:tc>
          <w:tcPr>
            <w:tcW w:w="709" w:type="dxa"/>
          </w:tcPr>
          <w:p w14:paraId="67D76087">
            <w:pPr>
              <w:pStyle w:val="68"/>
              <w:shd w:val="clear" w:fill="FFFFFF" w:themeFill="background1"/>
              <w:rPr>
                <w:rFonts w:ascii="宋体" w:hAnsi="宋体" w:cs="宋体"/>
                <w:color w:val="auto"/>
                <w:sz w:val="28"/>
                <w:szCs w:val="28"/>
                <w:highlight w:val="none"/>
              </w:rPr>
            </w:pPr>
          </w:p>
        </w:tc>
        <w:tc>
          <w:tcPr>
            <w:tcW w:w="992" w:type="dxa"/>
          </w:tcPr>
          <w:p w14:paraId="6676DAD6">
            <w:pPr>
              <w:pStyle w:val="68"/>
              <w:shd w:val="clear" w:fill="FFFFFF" w:themeFill="background1"/>
              <w:rPr>
                <w:rFonts w:ascii="宋体" w:hAnsi="宋体" w:cs="宋体"/>
                <w:color w:val="auto"/>
                <w:sz w:val="28"/>
                <w:szCs w:val="28"/>
                <w:highlight w:val="none"/>
              </w:rPr>
            </w:pPr>
          </w:p>
        </w:tc>
      </w:tr>
      <w:tr w14:paraId="0ADE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20D2D64">
            <w:pPr>
              <w:pStyle w:val="68"/>
              <w:shd w:val="clear" w:fill="FFFFFF" w:themeFill="background1"/>
              <w:rPr>
                <w:rFonts w:ascii="宋体" w:hAnsi="宋体" w:cs="宋体"/>
                <w:color w:val="auto"/>
                <w:sz w:val="28"/>
                <w:szCs w:val="28"/>
                <w:highlight w:val="none"/>
              </w:rPr>
            </w:pPr>
          </w:p>
        </w:tc>
        <w:tc>
          <w:tcPr>
            <w:tcW w:w="1522" w:type="dxa"/>
          </w:tcPr>
          <w:p w14:paraId="610917E5">
            <w:pPr>
              <w:pStyle w:val="68"/>
              <w:shd w:val="clear" w:fill="FFFFFF" w:themeFill="background1"/>
              <w:rPr>
                <w:rFonts w:ascii="宋体" w:hAnsi="宋体" w:cs="宋体"/>
                <w:color w:val="auto"/>
                <w:sz w:val="28"/>
                <w:szCs w:val="28"/>
                <w:highlight w:val="none"/>
              </w:rPr>
            </w:pPr>
          </w:p>
        </w:tc>
        <w:tc>
          <w:tcPr>
            <w:tcW w:w="708" w:type="dxa"/>
          </w:tcPr>
          <w:p w14:paraId="3E6EA0E1">
            <w:pPr>
              <w:pStyle w:val="68"/>
              <w:shd w:val="clear" w:fill="FFFFFF" w:themeFill="background1"/>
              <w:rPr>
                <w:rFonts w:ascii="宋体" w:hAnsi="宋体" w:cs="宋体"/>
                <w:color w:val="auto"/>
                <w:sz w:val="28"/>
                <w:szCs w:val="28"/>
                <w:highlight w:val="none"/>
              </w:rPr>
            </w:pPr>
          </w:p>
        </w:tc>
        <w:tc>
          <w:tcPr>
            <w:tcW w:w="851" w:type="dxa"/>
          </w:tcPr>
          <w:p w14:paraId="32B2E5C1">
            <w:pPr>
              <w:pStyle w:val="68"/>
              <w:shd w:val="clear" w:fill="FFFFFF" w:themeFill="background1"/>
              <w:rPr>
                <w:rFonts w:ascii="宋体" w:hAnsi="宋体" w:cs="宋体"/>
                <w:color w:val="auto"/>
                <w:sz w:val="28"/>
                <w:szCs w:val="28"/>
                <w:highlight w:val="none"/>
              </w:rPr>
            </w:pPr>
          </w:p>
        </w:tc>
        <w:tc>
          <w:tcPr>
            <w:tcW w:w="1276" w:type="dxa"/>
          </w:tcPr>
          <w:p w14:paraId="630EBD95">
            <w:pPr>
              <w:pStyle w:val="68"/>
              <w:shd w:val="clear" w:fill="FFFFFF" w:themeFill="background1"/>
              <w:rPr>
                <w:rFonts w:ascii="宋体" w:hAnsi="宋体" w:cs="宋体"/>
                <w:color w:val="auto"/>
                <w:sz w:val="28"/>
                <w:szCs w:val="28"/>
                <w:highlight w:val="none"/>
              </w:rPr>
            </w:pPr>
          </w:p>
        </w:tc>
        <w:tc>
          <w:tcPr>
            <w:tcW w:w="992" w:type="dxa"/>
          </w:tcPr>
          <w:p w14:paraId="63149E71">
            <w:pPr>
              <w:pStyle w:val="68"/>
              <w:shd w:val="clear" w:fill="FFFFFF" w:themeFill="background1"/>
              <w:rPr>
                <w:rFonts w:ascii="宋体" w:hAnsi="宋体" w:cs="宋体"/>
                <w:color w:val="auto"/>
                <w:sz w:val="28"/>
                <w:szCs w:val="28"/>
                <w:highlight w:val="none"/>
              </w:rPr>
            </w:pPr>
          </w:p>
        </w:tc>
        <w:tc>
          <w:tcPr>
            <w:tcW w:w="992" w:type="dxa"/>
          </w:tcPr>
          <w:p w14:paraId="2C0A7ECD">
            <w:pPr>
              <w:pStyle w:val="68"/>
              <w:shd w:val="clear" w:fill="FFFFFF" w:themeFill="background1"/>
              <w:rPr>
                <w:rFonts w:ascii="宋体" w:hAnsi="宋体" w:cs="宋体"/>
                <w:color w:val="auto"/>
                <w:sz w:val="28"/>
                <w:szCs w:val="28"/>
                <w:highlight w:val="none"/>
              </w:rPr>
            </w:pPr>
          </w:p>
        </w:tc>
        <w:tc>
          <w:tcPr>
            <w:tcW w:w="709" w:type="dxa"/>
          </w:tcPr>
          <w:p w14:paraId="5A83288D">
            <w:pPr>
              <w:pStyle w:val="68"/>
              <w:shd w:val="clear" w:fill="FFFFFF" w:themeFill="background1"/>
              <w:rPr>
                <w:rFonts w:ascii="宋体" w:hAnsi="宋体" w:cs="宋体"/>
                <w:color w:val="auto"/>
                <w:sz w:val="28"/>
                <w:szCs w:val="28"/>
                <w:highlight w:val="none"/>
              </w:rPr>
            </w:pPr>
          </w:p>
        </w:tc>
        <w:tc>
          <w:tcPr>
            <w:tcW w:w="992" w:type="dxa"/>
          </w:tcPr>
          <w:p w14:paraId="3BF5B13D">
            <w:pPr>
              <w:pStyle w:val="68"/>
              <w:shd w:val="clear" w:fill="FFFFFF" w:themeFill="background1"/>
              <w:rPr>
                <w:rFonts w:ascii="宋体" w:hAnsi="宋体" w:cs="宋体"/>
                <w:color w:val="auto"/>
                <w:sz w:val="28"/>
                <w:szCs w:val="28"/>
                <w:highlight w:val="none"/>
              </w:rPr>
            </w:pPr>
          </w:p>
        </w:tc>
      </w:tr>
      <w:tr w14:paraId="35F3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60F5110">
            <w:pPr>
              <w:pStyle w:val="68"/>
              <w:shd w:val="clear" w:fill="FFFFFF" w:themeFill="background1"/>
              <w:rPr>
                <w:rFonts w:ascii="宋体" w:hAnsi="宋体" w:cs="宋体"/>
                <w:color w:val="auto"/>
                <w:sz w:val="28"/>
                <w:szCs w:val="28"/>
                <w:highlight w:val="none"/>
              </w:rPr>
            </w:pPr>
          </w:p>
        </w:tc>
        <w:tc>
          <w:tcPr>
            <w:tcW w:w="1522" w:type="dxa"/>
          </w:tcPr>
          <w:p w14:paraId="76D9AE19">
            <w:pPr>
              <w:pStyle w:val="68"/>
              <w:shd w:val="clear" w:fill="FFFFFF" w:themeFill="background1"/>
              <w:rPr>
                <w:rFonts w:ascii="宋体" w:hAnsi="宋体" w:cs="宋体"/>
                <w:color w:val="auto"/>
                <w:sz w:val="28"/>
                <w:szCs w:val="28"/>
                <w:highlight w:val="none"/>
              </w:rPr>
            </w:pPr>
          </w:p>
        </w:tc>
        <w:tc>
          <w:tcPr>
            <w:tcW w:w="708" w:type="dxa"/>
          </w:tcPr>
          <w:p w14:paraId="66E377E1">
            <w:pPr>
              <w:pStyle w:val="68"/>
              <w:shd w:val="clear" w:fill="FFFFFF" w:themeFill="background1"/>
              <w:rPr>
                <w:rFonts w:ascii="宋体" w:hAnsi="宋体" w:cs="宋体"/>
                <w:color w:val="auto"/>
                <w:sz w:val="28"/>
                <w:szCs w:val="28"/>
                <w:highlight w:val="none"/>
              </w:rPr>
            </w:pPr>
          </w:p>
        </w:tc>
        <w:tc>
          <w:tcPr>
            <w:tcW w:w="851" w:type="dxa"/>
          </w:tcPr>
          <w:p w14:paraId="4B079302">
            <w:pPr>
              <w:pStyle w:val="68"/>
              <w:shd w:val="clear" w:fill="FFFFFF" w:themeFill="background1"/>
              <w:rPr>
                <w:rFonts w:ascii="宋体" w:hAnsi="宋体" w:cs="宋体"/>
                <w:color w:val="auto"/>
                <w:sz w:val="28"/>
                <w:szCs w:val="28"/>
                <w:highlight w:val="none"/>
              </w:rPr>
            </w:pPr>
          </w:p>
        </w:tc>
        <w:tc>
          <w:tcPr>
            <w:tcW w:w="1276" w:type="dxa"/>
          </w:tcPr>
          <w:p w14:paraId="164BF1D3">
            <w:pPr>
              <w:pStyle w:val="68"/>
              <w:shd w:val="clear" w:fill="FFFFFF" w:themeFill="background1"/>
              <w:rPr>
                <w:rFonts w:ascii="宋体" w:hAnsi="宋体" w:cs="宋体"/>
                <w:color w:val="auto"/>
                <w:sz w:val="28"/>
                <w:szCs w:val="28"/>
                <w:highlight w:val="none"/>
              </w:rPr>
            </w:pPr>
          </w:p>
        </w:tc>
        <w:tc>
          <w:tcPr>
            <w:tcW w:w="992" w:type="dxa"/>
          </w:tcPr>
          <w:p w14:paraId="132A1ED3">
            <w:pPr>
              <w:pStyle w:val="68"/>
              <w:shd w:val="clear" w:fill="FFFFFF" w:themeFill="background1"/>
              <w:rPr>
                <w:rFonts w:ascii="宋体" w:hAnsi="宋体" w:cs="宋体"/>
                <w:color w:val="auto"/>
                <w:sz w:val="28"/>
                <w:szCs w:val="28"/>
                <w:highlight w:val="none"/>
              </w:rPr>
            </w:pPr>
          </w:p>
        </w:tc>
        <w:tc>
          <w:tcPr>
            <w:tcW w:w="992" w:type="dxa"/>
          </w:tcPr>
          <w:p w14:paraId="1EA7D8B9">
            <w:pPr>
              <w:pStyle w:val="68"/>
              <w:shd w:val="clear" w:fill="FFFFFF" w:themeFill="background1"/>
              <w:rPr>
                <w:rFonts w:ascii="宋体" w:hAnsi="宋体" w:cs="宋体"/>
                <w:color w:val="auto"/>
                <w:sz w:val="28"/>
                <w:szCs w:val="28"/>
                <w:highlight w:val="none"/>
              </w:rPr>
            </w:pPr>
          </w:p>
        </w:tc>
        <w:tc>
          <w:tcPr>
            <w:tcW w:w="709" w:type="dxa"/>
          </w:tcPr>
          <w:p w14:paraId="5C2E0126">
            <w:pPr>
              <w:pStyle w:val="68"/>
              <w:shd w:val="clear" w:fill="FFFFFF" w:themeFill="background1"/>
              <w:rPr>
                <w:rFonts w:ascii="宋体" w:hAnsi="宋体" w:cs="宋体"/>
                <w:color w:val="auto"/>
                <w:sz w:val="28"/>
                <w:szCs w:val="28"/>
                <w:highlight w:val="none"/>
              </w:rPr>
            </w:pPr>
          </w:p>
        </w:tc>
        <w:tc>
          <w:tcPr>
            <w:tcW w:w="992" w:type="dxa"/>
          </w:tcPr>
          <w:p w14:paraId="18A302BB">
            <w:pPr>
              <w:pStyle w:val="68"/>
              <w:shd w:val="clear" w:fill="FFFFFF" w:themeFill="background1"/>
              <w:rPr>
                <w:rFonts w:ascii="宋体" w:hAnsi="宋体" w:cs="宋体"/>
                <w:color w:val="auto"/>
                <w:sz w:val="28"/>
                <w:szCs w:val="28"/>
                <w:highlight w:val="none"/>
              </w:rPr>
            </w:pPr>
          </w:p>
        </w:tc>
      </w:tr>
      <w:tr w14:paraId="4E2F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7057E5E5">
            <w:pPr>
              <w:pStyle w:val="68"/>
              <w:shd w:val="clear" w:fill="FFFFFF" w:themeFill="background1"/>
              <w:rPr>
                <w:rFonts w:ascii="宋体" w:hAnsi="宋体" w:cs="宋体"/>
                <w:color w:val="auto"/>
                <w:sz w:val="28"/>
                <w:szCs w:val="28"/>
                <w:highlight w:val="none"/>
              </w:rPr>
            </w:pPr>
          </w:p>
        </w:tc>
        <w:tc>
          <w:tcPr>
            <w:tcW w:w="1522" w:type="dxa"/>
          </w:tcPr>
          <w:p w14:paraId="6404A81D">
            <w:pPr>
              <w:pStyle w:val="68"/>
              <w:shd w:val="clear" w:fill="FFFFFF" w:themeFill="background1"/>
              <w:rPr>
                <w:rFonts w:ascii="宋体" w:hAnsi="宋体" w:cs="宋体"/>
                <w:color w:val="auto"/>
                <w:sz w:val="28"/>
                <w:szCs w:val="28"/>
                <w:highlight w:val="none"/>
              </w:rPr>
            </w:pPr>
          </w:p>
        </w:tc>
        <w:tc>
          <w:tcPr>
            <w:tcW w:w="708" w:type="dxa"/>
          </w:tcPr>
          <w:p w14:paraId="12CB656A">
            <w:pPr>
              <w:pStyle w:val="68"/>
              <w:shd w:val="clear" w:fill="FFFFFF" w:themeFill="background1"/>
              <w:rPr>
                <w:rFonts w:ascii="宋体" w:hAnsi="宋体" w:cs="宋体"/>
                <w:color w:val="auto"/>
                <w:sz w:val="28"/>
                <w:szCs w:val="28"/>
                <w:highlight w:val="none"/>
              </w:rPr>
            </w:pPr>
          </w:p>
        </w:tc>
        <w:tc>
          <w:tcPr>
            <w:tcW w:w="851" w:type="dxa"/>
          </w:tcPr>
          <w:p w14:paraId="391CAB5D">
            <w:pPr>
              <w:pStyle w:val="68"/>
              <w:shd w:val="clear" w:fill="FFFFFF" w:themeFill="background1"/>
              <w:rPr>
                <w:rFonts w:ascii="宋体" w:hAnsi="宋体" w:cs="宋体"/>
                <w:color w:val="auto"/>
                <w:sz w:val="28"/>
                <w:szCs w:val="28"/>
                <w:highlight w:val="none"/>
              </w:rPr>
            </w:pPr>
          </w:p>
        </w:tc>
        <w:tc>
          <w:tcPr>
            <w:tcW w:w="1276" w:type="dxa"/>
          </w:tcPr>
          <w:p w14:paraId="75BCEEEC">
            <w:pPr>
              <w:pStyle w:val="68"/>
              <w:shd w:val="clear" w:fill="FFFFFF" w:themeFill="background1"/>
              <w:rPr>
                <w:rFonts w:ascii="宋体" w:hAnsi="宋体" w:cs="宋体"/>
                <w:color w:val="auto"/>
                <w:sz w:val="28"/>
                <w:szCs w:val="28"/>
                <w:highlight w:val="none"/>
              </w:rPr>
            </w:pPr>
          </w:p>
        </w:tc>
        <w:tc>
          <w:tcPr>
            <w:tcW w:w="992" w:type="dxa"/>
          </w:tcPr>
          <w:p w14:paraId="71C38D9D">
            <w:pPr>
              <w:pStyle w:val="68"/>
              <w:shd w:val="clear" w:fill="FFFFFF" w:themeFill="background1"/>
              <w:rPr>
                <w:rFonts w:ascii="宋体" w:hAnsi="宋体" w:cs="宋体"/>
                <w:color w:val="auto"/>
                <w:sz w:val="28"/>
                <w:szCs w:val="28"/>
                <w:highlight w:val="none"/>
              </w:rPr>
            </w:pPr>
          </w:p>
        </w:tc>
        <w:tc>
          <w:tcPr>
            <w:tcW w:w="992" w:type="dxa"/>
          </w:tcPr>
          <w:p w14:paraId="305ADE88">
            <w:pPr>
              <w:pStyle w:val="68"/>
              <w:shd w:val="clear" w:fill="FFFFFF" w:themeFill="background1"/>
              <w:rPr>
                <w:rFonts w:ascii="宋体" w:hAnsi="宋体" w:cs="宋体"/>
                <w:color w:val="auto"/>
                <w:sz w:val="28"/>
                <w:szCs w:val="28"/>
                <w:highlight w:val="none"/>
              </w:rPr>
            </w:pPr>
          </w:p>
        </w:tc>
        <w:tc>
          <w:tcPr>
            <w:tcW w:w="709" w:type="dxa"/>
          </w:tcPr>
          <w:p w14:paraId="5F1519B0">
            <w:pPr>
              <w:pStyle w:val="68"/>
              <w:shd w:val="clear" w:fill="FFFFFF" w:themeFill="background1"/>
              <w:rPr>
                <w:rFonts w:ascii="宋体" w:hAnsi="宋体" w:cs="宋体"/>
                <w:color w:val="auto"/>
                <w:sz w:val="28"/>
                <w:szCs w:val="28"/>
                <w:highlight w:val="none"/>
              </w:rPr>
            </w:pPr>
          </w:p>
        </w:tc>
        <w:tc>
          <w:tcPr>
            <w:tcW w:w="992" w:type="dxa"/>
          </w:tcPr>
          <w:p w14:paraId="35ADD359">
            <w:pPr>
              <w:pStyle w:val="68"/>
              <w:shd w:val="clear" w:fill="FFFFFF" w:themeFill="background1"/>
              <w:rPr>
                <w:rFonts w:ascii="宋体" w:hAnsi="宋体" w:cs="宋体"/>
                <w:color w:val="auto"/>
                <w:sz w:val="28"/>
                <w:szCs w:val="28"/>
                <w:highlight w:val="none"/>
              </w:rPr>
            </w:pPr>
          </w:p>
        </w:tc>
      </w:tr>
    </w:tbl>
    <w:p w14:paraId="5E4824CE">
      <w:pPr>
        <w:pStyle w:val="68"/>
        <w:shd w:val="clear" w:fill="FFFFFF" w:themeFill="background1"/>
        <w:adjustRightInd w:val="0"/>
        <w:snapToGrid w:val="0"/>
        <w:spacing w:line="360" w:lineRule="auto"/>
        <w:ind w:firstLine="480" w:firstLineChars="200"/>
        <w:rPr>
          <w:rFonts w:ascii="宋体" w:hAnsi="宋体" w:cs="宋体"/>
          <w:color w:val="auto"/>
          <w:sz w:val="24"/>
          <w:highlight w:val="none"/>
        </w:rPr>
      </w:pPr>
    </w:p>
    <w:p w14:paraId="41757BD6">
      <w:pPr>
        <w:pStyle w:val="68"/>
        <w:shd w:val="clear" w:fill="FFFFFF" w:themeFill="background1"/>
        <w:adjustRightInd w:val="0"/>
        <w:snapToGrid w:val="0"/>
        <w:spacing w:line="360" w:lineRule="auto"/>
        <w:ind w:firstLine="480" w:firstLineChars="200"/>
        <w:rPr>
          <w:rFonts w:ascii="宋体" w:hAnsi="宋体" w:cs="宋体"/>
          <w:color w:val="auto"/>
          <w:sz w:val="24"/>
          <w:highlight w:val="none"/>
        </w:rPr>
      </w:pPr>
    </w:p>
    <w:p w14:paraId="2E0D1CD8">
      <w:pPr>
        <w:pStyle w:val="68"/>
        <w:shd w:val="clear" w:fill="FFFFFF" w:themeFill="background1"/>
        <w:adjustRightInd w:val="0"/>
        <w:snapToGrid w:val="0"/>
        <w:spacing w:line="360" w:lineRule="auto"/>
        <w:ind w:firstLine="480" w:firstLineChars="200"/>
        <w:rPr>
          <w:rFonts w:ascii="宋体" w:hAnsi="宋体" w:cs="宋体"/>
          <w:color w:val="auto"/>
          <w:sz w:val="24"/>
          <w:highlight w:val="none"/>
        </w:rPr>
      </w:pPr>
    </w:p>
    <w:p w14:paraId="0E4C26B7">
      <w:pPr>
        <w:pStyle w:val="68"/>
        <w:shd w:val="clear" w:fill="FFFFFF" w:themeFill="background1"/>
        <w:adjustRightInd w:val="0"/>
        <w:snapToGrid w:val="0"/>
        <w:spacing w:line="360" w:lineRule="auto"/>
        <w:ind w:firstLine="480" w:firstLineChars="200"/>
        <w:rPr>
          <w:rFonts w:ascii="宋体" w:hAnsi="宋体" w:cs="宋体"/>
          <w:color w:val="auto"/>
          <w:sz w:val="24"/>
          <w:highlight w:val="none"/>
        </w:rPr>
      </w:pPr>
    </w:p>
    <w:p w14:paraId="5C839C23">
      <w:pPr>
        <w:pStyle w:val="68"/>
        <w:shd w:val="clear" w:fill="FFFFFF" w:themeFill="background1"/>
        <w:adjustRightInd w:val="0"/>
        <w:snapToGrid w:val="0"/>
        <w:spacing w:line="360" w:lineRule="auto"/>
        <w:ind w:firstLine="480" w:firstLineChars="200"/>
        <w:rPr>
          <w:rFonts w:ascii="宋体" w:hAnsi="宋体" w:cs="宋体"/>
          <w:color w:val="auto"/>
          <w:sz w:val="24"/>
          <w:highlight w:val="none"/>
        </w:rPr>
      </w:pPr>
    </w:p>
    <w:p w14:paraId="0CD83A27">
      <w:pPr>
        <w:pStyle w:val="68"/>
        <w:shd w:val="clear" w:fill="FFFFFF" w:themeFill="background1"/>
        <w:adjustRightInd w:val="0"/>
        <w:snapToGrid w:val="0"/>
        <w:spacing w:line="360" w:lineRule="auto"/>
        <w:ind w:firstLine="480" w:firstLineChars="200"/>
        <w:rPr>
          <w:rFonts w:ascii="宋体" w:hAnsi="宋体" w:cs="宋体"/>
          <w:color w:val="auto"/>
          <w:sz w:val="24"/>
          <w:highlight w:val="none"/>
        </w:rPr>
      </w:pPr>
    </w:p>
    <w:p w14:paraId="64E05847">
      <w:pPr>
        <w:pStyle w:val="78"/>
        <w:shd w:val="clear" w:fill="FFFFFF" w:themeFill="background1"/>
        <w:spacing w:line="360" w:lineRule="auto"/>
        <w:rPr>
          <w:rFonts w:ascii="宋体" w:hAnsi="宋体"/>
          <w:color w:val="auto"/>
          <w:sz w:val="24"/>
          <w:szCs w:val="24"/>
          <w:highlight w:val="none"/>
        </w:rPr>
      </w:pPr>
      <w:bookmarkStart w:id="1720" w:name="_Toc43476016"/>
      <w:bookmarkEnd w:id="1720"/>
      <w:r>
        <w:rPr>
          <w:rFonts w:hint="eastAsia" w:ascii="宋体" w:hAnsi="宋体"/>
          <w:color w:val="auto"/>
          <w:sz w:val="24"/>
          <w:szCs w:val="24"/>
          <w:highlight w:val="none"/>
        </w:rPr>
        <w:t>附件十  统一采购供应材料一览表</w:t>
      </w:r>
    </w:p>
    <w:p w14:paraId="1905CA4A">
      <w:pPr>
        <w:pStyle w:val="68"/>
        <w:shd w:val="clear" w:fill="FFFFFF" w:themeFill="background1"/>
        <w:rPr>
          <w:rFonts w:ascii="宋体" w:hAnsi="宋体" w:cs="宋体"/>
          <w:color w:val="auto"/>
          <w:sz w:val="24"/>
          <w:highlight w:val="none"/>
        </w:rPr>
      </w:pPr>
    </w:p>
    <w:tbl>
      <w:tblPr>
        <w:tblStyle w:val="45"/>
        <w:tblW w:w="8684"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522"/>
        <w:gridCol w:w="708"/>
        <w:gridCol w:w="851"/>
        <w:gridCol w:w="1559"/>
        <w:gridCol w:w="992"/>
        <w:gridCol w:w="993"/>
        <w:gridCol w:w="850"/>
        <w:gridCol w:w="709"/>
      </w:tblGrid>
      <w:tr w14:paraId="23D6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500" w:type="dxa"/>
            <w:vAlign w:val="center"/>
          </w:tcPr>
          <w:p w14:paraId="4B4C458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序号</w:t>
            </w:r>
          </w:p>
        </w:tc>
        <w:tc>
          <w:tcPr>
            <w:tcW w:w="1522" w:type="dxa"/>
            <w:vAlign w:val="center"/>
          </w:tcPr>
          <w:p w14:paraId="59C8433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材料品种或设备型号</w:t>
            </w:r>
          </w:p>
        </w:tc>
        <w:tc>
          <w:tcPr>
            <w:tcW w:w="708" w:type="dxa"/>
            <w:vAlign w:val="center"/>
          </w:tcPr>
          <w:p w14:paraId="1680F78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单位</w:t>
            </w:r>
          </w:p>
        </w:tc>
        <w:tc>
          <w:tcPr>
            <w:tcW w:w="851" w:type="dxa"/>
            <w:vAlign w:val="center"/>
          </w:tcPr>
          <w:p w14:paraId="0C37E0B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数量</w:t>
            </w:r>
          </w:p>
        </w:tc>
        <w:tc>
          <w:tcPr>
            <w:tcW w:w="1559" w:type="dxa"/>
            <w:vAlign w:val="center"/>
          </w:tcPr>
          <w:p w14:paraId="6A3F082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到达工地价格（元）</w:t>
            </w:r>
          </w:p>
        </w:tc>
        <w:tc>
          <w:tcPr>
            <w:tcW w:w="992" w:type="dxa"/>
            <w:vAlign w:val="center"/>
          </w:tcPr>
          <w:p w14:paraId="4089589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质量</w:t>
            </w:r>
          </w:p>
          <w:p w14:paraId="033D8E1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等级</w:t>
            </w:r>
          </w:p>
        </w:tc>
        <w:tc>
          <w:tcPr>
            <w:tcW w:w="993" w:type="dxa"/>
            <w:vAlign w:val="center"/>
          </w:tcPr>
          <w:p w14:paraId="20CF851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供应</w:t>
            </w:r>
          </w:p>
          <w:p w14:paraId="1F9797D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时间</w:t>
            </w:r>
          </w:p>
        </w:tc>
        <w:tc>
          <w:tcPr>
            <w:tcW w:w="850" w:type="dxa"/>
            <w:vAlign w:val="center"/>
          </w:tcPr>
          <w:p w14:paraId="0BC0824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送达地点</w:t>
            </w:r>
          </w:p>
        </w:tc>
        <w:tc>
          <w:tcPr>
            <w:tcW w:w="709" w:type="dxa"/>
            <w:vAlign w:val="center"/>
          </w:tcPr>
          <w:p w14:paraId="73EBFAD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备注</w:t>
            </w:r>
          </w:p>
        </w:tc>
      </w:tr>
      <w:tr w14:paraId="5025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7433D33D">
            <w:pPr>
              <w:pStyle w:val="68"/>
              <w:shd w:val="clear" w:fill="FFFFFF" w:themeFill="background1"/>
              <w:rPr>
                <w:rFonts w:ascii="宋体" w:hAnsi="宋体" w:cs="宋体"/>
                <w:color w:val="auto"/>
                <w:sz w:val="28"/>
                <w:szCs w:val="28"/>
                <w:highlight w:val="none"/>
              </w:rPr>
            </w:pPr>
          </w:p>
        </w:tc>
        <w:tc>
          <w:tcPr>
            <w:tcW w:w="1522" w:type="dxa"/>
          </w:tcPr>
          <w:p w14:paraId="579979FB">
            <w:pPr>
              <w:pStyle w:val="68"/>
              <w:shd w:val="clear" w:fill="FFFFFF" w:themeFill="background1"/>
              <w:rPr>
                <w:rFonts w:ascii="宋体" w:hAnsi="宋体" w:cs="宋体"/>
                <w:color w:val="auto"/>
                <w:sz w:val="28"/>
                <w:szCs w:val="28"/>
                <w:highlight w:val="none"/>
              </w:rPr>
            </w:pPr>
          </w:p>
        </w:tc>
        <w:tc>
          <w:tcPr>
            <w:tcW w:w="708" w:type="dxa"/>
          </w:tcPr>
          <w:p w14:paraId="68FD00F5">
            <w:pPr>
              <w:pStyle w:val="68"/>
              <w:shd w:val="clear" w:fill="FFFFFF" w:themeFill="background1"/>
              <w:rPr>
                <w:rFonts w:ascii="宋体" w:hAnsi="宋体" w:cs="宋体"/>
                <w:color w:val="auto"/>
                <w:sz w:val="28"/>
                <w:szCs w:val="28"/>
                <w:highlight w:val="none"/>
              </w:rPr>
            </w:pPr>
          </w:p>
        </w:tc>
        <w:tc>
          <w:tcPr>
            <w:tcW w:w="851" w:type="dxa"/>
          </w:tcPr>
          <w:p w14:paraId="32E239DF">
            <w:pPr>
              <w:pStyle w:val="68"/>
              <w:shd w:val="clear" w:fill="FFFFFF" w:themeFill="background1"/>
              <w:rPr>
                <w:rFonts w:ascii="宋体" w:hAnsi="宋体" w:cs="宋体"/>
                <w:color w:val="auto"/>
                <w:sz w:val="28"/>
                <w:szCs w:val="28"/>
                <w:highlight w:val="none"/>
              </w:rPr>
            </w:pPr>
          </w:p>
        </w:tc>
        <w:tc>
          <w:tcPr>
            <w:tcW w:w="1559" w:type="dxa"/>
          </w:tcPr>
          <w:p w14:paraId="29C4523D">
            <w:pPr>
              <w:pStyle w:val="68"/>
              <w:shd w:val="clear" w:fill="FFFFFF" w:themeFill="background1"/>
              <w:rPr>
                <w:rFonts w:ascii="宋体" w:hAnsi="宋体" w:cs="宋体"/>
                <w:color w:val="auto"/>
                <w:sz w:val="28"/>
                <w:szCs w:val="28"/>
                <w:highlight w:val="none"/>
              </w:rPr>
            </w:pPr>
          </w:p>
        </w:tc>
        <w:tc>
          <w:tcPr>
            <w:tcW w:w="992" w:type="dxa"/>
          </w:tcPr>
          <w:p w14:paraId="097B34EB">
            <w:pPr>
              <w:pStyle w:val="68"/>
              <w:shd w:val="clear" w:fill="FFFFFF" w:themeFill="background1"/>
              <w:rPr>
                <w:rFonts w:ascii="宋体" w:hAnsi="宋体" w:cs="宋体"/>
                <w:color w:val="auto"/>
                <w:sz w:val="28"/>
                <w:szCs w:val="28"/>
                <w:highlight w:val="none"/>
              </w:rPr>
            </w:pPr>
          </w:p>
        </w:tc>
        <w:tc>
          <w:tcPr>
            <w:tcW w:w="993" w:type="dxa"/>
          </w:tcPr>
          <w:p w14:paraId="4082755D">
            <w:pPr>
              <w:pStyle w:val="68"/>
              <w:shd w:val="clear" w:fill="FFFFFF" w:themeFill="background1"/>
              <w:rPr>
                <w:rFonts w:ascii="宋体" w:hAnsi="宋体" w:cs="宋体"/>
                <w:color w:val="auto"/>
                <w:sz w:val="28"/>
                <w:szCs w:val="28"/>
                <w:highlight w:val="none"/>
              </w:rPr>
            </w:pPr>
          </w:p>
        </w:tc>
        <w:tc>
          <w:tcPr>
            <w:tcW w:w="850" w:type="dxa"/>
          </w:tcPr>
          <w:p w14:paraId="1CEA0CE0">
            <w:pPr>
              <w:pStyle w:val="68"/>
              <w:shd w:val="clear" w:fill="FFFFFF" w:themeFill="background1"/>
              <w:rPr>
                <w:rFonts w:ascii="宋体" w:hAnsi="宋体" w:cs="宋体"/>
                <w:color w:val="auto"/>
                <w:sz w:val="28"/>
                <w:szCs w:val="28"/>
                <w:highlight w:val="none"/>
              </w:rPr>
            </w:pPr>
          </w:p>
        </w:tc>
        <w:tc>
          <w:tcPr>
            <w:tcW w:w="709" w:type="dxa"/>
          </w:tcPr>
          <w:p w14:paraId="352BFA37">
            <w:pPr>
              <w:pStyle w:val="68"/>
              <w:shd w:val="clear" w:fill="FFFFFF" w:themeFill="background1"/>
              <w:rPr>
                <w:rFonts w:ascii="宋体" w:hAnsi="宋体" w:cs="宋体"/>
                <w:color w:val="auto"/>
                <w:sz w:val="28"/>
                <w:szCs w:val="28"/>
                <w:highlight w:val="none"/>
              </w:rPr>
            </w:pPr>
          </w:p>
        </w:tc>
      </w:tr>
      <w:tr w14:paraId="7380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64302163">
            <w:pPr>
              <w:pStyle w:val="68"/>
              <w:shd w:val="clear" w:fill="FFFFFF" w:themeFill="background1"/>
              <w:rPr>
                <w:rFonts w:ascii="宋体" w:hAnsi="宋体" w:cs="宋体"/>
                <w:color w:val="auto"/>
                <w:sz w:val="28"/>
                <w:szCs w:val="28"/>
                <w:highlight w:val="none"/>
              </w:rPr>
            </w:pPr>
          </w:p>
        </w:tc>
        <w:tc>
          <w:tcPr>
            <w:tcW w:w="1522" w:type="dxa"/>
          </w:tcPr>
          <w:p w14:paraId="09089F72">
            <w:pPr>
              <w:pStyle w:val="68"/>
              <w:shd w:val="clear" w:fill="FFFFFF" w:themeFill="background1"/>
              <w:rPr>
                <w:rFonts w:ascii="宋体" w:hAnsi="宋体" w:cs="宋体"/>
                <w:color w:val="auto"/>
                <w:sz w:val="28"/>
                <w:szCs w:val="28"/>
                <w:highlight w:val="none"/>
              </w:rPr>
            </w:pPr>
          </w:p>
        </w:tc>
        <w:tc>
          <w:tcPr>
            <w:tcW w:w="708" w:type="dxa"/>
          </w:tcPr>
          <w:p w14:paraId="2A29C44E">
            <w:pPr>
              <w:pStyle w:val="68"/>
              <w:shd w:val="clear" w:fill="FFFFFF" w:themeFill="background1"/>
              <w:rPr>
                <w:rFonts w:ascii="宋体" w:hAnsi="宋体" w:cs="宋体"/>
                <w:color w:val="auto"/>
                <w:sz w:val="28"/>
                <w:szCs w:val="28"/>
                <w:highlight w:val="none"/>
              </w:rPr>
            </w:pPr>
          </w:p>
        </w:tc>
        <w:tc>
          <w:tcPr>
            <w:tcW w:w="851" w:type="dxa"/>
          </w:tcPr>
          <w:p w14:paraId="42DA5018">
            <w:pPr>
              <w:pStyle w:val="68"/>
              <w:shd w:val="clear" w:fill="FFFFFF" w:themeFill="background1"/>
              <w:rPr>
                <w:rFonts w:ascii="宋体" w:hAnsi="宋体" w:cs="宋体"/>
                <w:color w:val="auto"/>
                <w:sz w:val="28"/>
                <w:szCs w:val="28"/>
                <w:highlight w:val="none"/>
              </w:rPr>
            </w:pPr>
          </w:p>
        </w:tc>
        <w:tc>
          <w:tcPr>
            <w:tcW w:w="1559" w:type="dxa"/>
          </w:tcPr>
          <w:p w14:paraId="41419125">
            <w:pPr>
              <w:pStyle w:val="68"/>
              <w:shd w:val="clear" w:fill="FFFFFF" w:themeFill="background1"/>
              <w:rPr>
                <w:rFonts w:ascii="宋体" w:hAnsi="宋体" w:cs="宋体"/>
                <w:color w:val="auto"/>
                <w:sz w:val="28"/>
                <w:szCs w:val="28"/>
                <w:highlight w:val="none"/>
              </w:rPr>
            </w:pPr>
          </w:p>
        </w:tc>
        <w:tc>
          <w:tcPr>
            <w:tcW w:w="992" w:type="dxa"/>
          </w:tcPr>
          <w:p w14:paraId="53413205">
            <w:pPr>
              <w:pStyle w:val="68"/>
              <w:shd w:val="clear" w:fill="FFFFFF" w:themeFill="background1"/>
              <w:rPr>
                <w:rFonts w:ascii="宋体" w:hAnsi="宋体" w:cs="宋体"/>
                <w:color w:val="auto"/>
                <w:sz w:val="28"/>
                <w:szCs w:val="28"/>
                <w:highlight w:val="none"/>
              </w:rPr>
            </w:pPr>
          </w:p>
        </w:tc>
        <w:tc>
          <w:tcPr>
            <w:tcW w:w="993" w:type="dxa"/>
          </w:tcPr>
          <w:p w14:paraId="40F12CDD">
            <w:pPr>
              <w:pStyle w:val="68"/>
              <w:shd w:val="clear" w:fill="FFFFFF" w:themeFill="background1"/>
              <w:rPr>
                <w:rFonts w:ascii="宋体" w:hAnsi="宋体" w:cs="宋体"/>
                <w:color w:val="auto"/>
                <w:sz w:val="28"/>
                <w:szCs w:val="28"/>
                <w:highlight w:val="none"/>
              </w:rPr>
            </w:pPr>
          </w:p>
        </w:tc>
        <w:tc>
          <w:tcPr>
            <w:tcW w:w="850" w:type="dxa"/>
          </w:tcPr>
          <w:p w14:paraId="3B43F3A1">
            <w:pPr>
              <w:pStyle w:val="68"/>
              <w:shd w:val="clear" w:fill="FFFFFF" w:themeFill="background1"/>
              <w:rPr>
                <w:rFonts w:ascii="宋体" w:hAnsi="宋体" w:cs="宋体"/>
                <w:color w:val="auto"/>
                <w:sz w:val="28"/>
                <w:szCs w:val="28"/>
                <w:highlight w:val="none"/>
              </w:rPr>
            </w:pPr>
          </w:p>
        </w:tc>
        <w:tc>
          <w:tcPr>
            <w:tcW w:w="709" w:type="dxa"/>
          </w:tcPr>
          <w:p w14:paraId="332E335E">
            <w:pPr>
              <w:pStyle w:val="68"/>
              <w:shd w:val="clear" w:fill="FFFFFF" w:themeFill="background1"/>
              <w:rPr>
                <w:rFonts w:ascii="宋体" w:hAnsi="宋体" w:cs="宋体"/>
                <w:color w:val="auto"/>
                <w:sz w:val="28"/>
                <w:szCs w:val="28"/>
                <w:highlight w:val="none"/>
              </w:rPr>
            </w:pPr>
          </w:p>
        </w:tc>
      </w:tr>
      <w:tr w14:paraId="342A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1CCC4597">
            <w:pPr>
              <w:pStyle w:val="68"/>
              <w:shd w:val="clear" w:fill="FFFFFF" w:themeFill="background1"/>
              <w:rPr>
                <w:rFonts w:ascii="宋体" w:hAnsi="宋体" w:cs="宋体"/>
                <w:color w:val="auto"/>
                <w:sz w:val="28"/>
                <w:szCs w:val="28"/>
                <w:highlight w:val="none"/>
              </w:rPr>
            </w:pPr>
          </w:p>
        </w:tc>
        <w:tc>
          <w:tcPr>
            <w:tcW w:w="1522" w:type="dxa"/>
          </w:tcPr>
          <w:p w14:paraId="3885D639">
            <w:pPr>
              <w:pStyle w:val="68"/>
              <w:shd w:val="clear" w:fill="FFFFFF" w:themeFill="background1"/>
              <w:rPr>
                <w:rFonts w:ascii="宋体" w:hAnsi="宋体" w:cs="宋体"/>
                <w:color w:val="auto"/>
                <w:sz w:val="28"/>
                <w:szCs w:val="28"/>
                <w:highlight w:val="none"/>
              </w:rPr>
            </w:pPr>
          </w:p>
        </w:tc>
        <w:tc>
          <w:tcPr>
            <w:tcW w:w="708" w:type="dxa"/>
          </w:tcPr>
          <w:p w14:paraId="269ADF82">
            <w:pPr>
              <w:pStyle w:val="68"/>
              <w:shd w:val="clear" w:fill="FFFFFF" w:themeFill="background1"/>
              <w:rPr>
                <w:rFonts w:ascii="宋体" w:hAnsi="宋体" w:cs="宋体"/>
                <w:color w:val="auto"/>
                <w:sz w:val="28"/>
                <w:szCs w:val="28"/>
                <w:highlight w:val="none"/>
              </w:rPr>
            </w:pPr>
          </w:p>
        </w:tc>
        <w:tc>
          <w:tcPr>
            <w:tcW w:w="851" w:type="dxa"/>
          </w:tcPr>
          <w:p w14:paraId="6CEABF87">
            <w:pPr>
              <w:pStyle w:val="68"/>
              <w:shd w:val="clear" w:fill="FFFFFF" w:themeFill="background1"/>
              <w:rPr>
                <w:rFonts w:ascii="宋体" w:hAnsi="宋体" w:cs="宋体"/>
                <w:color w:val="auto"/>
                <w:sz w:val="28"/>
                <w:szCs w:val="28"/>
                <w:highlight w:val="none"/>
              </w:rPr>
            </w:pPr>
          </w:p>
        </w:tc>
        <w:tc>
          <w:tcPr>
            <w:tcW w:w="1559" w:type="dxa"/>
          </w:tcPr>
          <w:p w14:paraId="36287576">
            <w:pPr>
              <w:pStyle w:val="68"/>
              <w:shd w:val="clear" w:fill="FFFFFF" w:themeFill="background1"/>
              <w:rPr>
                <w:rFonts w:ascii="宋体" w:hAnsi="宋体" w:cs="宋体"/>
                <w:color w:val="auto"/>
                <w:sz w:val="28"/>
                <w:szCs w:val="28"/>
                <w:highlight w:val="none"/>
              </w:rPr>
            </w:pPr>
          </w:p>
        </w:tc>
        <w:tc>
          <w:tcPr>
            <w:tcW w:w="992" w:type="dxa"/>
          </w:tcPr>
          <w:p w14:paraId="785E8D5B">
            <w:pPr>
              <w:pStyle w:val="68"/>
              <w:shd w:val="clear" w:fill="FFFFFF" w:themeFill="background1"/>
              <w:rPr>
                <w:rFonts w:ascii="宋体" w:hAnsi="宋体" w:cs="宋体"/>
                <w:color w:val="auto"/>
                <w:sz w:val="28"/>
                <w:szCs w:val="28"/>
                <w:highlight w:val="none"/>
              </w:rPr>
            </w:pPr>
          </w:p>
        </w:tc>
        <w:tc>
          <w:tcPr>
            <w:tcW w:w="993" w:type="dxa"/>
          </w:tcPr>
          <w:p w14:paraId="12F405E3">
            <w:pPr>
              <w:pStyle w:val="68"/>
              <w:shd w:val="clear" w:fill="FFFFFF" w:themeFill="background1"/>
              <w:rPr>
                <w:rFonts w:ascii="宋体" w:hAnsi="宋体" w:cs="宋体"/>
                <w:color w:val="auto"/>
                <w:sz w:val="28"/>
                <w:szCs w:val="28"/>
                <w:highlight w:val="none"/>
              </w:rPr>
            </w:pPr>
          </w:p>
        </w:tc>
        <w:tc>
          <w:tcPr>
            <w:tcW w:w="850" w:type="dxa"/>
          </w:tcPr>
          <w:p w14:paraId="79B773BB">
            <w:pPr>
              <w:pStyle w:val="68"/>
              <w:shd w:val="clear" w:fill="FFFFFF" w:themeFill="background1"/>
              <w:rPr>
                <w:rFonts w:ascii="宋体" w:hAnsi="宋体" w:cs="宋体"/>
                <w:color w:val="auto"/>
                <w:sz w:val="28"/>
                <w:szCs w:val="28"/>
                <w:highlight w:val="none"/>
              </w:rPr>
            </w:pPr>
          </w:p>
        </w:tc>
        <w:tc>
          <w:tcPr>
            <w:tcW w:w="709" w:type="dxa"/>
          </w:tcPr>
          <w:p w14:paraId="6CDDC202">
            <w:pPr>
              <w:pStyle w:val="68"/>
              <w:shd w:val="clear" w:fill="FFFFFF" w:themeFill="background1"/>
              <w:rPr>
                <w:rFonts w:ascii="宋体" w:hAnsi="宋体" w:cs="宋体"/>
                <w:color w:val="auto"/>
                <w:sz w:val="28"/>
                <w:szCs w:val="28"/>
                <w:highlight w:val="none"/>
              </w:rPr>
            </w:pPr>
          </w:p>
        </w:tc>
      </w:tr>
      <w:tr w14:paraId="3E7C3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5D031C0E">
            <w:pPr>
              <w:pStyle w:val="68"/>
              <w:shd w:val="clear" w:fill="FFFFFF" w:themeFill="background1"/>
              <w:rPr>
                <w:rFonts w:ascii="宋体" w:hAnsi="宋体" w:cs="宋体"/>
                <w:color w:val="auto"/>
                <w:sz w:val="28"/>
                <w:szCs w:val="28"/>
                <w:highlight w:val="none"/>
              </w:rPr>
            </w:pPr>
          </w:p>
        </w:tc>
        <w:tc>
          <w:tcPr>
            <w:tcW w:w="1522" w:type="dxa"/>
          </w:tcPr>
          <w:p w14:paraId="11C737E4">
            <w:pPr>
              <w:pStyle w:val="68"/>
              <w:shd w:val="clear" w:fill="FFFFFF" w:themeFill="background1"/>
              <w:rPr>
                <w:rFonts w:ascii="宋体" w:hAnsi="宋体" w:cs="宋体"/>
                <w:color w:val="auto"/>
                <w:sz w:val="28"/>
                <w:szCs w:val="28"/>
                <w:highlight w:val="none"/>
              </w:rPr>
            </w:pPr>
          </w:p>
        </w:tc>
        <w:tc>
          <w:tcPr>
            <w:tcW w:w="708" w:type="dxa"/>
          </w:tcPr>
          <w:p w14:paraId="1A43D503">
            <w:pPr>
              <w:pStyle w:val="68"/>
              <w:shd w:val="clear" w:fill="FFFFFF" w:themeFill="background1"/>
              <w:rPr>
                <w:rFonts w:ascii="宋体" w:hAnsi="宋体" w:cs="宋体"/>
                <w:color w:val="auto"/>
                <w:sz w:val="28"/>
                <w:szCs w:val="28"/>
                <w:highlight w:val="none"/>
              </w:rPr>
            </w:pPr>
          </w:p>
        </w:tc>
        <w:tc>
          <w:tcPr>
            <w:tcW w:w="851" w:type="dxa"/>
          </w:tcPr>
          <w:p w14:paraId="6E9D11F0">
            <w:pPr>
              <w:pStyle w:val="68"/>
              <w:shd w:val="clear" w:fill="FFFFFF" w:themeFill="background1"/>
              <w:rPr>
                <w:rFonts w:ascii="宋体" w:hAnsi="宋体" w:cs="宋体"/>
                <w:color w:val="auto"/>
                <w:sz w:val="28"/>
                <w:szCs w:val="28"/>
                <w:highlight w:val="none"/>
              </w:rPr>
            </w:pPr>
          </w:p>
        </w:tc>
        <w:tc>
          <w:tcPr>
            <w:tcW w:w="1559" w:type="dxa"/>
          </w:tcPr>
          <w:p w14:paraId="0A3190BA">
            <w:pPr>
              <w:pStyle w:val="68"/>
              <w:shd w:val="clear" w:fill="FFFFFF" w:themeFill="background1"/>
              <w:rPr>
                <w:rFonts w:ascii="宋体" w:hAnsi="宋体" w:cs="宋体"/>
                <w:color w:val="auto"/>
                <w:sz w:val="28"/>
                <w:szCs w:val="28"/>
                <w:highlight w:val="none"/>
              </w:rPr>
            </w:pPr>
          </w:p>
        </w:tc>
        <w:tc>
          <w:tcPr>
            <w:tcW w:w="992" w:type="dxa"/>
          </w:tcPr>
          <w:p w14:paraId="042F117B">
            <w:pPr>
              <w:pStyle w:val="68"/>
              <w:shd w:val="clear" w:fill="FFFFFF" w:themeFill="background1"/>
              <w:rPr>
                <w:rFonts w:ascii="宋体" w:hAnsi="宋体" w:cs="宋体"/>
                <w:color w:val="auto"/>
                <w:sz w:val="28"/>
                <w:szCs w:val="28"/>
                <w:highlight w:val="none"/>
              </w:rPr>
            </w:pPr>
          </w:p>
        </w:tc>
        <w:tc>
          <w:tcPr>
            <w:tcW w:w="993" w:type="dxa"/>
          </w:tcPr>
          <w:p w14:paraId="14AD9597">
            <w:pPr>
              <w:pStyle w:val="68"/>
              <w:shd w:val="clear" w:fill="FFFFFF" w:themeFill="background1"/>
              <w:rPr>
                <w:rFonts w:ascii="宋体" w:hAnsi="宋体" w:cs="宋体"/>
                <w:color w:val="auto"/>
                <w:sz w:val="28"/>
                <w:szCs w:val="28"/>
                <w:highlight w:val="none"/>
              </w:rPr>
            </w:pPr>
          </w:p>
        </w:tc>
        <w:tc>
          <w:tcPr>
            <w:tcW w:w="850" w:type="dxa"/>
          </w:tcPr>
          <w:p w14:paraId="4866A385">
            <w:pPr>
              <w:pStyle w:val="68"/>
              <w:shd w:val="clear" w:fill="FFFFFF" w:themeFill="background1"/>
              <w:rPr>
                <w:rFonts w:ascii="宋体" w:hAnsi="宋体" w:cs="宋体"/>
                <w:color w:val="auto"/>
                <w:sz w:val="28"/>
                <w:szCs w:val="28"/>
                <w:highlight w:val="none"/>
              </w:rPr>
            </w:pPr>
          </w:p>
        </w:tc>
        <w:tc>
          <w:tcPr>
            <w:tcW w:w="709" w:type="dxa"/>
          </w:tcPr>
          <w:p w14:paraId="19D280DB">
            <w:pPr>
              <w:pStyle w:val="68"/>
              <w:shd w:val="clear" w:fill="FFFFFF" w:themeFill="background1"/>
              <w:rPr>
                <w:rFonts w:ascii="宋体" w:hAnsi="宋体" w:cs="宋体"/>
                <w:color w:val="auto"/>
                <w:sz w:val="28"/>
                <w:szCs w:val="28"/>
                <w:highlight w:val="none"/>
              </w:rPr>
            </w:pPr>
          </w:p>
        </w:tc>
      </w:tr>
      <w:tr w14:paraId="1F36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052DE671">
            <w:pPr>
              <w:pStyle w:val="68"/>
              <w:shd w:val="clear" w:fill="FFFFFF" w:themeFill="background1"/>
              <w:rPr>
                <w:rFonts w:ascii="宋体" w:hAnsi="宋体" w:cs="宋体"/>
                <w:color w:val="auto"/>
                <w:sz w:val="28"/>
                <w:szCs w:val="28"/>
                <w:highlight w:val="none"/>
              </w:rPr>
            </w:pPr>
          </w:p>
        </w:tc>
        <w:tc>
          <w:tcPr>
            <w:tcW w:w="1522" w:type="dxa"/>
          </w:tcPr>
          <w:p w14:paraId="11FE17E9">
            <w:pPr>
              <w:pStyle w:val="68"/>
              <w:shd w:val="clear" w:fill="FFFFFF" w:themeFill="background1"/>
              <w:rPr>
                <w:rFonts w:ascii="宋体" w:hAnsi="宋体" w:cs="宋体"/>
                <w:color w:val="auto"/>
                <w:sz w:val="28"/>
                <w:szCs w:val="28"/>
                <w:highlight w:val="none"/>
              </w:rPr>
            </w:pPr>
          </w:p>
        </w:tc>
        <w:tc>
          <w:tcPr>
            <w:tcW w:w="708" w:type="dxa"/>
          </w:tcPr>
          <w:p w14:paraId="5A182740">
            <w:pPr>
              <w:pStyle w:val="68"/>
              <w:shd w:val="clear" w:fill="FFFFFF" w:themeFill="background1"/>
              <w:rPr>
                <w:rFonts w:ascii="宋体" w:hAnsi="宋体" w:cs="宋体"/>
                <w:color w:val="auto"/>
                <w:sz w:val="28"/>
                <w:szCs w:val="28"/>
                <w:highlight w:val="none"/>
              </w:rPr>
            </w:pPr>
          </w:p>
        </w:tc>
        <w:tc>
          <w:tcPr>
            <w:tcW w:w="851" w:type="dxa"/>
          </w:tcPr>
          <w:p w14:paraId="1C7399F5">
            <w:pPr>
              <w:pStyle w:val="68"/>
              <w:shd w:val="clear" w:fill="FFFFFF" w:themeFill="background1"/>
              <w:rPr>
                <w:rFonts w:ascii="宋体" w:hAnsi="宋体" w:cs="宋体"/>
                <w:color w:val="auto"/>
                <w:sz w:val="28"/>
                <w:szCs w:val="28"/>
                <w:highlight w:val="none"/>
              </w:rPr>
            </w:pPr>
          </w:p>
        </w:tc>
        <w:tc>
          <w:tcPr>
            <w:tcW w:w="1559" w:type="dxa"/>
          </w:tcPr>
          <w:p w14:paraId="19C80063">
            <w:pPr>
              <w:pStyle w:val="68"/>
              <w:shd w:val="clear" w:fill="FFFFFF" w:themeFill="background1"/>
              <w:rPr>
                <w:rFonts w:ascii="宋体" w:hAnsi="宋体" w:cs="宋体"/>
                <w:color w:val="auto"/>
                <w:sz w:val="28"/>
                <w:szCs w:val="28"/>
                <w:highlight w:val="none"/>
              </w:rPr>
            </w:pPr>
          </w:p>
        </w:tc>
        <w:tc>
          <w:tcPr>
            <w:tcW w:w="992" w:type="dxa"/>
          </w:tcPr>
          <w:p w14:paraId="36FBA473">
            <w:pPr>
              <w:pStyle w:val="68"/>
              <w:shd w:val="clear" w:fill="FFFFFF" w:themeFill="background1"/>
              <w:rPr>
                <w:rFonts w:ascii="宋体" w:hAnsi="宋体" w:cs="宋体"/>
                <w:color w:val="auto"/>
                <w:sz w:val="28"/>
                <w:szCs w:val="28"/>
                <w:highlight w:val="none"/>
              </w:rPr>
            </w:pPr>
          </w:p>
        </w:tc>
        <w:tc>
          <w:tcPr>
            <w:tcW w:w="993" w:type="dxa"/>
          </w:tcPr>
          <w:p w14:paraId="116D6EF8">
            <w:pPr>
              <w:pStyle w:val="68"/>
              <w:shd w:val="clear" w:fill="FFFFFF" w:themeFill="background1"/>
              <w:rPr>
                <w:rFonts w:ascii="宋体" w:hAnsi="宋体" w:cs="宋体"/>
                <w:color w:val="auto"/>
                <w:sz w:val="28"/>
                <w:szCs w:val="28"/>
                <w:highlight w:val="none"/>
              </w:rPr>
            </w:pPr>
          </w:p>
        </w:tc>
        <w:tc>
          <w:tcPr>
            <w:tcW w:w="850" w:type="dxa"/>
          </w:tcPr>
          <w:p w14:paraId="33FF19EE">
            <w:pPr>
              <w:pStyle w:val="68"/>
              <w:shd w:val="clear" w:fill="FFFFFF" w:themeFill="background1"/>
              <w:rPr>
                <w:rFonts w:ascii="宋体" w:hAnsi="宋体" w:cs="宋体"/>
                <w:color w:val="auto"/>
                <w:sz w:val="28"/>
                <w:szCs w:val="28"/>
                <w:highlight w:val="none"/>
              </w:rPr>
            </w:pPr>
          </w:p>
        </w:tc>
        <w:tc>
          <w:tcPr>
            <w:tcW w:w="709" w:type="dxa"/>
          </w:tcPr>
          <w:p w14:paraId="3C6F5ABA">
            <w:pPr>
              <w:pStyle w:val="68"/>
              <w:shd w:val="clear" w:fill="FFFFFF" w:themeFill="background1"/>
              <w:rPr>
                <w:rFonts w:ascii="宋体" w:hAnsi="宋体" w:cs="宋体"/>
                <w:color w:val="auto"/>
                <w:sz w:val="28"/>
                <w:szCs w:val="28"/>
                <w:highlight w:val="none"/>
              </w:rPr>
            </w:pPr>
          </w:p>
        </w:tc>
      </w:tr>
      <w:tr w14:paraId="7B68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16A8C64D">
            <w:pPr>
              <w:pStyle w:val="68"/>
              <w:shd w:val="clear" w:fill="FFFFFF" w:themeFill="background1"/>
              <w:rPr>
                <w:rFonts w:ascii="宋体" w:hAnsi="宋体" w:cs="宋体"/>
                <w:color w:val="auto"/>
                <w:sz w:val="28"/>
                <w:szCs w:val="28"/>
                <w:highlight w:val="none"/>
              </w:rPr>
            </w:pPr>
          </w:p>
        </w:tc>
        <w:tc>
          <w:tcPr>
            <w:tcW w:w="1522" w:type="dxa"/>
          </w:tcPr>
          <w:p w14:paraId="6687F297">
            <w:pPr>
              <w:pStyle w:val="68"/>
              <w:shd w:val="clear" w:fill="FFFFFF" w:themeFill="background1"/>
              <w:rPr>
                <w:rFonts w:ascii="宋体" w:hAnsi="宋体" w:cs="宋体"/>
                <w:color w:val="auto"/>
                <w:sz w:val="28"/>
                <w:szCs w:val="28"/>
                <w:highlight w:val="none"/>
              </w:rPr>
            </w:pPr>
          </w:p>
        </w:tc>
        <w:tc>
          <w:tcPr>
            <w:tcW w:w="708" w:type="dxa"/>
          </w:tcPr>
          <w:p w14:paraId="70768C7B">
            <w:pPr>
              <w:pStyle w:val="68"/>
              <w:shd w:val="clear" w:fill="FFFFFF" w:themeFill="background1"/>
              <w:rPr>
                <w:rFonts w:ascii="宋体" w:hAnsi="宋体" w:cs="宋体"/>
                <w:color w:val="auto"/>
                <w:sz w:val="28"/>
                <w:szCs w:val="28"/>
                <w:highlight w:val="none"/>
              </w:rPr>
            </w:pPr>
          </w:p>
        </w:tc>
        <w:tc>
          <w:tcPr>
            <w:tcW w:w="851" w:type="dxa"/>
          </w:tcPr>
          <w:p w14:paraId="630D1F7F">
            <w:pPr>
              <w:pStyle w:val="68"/>
              <w:shd w:val="clear" w:fill="FFFFFF" w:themeFill="background1"/>
              <w:rPr>
                <w:rFonts w:ascii="宋体" w:hAnsi="宋体" w:cs="宋体"/>
                <w:color w:val="auto"/>
                <w:sz w:val="28"/>
                <w:szCs w:val="28"/>
                <w:highlight w:val="none"/>
              </w:rPr>
            </w:pPr>
          </w:p>
        </w:tc>
        <w:tc>
          <w:tcPr>
            <w:tcW w:w="1559" w:type="dxa"/>
          </w:tcPr>
          <w:p w14:paraId="2E7BBA28">
            <w:pPr>
              <w:pStyle w:val="68"/>
              <w:shd w:val="clear" w:fill="FFFFFF" w:themeFill="background1"/>
              <w:rPr>
                <w:rFonts w:ascii="宋体" w:hAnsi="宋体" w:cs="宋体"/>
                <w:color w:val="auto"/>
                <w:sz w:val="28"/>
                <w:szCs w:val="28"/>
                <w:highlight w:val="none"/>
              </w:rPr>
            </w:pPr>
          </w:p>
        </w:tc>
        <w:tc>
          <w:tcPr>
            <w:tcW w:w="992" w:type="dxa"/>
          </w:tcPr>
          <w:p w14:paraId="2A9217C0">
            <w:pPr>
              <w:pStyle w:val="68"/>
              <w:shd w:val="clear" w:fill="FFFFFF" w:themeFill="background1"/>
              <w:rPr>
                <w:rFonts w:ascii="宋体" w:hAnsi="宋体" w:cs="宋体"/>
                <w:color w:val="auto"/>
                <w:sz w:val="28"/>
                <w:szCs w:val="28"/>
                <w:highlight w:val="none"/>
              </w:rPr>
            </w:pPr>
          </w:p>
        </w:tc>
        <w:tc>
          <w:tcPr>
            <w:tcW w:w="993" w:type="dxa"/>
          </w:tcPr>
          <w:p w14:paraId="6EADE40A">
            <w:pPr>
              <w:pStyle w:val="68"/>
              <w:shd w:val="clear" w:fill="FFFFFF" w:themeFill="background1"/>
              <w:rPr>
                <w:rFonts w:ascii="宋体" w:hAnsi="宋体" w:cs="宋体"/>
                <w:color w:val="auto"/>
                <w:sz w:val="28"/>
                <w:szCs w:val="28"/>
                <w:highlight w:val="none"/>
              </w:rPr>
            </w:pPr>
          </w:p>
        </w:tc>
        <w:tc>
          <w:tcPr>
            <w:tcW w:w="850" w:type="dxa"/>
          </w:tcPr>
          <w:p w14:paraId="320F66D0">
            <w:pPr>
              <w:pStyle w:val="68"/>
              <w:shd w:val="clear" w:fill="FFFFFF" w:themeFill="background1"/>
              <w:rPr>
                <w:rFonts w:ascii="宋体" w:hAnsi="宋体" w:cs="宋体"/>
                <w:color w:val="auto"/>
                <w:sz w:val="28"/>
                <w:szCs w:val="28"/>
                <w:highlight w:val="none"/>
              </w:rPr>
            </w:pPr>
          </w:p>
        </w:tc>
        <w:tc>
          <w:tcPr>
            <w:tcW w:w="709" w:type="dxa"/>
          </w:tcPr>
          <w:p w14:paraId="698F8CBB">
            <w:pPr>
              <w:pStyle w:val="68"/>
              <w:shd w:val="clear" w:fill="FFFFFF" w:themeFill="background1"/>
              <w:rPr>
                <w:rFonts w:ascii="宋体" w:hAnsi="宋体" w:cs="宋体"/>
                <w:color w:val="auto"/>
                <w:sz w:val="28"/>
                <w:szCs w:val="28"/>
                <w:highlight w:val="none"/>
              </w:rPr>
            </w:pPr>
          </w:p>
        </w:tc>
      </w:tr>
      <w:tr w14:paraId="2873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65AC32A0">
            <w:pPr>
              <w:pStyle w:val="68"/>
              <w:shd w:val="clear" w:fill="FFFFFF" w:themeFill="background1"/>
              <w:rPr>
                <w:rFonts w:ascii="宋体" w:hAnsi="宋体" w:cs="宋体"/>
                <w:color w:val="auto"/>
                <w:sz w:val="28"/>
                <w:szCs w:val="28"/>
                <w:highlight w:val="none"/>
              </w:rPr>
            </w:pPr>
          </w:p>
        </w:tc>
        <w:tc>
          <w:tcPr>
            <w:tcW w:w="1522" w:type="dxa"/>
          </w:tcPr>
          <w:p w14:paraId="248FE6C2">
            <w:pPr>
              <w:pStyle w:val="68"/>
              <w:shd w:val="clear" w:fill="FFFFFF" w:themeFill="background1"/>
              <w:rPr>
                <w:rFonts w:ascii="宋体" w:hAnsi="宋体" w:cs="宋体"/>
                <w:color w:val="auto"/>
                <w:sz w:val="28"/>
                <w:szCs w:val="28"/>
                <w:highlight w:val="none"/>
              </w:rPr>
            </w:pPr>
          </w:p>
        </w:tc>
        <w:tc>
          <w:tcPr>
            <w:tcW w:w="708" w:type="dxa"/>
          </w:tcPr>
          <w:p w14:paraId="5F6E5C8A">
            <w:pPr>
              <w:pStyle w:val="68"/>
              <w:shd w:val="clear" w:fill="FFFFFF" w:themeFill="background1"/>
              <w:rPr>
                <w:rFonts w:ascii="宋体" w:hAnsi="宋体" w:cs="宋体"/>
                <w:color w:val="auto"/>
                <w:sz w:val="28"/>
                <w:szCs w:val="28"/>
                <w:highlight w:val="none"/>
              </w:rPr>
            </w:pPr>
          </w:p>
        </w:tc>
        <w:tc>
          <w:tcPr>
            <w:tcW w:w="851" w:type="dxa"/>
          </w:tcPr>
          <w:p w14:paraId="07CF3FBA">
            <w:pPr>
              <w:pStyle w:val="68"/>
              <w:shd w:val="clear" w:fill="FFFFFF" w:themeFill="background1"/>
              <w:rPr>
                <w:rFonts w:ascii="宋体" w:hAnsi="宋体" w:cs="宋体"/>
                <w:color w:val="auto"/>
                <w:sz w:val="28"/>
                <w:szCs w:val="28"/>
                <w:highlight w:val="none"/>
              </w:rPr>
            </w:pPr>
          </w:p>
        </w:tc>
        <w:tc>
          <w:tcPr>
            <w:tcW w:w="1559" w:type="dxa"/>
          </w:tcPr>
          <w:p w14:paraId="250F4F15">
            <w:pPr>
              <w:pStyle w:val="68"/>
              <w:shd w:val="clear" w:fill="FFFFFF" w:themeFill="background1"/>
              <w:rPr>
                <w:rFonts w:ascii="宋体" w:hAnsi="宋体" w:cs="宋体"/>
                <w:color w:val="auto"/>
                <w:sz w:val="28"/>
                <w:szCs w:val="28"/>
                <w:highlight w:val="none"/>
              </w:rPr>
            </w:pPr>
          </w:p>
        </w:tc>
        <w:tc>
          <w:tcPr>
            <w:tcW w:w="992" w:type="dxa"/>
          </w:tcPr>
          <w:p w14:paraId="49914A1C">
            <w:pPr>
              <w:pStyle w:val="68"/>
              <w:shd w:val="clear" w:fill="FFFFFF" w:themeFill="background1"/>
              <w:rPr>
                <w:rFonts w:ascii="宋体" w:hAnsi="宋体" w:cs="宋体"/>
                <w:color w:val="auto"/>
                <w:sz w:val="28"/>
                <w:szCs w:val="28"/>
                <w:highlight w:val="none"/>
              </w:rPr>
            </w:pPr>
          </w:p>
        </w:tc>
        <w:tc>
          <w:tcPr>
            <w:tcW w:w="993" w:type="dxa"/>
          </w:tcPr>
          <w:p w14:paraId="0750D8C0">
            <w:pPr>
              <w:pStyle w:val="68"/>
              <w:shd w:val="clear" w:fill="FFFFFF" w:themeFill="background1"/>
              <w:rPr>
                <w:rFonts w:ascii="宋体" w:hAnsi="宋体" w:cs="宋体"/>
                <w:color w:val="auto"/>
                <w:sz w:val="28"/>
                <w:szCs w:val="28"/>
                <w:highlight w:val="none"/>
              </w:rPr>
            </w:pPr>
          </w:p>
        </w:tc>
        <w:tc>
          <w:tcPr>
            <w:tcW w:w="850" w:type="dxa"/>
          </w:tcPr>
          <w:p w14:paraId="5513C181">
            <w:pPr>
              <w:pStyle w:val="68"/>
              <w:shd w:val="clear" w:fill="FFFFFF" w:themeFill="background1"/>
              <w:rPr>
                <w:rFonts w:ascii="宋体" w:hAnsi="宋体" w:cs="宋体"/>
                <w:color w:val="auto"/>
                <w:sz w:val="28"/>
                <w:szCs w:val="28"/>
                <w:highlight w:val="none"/>
              </w:rPr>
            </w:pPr>
          </w:p>
        </w:tc>
        <w:tc>
          <w:tcPr>
            <w:tcW w:w="709" w:type="dxa"/>
          </w:tcPr>
          <w:p w14:paraId="7317CE4A">
            <w:pPr>
              <w:pStyle w:val="68"/>
              <w:shd w:val="clear" w:fill="FFFFFF" w:themeFill="background1"/>
              <w:rPr>
                <w:rFonts w:ascii="宋体" w:hAnsi="宋体" w:cs="宋体"/>
                <w:color w:val="auto"/>
                <w:sz w:val="28"/>
                <w:szCs w:val="28"/>
                <w:highlight w:val="none"/>
              </w:rPr>
            </w:pPr>
          </w:p>
        </w:tc>
      </w:tr>
      <w:tr w14:paraId="34A1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3A00BE4E">
            <w:pPr>
              <w:pStyle w:val="68"/>
              <w:shd w:val="clear" w:fill="FFFFFF" w:themeFill="background1"/>
              <w:rPr>
                <w:rFonts w:ascii="宋体" w:hAnsi="宋体" w:cs="宋体"/>
                <w:color w:val="auto"/>
                <w:sz w:val="28"/>
                <w:szCs w:val="28"/>
                <w:highlight w:val="none"/>
              </w:rPr>
            </w:pPr>
          </w:p>
        </w:tc>
        <w:tc>
          <w:tcPr>
            <w:tcW w:w="1522" w:type="dxa"/>
          </w:tcPr>
          <w:p w14:paraId="643D456B">
            <w:pPr>
              <w:pStyle w:val="68"/>
              <w:shd w:val="clear" w:fill="FFFFFF" w:themeFill="background1"/>
              <w:rPr>
                <w:rFonts w:ascii="宋体" w:hAnsi="宋体" w:cs="宋体"/>
                <w:color w:val="auto"/>
                <w:sz w:val="28"/>
                <w:szCs w:val="28"/>
                <w:highlight w:val="none"/>
              </w:rPr>
            </w:pPr>
          </w:p>
        </w:tc>
        <w:tc>
          <w:tcPr>
            <w:tcW w:w="708" w:type="dxa"/>
          </w:tcPr>
          <w:p w14:paraId="5DB8FE89">
            <w:pPr>
              <w:pStyle w:val="68"/>
              <w:shd w:val="clear" w:fill="FFFFFF" w:themeFill="background1"/>
              <w:rPr>
                <w:rFonts w:ascii="宋体" w:hAnsi="宋体" w:cs="宋体"/>
                <w:color w:val="auto"/>
                <w:sz w:val="28"/>
                <w:szCs w:val="28"/>
                <w:highlight w:val="none"/>
              </w:rPr>
            </w:pPr>
          </w:p>
        </w:tc>
        <w:tc>
          <w:tcPr>
            <w:tcW w:w="851" w:type="dxa"/>
          </w:tcPr>
          <w:p w14:paraId="064761C1">
            <w:pPr>
              <w:pStyle w:val="68"/>
              <w:shd w:val="clear" w:fill="FFFFFF" w:themeFill="background1"/>
              <w:rPr>
                <w:rFonts w:ascii="宋体" w:hAnsi="宋体" w:cs="宋体"/>
                <w:color w:val="auto"/>
                <w:sz w:val="28"/>
                <w:szCs w:val="28"/>
                <w:highlight w:val="none"/>
              </w:rPr>
            </w:pPr>
          </w:p>
        </w:tc>
        <w:tc>
          <w:tcPr>
            <w:tcW w:w="1559" w:type="dxa"/>
          </w:tcPr>
          <w:p w14:paraId="7AF98481">
            <w:pPr>
              <w:pStyle w:val="68"/>
              <w:shd w:val="clear" w:fill="FFFFFF" w:themeFill="background1"/>
              <w:rPr>
                <w:rFonts w:ascii="宋体" w:hAnsi="宋体" w:cs="宋体"/>
                <w:color w:val="auto"/>
                <w:sz w:val="28"/>
                <w:szCs w:val="28"/>
                <w:highlight w:val="none"/>
              </w:rPr>
            </w:pPr>
          </w:p>
        </w:tc>
        <w:tc>
          <w:tcPr>
            <w:tcW w:w="992" w:type="dxa"/>
          </w:tcPr>
          <w:p w14:paraId="06A52880">
            <w:pPr>
              <w:pStyle w:val="68"/>
              <w:shd w:val="clear" w:fill="FFFFFF" w:themeFill="background1"/>
              <w:rPr>
                <w:rFonts w:ascii="宋体" w:hAnsi="宋体" w:cs="宋体"/>
                <w:color w:val="auto"/>
                <w:sz w:val="28"/>
                <w:szCs w:val="28"/>
                <w:highlight w:val="none"/>
              </w:rPr>
            </w:pPr>
          </w:p>
        </w:tc>
        <w:tc>
          <w:tcPr>
            <w:tcW w:w="993" w:type="dxa"/>
          </w:tcPr>
          <w:p w14:paraId="5097F999">
            <w:pPr>
              <w:pStyle w:val="68"/>
              <w:shd w:val="clear" w:fill="FFFFFF" w:themeFill="background1"/>
              <w:rPr>
                <w:rFonts w:ascii="宋体" w:hAnsi="宋体" w:cs="宋体"/>
                <w:color w:val="auto"/>
                <w:sz w:val="28"/>
                <w:szCs w:val="28"/>
                <w:highlight w:val="none"/>
              </w:rPr>
            </w:pPr>
          </w:p>
        </w:tc>
        <w:tc>
          <w:tcPr>
            <w:tcW w:w="850" w:type="dxa"/>
          </w:tcPr>
          <w:p w14:paraId="499C2E83">
            <w:pPr>
              <w:pStyle w:val="68"/>
              <w:shd w:val="clear" w:fill="FFFFFF" w:themeFill="background1"/>
              <w:rPr>
                <w:rFonts w:ascii="宋体" w:hAnsi="宋体" w:cs="宋体"/>
                <w:color w:val="auto"/>
                <w:sz w:val="28"/>
                <w:szCs w:val="28"/>
                <w:highlight w:val="none"/>
              </w:rPr>
            </w:pPr>
          </w:p>
        </w:tc>
        <w:tc>
          <w:tcPr>
            <w:tcW w:w="709" w:type="dxa"/>
          </w:tcPr>
          <w:p w14:paraId="3F92CAC4">
            <w:pPr>
              <w:pStyle w:val="68"/>
              <w:shd w:val="clear" w:fill="FFFFFF" w:themeFill="background1"/>
              <w:rPr>
                <w:rFonts w:ascii="宋体" w:hAnsi="宋体" w:cs="宋体"/>
                <w:color w:val="auto"/>
                <w:sz w:val="28"/>
                <w:szCs w:val="28"/>
                <w:highlight w:val="none"/>
              </w:rPr>
            </w:pPr>
          </w:p>
        </w:tc>
      </w:tr>
      <w:tr w14:paraId="362E5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500" w:type="dxa"/>
          </w:tcPr>
          <w:p w14:paraId="5D315ACC">
            <w:pPr>
              <w:pStyle w:val="68"/>
              <w:shd w:val="clear" w:fill="FFFFFF" w:themeFill="background1"/>
              <w:rPr>
                <w:rFonts w:ascii="宋体" w:hAnsi="宋体" w:cs="宋体"/>
                <w:color w:val="auto"/>
                <w:sz w:val="28"/>
                <w:szCs w:val="28"/>
                <w:highlight w:val="none"/>
              </w:rPr>
            </w:pPr>
          </w:p>
        </w:tc>
        <w:tc>
          <w:tcPr>
            <w:tcW w:w="1522" w:type="dxa"/>
          </w:tcPr>
          <w:p w14:paraId="6429FA5F">
            <w:pPr>
              <w:pStyle w:val="68"/>
              <w:shd w:val="clear" w:fill="FFFFFF" w:themeFill="background1"/>
              <w:rPr>
                <w:rFonts w:ascii="宋体" w:hAnsi="宋体" w:cs="宋体"/>
                <w:color w:val="auto"/>
                <w:sz w:val="28"/>
                <w:szCs w:val="28"/>
                <w:highlight w:val="none"/>
              </w:rPr>
            </w:pPr>
          </w:p>
        </w:tc>
        <w:tc>
          <w:tcPr>
            <w:tcW w:w="708" w:type="dxa"/>
          </w:tcPr>
          <w:p w14:paraId="38FBC91D">
            <w:pPr>
              <w:pStyle w:val="68"/>
              <w:shd w:val="clear" w:fill="FFFFFF" w:themeFill="background1"/>
              <w:rPr>
                <w:rFonts w:ascii="宋体" w:hAnsi="宋体" w:cs="宋体"/>
                <w:color w:val="auto"/>
                <w:sz w:val="28"/>
                <w:szCs w:val="28"/>
                <w:highlight w:val="none"/>
              </w:rPr>
            </w:pPr>
          </w:p>
        </w:tc>
        <w:tc>
          <w:tcPr>
            <w:tcW w:w="851" w:type="dxa"/>
          </w:tcPr>
          <w:p w14:paraId="5CF5C0D9">
            <w:pPr>
              <w:pStyle w:val="68"/>
              <w:shd w:val="clear" w:fill="FFFFFF" w:themeFill="background1"/>
              <w:rPr>
                <w:rFonts w:ascii="宋体" w:hAnsi="宋体" w:cs="宋体"/>
                <w:color w:val="auto"/>
                <w:sz w:val="28"/>
                <w:szCs w:val="28"/>
                <w:highlight w:val="none"/>
              </w:rPr>
            </w:pPr>
          </w:p>
        </w:tc>
        <w:tc>
          <w:tcPr>
            <w:tcW w:w="1559" w:type="dxa"/>
          </w:tcPr>
          <w:p w14:paraId="71A2C39F">
            <w:pPr>
              <w:pStyle w:val="68"/>
              <w:shd w:val="clear" w:fill="FFFFFF" w:themeFill="background1"/>
              <w:rPr>
                <w:rFonts w:ascii="宋体" w:hAnsi="宋体" w:cs="宋体"/>
                <w:color w:val="auto"/>
                <w:sz w:val="28"/>
                <w:szCs w:val="28"/>
                <w:highlight w:val="none"/>
              </w:rPr>
            </w:pPr>
          </w:p>
        </w:tc>
        <w:tc>
          <w:tcPr>
            <w:tcW w:w="992" w:type="dxa"/>
          </w:tcPr>
          <w:p w14:paraId="7E871874">
            <w:pPr>
              <w:pStyle w:val="68"/>
              <w:shd w:val="clear" w:fill="FFFFFF" w:themeFill="background1"/>
              <w:rPr>
                <w:rFonts w:ascii="宋体" w:hAnsi="宋体" w:cs="宋体"/>
                <w:color w:val="auto"/>
                <w:sz w:val="28"/>
                <w:szCs w:val="28"/>
                <w:highlight w:val="none"/>
              </w:rPr>
            </w:pPr>
          </w:p>
        </w:tc>
        <w:tc>
          <w:tcPr>
            <w:tcW w:w="993" w:type="dxa"/>
          </w:tcPr>
          <w:p w14:paraId="19429510">
            <w:pPr>
              <w:pStyle w:val="68"/>
              <w:shd w:val="clear" w:fill="FFFFFF" w:themeFill="background1"/>
              <w:rPr>
                <w:rFonts w:ascii="宋体" w:hAnsi="宋体" w:cs="宋体"/>
                <w:color w:val="auto"/>
                <w:sz w:val="28"/>
                <w:szCs w:val="28"/>
                <w:highlight w:val="none"/>
              </w:rPr>
            </w:pPr>
          </w:p>
        </w:tc>
        <w:tc>
          <w:tcPr>
            <w:tcW w:w="850" w:type="dxa"/>
          </w:tcPr>
          <w:p w14:paraId="14901A4B">
            <w:pPr>
              <w:pStyle w:val="68"/>
              <w:shd w:val="clear" w:fill="FFFFFF" w:themeFill="background1"/>
              <w:rPr>
                <w:rFonts w:ascii="宋体" w:hAnsi="宋体" w:cs="宋体"/>
                <w:color w:val="auto"/>
                <w:sz w:val="28"/>
                <w:szCs w:val="28"/>
                <w:highlight w:val="none"/>
              </w:rPr>
            </w:pPr>
          </w:p>
        </w:tc>
        <w:tc>
          <w:tcPr>
            <w:tcW w:w="709" w:type="dxa"/>
          </w:tcPr>
          <w:p w14:paraId="71F1EE01">
            <w:pPr>
              <w:pStyle w:val="68"/>
              <w:shd w:val="clear" w:fill="FFFFFF" w:themeFill="background1"/>
              <w:rPr>
                <w:rFonts w:ascii="宋体" w:hAnsi="宋体" w:cs="宋体"/>
                <w:color w:val="auto"/>
                <w:sz w:val="28"/>
                <w:szCs w:val="28"/>
                <w:highlight w:val="none"/>
              </w:rPr>
            </w:pPr>
          </w:p>
        </w:tc>
      </w:tr>
    </w:tbl>
    <w:p w14:paraId="0E7F3E46">
      <w:pPr>
        <w:pStyle w:val="68"/>
        <w:shd w:val="clear" w:fill="FFFFFF" w:themeFill="background1"/>
        <w:rPr>
          <w:rFonts w:ascii="宋体" w:hAnsi="宋体" w:cs="宋体"/>
          <w:color w:val="auto"/>
          <w:sz w:val="28"/>
          <w:szCs w:val="28"/>
          <w:highlight w:val="none"/>
        </w:rPr>
      </w:pPr>
    </w:p>
    <w:p w14:paraId="410A092D">
      <w:pPr>
        <w:pStyle w:val="68"/>
        <w:shd w:val="clear" w:fill="FFFFFF" w:themeFill="background1"/>
        <w:rPr>
          <w:rFonts w:ascii="宋体" w:hAnsi="宋体" w:cs="宋体"/>
          <w:color w:val="auto"/>
          <w:sz w:val="28"/>
          <w:szCs w:val="28"/>
          <w:highlight w:val="none"/>
        </w:rPr>
      </w:pPr>
    </w:p>
    <w:p w14:paraId="41C2CDCA">
      <w:pPr>
        <w:pStyle w:val="68"/>
        <w:shd w:val="clear" w:fill="FFFFFF" w:themeFill="background1"/>
        <w:rPr>
          <w:rFonts w:ascii="宋体" w:hAnsi="宋体" w:cs="宋体"/>
          <w:color w:val="auto"/>
          <w:sz w:val="28"/>
          <w:szCs w:val="28"/>
          <w:highlight w:val="none"/>
        </w:rPr>
      </w:pPr>
    </w:p>
    <w:p w14:paraId="05DB2EC7">
      <w:pPr>
        <w:pStyle w:val="68"/>
        <w:shd w:val="clear" w:fill="FFFFFF" w:themeFill="background1"/>
        <w:rPr>
          <w:rFonts w:ascii="宋体" w:hAnsi="宋体" w:cs="宋体"/>
          <w:color w:val="auto"/>
          <w:sz w:val="28"/>
          <w:szCs w:val="28"/>
          <w:highlight w:val="none"/>
        </w:rPr>
      </w:pPr>
    </w:p>
    <w:p w14:paraId="31EB7E5B">
      <w:pPr>
        <w:pStyle w:val="78"/>
        <w:shd w:val="clear" w:fill="FFFFFF" w:themeFill="background1"/>
        <w:spacing w:line="360" w:lineRule="auto"/>
        <w:rPr>
          <w:rFonts w:ascii="宋体" w:hAnsi="宋体"/>
          <w:color w:val="auto"/>
          <w:sz w:val="24"/>
          <w:szCs w:val="24"/>
          <w:highlight w:val="none"/>
        </w:rPr>
      </w:pPr>
      <w:bookmarkStart w:id="1721" w:name="_Toc453056970"/>
      <w:bookmarkEnd w:id="1721"/>
      <w:bookmarkStart w:id="1722" w:name="_Toc43476017"/>
      <w:bookmarkEnd w:id="1722"/>
      <w:bookmarkStart w:id="1723" w:name="_Toc452498667"/>
      <w:bookmarkEnd w:id="1723"/>
      <w:bookmarkStart w:id="1724" w:name="_Toc14336"/>
      <w:bookmarkEnd w:id="1724"/>
      <w:bookmarkStart w:id="1725" w:name="_Toc16722"/>
      <w:bookmarkEnd w:id="1725"/>
      <w:bookmarkStart w:id="1726" w:name="_Toc453057198"/>
      <w:bookmarkEnd w:id="1726"/>
      <w:bookmarkStart w:id="1727" w:name="_Toc452498897"/>
      <w:bookmarkEnd w:id="1727"/>
      <w:bookmarkStart w:id="1728" w:name="_Toc451261388"/>
      <w:bookmarkEnd w:id="1728"/>
      <w:r>
        <w:rPr>
          <w:rFonts w:hint="eastAsia" w:ascii="宋体" w:hAnsi="宋体" w:cs="宋体"/>
          <w:color w:val="auto"/>
          <w:sz w:val="24"/>
          <w:szCs w:val="24"/>
          <w:highlight w:val="none"/>
        </w:rPr>
        <w:br w:type="page"/>
      </w:r>
      <w:r>
        <w:rPr>
          <w:rFonts w:hint="eastAsia" w:ascii="宋体" w:hAnsi="宋体"/>
          <w:color w:val="auto"/>
          <w:sz w:val="24"/>
          <w:szCs w:val="24"/>
          <w:highlight w:val="none"/>
        </w:rPr>
        <w:t>附件十一  承包人违约金一览表</w:t>
      </w:r>
    </w:p>
    <w:p w14:paraId="065E9D50">
      <w:pPr>
        <w:pStyle w:val="68"/>
        <w:shd w:val="clear" w:fill="FFFFFF" w:themeFill="background1"/>
        <w:rPr>
          <w:rFonts w:ascii="宋体" w:hAnsi="宋体" w:cs="宋体"/>
          <w:b/>
          <w:color w:val="auto"/>
          <w:sz w:val="28"/>
          <w:szCs w:val="28"/>
          <w:highlight w:val="none"/>
        </w:rPr>
      </w:pPr>
      <w:r>
        <w:rPr>
          <w:rFonts w:hint="eastAsia" w:ascii="宋体" w:hAnsi="宋体" w:cs="宋体"/>
          <w:b/>
          <w:color w:val="auto"/>
          <w:sz w:val="28"/>
          <w:szCs w:val="28"/>
          <w:highlight w:val="none"/>
        </w:rPr>
        <w:t>22.1.2附表   承包人违约金一览表</w:t>
      </w:r>
    </w:p>
    <w:tbl>
      <w:tblPr>
        <w:tblStyle w:val="45"/>
        <w:tblW w:w="963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114"/>
        <w:gridCol w:w="3534"/>
        <w:gridCol w:w="2350"/>
        <w:gridCol w:w="1914"/>
      </w:tblGrid>
      <w:tr w14:paraId="7D04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720" w:type="dxa"/>
            <w:vAlign w:val="center"/>
          </w:tcPr>
          <w:p w14:paraId="4B7078D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序号</w:t>
            </w:r>
          </w:p>
        </w:tc>
        <w:tc>
          <w:tcPr>
            <w:tcW w:w="1114" w:type="dxa"/>
            <w:vAlign w:val="center"/>
          </w:tcPr>
          <w:p w14:paraId="57F3E4D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合同依据</w:t>
            </w:r>
          </w:p>
        </w:tc>
        <w:tc>
          <w:tcPr>
            <w:tcW w:w="3534" w:type="dxa"/>
            <w:vAlign w:val="center"/>
          </w:tcPr>
          <w:p w14:paraId="6CFE065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违约内容</w:t>
            </w:r>
          </w:p>
        </w:tc>
        <w:tc>
          <w:tcPr>
            <w:tcW w:w="2350" w:type="dxa"/>
            <w:vAlign w:val="center"/>
          </w:tcPr>
          <w:p w14:paraId="36AE9BE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违约金标准</w:t>
            </w:r>
          </w:p>
        </w:tc>
        <w:tc>
          <w:tcPr>
            <w:tcW w:w="1914" w:type="dxa"/>
            <w:vAlign w:val="center"/>
          </w:tcPr>
          <w:p w14:paraId="2C4363A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备注</w:t>
            </w:r>
          </w:p>
        </w:tc>
      </w:tr>
      <w:tr w14:paraId="4E3C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30A7E33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1114" w:type="dxa"/>
            <w:vAlign w:val="center"/>
          </w:tcPr>
          <w:p w14:paraId="1CB3E0E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1.6.3</w:t>
            </w:r>
          </w:p>
        </w:tc>
        <w:tc>
          <w:tcPr>
            <w:tcW w:w="3534" w:type="dxa"/>
            <w:vAlign w:val="center"/>
          </w:tcPr>
          <w:p w14:paraId="1AF00262">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未得到监理人批准，承包人擅自对施工图的任何部分进行修改。</w:t>
            </w:r>
          </w:p>
        </w:tc>
        <w:tc>
          <w:tcPr>
            <w:tcW w:w="2350" w:type="dxa"/>
            <w:vAlign w:val="center"/>
          </w:tcPr>
          <w:p w14:paraId="7B9BA18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2万元/次</w:t>
            </w:r>
          </w:p>
        </w:tc>
        <w:tc>
          <w:tcPr>
            <w:tcW w:w="1914" w:type="dxa"/>
          </w:tcPr>
          <w:p w14:paraId="0AF5A0F2">
            <w:pPr>
              <w:pStyle w:val="68"/>
              <w:shd w:val="clear" w:fill="FFFFFF" w:themeFill="background1"/>
              <w:rPr>
                <w:rFonts w:ascii="宋体" w:hAnsi="宋体" w:cs="宋体"/>
                <w:color w:val="auto"/>
                <w:sz w:val="24"/>
                <w:highlight w:val="none"/>
              </w:rPr>
            </w:pPr>
          </w:p>
        </w:tc>
      </w:tr>
      <w:tr w14:paraId="2FA1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034B112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1114" w:type="dxa"/>
            <w:vAlign w:val="center"/>
          </w:tcPr>
          <w:p w14:paraId="1736ACD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4.1.4</w:t>
            </w:r>
          </w:p>
        </w:tc>
        <w:tc>
          <w:tcPr>
            <w:tcW w:w="3534" w:type="dxa"/>
            <w:vAlign w:val="center"/>
          </w:tcPr>
          <w:p w14:paraId="1917BD4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施工组织设计未经审批即开始实施。</w:t>
            </w:r>
          </w:p>
        </w:tc>
        <w:tc>
          <w:tcPr>
            <w:tcW w:w="2350" w:type="dxa"/>
            <w:vAlign w:val="center"/>
          </w:tcPr>
          <w:p w14:paraId="0DFFAB8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30 万元/次</w:t>
            </w:r>
          </w:p>
        </w:tc>
        <w:tc>
          <w:tcPr>
            <w:tcW w:w="1914" w:type="dxa"/>
          </w:tcPr>
          <w:p w14:paraId="016A2B1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属于严重违约，建议参照“违规分包或转包”进行重罚。</w:t>
            </w:r>
          </w:p>
        </w:tc>
      </w:tr>
      <w:tr w14:paraId="126C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7EAAA6A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1114" w:type="dxa"/>
            <w:vAlign w:val="center"/>
          </w:tcPr>
          <w:p w14:paraId="23A5910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4.1.4</w:t>
            </w:r>
          </w:p>
        </w:tc>
        <w:tc>
          <w:tcPr>
            <w:tcW w:w="3534" w:type="dxa"/>
            <w:vAlign w:val="center"/>
          </w:tcPr>
          <w:p w14:paraId="72ADE7E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未按批复的施工组织设计方案组织施工，随意调整或变更。</w:t>
            </w:r>
          </w:p>
        </w:tc>
        <w:tc>
          <w:tcPr>
            <w:tcW w:w="2350" w:type="dxa"/>
            <w:vAlign w:val="center"/>
          </w:tcPr>
          <w:p w14:paraId="19EE00E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 万元/次</w:t>
            </w:r>
          </w:p>
        </w:tc>
        <w:tc>
          <w:tcPr>
            <w:tcW w:w="1914" w:type="dxa"/>
          </w:tcPr>
          <w:p w14:paraId="071252D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参照“擅自对施工图的任何部分进行修订”进行处罚。</w:t>
            </w:r>
          </w:p>
        </w:tc>
      </w:tr>
      <w:tr w14:paraId="0C6F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62FF77F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1114" w:type="dxa"/>
            <w:vAlign w:val="center"/>
          </w:tcPr>
          <w:p w14:paraId="0D8A95E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4.1.4</w:t>
            </w:r>
          </w:p>
        </w:tc>
        <w:tc>
          <w:tcPr>
            <w:tcW w:w="3534" w:type="dxa"/>
            <w:vAlign w:val="center"/>
          </w:tcPr>
          <w:p w14:paraId="4F0575C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超过一定规模的危险性较大工程未组织专家论证、审查。</w:t>
            </w:r>
          </w:p>
        </w:tc>
        <w:tc>
          <w:tcPr>
            <w:tcW w:w="2350" w:type="dxa"/>
            <w:vAlign w:val="center"/>
          </w:tcPr>
          <w:p w14:paraId="24BB247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 万元/次</w:t>
            </w:r>
          </w:p>
        </w:tc>
        <w:tc>
          <w:tcPr>
            <w:tcW w:w="1914" w:type="dxa"/>
          </w:tcPr>
          <w:p w14:paraId="139BE88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参照“擅自对施工图的任何部分进行修订”进行处罚。</w:t>
            </w:r>
          </w:p>
        </w:tc>
      </w:tr>
      <w:tr w14:paraId="22C4D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2FAD99A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1114" w:type="dxa"/>
            <w:vAlign w:val="center"/>
          </w:tcPr>
          <w:p w14:paraId="3F7C19B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4.1.4</w:t>
            </w:r>
          </w:p>
        </w:tc>
        <w:tc>
          <w:tcPr>
            <w:tcW w:w="3534" w:type="dxa"/>
            <w:vAlign w:val="center"/>
          </w:tcPr>
          <w:p w14:paraId="27E3CD7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因设计出现重大变更、施工方法发生重大调整、外部施工环境或施工条件发生重大变化等未及时进行修编的。</w:t>
            </w:r>
          </w:p>
        </w:tc>
        <w:tc>
          <w:tcPr>
            <w:tcW w:w="2350" w:type="dxa"/>
            <w:vAlign w:val="center"/>
          </w:tcPr>
          <w:p w14:paraId="6B46E8B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 万元/次</w:t>
            </w:r>
          </w:p>
        </w:tc>
        <w:tc>
          <w:tcPr>
            <w:tcW w:w="1914" w:type="dxa"/>
          </w:tcPr>
          <w:p w14:paraId="2DAF39E1">
            <w:pPr>
              <w:pStyle w:val="68"/>
              <w:shd w:val="clear" w:fill="FFFFFF" w:themeFill="background1"/>
              <w:rPr>
                <w:rFonts w:ascii="宋体" w:hAnsi="宋体" w:cs="宋体"/>
                <w:color w:val="auto"/>
                <w:sz w:val="24"/>
                <w:highlight w:val="none"/>
              </w:rPr>
            </w:pPr>
          </w:p>
        </w:tc>
      </w:tr>
      <w:tr w14:paraId="2C3EE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20" w:type="dxa"/>
            <w:vAlign w:val="center"/>
          </w:tcPr>
          <w:p w14:paraId="1A87F94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1114" w:type="dxa"/>
            <w:vAlign w:val="center"/>
          </w:tcPr>
          <w:p w14:paraId="43FC25F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4.3</w:t>
            </w:r>
          </w:p>
        </w:tc>
        <w:tc>
          <w:tcPr>
            <w:tcW w:w="3534" w:type="dxa"/>
            <w:vAlign w:val="center"/>
          </w:tcPr>
          <w:p w14:paraId="1359508A">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违规分包或转包</w:t>
            </w:r>
          </w:p>
        </w:tc>
        <w:tc>
          <w:tcPr>
            <w:tcW w:w="2350" w:type="dxa"/>
            <w:vAlign w:val="center"/>
          </w:tcPr>
          <w:p w14:paraId="11C713C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30万元/次</w:t>
            </w:r>
          </w:p>
        </w:tc>
        <w:tc>
          <w:tcPr>
            <w:tcW w:w="1914" w:type="dxa"/>
          </w:tcPr>
          <w:p w14:paraId="7A0EAED0">
            <w:pPr>
              <w:pStyle w:val="68"/>
              <w:shd w:val="clear" w:fill="FFFFFF" w:themeFill="background1"/>
              <w:rPr>
                <w:rFonts w:ascii="宋体" w:hAnsi="宋体" w:cs="宋体"/>
                <w:color w:val="auto"/>
                <w:sz w:val="24"/>
                <w:highlight w:val="none"/>
              </w:rPr>
            </w:pPr>
          </w:p>
        </w:tc>
      </w:tr>
      <w:tr w14:paraId="5308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720" w:type="dxa"/>
            <w:vAlign w:val="center"/>
          </w:tcPr>
          <w:p w14:paraId="0F92A20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1114" w:type="dxa"/>
            <w:vAlign w:val="center"/>
          </w:tcPr>
          <w:p w14:paraId="178924E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4.6.1</w:t>
            </w:r>
          </w:p>
        </w:tc>
        <w:tc>
          <w:tcPr>
            <w:tcW w:w="3534" w:type="dxa"/>
            <w:vAlign w:val="center"/>
          </w:tcPr>
          <w:p w14:paraId="2E94AE9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承包人在接到监理人要求人员进场的通知 5 天后仍未安排相关人员进场，从第 6 天算起扣除承包人的违约金。</w:t>
            </w:r>
          </w:p>
        </w:tc>
        <w:tc>
          <w:tcPr>
            <w:tcW w:w="2350" w:type="dxa"/>
            <w:vAlign w:val="center"/>
          </w:tcPr>
          <w:p w14:paraId="1AE5332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项目经理、项目技术负责人2万元/人日；其他主要技术人员1万元/人日</w:t>
            </w:r>
          </w:p>
        </w:tc>
        <w:tc>
          <w:tcPr>
            <w:tcW w:w="1914" w:type="dxa"/>
          </w:tcPr>
          <w:p w14:paraId="4443573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如果承包人接到通知15天未安排相关人员 进场，将要求其更换人选，同时执行人员更换违约条款。</w:t>
            </w:r>
          </w:p>
        </w:tc>
      </w:tr>
      <w:tr w14:paraId="49AEB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20" w:type="dxa"/>
            <w:vAlign w:val="center"/>
          </w:tcPr>
          <w:p w14:paraId="4A2EA64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1114" w:type="dxa"/>
            <w:vAlign w:val="center"/>
          </w:tcPr>
          <w:p w14:paraId="6D656F2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4.6.3（2）</w:t>
            </w:r>
          </w:p>
        </w:tc>
        <w:tc>
          <w:tcPr>
            <w:tcW w:w="3534" w:type="dxa"/>
            <w:vAlign w:val="center"/>
          </w:tcPr>
          <w:p w14:paraId="1A2482E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承包人的档案资料整理负责人在本项目连续工作不足 1 年。</w:t>
            </w:r>
          </w:p>
        </w:tc>
        <w:tc>
          <w:tcPr>
            <w:tcW w:w="2350" w:type="dxa"/>
            <w:vAlign w:val="center"/>
          </w:tcPr>
          <w:p w14:paraId="6E3A187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1万元/人次</w:t>
            </w:r>
          </w:p>
        </w:tc>
        <w:tc>
          <w:tcPr>
            <w:tcW w:w="1914" w:type="dxa"/>
          </w:tcPr>
          <w:p w14:paraId="0591EE35">
            <w:pPr>
              <w:pStyle w:val="68"/>
              <w:shd w:val="clear" w:fill="FFFFFF" w:themeFill="background1"/>
              <w:rPr>
                <w:rFonts w:ascii="宋体" w:hAnsi="宋体" w:cs="宋体"/>
                <w:color w:val="auto"/>
                <w:sz w:val="24"/>
                <w:highlight w:val="none"/>
              </w:rPr>
            </w:pPr>
          </w:p>
        </w:tc>
      </w:tr>
      <w:tr w14:paraId="2346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720" w:type="dxa"/>
            <w:vAlign w:val="center"/>
          </w:tcPr>
          <w:p w14:paraId="09F6B83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1114" w:type="dxa"/>
            <w:vAlign w:val="center"/>
          </w:tcPr>
          <w:p w14:paraId="473B585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4.6.3（3）</w:t>
            </w:r>
          </w:p>
        </w:tc>
        <w:tc>
          <w:tcPr>
            <w:tcW w:w="3534" w:type="dxa"/>
            <w:vAlign w:val="center"/>
          </w:tcPr>
          <w:p w14:paraId="0280FA9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项目经理、总工程师驻守现场不足 22天/月，处以不足天数的违约金。</w:t>
            </w:r>
          </w:p>
        </w:tc>
        <w:tc>
          <w:tcPr>
            <w:tcW w:w="2350" w:type="dxa"/>
            <w:vAlign w:val="center"/>
          </w:tcPr>
          <w:p w14:paraId="4EE1AEB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5000元/天</w:t>
            </w:r>
          </w:p>
        </w:tc>
        <w:tc>
          <w:tcPr>
            <w:tcW w:w="1914" w:type="dxa"/>
          </w:tcPr>
          <w:p w14:paraId="349A3E14">
            <w:pPr>
              <w:pStyle w:val="68"/>
              <w:shd w:val="clear" w:fill="FFFFFF" w:themeFill="background1"/>
              <w:rPr>
                <w:rFonts w:ascii="宋体" w:hAnsi="宋体" w:cs="宋体"/>
                <w:color w:val="auto"/>
                <w:sz w:val="24"/>
                <w:highlight w:val="none"/>
              </w:rPr>
            </w:pPr>
          </w:p>
        </w:tc>
      </w:tr>
      <w:tr w14:paraId="5697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720" w:type="dxa"/>
            <w:vAlign w:val="center"/>
          </w:tcPr>
          <w:p w14:paraId="2729E99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w:t>
            </w:r>
          </w:p>
        </w:tc>
        <w:tc>
          <w:tcPr>
            <w:tcW w:w="1114" w:type="dxa"/>
            <w:vAlign w:val="center"/>
          </w:tcPr>
          <w:p w14:paraId="1786C4A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4.6.3（4）</w:t>
            </w:r>
          </w:p>
        </w:tc>
        <w:tc>
          <w:tcPr>
            <w:tcW w:w="3534" w:type="dxa"/>
            <w:vAlign w:val="center"/>
          </w:tcPr>
          <w:p w14:paraId="141E97F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专职安全生产管理人员没有按规定配备：年度施工产值 5000 万元以上不足2 亿元的按每 5000 万元不少于 1 名的比例配备；2 亿元以上的不少于 5 名，且按专业配备（不足 5000 万至少配备1 名）。</w:t>
            </w:r>
          </w:p>
        </w:tc>
        <w:tc>
          <w:tcPr>
            <w:tcW w:w="2350" w:type="dxa"/>
            <w:vAlign w:val="center"/>
          </w:tcPr>
          <w:p w14:paraId="5CBF7EE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5万元/人次</w:t>
            </w:r>
          </w:p>
        </w:tc>
        <w:tc>
          <w:tcPr>
            <w:tcW w:w="1914" w:type="dxa"/>
          </w:tcPr>
          <w:p w14:paraId="645ED4C1">
            <w:pPr>
              <w:pStyle w:val="68"/>
              <w:shd w:val="clear" w:fill="FFFFFF" w:themeFill="background1"/>
              <w:rPr>
                <w:rFonts w:ascii="宋体" w:hAnsi="宋体" w:cs="宋体"/>
                <w:color w:val="auto"/>
                <w:sz w:val="24"/>
                <w:highlight w:val="none"/>
              </w:rPr>
            </w:pPr>
          </w:p>
        </w:tc>
      </w:tr>
      <w:tr w14:paraId="400A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20" w:type="dxa"/>
            <w:vAlign w:val="center"/>
          </w:tcPr>
          <w:p w14:paraId="1E01C25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11</w:t>
            </w:r>
          </w:p>
        </w:tc>
        <w:tc>
          <w:tcPr>
            <w:tcW w:w="1114" w:type="dxa"/>
            <w:vAlign w:val="center"/>
          </w:tcPr>
          <w:p w14:paraId="5160399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4.6.3（5）</w:t>
            </w:r>
          </w:p>
        </w:tc>
        <w:tc>
          <w:tcPr>
            <w:tcW w:w="3534" w:type="dxa"/>
            <w:vAlign w:val="center"/>
          </w:tcPr>
          <w:p w14:paraId="1EAD7DF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项目经理或总工程师无故缺席发包人指定的各种会议，包括监理人主持的重要会议（如工地例会等）。</w:t>
            </w:r>
          </w:p>
        </w:tc>
        <w:tc>
          <w:tcPr>
            <w:tcW w:w="2350" w:type="dxa"/>
            <w:vAlign w:val="center"/>
          </w:tcPr>
          <w:p w14:paraId="0B0A02C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1万元/次</w:t>
            </w:r>
          </w:p>
        </w:tc>
        <w:tc>
          <w:tcPr>
            <w:tcW w:w="1914" w:type="dxa"/>
          </w:tcPr>
          <w:p w14:paraId="3B816FD7">
            <w:pPr>
              <w:pStyle w:val="68"/>
              <w:shd w:val="clear" w:fill="FFFFFF" w:themeFill="background1"/>
              <w:rPr>
                <w:rFonts w:ascii="宋体" w:hAnsi="宋体" w:cs="宋体"/>
                <w:color w:val="auto"/>
                <w:sz w:val="24"/>
                <w:highlight w:val="none"/>
              </w:rPr>
            </w:pPr>
          </w:p>
        </w:tc>
      </w:tr>
      <w:tr w14:paraId="1C6A8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720" w:type="dxa"/>
            <w:vAlign w:val="center"/>
          </w:tcPr>
          <w:p w14:paraId="02F30FE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12</w:t>
            </w:r>
          </w:p>
        </w:tc>
        <w:tc>
          <w:tcPr>
            <w:tcW w:w="1114" w:type="dxa"/>
            <w:vAlign w:val="center"/>
          </w:tcPr>
          <w:p w14:paraId="149C1F7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4.6.6</w:t>
            </w:r>
          </w:p>
        </w:tc>
        <w:tc>
          <w:tcPr>
            <w:tcW w:w="3534" w:type="dxa"/>
            <w:vAlign w:val="center"/>
          </w:tcPr>
          <w:p w14:paraId="14F11FD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不签订劳动合同、非法使用农民工的，或者拖延和克扣农民工工资的，由此造成劳务人员上访或劳动纠纷的。</w:t>
            </w:r>
          </w:p>
        </w:tc>
        <w:tc>
          <w:tcPr>
            <w:tcW w:w="2350" w:type="dxa"/>
            <w:vAlign w:val="center"/>
          </w:tcPr>
          <w:p w14:paraId="4A23AA7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10万元/次</w:t>
            </w:r>
          </w:p>
        </w:tc>
        <w:tc>
          <w:tcPr>
            <w:tcW w:w="1914" w:type="dxa"/>
          </w:tcPr>
          <w:p w14:paraId="77A27817">
            <w:pPr>
              <w:pStyle w:val="68"/>
              <w:shd w:val="clear" w:fill="FFFFFF" w:themeFill="background1"/>
              <w:rPr>
                <w:rFonts w:ascii="宋体" w:hAnsi="宋体" w:cs="宋体"/>
                <w:color w:val="auto"/>
                <w:sz w:val="24"/>
                <w:highlight w:val="none"/>
              </w:rPr>
            </w:pPr>
          </w:p>
        </w:tc>
      </w:tr>
      <w:tr w14:paraId="592A5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720" w:type="dxa"/>
            <w:vAlign w:val="center"/>
          </w:tcPr>
          <w:p w14:paraId="241DAEF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13</w:t>
            </w:r>
          </w:p>
        </w:tc>
        <w:tc>
          <w:tcPr>
            <w:tcW w:w="1114" w:type="dxa"/>
            <w:vAlign w:val="center"/>
          </w:tcPr>
          <w:p w14:paraId="034E381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4.6.6</w:t>
            </w:r>
          </w:p>
        </w:tc>
        <w:tc>
          <w:tcPr>
            <w:tcW w:w="3534" w:type="dxa"/>
            <w:vAlign w:val="center"/>
          </w:tcPr>
          <w:p w14:paraId="56133B4A">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未按交通运输主管部门、上级主管或管理单位等要求落实从业人员实名制管理和工资支付管理的。</w:t>
            </w:r>
          </w:p>
        </w:tc>
        <w:tc>
          <w:tcPr>
            <w:tcW w:w="2350" w:type="dxa"/>
            <w:vAlign w:val="center"/>
          </w:tcPr>
          <w:p w14:paraId="6C31E7C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5万元/次</w:t>
            </w:r>
          </w:p>
        </w:tc>
        <w:tc>
          <w:tcPr>
            <w:tcW w:w="1914" w:type="dxa"/>
          </w:tcPr>
          <w:p w14:paraId="302E65F4">
            <w:pPr>
              <w:pStyle w:val="68"/>
              <w:shd w:val="clear" w:fill="FFFFFF" w:themeFill="background1"/>
              <w:rPr>
                <w:rFonts w:ascii="宋体" w:hAnsi="宋体" w:cs="宋体"/>
                <w:color w:val="auto"/>
                <w:sz w:val="24"/>
                <w:highlight w:val="none"/>
              </w:rPr>
            </w:pPr>
          </w:p>
        </w:tc>
      </w:tr>
      <w:tr w14:paraId="71B0B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20" w:type="dxa"/>
            <w:vAlign w:val="center"/>
          </w:tcPr>
          <w:p w14:paraId="22B6095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14</w:t>
            </w:r>
          </w:p>
        </w:tc>
        <w:tc>
          <w:tcPr>
            <w:tcW w:w="1114" w:type="dxa"/>
            <w:vAlign w:val="center"/>
          </w:tcPr>
          <w:p w14:paraId="512A780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4.6.7</w:t>
            </w:r>
          </w:p>
        </w:tc>
        <w:tc>
          <w:tcPr>
            <w:tcW w:w="3534" w:type="dxa"/>
            <w:vAlign w:val="center"/>
          </w:tcPr>
          <w:p w14:paraId="77F5CA4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分项工程的施工员没在现场管理的。</w:t>
            </w:r>
          </w:p>
        </w:tc>
        <w:tc>
          <w:tcPr>
            <w:tcW w:w="2350" w:type="dxa"/>
            <w:vAlign w:val="center"/>
          </w:tcPr>
          <w:p w14:paraId="0CB3D70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1000元/次</w:t>
            </w:r>
          </w:p>
        </w:tc>
        <w:tc>
          <w:tcPr>
            <w:tcW w:w="1914" w:type="dxa"/>
          </w:tcPr>
          <w:p w14:paraId="68B4189B">
            <w:pPr>
              <w:pStyle w:val="68"/>
              <w:shd w:val="clear" w:fill="FFFFFF" w:themeFill="background1"/>
              <w:rPr>
                <w:rFonts w:ascii="宋体" w:hAnsi="宋体" w:cs="宋体"/>
                <w:color w:val="auto"/>
                <w:sz w:val="24"/>
                <w:highlight w:val="none"/>
              </w:rPr>
            </w:pPr>
          </w:p>
        </w:tc>
      </w:tr>
      <w:tr w14:paraId="65FF8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20" w:type="dxa"/>
            <w:vAlign w:val="center"/>
          </w:tcPr>
          <w:p w14:paraId="2270E5E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15</w:t>
            </w:r>
          </w:p>
        </w:tc>
        <w:tc>
          <w:tcPr>
            <w:tcW w:w="1114" w:type="dxa"/>
            <w:vAlign w:val="center"/>
          </w:tcPr>
          <w:p w14:paraId="5A65C75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4.6.7</w:t>
            </w:r>
          </w:p>
        </w:tc>
        <w:tc>
          <w:tcPr>
            <w:tcW w:w="3534" w:type="dxa"/>
            <w:vAlign w:val="center"/>
          </w:tcPr>
          <w:p w14:paraId="3BA732B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重要工序（桩基、面层施工等），没有施工员在现场管理的。</w:t>
            </w:r>
          </w:p>
        </w:tc>
        <w:tc>
          <w:tcPr>
            <w:tcW w:w="2350" w:type="dxa"/>
            <w:vAlign w:val="center"/>
          </w:tcPr>
          <w:p w14:paraId="1590C1F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2000元/次</w:t>
            </w:r>
          </w:p>
        </w:tc>
        <w:tc>
          <w:tcPr>
            <w:tcW w:w="1914" w:type="dxa"/>
          </w:tcPr>
          <w:p w14:paraId="74222DF6">
            <w:pPr>
              <w:pStyle w:val="68"/>
              <w:shd w:val="clear" w:fill="FFFFFF" w:themeFill="background1"/>
              <w:rPr>
                <w:rFonts w:ascii="宋体" w:hAnsi="宋体" w:cs="宋体"/>
                <w:color w:val="auto"/>
                <w:sz w:val="24"/>
                <w:highlight w:val="none"/>
              </w:rPr>
            </w:pPr>
          </w:p>
        </w:tc>
      </w:tr>
      <w:tr w14:paraId="455B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3BA4477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16</w:t>
            </w:r>
          </w:p>
        </w:tc>
        <w:tc>
          <w:tcPr>
            <w:tcW w:w="1114" w:type="dxa"/>
            <w:vAlign w:val="center"/>
          </w:tcPr>
          <w:p w14:paraId="74150CE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4.6.7</w:t>
            </w:r>
          </w:p>
        </w:tc>
        <w:tc>
          <w:tcPr>
            <w:tcW w:w="3534" w:type="dxa"/>
            <w:vAlign w:val="center"/>
          </w:tcPr>
          <w:p w14:paraId="2A0CFBE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超过24小时没有施工员在场而继续施工的。</w:t>
            </w:r>
          </w:p>
        </w:tc>
        <w:tc>
          <w:tcPr>
            <w:tcW w:w="2350" w:type="dxa"/>
            <w:vAlign w:val="center"/>
          </w:tcPr>
          <w:p w14:paraId="44C7BB1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5000元/次</w:t>
            </w:r>
          </w:p>
        </w:tc>
        <w:tc>
          <w:tcPr>
            <w:tcW w:w="1914" w:type="dxa"/>
          </w:tcPr>
          <w:p w14:paraId="22397A29">
            <w:pPr>
              <w:pStyle w:val="68"/>
              <w:shd w:val="clear" w:fill="FFFFFF" w:themeFill="background1"/>
              <w:rPr>
                <w:rFonts w:ascii="宋体" w:hAnsi="宋体" w:cs="宋体"/>
                <w:color w:val="auto"/>
                <w:sz w:val="24"/>
                <w:highlight w:val="none"/>
              </w:rPr>
            </w:pPr>
          </w:p>
        </w:tc>
      </w:tr>
      <w:tr w14:paraId="1BB8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3D426E4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17</w:t>
            </w:r>
          </w:p>
        </w:tc>
        <w:tc>
          <w:tcPr>
            <w:tcW w:w="1114" w:type="dxa"/>
            <w:vAlign w:val="center"/>
          </w:tcPr>
          <w:p w14:paraId="4F996FD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5.1.2</w:t>
            </w:r>
          </w:p>
        </w:tc>
        <w:tc>
          <w:tcPr>
            <w:tcW w:w="3534" w:type="dxa"/>
            <w:vAlign w:val="center"/>
          </w:tcPr>
          <w:p w14:paraId="6BA3AEA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承包人应按照《投标人拟投入的关键设备承诺表》中所列的品牌进行采购，不得变更设备品牌。</w:t>
            </w:r>
          </w:p>
        </w:tc>
        <w:tc>
          <w:tcPr>
            <w:tcW w:w="2350" w:type="dxa"/>
            <w:vAlign w:val="center"/>
          </w:tcPr>
          <w:p w14:paraId="7C9BCF9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未按照《投标人拟投入的关键设备承诺表》中所列设备品牌进行采购，按以下标准向发包人提交违约金：关键设备 80 万元/类，其他主要设备 30 万元/类。</w:t>
            </w:r>
          </w:p>
        </w:tc>
        <w:tc>
          <w:tcPr>
            <w:tcW w:w="1914" w:type="dxa"/>
          </w:tcPr>
          <w:p w14:paraId="680F27C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本条可适用于机电工程（包括收费、监控、通信三大系统及通信管道、隧道消防和供配电等）采用设备选型评分的情形，由招标人自行选择设置相应内容。</w:t>
            </w:r>
          </w:p>
        </w:tc>
      </w:tr>
      <w:tr w14:paraId="681D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35612E7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18</w:t>
            </w:r>
          </w:p>
        </w:tc>
        <w:tc>
          <w:tcPr>
            <w:tcW w:w="1114" w:type="dxa"/>
            <w:vAlign w:val="center"/>
          </w:tcPr>
          <w:p w14:paraId="6649A00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5.3.1</w:t>
            </w:r>
          </w:p>
        </w:tc>
        <w:tc>
          <w:tcPr>
            <w:tcW w:w="3534" w:type="dxa"/>
            <w:vAlign w:val="center"/>
          </w:tcPr>
          <w:p w14:paraId="3503688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未经监理人同意，承包人将专用于本工程的材料、工程设备、施工设备和临时设施运出施工场地或挪作他用。</w:t>
            </w:r>
          </w:p>
        </w:tc>
        <w:tc>
          <w:tcPr>
            <w:tcW w:w="2350" w:type="dxa"/>
            <w:vAlign w:val="center"/>
          </w:tcPr>
          <w:p w14:paraId="590C2E13">
            <w:pPr>
              <w:pStyle w:val="68"/>
              <w:shd w:val="clear" w:fill="FFFFFF" w:themeFill="background1"/>
              <w:ind w:right="-118" w:rightChars="-56"/>
              <w:rPr>
                <w:rFonts w:ascii="宋体" w:hAnsi="宋体" w:cs="宋体"/>
                <w:color w:val="auto"/>
                <w:sz w:val="24"/>
                <w:highlight w:val="none"/>
              </w:rPr>
            </w:pPr>
            <w:r>
              <w:rPr>
                <w:rFonts w:hint="eastAsia" w:ascii="宋体" w:hAnsi="宋体" w:cs="宋体"/>
                <w:color w:val="auto"/>
                <w:sz w:val="24"/>
                <w:highlight w:val="none"/>
              </w:rPr>
              <w:t>1万元/台，同时处以1000元/天的罚款直至承包人纠正为止。</w:t>
            </w:r>
          </w:p>
        </w:tc>
        <w:tc>
          <w:tcPr>
            <w:tcW w:w="1914" w:type="dxa"/>
            <w:vAlign w:val="center"/>
          </w:tcPr>
          <w:p w14:paraId="14898D6F">
            <w:pPr>
              <w:pStyle w:val="68"/>
              <w:shd w:val="clear" w:fill="FFFFFF" w:themeFill="background1"/>
              <w:jc w:val="center"/>
              <w:rPr>
                <w:rFonts w:ascii="宋体" w:hAnsi="宋体" w:cs="宋体"/>
                <w:color w:val="auto"/>
                <w:sz w:val="24"/>
                <w:highlight w:val="none"/>
              </w:rPr>
            </w:pPr>
          </w:p>
        </w:tc>
      </w:tr>
      <w:tr w14:paraId="0D75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28A8138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19</w:t>
            </w:r>
          </w:p>
        </w:tc>
        <w:tc>
          <w:tcPr>
            <w:tcW w:w="1114" w:type="dxa"/>
            <w:vAlign w:val="center"/>
          </w:tcPr>
          <w:p w14:paraId="7DF4678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6.1.1</w:t>
            </w:r>
          </w:p>
        </w:tc>
        <w:tc>
          <w:tcPr>
            <w:tcW w:w="3534" w:type="dxa"/>
            <w:vAlign w:val="center"/>
          </w:tcPr>
          <w:p w14:paraId="7FCD542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按施工进度计划须到位而未到位的主要设备，或擅自改变主要设备型号。</w:t>
            </w:r>
          </w:p>
        </w:tc>
        <w:tc>
          <w:tcPr>
            <w:tcW w:w="2350" w:type="dxa"/>
            <w:vAlign w:val="center"/>
          </w:tcPr>
          <w:p w14:paraId="28B6ED69">
            <w:pPr>
              <w:pStyle w:val="68"/>
              <w:shd w:val="clear" w:fill="FFFFFF" w:themeFill="background1"/>
              <w:ind w:right="-118" w:rightChars="-56"/>
              <w:rPr>
                <w:rFonts w:ascii="宋体" w:hAnsi="宋体" w:cs="宋体"/>
                <w:color w:val="auto"/>
                <w:sz w:val="24"/>
                <w:highlight w:val="none"/>
              </w:rPr>
            </w:pPr>
            <w:r>
              <w:rPr>
                <w:rFonts w:hint="eastAsia" w:ascii="宋体" w:hAnsi="宋体" w:cs="宋体"/>
                <w:color w:val="auto"/>
                <w:sz w:val="24"/>
                <w:highlight w:val="none"/>
              </w:rPr>
              <w:t>1万元/台，同时处以1000元/天的罚款直至承包人纠正为止。</w:t>
            </w:r>
          </w:p>
        </w:tc>
        <w:tc>
          <w:tcPr>
            <w:tcW w:w="1914" w:type="dxa"/>
            <w:vAlign w:val="center"/>
          </w:tcPr>
          <w:p w14:paraId="0A50F676">
            <w:pPr>
              <w:pStyle w:val="68"/>
              <w:shd w:val="clear" w:fill="FFFFFF" w:themeFill="background1"/>
              <w:jc w:val="center"/>
              <w:rPr>
                <w:rFonts w:ascii="宋体" w:hAnsi="宋体" w:cs="宋体"/>
                <w:color w:val="auto"/>
                <w:sz w:val="24"/>
                <w:highlight w:val="none"/>
              </w:rPr>
            </w:pPr>
          </w:p>
        </w:tc>
      </w:tr>
      <w:tr w14:paraId="4AFA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1CD2BFE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20</w:t>
            </w:r>
          </w:p>
        </w:tc>
        <w:tc>
          <w:tcPr>
            <w:tcW w:w="1114" w:type="dxa"/>
            <w:vAlign w:val="center"/>
          </w:tcPr>
          <w:p w14:paraId="4ABDB6E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6.3</w:t>
            </w:r>
          </w:p>
        </w:tc>
        <w:tc>
          <w:tcPr>
            <w:tcW w:w="3534" w:type="dxa"/>
            <w:vAlign w:val="center"/>
          </w:tcPr>
          <w:p w14:paraId="34F2508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承包人未按监理人要求增加或更换施工设备。</w:t>
            </w:r>
          </w:p>
        </w:tc>
        <w:tc>
          <w:tcPr>
            <w:tcW w:w="2350" w:type="dxa"/>
            <w:vAlign w:val="center"/>
          </w:tcPr>
          <w:p w14:paraId="6A7BA372">
            <w:pPr>
              <w:pStyle w:val="68"/>
              <w:shd w:val="clear" w:fill="FFFFFF" w:themeFill="background1"/>
              <w:ind w:right="-118" w:rightChars="-56"/>
              <w:rPr>
                <w:rFonts w:ascii="宋体" w:hAnsi="宋体" w:cs="宋体"/>
                <w:color w:val="auto"/>
                <w:sz w:val="24"/>
                <w:highlight w:val="none"/>
              </w:rPr>
            </w:pPr>
            <w:r>
              <w:rPr>
                <w:rFonts w:hint="eastAsia" w:ascii="宋体" w:hAnsi="宋体" w:cs="宋体"/>
                <w:color w:val="auto"/>
                <w:sz w:val="24"/>
                <w:highlight w:val="none"/>
              </w:rPr>
              <w:t>1万元/台，同时处以1000元/天的罚款直至承包人纠正为止。</w:t>
            </w:r>
          </w:p>
        </w:tc>
        <w:tc>
          <w:tcPr>
            <w:tcW w:w="1914" w:type="dxa"/>
            <w:vAlign w:val="center"/>
          </w:tcPr>
          <w:p w14:paraId="6E7F5AB0">
            <w:pPr>
              <w:pStyle w:val="68"/>
              <w:shd w:val="clear" w:fill="FFFFFF" w:themeFill="background1"/>
              <w:jc w:val="center"/>
              <w:rPr>
                <w:rFonts w:ascii="宋体" w:hAnsi="宋体" w:cs="宋体"/>
                <w:color w:val="auto"/>
                <w:sz w:val="24"/>
                <w:highlight w:val="none"/>
              </w:rPr>
            </w:pPr>
          </w:p>
        </w:tc>
      </w:tr>
      <w:tr w14:paraId="007D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7D4A2EC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21</w:t>
            </w:r>
          </w:p>
        </w:tc>
        <w:tc>
          <w:tcPr>
            <w:tcW w:w="1114" w:type="dxa"/>
            <w:vAlign w:val="center"/>
          </w:tcPr>
          <w:p w14:paraId="1EACB2D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11.1.1</w:t>
            </w:r>
          </w:p>
        </w:tc>
        <w:tc>
          <w:tcPr>
            <w:tcW w:w="3534" w:type="dxa"/>
            <w:vAlign w:val="center"/>
          </w:tcPr>
          <w:p w14:paraId="468A9FB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承包人未按期开工。</w:t>
            </w:r>
          </w:p>
        </w:tc>
        <w:tc>
          <w:tcPr>
            <w:tcW w:w="2350" w:type="dxa"/>
            <w:vAlign w:val="center"/>
          </w:tcPr>
          <w:p w14:paraId="0AC08AA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参照工期延误的标准扣除违约金。</w:t>
            </w:r>
          </w:p>
        </w:tc>
        <w:tc>
          <w:tcPr>
            <w:tcW w:w="1914" w:type="dxa"/>
            <w:vAlign w:val="center"/>
          </w:tcPr>
          <w:p w14:paraId="42876C3C">
            <w:pPr>
              <w:pStyle w:val="68"/>
              <w:shd w:val="clear" w:fill="FFFFFF" w:themeFill="background1"/>
              <w:jc w:val="center"/>
              <w:rPr>
                <w:rFonts w:ascii="宋体" w:hAnsi="宋体" w:cs="宋体"/>
                <w:color w:val="auto"/>
                <w:sz w:val="24"/>
                <w:highlight w:val="none"/>
              </w:rPr>
            </w:pPr>
          </w:p>
        </w:tc>
      </w:tr>
      <w:tr w14:paraId="5AF2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720" w:type="dxa"/>
            <w:vAlign w:val="center"/>
          </w:tcPr>
          <w:p w14:paraId="45415A7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22</w:t>
            </w:r>
          </w:p>
        </w:tc>
        <w:tc>
          <w:tcPr>
            <w:tcW w:w="1114" w:type="dxa"/>
            <w:vAlign w:val="center"/>
          </w:tcPr>
          <w:p w14:paraId="0C0D741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11.5</w:t>
            </w:r>
          </w:p>
        </w:tc>
        <w:tc>
          <w:tcPr>
            <w:tcW w:w="3534" w:type="dxa"/>
            <w:vAlign w:val="center"/>
          </w:tcPr>
          <w:p w14:paraId="7B94BA8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承包人的工期延误</w:t>
            </w:r>
          </w:p>
        </w:tc>
        <w:tc>
          <w:tcPr>
            <w:tcW w:w="2350" w:type="dxa"/>
            <w:vAlign w:val="center"/>
          </w:tcPr>
          <w:p w14:paraId="213F5F5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按照项目专用条款数据表第11.5款规定的标准扣除。</w:t>
            </w:r>
          </w:p>
        </w:tc>
        <w:tc>
          <w:tcPr>
            <w:tcW w:w="1914" w:type="dxa"/>
            <w:vAlign w:val="center"/>
          </w:tcPr>
          <w:p w14:paraId="6289A75D">
            <w:pPr>
              <w:pStyle w:val="68"/>
              <w:shd w:val="clear" w:fill="FFFFFF" w:themeFill="background1"/>
              <w:jc w:val="center"/>
              <w:rPr>
                <w:rFonts w:ascii="宋体" w:hAnsi="宋体" w:cs="宋体"/>
                <w:color w:val="auto"/>
                <w:sz w:val="24"/>
                <w:highlight w:val="none"/>
              </w:rPr>
            </w:pPr>
          </w:p>
        </w:tc>
      </w:tr>
    </w:tbl>
    <w:p w14:paraId="30CBD49D">
      <w:pPr>
        <w:pStyle w:val="68"/>
        <w:shd w:val="clear" w:fill="FFFFFF" w:themeFill="background1"/>
        <w:jc w:val="right"/>
        <w:rPr>
          <w:rFonts w:ascii="宋体" w:hAnsi="宋体" w:cs="宋体"/>
          <w:color w:val="auto"/>
          <w:sz w:val="24"/>
          <w:highlight w:val="none"/>
        </w:rPr>
      </w:pPr>
    </w:p>
    <w:p w14:paraId="0FF50105">
      <w:pPr>
        <w:pStyle w:val="68"/>
        <w:shd w:val="clear" w:fill="FFFFFF" w:themeFill="background1"/>
        <w:jc w:val="right"/>
        <w:rPr>
          <w:rFonts w:ascii="宋体" w:hAnsi="宋体" w:cs="宋体"/>
          <w:color w:val="auto"/>
          <w:sz w:val="24"/>
          <w:highlight w:val="none"/>
        </w:rPr>
      </w:pPr>
      <w:r>
        <w:rPr>
          <w:rFonts w:hint="eastAsia" w:ascii="宋体" w:hAnsi="宋体" w:cs="宋体"/>
          <w:color w:val="auto"/>
          <w:sz w:val="24"/>
          <w:highlight w:val="none"/>
        </w:rPr>
        <w:br w:type="page"/>
      </w:r>
    </w:p>
    <w:p w14:paraId="67ADCADB">
      <w:pPr>
        <w:pStyle w:val="78"/>
        <w:shd w:val="clear" w:fill="FFFFFF" w:themeFill="background1"/>
        <w:spacing w:line="360" w:lineRule="auto"/>
        <w:rPr>
          <w:rFonts w:ascii="宋体" w:hAnsi="宋体"/>
          <w:color w:val="auto"/>
          <w:sz w:val="24"/>
          <w:szCs w:val="24"/>
          <w:highlight w:val="none"/>
        </w:rPr>
      </w:pPr>
      <w:bookmarkStart w:id="1729" w:name="_Toc452498668"/>
      <w:bookmarkEnd w:id="1729"/>
      <w:bookmarkStart w:id="1730" w:name="_Toc12136"/>
      <w:bookmarkEnd w:id="1730"/>
      <w:bookmarkStart w:id="1731" w:name="_Toc43476018"/>
      <w:bookmarkEnd w:id="1731"/>
      <w:bookmarkStart w:id="1732" w:name="_Toc453056971"/>
      <w:bookmarkEnd w:id="1732"/>
      <w:bookmarkStart w:id="1733" w:name="_Toc5359"/>
      <w:bookmarkEnd w:id="1733"/>
      <w:bookmarkStart w:id="1734" w:name="_Toc453057199"/>
      <w:bookmarkEnd w:id="1734"/>
      <w:bookmarkStart w:id="1735" w:name="_Toc451261389"/>
      <w:bookmarkEnd w:id="1735"/>
      <w:bookmarkStart w:id="1736" w:name="_Toc452498898"/>
      <w:bookmarkEnd w:id="1736"/>
      <w:r>
        <w:rPr>
          <w:rFonts w:hint="eastAsia"/>
          <w:bCs w:val="0"/>
          <w:color w:val="auto"/>
          <w:sz w:val="24"/>
          <w:szCs w:val="24"/>
          <w:highlight w:val="none"/>
        </w:rPr>
        <w:t>附件十二  工程质量、安全及文明施工处罚项目一览表</w:t>
      </w:r>
    </w:p>
    <w:p w14:paraId="6CADEA1D">
      <w:pPr>
        <w:pStyle w:val="68"/>
        <w:shd w:val="clear" w:fill="FFFFFF" w:themeFill="background1"/>
        <w:rPr>
          <w:rFonts w:ascii="宋体" w:hAnsi="宋体" w:cs="宋体"/>
          <w:b/>
          <w:color w:val="auto"/>
          <w:sz w:val="28"/>
          <w:szCs w:val="28"/>
          <w:highlight w:val="none"/>
        </w:rPr>
      </w:pPr>
      <w:r>
        <w:rPr>
          <w:rFonts w:hint="eastAsia" w:ascii="宋体" w:hAnsi="宋体" w:cs="宋体"/>
          <w:b/>
          <w:color w:val="auto"/>
          <w:sz w:val="28"/>
          <w:szCs w:val="28"/>
          <w:highlight w:val="none"/>
        </w:rPr>
        <w:t>工程质量、安全及文明施工处罚项目一览表</w:t>
      </w:r>
    </w:p>
    <w:tbl>
      <w:tblPr>
        <w:tblStyle w:val="45"/>
        <w:tblW w:w="926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717"/>
        <w:gridCol w:w="8019"/>
      </w:tblGrid>
      <w:tr w14:paraId="5290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524" w:type="dxa"/>
            <w:vAlign w:val="center"/>
          </w:tcPr>
          <w:p w14:paraId="2FB9AAB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类别</w:t>
            </w:r>
          </w:p>
        </w:tc>
        <w:tc>
          <w:tcPr>
            <w:tcW w:w="717" w:type="dxa"/>
            <w:vAlign w:val="center"/>
          </w:tcPr>
          <w:p w14:paraId="4C19AB3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序号</w:t>
            </w:r>
          </w:p>
        </w:tc>
        <w:tc>
          <w:tcPr>
            <w:tcW w:w="8019" w:type="dxa"/>
            <w:vAlign w:val="center"/>
          </w:tcPr>
          <w:p w14:paraId="6EDDA58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处罚项目</w:t>
            </w:r>
          </w:p>
        </w:tc>
      </w:tr>
      <w:tr w14:paraId="0A23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524" w:type="dxa"/>
            <w:vMerge w:val="restart"/>
            <w:vAlign w:val="center"/>
          </w:tcPr>
          <w:p w14:paraId="6738766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路基及砌体工程</w:t>
            </w:r>
          </w:p>
        </w:tc>
        <w:tc>
          <w:tcPr>
            <w:tcW w:w="717" w:type="dxa"/>
            <w:vAlign w:val="center"/>
          </w:tcPr>
          <w:p w14:paraId="5C18CAB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19" w:type="dxa"/>
            <w:vAlign w:val="center"/>
          </w:tcPr>
          <w:p w14:paraId="4D8E051E">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填土没有路拱(要求2％～4％)，排水不畅的；路基施工未采取临时防护排水措施的，每处违约金2000元。</w:t>
            </w:r>
          </w:p>
        </w:tc>
      </w:tr>
      <w:tr w14:paraId="31B4B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524" w:type="dxa"/>
            <w:vMerge w:val="continue"/>
            <w:vAlign w:val="center"/>
          </w:tcPr>
          <w:p w14:paraId="289E9706">
            <w:pPr>
              <w:pStyle w:val="68"/>
              <w:shd w:val="clear" w:fill="FFFFFF" w:themeFill="background1"/>
              <w:jc w:val="center"/>
              <w:rPr>
                <w:rFonts w:ascii="宋体" w:hAnsi="宋体" w:cs="宋体"/>
                <w:color w:val="auto"/>
                <w:sz w:val="24"/>
                <w:highlight w:val="none"/>
              </w:rPr>
            </w:pPr>
          </w:p>
        </w:tc>
        <w:tc>
          <w:tcPr>
            <w:tcW w:w="717" w:type="dxa"/>
            <w:vAlign w:val="center"/>
          </w:tcPr>
          <w:p w14:paraId="283F78A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19" w:type="dxa"/>
            <w:vAlign w:val="center"/>
          </w:tcPr>
          <w:p w14:paraId="5F77D7D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路基平整度不符合规范要求的，每处违约金2000元。</w:t>
            </w:r>
          </w:p>
        </w:tc>
      </w:tr>
      <w:tr w14:paraId="39E7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24" w:type="dxa"/>
            <w:vMerge w:val="continue"/>
            <w:vAlign w:val="center"/>
          </w:tcPr>
          <w:p w14:paraId="63D5067D">
            <w:pPr>
              <w:pStyle w:val="68"/>
              <w:shd w:val="clear" w:fill="FFFFFF" w:themeFill="background1"/>
              <w:jc w:val="center"/>
              <w:rPr>
                <w:rFonts w:ascii="宋体" w:hAnsi="宋体" w:cs="宋体"/>
                <w:color w:val="auto"/>
                <w:sz w:val="24"/>
                <w:highlight w:val="none"/>
              </w:rPr>
            </w:pPr>
          </w:p>
        </w:tc>
        <w:tc>
          <w:tcPr>
            <w:tcW w:w="717" w:type="dxa"/>
            <w:vAlign w:val="center"/>
          </w:tcPr>
          <w:p w14:paraId="0B7B278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19" w:type="dxa"/>
            <w:vAlign w:val="center"/>
          </w:tcPr>
          <w:p w14:paraId="7BD137C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路基填土未经平地机整平就进行压实施工的，每处违约金 2000 元。</w:t>
            </w:r>
          </w:p>
        </w:tc>
      </w:tr>
      <w:tr w14:paraId="2610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524" w:type="dxa"/>
            <w:vMerge w:val="continue"/>
            <w:vAlign w:val="center"/>
          </w:tcPr>
          <w:p w14:paraId="31C9A32C">
            <w:pPr>
              <w:pStyle w:val="68"/>
              <w:shd w:val="clear" w:fill="FFFFFF" w:themeFill="background1"/>
              <w:jc w:val="center"/>
              <w:rPr>
                <w:rFonts w:ascii="宋体" w:hAnsi="宋体" w:cs="宋体"/>
                <w:color w:val="auto"/>
                <w:sz w:val="24"/>
                <w:highlight w:val="none"/>
              </w:rPr>
            </w:pPr>
          </w:p>
        </w:tc>
        <w:tc>
          <w:tcPr>
            <w:tcW w:w="717" w:type="dxa"/>
            <w:vAlign w:val="center"/>
          </w:tcPr>
          <w:p w14:paraId="3016129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19" w:type="dxa"/>
            <w:vAlign w:val="center"/>
          </w:tcPr>
          <w:p w14:paraId="5EC7C33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填土松铺厚度或现场实测的压实层厚度超过试验段报告明确的松铺厚度或压实层厚时，每处违约金 5000 元。</w:t>
            </w:r>
          </w:p>
        </w:tc>
      </w:tr>
      <w:tr w14:paraId="6092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524" w:type="dxa"/>
            <w:vMerge w:val="continue"/>
            <w:vAlign w:val="center"/>
          </w:tcPr>
          <w:p w14:paraId="2539BC64">
            <w:pPr>
              <w:pStyle w:val="68"/>
              <w:shd w:val="clear" w:fill="FFFFFF" w:themeFill="background1"/>
              <w:jc w:val="center"/>
              <w:rPr>
                <w:rFonts w:ascii="宋体" w:hAnsi="宋体" w:cs="宋体"/>
                <w:color w:val="auto"/>
                <w:sz w:val="24"/>
                <w:highlight w:val="none"/>
              </w:rPr>
            </w:pPr>
          </w:p>
        </w:tc>
        <w:tc>
          <w:tcPr>
            <w:tcW w:w="717" w:type="dxa"/>
            <w:vAlign w:val="center"/>
          </w:tcPr>
          <w:p w14:paraId="33719DE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19" w:type="dxa"/>
            <w:vAlign w:val="center"/>
          </w:tcPr>
          <w:p w14:paraId="4E85E66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路槽底面以下 0-80cm 范围内，填料最大粒径不超过 10cm，在 80cm 以下的填料最大粒径不超过 15cm。违者每次违约金 2000 元。</w:t>
            </w:r>
          </w:p>
        </w:tc>
      </w:tr>
      <w:tr w14:paraId="17C0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524" w:type="dxa"/>
            <w:vMerge w:val="continue"/>
            <w:vAlign w:val="center"/>
          </w:tcPr>
          <w:p w14:paraId="2C390491">
            <w:pPr>
              <w:pStyle w:val="68"/>
              <w:shd w:val="clear" w:fill="FFFFFF" w:themeFill="background1"/>
              <w:jc w:val="center"/>
              <w:rPr>
                <w:rFonts w:ascii="宋体" w:hAnsi="宋体" w:cs="宋体"/>
                <w:color w:val="auto"/>
                <w:sz w:val="24"/>
                <w:highlight w:val="none"/>
              </w:rPr>
            </w:pPr>
          </w:p>
        </w:tc>
        <w:tc>
          <w:tcPr>
            <w:tcW w:w="717" w:type="dxa"/>
            <w:vAlign w:val="center"/>
          </w:tcPr>
          <w:p w14:paraId="0435629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8019" w:type="dxa"/>
            <w:vAlign w:val="center"/>
          </w:tcPr>
          <w:p w14:paraId="7B05EEF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路基填土应按规定作液限、塑限指数及 CBR 值试验。违者每次违约金 5000 元。</w:t>
            </w:r>
          </w:p>
        </w:tc>
      </w:tr>
      <w:tr w14:paraId="15E63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524" w:type="dxa"/>
            <w:vMerge w:val="continue"/>
            <w:vAlign w:val="center"/>
          </w:tcPr>
          <w:p w14:paraId="7D21D2F0">
            <w:pPr>
              <w:pStyle w:val="68"/>
              <w:shd w:val="clear" w:fill="FFFFFF" w:themeFill="background1"/>
              <w:jc w:val="center"/>
              <w:rPr>
                <w:rFonts w:ascii="宋体" w:hAnsi="宋体" w:cs="宋体"/>
                <w:color w:val="auto"/>
                <w:sz w:val="24"/>
                <w:highlight w:val="none"/>
              </w:rPr>
            </w:pPr>
          </w:p>
        </w:tc>
        <w:tc>
          <w:tcPr>
            <w:tcW w:w="717" w:type="dxa"/>
            <w:vAlign w:val="center"/>
          </w:tcPr>
          <w:p w14:paraId="5126711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8019" w:type="dxa"/>
            <w:vAlign w:val="center"/>
          </w:tcPr>
          <w:p w14:paraId="1E04EB9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确保填方边坡碾压密实，边坡坡面要夯实，路基宽度在设计基础上每边超填不小于 50cm，等植草前刷坡。违者每处违约金 2000 元。</w:t>
            </w:r>
          </w:p>
        </w:tc>
      </w:tr>
      <w:tr w14:paraId="404D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24" w:type="dxa"/>
            <w:vMerge w:val="continue"/>
            <w:vAlign w:val="center"/>
          </w:tcPr>
          <w:p w14:paraId="7CED9947">
            <w:pPr>
              <w:pStyle w:val="68"/>
              <w:shd w:val="clear" w:fill="FFFFFF" w:themeFill="background1"/>
              <w:jc w:val="center"/>
              <w:rPr>
                <w:rFonts w:ascii="宋体" w:hAnsi="宋体" w:cs="宋体"/>
                <w:color w:val="auto"/>
                <w:sz w:val="24"/>
                <w:highlight w:val="none"/>
              </w:rPr>
            </w:pPr>
          </w:p>
        </w:tc>
        <w:tc>
          <w:tcPr>
            <w:tcW w:w="717" w:type="dxa"/>
            <w:vAlign w:val="center"/>
          </w:tcPr>
          <w:p w14:paraId="13026F0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8019" w:type="dxa"/>
            <w:vAlign w:val="center"/>
          </w:tcPr>
          <w:p w14:paraId="1975C45A">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填土压实度达不到设计要求的，每检测段违约金 2000 元。</w:t>
            </w:r>
          </w:p>
        </w:tc>
      </w:tr>
      <w:tr w14:paraId="33C0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24" w:type="dxa"/>
            <w:vMerge w:val="continue"/>
            <w:vAlign w:val="center"/>
          </w:tcPr>
          <w:p w14:paraId="252FE888">
            <w:pPr>
              <w:pStyle w:val="68"/>
              <w:shd w:val="clear" w:fill="FFFFFF" w:themeFill="background1"/>
              <w:jc w:val="center"/>
              <w:rPr>
                <w:rFonts w:ascii="宋体" w:hAnsi="宋体" w:cs="宋体"/>
                <w:color w:val="auto"/>
                <w:sz w:val="24"/>
                <w:highlight w:val="none"/>
              </w:rPr>
            </w:pPr>
          </w:p>
        </w:tc>
        <w:tc>
          <w:tcPr>
            <w:tcW w:w="717" w:type="dxa"/>
            <w:vAlign w:val="center"/>
          </w:tcPr>
          <w:p w14:paraId="0C5F6C9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8019" w:type="dxa"/>
            <w:vAlign w:val="center"/>
          </w:tcPr>
          <w:p w14:paraId="1C917D10">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石方路基靠近边坡范围采用光面爆破，爆破后及时清理险石、松石，违者每处违约金 2000 元。</w:t>
            </w:r>
          </w:p>
        </w:tc>
      </w:tr>
      <w:tr w14:paraId="689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524" w:type="dxa"/>
            <w:vMerge w:val="continue"/>
            <w:vAlign w:val="center"/>
          </w:tcPr>
          <w:p w14:paraId="30322A59">
            <w:pPr>
              <w:pStyle w:val="68"/>
              <w:shd w:val="clear" w:fill="FFFFFF" w:themeFill="background1"/>
              <w:jc w:val="center"/>
              <w:rPr>
                <w:rFonts w:ascii="宋体" w:hAnsi="宋体" w:cs="宋体"/>
                <w:color w:val="auto"/>
                <w:sz w:val="24"/>
                <w:highlight w:val="none"/>
              </w:rPr>
            </w:pPr>
          </w:p>
        </w:tc>
        <w:tc>
          <w:tcPr>
            <w:tcW w:w="717" w:type="dxa"/>
            <w:vAlign w:val="center"/>
          </w:tcPr>
          <w:p w14:paraId="5709060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w:t>
            </w:r>
          </w:p>
        </w:tc>
        <w:tc>
          <w:tcPr>
            <w:tcW w:w="8019" w:type="dxa"/>
            <w:vAlign w:val="center"/>
          </w:tcPr>
          <w:p w14:paraId="559D3B2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路堤填石要求逐层水平填筑石块，摆放平整，码砌边部，空隙用石渣石屑嵌压稳定，石块尺寸符合规范要求，违者每处违约金 2000 元。</w:t>
            </w:r>
          </w:p>
        </w:tc>
      </w:tr>
      <w:tr w14:paraId="6656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524" w:type="dxa"/>
            <w:vMerge w:val="continue"/>
            <w:vAlign w:val="center"/>
          </w:tcPr>
          <w:p w14:paraId="4E6B0D67">
            <w:pPr>
              <w:pStyle w:val="68"/>
              <w:shd w:val="clear" w:fill="FFFFFF" w:themeFill="background1"/>
              <w:jc w:val="center"/>
              <w:rPr>
                <w:rFonts w:ascii="宋体" w:hAnsi="宋体" w:cs="宋体"/>
                <w:color w:val="auto"/>
                <w:sz w:val="24"/>
                <w:highlight w:val="none"/>
              </w:rPr>
            </w:pPr>
          </w:p>
        </w:tc>
        <w:tc>
          <w:tcPr>
            <w:tcW w:w="717" w:type="dxa"/>
            <w:vAlign w:val="center"/>
          </w:tcPr>
          <w:p w14:paraId="1F82398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11</w:t>
            </w:r>
          </w:p>
        </w:tc>
        <w:tc>
          <w:tcPr>
            <w:tcW w:w="8019" w:type="dxa"/>
            <w:vAlign w:val="center"/>
          </w:tcPr>
          <w:p w14:paraId="6C8247A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粉喷桩应严格控制喷粉时间、停粉时间、水泥喷入量，不得中断喷粉，确保喷粉桩长度，桩身上部范围必须进行二次搅拌，违者每次违约金 2000 元。</w:t>
            </w:r>
          </w:p>
        </w:tc>
      </w:tr>
      <w:tr w14:paraId="54AF4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524" w:type="dxa"/>
            <w:vMerge w:val="continue"/>
            <w:vAlign w:val="center"/>
          </w:tcPr>
          <w:p w14:paraId="5A24BE08">
            <w:pPr>
              <w:pStyle w:val="68"/>
              <w:shd w:val="clear" w:fill="FFFFFF" w:themeFill="background1"/>
              <w:jc w:val="center"/>
              <w:rPr>
                <w:rFonts w:ascii="宋体" w:hAnsi="宋体" w:cs="宋体"/>
                <w:color w:val="auto"/>
                <w:sz w:val="24"/>
                <w:highlight w:val="none"/>
              </w:rPr>
            </w:pPr>
          </w:p>
        </w:tc>
        <w:tc>
          <w:tcPr>
            <w:tcW w:w="717" w:type="dxa"/>
            <w:vAlign w:val="center"/>
          </w:tcPr>
          <w:p w14:paraId="273EF3C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12</w:t>
            </w:r>
          </w:p>
        </w:tc>
        <w:tc>
          <w:tcPr>
            <w:tcW w:w="8019" w:type="dxa"/>
            <w:vAlign w:val="center"/>
          </w:tcPr>
          <w:p w14:paraId="129AF3F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软基换填处理未将软土清除干净就进行回填施工的，每处违约金 2000 元。</w:t>
            </w:r>
          </w:p>
        </w:tc>
      </w:tr>
      <w:tr w14:paraId="04A0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524" w:type="dxa"/>
            <w:vMerge w:val="continue"/>
            <w:vAlign w:val="center"/>
          </w:tcPr>
          <w:p w14:paraId="48A0C1EE">
            <w:pPr>
              <w:pStyle w:val="68"/>
              <w:shd w:val="clear" w:fill="FFFFFF" w:themeFill="background1"/>
              <w:jc w:val="center"/>
              <w:rPr>
                <w:rFonts w:ascii="宋体" w:hAnsi="宋体" w:cs="宋体"/>
                <w:color w:val="auto"/>
                <w:sz w:val="24"/>
                <w:highlight w:val="none"/>
              </w:rPr>
            </w:pPr>
          </w:p>
        </w:tc>
        <w:tc>
          <w:tcPr>
            <w:tcW w:w="717" w:type="dxa"/>
            <w:vAlign w:val="center"/>
          </w:tcPr>
          <w:p w14:paraId="512531B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13</w:t>
            </w:r>
          </w:p>
        </w:tc>
        <w:tc>
          <w:tcPr>
            <w:tcW w:w="8019" w:type="dxa"/>
            <w:vAlign w:val="center"/>
          </w:tcPr>
          <w:p w14:paraId="5A686182">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软基处理未按要求进行沉降和稳定性观测的，每次违约金 2000 元。</w:t>
            </w:r>
          </w:p>
        </w:tc>
      </w:tr>
      <w:tr w14:paraId="7C469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524" w:type="dxa"/>
            <w:vMerge w:val="continue"/>
            <w:vAlign w:val="center"/>
          </w:tcPr>
          <w:p w14:paraId="223790B6">
            <w:pPr>
              <w:pStyle w:val="68"/>
              <w:shd w:val="clear" w:fill="FFFFFF" w:themeFill="background1"/>
              <w:jc w:val="center"/>
              <w:rPr>
                <w:rFonts w:ascii="宋体" w:hAnsi="宋体" w:cs="宋体"/>
                <w:color w:val="auto"/>
                <w:sz w:val="24"/>
                <w:highlight w:val="none"/>
              </w:rPr>
            </w:pPr>
          </w:p>
        </w:tc>
        <w:tc>
          <w:tcPr>
            <w:tcW w:w="717" w:type="dxa"/>
            <w:vAlign w:val="center"/>
          </w:tcPr>
          <w:p w14:paraId="7261D75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14</w:t>
            </w:r>
          </w:p>
        </w:tc>
        <w:tc>
          <w:tcPr>
            <w:tcW w:w="8019" w:type="dxa"/>
            <w:vAlign w:val="center"/>
          </w:tcPr>
          <w:p w14:paraId="4D621102">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软基路段施工前应调查软土分布范围、软土深度，进行土工试验，发现与设计不符的，应通知监理人，违者每次违约金 5000 元。</w:t>
            </w:r>
          </w:p>
        </w:tc>
      </w:tr>
      <w:tr w14:paraId="50B1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524" w:type="dxa"/>
            <w:vMerge w:val="continue"/>
            <w:vAlign w:val="center"/>
          </w:tcPr>
          <w:p w14:paraId="38E59F5B">
            <w:pPr>
              <w:pStyle w:val="68"/>
              <w:shd w:val="clear" w:fill="FFFFFF" w:themeFill="background1"/>
              <w:jc w:val="center"/>
              <w:rPr>
                <w:rFonts w:ascii="宋体" w:hAnsi="宋体" w:cs="宋体"/>
                <w:color w:val="auto"/>
                <w:sz w:val="24"/>
                <w:highlight w:val="none"/>
              </w:rPr>
            </w:pPr>
          </w:p>
        </w:tc>
        <w:tc>
          <w:tcPr>
            <w:tcW w:w="717" w:type="dxa"/>
            <w:vAlign w:val="center"/>
          </w:tcPr>
          <w:p w14:paraId="2990578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15</w:t>
            </w:r>
          </w:p>
        </w:tc>
        <w:tc>
          <w:tcPr>
            <w:tcW w:w="8019" w:type="dxa"/>
            <w:vAlign w:val="center"/>
          </w:tcPr>
          <w:p w14:paraId="3A5D7A1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袋装砂井施工中，砂袋未垂吊、灌沙不饱满的，每根违约金 2000 元。</w:t>
            </w:r>
          </w:p>
        </w:tc>
      </w:tr>
      <w:tr w14:paraId="6733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524" w:type="dxa"/>
            <w:vMerge w:val="continue"/>
            <w:vAlign w:val="center"/>
          </w:tcPr>
          <w:p w14:paraId="539B6F29">
            <w:pPr>
              <w:pStyle w:val="68"/>
              <w:shd w:val="clear" w:fill="FFFFFF" w:themeFill="background1"/>
              <w:jc w:val="center"/>
              <w:rPr>
                <w:rFonts w:ascii="宋体" w:hAnsi="宋体" w:cs="宋体"/>
                <w:color w:val="auto"/>
                <w:sz w:val="24"/>
                <w:highlight w:val="none"/>
              </w:rPr>
            </w:pPr>
          </w:p>
        </w:tc>
        <w:tc>
          <w:tcPr>
            <w:tcW w:w="717" w:type="dxa"/>
            <w:vAlign w:val="center"/>
          </w:tcPr>
          <w:p w14:paraId="05B4EBC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16</w:t>
            </w:r>
          </w:p>
        </w:tc>
        <w:tc>
          <w:tcPr>
            <w:tcW w:w="8019" w:type="dxa"/>
            <w:vAlign w:val="center"/>
          </w:tcPr>
          <w:p w14:paraId="342A281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袋装砂井、砂袋织物和塑料排水板的材料质量必须符合设计要求，违者每处违约金 2000 元。</w:t>
            </w:r>
          </w:p>
        </w:tc>
      </w:tr>
      <w:tr w14:paraId="5206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524" w:type="dxa"/>
            <w:vMerge w:val="continue"/>
            <w:vAlign w:val="center"/>
          </w:tcPr>
          <w:p w14:paraId="0624E5BD">
            <w:pPr>
              <w:pStyle w:val="68"/>
              <w:shd w:val="clear" w:fill="FFFFFF" w:themeFill="background1"/>
              <w:jc w:val="center"/>
              <w:rPr>
                <w:rFonts w:ascii="宋体" w:hAnsi="宋体" w:cs="宋体"/>
                <w:color w:val="auto"/>
                <w:sz w:val="24"/>
                <w:highlight w:val="none"/>
              </w:rPr>
            </w:pPr>
          </w:p>
        </w:tc>
        <w:tc>
          <w:tcPr>
            <w:tcW w:w="717" w:type="dxa"/>
            <w:vAlign w:val="center"/>
          </w:tcPr>
          <w:p w14:paraId="408C818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17</w:t>
            </w:r>
          </w:p>
        </w:tc>
        <w:tc>
          <w:tcPr>
            <w:tcW w:w="8019" w:type="dxa"/>
            <w:vAlign w:val="center"/>
          </w:tcPr>
          <w:p w14:paraId="5FC0B30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土工格栅、土工布等土工材料质量不符合设计要求，搭接宽度、搭接方式不符合有关要求的，每处违约金 2000 元。</w:t>
            </w:r>
          </w:p>
        </w:tc>
      </w:tr>
      <w:tr w14:paraId="2E94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3" w:hRule="atLeast"/>
        </w:trPr>
        <w:tc>
          <w:tcPr>
            <w:tcW w:w="524" w:type="dxa"/>
            <w:vMerge w:val="continue"/>
            <w:vAlign w:val="center"/>
          </w:tcPr>
          <w:p w14:paraId="3195E030">
            <w:pPr>
              <w:pStyle w:val="68"/>
              <w:shd w:val="clear" w:fill="FFFFFF" w:themeFill="background1"/>
              <w:jc w:val="center"/>
              <w:rPr>
                <w:rFonts w:ascii="宋体" w:hAnsi="宋体" w:cs="宋体"/>
                <w:color w:val="auto"/>
                <w:sz w:val="24"/>
                <w:highlight w:val="none"/>
              </w:rPr>
            </w:pPr>
          </w:p>
        </w:tc>
        <w:tc>
          <w:tcPr>
            <w:tcW w:w="717" w:type="dxa"/>
            <w:vAlign w:val="center"/>
          </w:tcPr>
          <w:p w14:paraId="6A35A93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18</w:t>
            </w:r>
          </w:p>
        </w:tc>
        <w:tc>
          <w:tcPr>
            <w:tcW w:w="8019" w:type="dxa"/>
            <w:vAlign w:val="center"/>
          </w:tcPr>
          <w:p w14:paraId="375C6C02">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结构物台背回填施工应符合以下要求，违者每次或每处违约金 2000 元：</w:t>
            </w:r>
          </w:p>
          <w:p w14:paraId="4C4E2ADA">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（1）除肋式及桩柱式外，回填必须在上部结构安装完毕，结构物验收合格，且砼强度达到设计的 85%后方可进行；</w:t>
            </w:r>
          </w:p>
          <w:p w14:paraId="5A49B67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（2）回填必须在构造物两端对称填筑压实，以免产生变形、破坏，每层松铺厚度不大于 20cm；</w:t>
            </w:r>
          </w:p>
          <w:p w14:paraId="77F69BE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（3）回填界面路基填筑时必须超填 50cm 以上，超填部分回填施工前清除，保证界面密实；</w:t>
            </w:r>
          </w:p>
          <w:p w14:paraId="1F9A1C4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（4）回填砂施工采用水密法，配合插入式振捣捧小型夯实设备，小型压路机进行，必须达到设计压实度；</w:t>
            </w:r>
          </w:p>
          <w:p w14:paraId="0081533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（5）台背填料及回填断面应符合设计和规范要求。</w:t>
            </w:r>
          </w:p>
        </w:tc>
      </w:tr>
      <w:tr w14:paraId="0F63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4" w:hRule="atLeast"/>
        </w:trPr>
        <w:tc>
          <w:tcPr>
            <w:tcW w:w="524" w:type="dxa"/>
            <w:vMerge w:val="continue"/>
            <w:vAlign w:val="center"/>
          </w:tcPr>
          <w:p w14:paraId="5F2D646C">
            <w:pPr>
              <w:pStyle w:val="68"/>
              <w:shd w:val="clear" w:fill="FFFFFF" w:themeFill="background1"/>
              <w:jc w:val="center"/>
              <w:rPr>
                <w:rFonts w:ascii="宋体" w:hAnsi="宋体" w:cs="宋体"/>
                <w:color w:val="auto"/>
                <w:sz w:val="24"/>
                <w:highlight w:val="none"/>
              </w:rPr>
            </w:pPr>
          </w:p>
        </w:tc>
        <w:tc>
          <w:tcPr>
            <w:tcW w:w="717" w:type="dxa"/>
            <w:vAlign w:val="center"/>
          </w:tcPr>
          <w:p w14:paraId="723B988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19</w:t>
            </w:r>
          </w:p>
        </w:tc>
        <w:tc>
          <w:tcPr>
            <w:tcW w:w="8019" w:type="dxa"/>
            <w:vAlign w:val="center"/>
          </w:tcPr>
          <w:p w14:paraId="7AFC1DBD">
            <w:pPr>
              <w:pStyle w:val="68"/>
              <w:shd w:val="clear" w:fill="FFFFFF" w:themeFill="background1"/>
              <w:ind w:firstLine="360" w:firstLineChars="150"/>
              <w:rPr>
                <w:rFonts w:ascii="宋体" w:hAnsi="宋体" w:cs="宋体"/>
                <w:color w:val="auto"/>
                <w:sz w:val="24"/>
                <w:highlight w:val="none"/>
              </w:rPr>
            </w:pPr>
            <w:r>
              <w:rPr>
                <w:rFonts w:hint="eastAsia" w:ascii="宋体" w:hAnsi="宋体" w:cs="宋体"/>
                <w:color w:val="auto"/>
                <w:sz w:val="24"/>
                <w:highlight w:val="none"/>
              </w:rPr>
              <w:t>砌体工程不满足下列规定者，每项违约金2000元，并作返工处理：</w:t>
            </w:r>
          </w:p>
          <w:p w14:paraId="4D37232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（1）不得采用风化石，表面石料粒径需≥30cm；</w:t>
            </w:r>
          </w:p>
          <w:p w14:paraId="2066AC7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（2））构造物表面平顺，无凹凸扭曲现象，砂浆抹边的棱角线、平直度：2m拉线(直尺)检查≤l0mm；</w:t>
            </w:r>
          </w:p>
          <w:p w14:paraId="4FD639B0">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（3）上边坡护面墙砌体一律勾凹缝；</w:t>
            </w:r>
          </w:p>
          <w:p w14:paraId="27F9A5F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（4）勾缝不得有瞎缝、丢缝、裂纹和脱落现象，缝宽统一；</w:t>
            </w:r>
          </w:p>
          <w:p w14:paraId="4C8CABCE">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（5）石缝不大于40mm，砌缝内砂浆均匀饱满，不得有空洞；</w:t>
            </w:r>
          </w:p>
          <w:p w14:paraId="3BE5862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（6）层间错缝不大于80mm，三块石相接空隙不大于70mm；</w:t>
            </w:r>
          </w:p>
          <w:p w14:paraId="4A6A9A0A">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（7）砂浆抹面，平整度用2m直尺检查≤8mm，不得有裂缝、空鼓现象；</w:t>
            </w:r>
          </w:p>
          <w:p w14:paraId="369BDA6A">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（8）泄水孔排列整齐、按设计设置坡度，无堵塞现象；</w:t>
            </w:r>
          </w:p>
          <w:p w14:paraId="0E17E9B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（9）截水沟与实际地形砌顺，要求线形顺畅，地形无变化时，不得出现弯曲。</w:t>
            </w:r>
          </w:p>
        </w:tc>
      </w:tr>
      <w:tr w14:paraId="78C8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trPr>
        <w:tc>
          <w:tcPr>
            <w:tcW w:w="524" w:type="dxa"/>
            <w:vMerge w:val="continue"/>
            <w:vAlign w:val="center"/>
          </w:tcPr>
          <w:p w14:paraId="22D33F8E">
            <w:pPr>
              <w:pStyle w:val="68"/>
              <w:shd w:val="clear" w:fill="FFFFFF" w:themeFill="background1"/>
              <w:jc w:val="center"/>
              <w:rPr>
                <w:rFonts w:ascii="宋体" w:hAnsi="宋体" w:cs="宋体"/>
                <w:color w:val="auto"/>
                <w:sz w:val="24"/>
                <w:highlight w:val="none"/>
              </w:rPr>
            </w:pPr>
          </w:p>
        </w:tc>
        <w:tc>
          <w:tcPr>
            <w:tcW w:w="717" w:type="dxa"/>
            <w:vAlign w:val="center"/>
          </w:tcPr>
          <w:p w14:paraId="650EE5E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20</w:t>
            </w:r>
          </w:p>
        </w:tc>
        <w:tc>
          <w:tcPr>
            <w:tcW w:w="8019" w:type="dxa"/>
            <w:vAlign w:val="center"/>
          </w:tcPr>
          <w:p w14:paraId="37DBEC8F">
            <w:pPr>
              <w:pStyle w:val="68"/>
              <w:shd w:val="clear" w:fill="FFFFFF" w:themeFill="background1"/>
              <w:ind w:firstLine="240" w:firstLineChars="100"/>
              <w:rPr>
                <w:rFonts w:ascii="宋体" w:hAnsi="宋体" w:cs="宋体"/>
                <w:color w:val="auto"/>
                <w:sz w:val="24"/>
                <w:highlight w:val="none"/>
              </w:rPr>
            </w:pPr>
            <w:r>
              <w:rPr>
                <w:rFonts w:hint="eastAsia" w:ascii="宋体" w:hAnsi="宋体" w:cs="宋体"/>
                <w:color w:val="auto"/>
                <w:sz w:val="24"/>
                <w:highlight w:val="none"/>
              </w:rPr>
              <w:t>浆砌工程存在下列情况之一的，违约金2000元：</w:t>
            </w:r>
          </w:p>
          <w:p w14:paraId="5BA969F2">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铺砌厚度不满足要求；</w:t>
            </w:r>
          </w:p>
          <w:p w14:paraId="12258EDF">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垫层厚度不满足要求的；</w:t>
            </w:r>
          </w:p>
          <w:p w14:paraId="1A27B420">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砌缝内砂浆不饱满的；</w:t>
            </w:r>
          </w:p>
          <w:p w14:paraId="2D34915A">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砂浆不采用机械拌和的</w:t>
            </w:r>
          </w:p>
          <w:p w14:paraId="22FDB8CC">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砌缝没有错开的：</w:t>
            </w:r>
          </w:p>
          <w:p w14:paraId="7308B328">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砂浆强度达不到规定要求的：</w:t>
            </w:r>
          </w:p>
          <w:p w14:paraId="635781BF">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沟底未清理干净，有浮土、泥浆等杂物的；</w:t>
            </w:r>
          </w:p>
          <w:p w14:paraId="2AD3586C">
            <w:pPr>
              <w:pStyle w:val="68"/>
              <w:numPr>
                <w:ilvl w:val="0"/>
                <w:numId w:val="17"/>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施工后不进行养护的。</w:t>
            </w:r>
          </w:p>
        </w:tc>
      </w:tr>
      <w:tr w14:paraId="138F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524" w:type="dxa"/>
            <w:vMerge w:val="continue"/>
            <w:vAlign w:val="center"/>
          </w:tcPr>
          <w:p w14:paraId="7C68323F">
            <w:pPr>
              <w:pStyle w:val="68"/>
              <w:shd w:val="clear" w:fill="FFFFFF" w:themeFill="background1"/>
              <w:jc w:val="center"/>
              <w:rPr>
                <w:rFonts w:ascii="宋体" w:hAnsi="宋体" w:cs="宋体"/>
                <w:color w:val="auto"/>
                <w:sz w:val="24"/>
                <w:highlight w:val="none"/>
              </w:rPr>
            </w:pPr>
          </w:p>
        </w:tc>
        <w:tc>
          <w:tcPr>
            <w:tcW w:w="717" w:type="dxa"/>
            <w:vAlign w:val="center"/>
          </w:tcPr>
          <w:p w14:paraId="1AC702D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21</w:t>
            </w:r>
          </w:p>
        </w:tc>
        <w:tc>
          <w:tcPr>
            <w:tcW w:w="8019" w:type="dxa"/>
            <w:vAlign w:val="center"/>
          </w:tcPr>
          <w:p w14:paraId="7BD26B50">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排水盲沟断面不符合设计要求，回填碎石含泥量超标的，土工布铺设不符合要求的，违者每处违约金2000元</w:t>
            </w:r>
          </w:p>
        </w:tc>
      </w:tr>
      <w:tr w14:paraId="2C23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524" w:type="dxa"/>
            <w:vMerge w:val="continue"/>
            <w:vAlign w:val="center"/>
          </w:tcPr>
          <w:p w14:paraId="62658BC0">
            <w:pPr>
              <w:pStyle w:val="68"/>
              <w:shd w:val="clear" w:fill="FFFFFF" w:themeFill="background1"/>
              <w:jc w:val="center"/>
              <w:rPr>
                <w:rFonts w:ascii="宋体" w:hAnsi="宋体" w:cs="宋体"/>
                <w:color w:val="auto"/>
                <w:sz w:val="24"/>
                <w:highlight w:val="none"/>
              </w:rPr>
            </w:pPr>
          </w:p>
        </w:tc>
        <w:tc>
          <w:tcPr>
            <w:tcW w:w="717" w:type="dxa"/>
            <w:vAlign w:val="center"/>
          </w:tcPr>
          <w:p w14:paraId="4B042DA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22</w:t>
            </w:r>
          </w:p>
        </w:tc>
        <w:tc>
          <w:tcPr>
            <w:tcW w:w="8019" w:type="dxa"/>
            <w:vAlign w:val="center"/>
          </w:tcPr>
          <w:p w14:paraId="3D4DECC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边坡开挖未做到开挖一级、防护一级的，每次违约金 10000 元。</w:t>
            </w:r>
          </w:p>
        </w:tc>
      </w:tr>
      <w:tr w14:paraId="0CF6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524" w:type="dxa"/>
            <w:vMerge w:val="continue"/>
            <w:vAlign w:val="center"/>
          </w:tcPr>
          <w:p w14:paraId="2930BD8E">
            <w:pPr>
              <w:pStyle w:val="68"/>
              <w:shd w:val="clear" w:fill="FFFFFF" w:themeFill="background1"/>
              <w:jc w:val="center"/>
              <w:rPr>
                <w:rFonts w:ascii="宋体" w:hAnsi="宋体" w:cs="宋体"/>
                <w:color w:val="auto"/>
                <w:sz w:val="24"/>
                <w:highlight w:val="none"/>
              </w:rPr>
            </w:pPr>
          </w:p>
        </w:tc>
        <w:tc>
          <w:tcPr>
            <w:tcW w:w="717" w:type="dxa"/>
            <w:tcBorders>
              <w:bottom w:val="single" w:color="auto" w:sz="4" w:space="0"/>
            </w:tcBorders>
            <w:vAlign w:val="center"/>
          </w:tcPr>
          <w:p w14:paraId="62CBA80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23</w:t>
            </w:r>
          </w:p>
        </w:tc>
        <w:tc>
          <w:tcPr>
            <w:tcW w:w="8019" w:type="dxa"/>
            <w:tcBorders>
              <w:bottom w:val="single" w:color="auto" w:sz="4" w:space="0"/>
            </w:tcBorders>
            <w:vAlign w:val="center"/>
          </w:tcPr>
          <w:p w14:paraId="18E08890">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路堑边坡支挡工程存在以下类别的问题时，每处违约金 5000 元。</w:t>
            </w:r>
          </w:p>
          <w:p w14:paraId="1460456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（1）锚杆或锚索长度不足；</w:t>
            </w:r>
          </w:p>
          <w:p w14:paraId="139F357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（2）压浆不规范；</w:t>
            </w:r>
          </w:p>
          <w:p w14:paraId="4219356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（3）张拉力不足；</w:t>
            </w:r>
          </w:p>
          <w:p w14:paraId="0D68B27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（4）强度不合格。</w:t>
            </w:r>
          </w:p>
        </w:tc>
      </w:tr>
    </w:tbl>
    <w:p w14:paraId="14927D34">
      <w:pPr>
        <w:pStyle w:val="68"/>
        <w:shd w:val="clear" w:fill="FFFFFF" w:themeFill="background1"/>
        <w:rPr>
          <w:rFonts w:ascii="宋体" w:hAnsi="宋体" w:cs="宋体"/>
          <w:color w:val="auto"/>
          <w:sz w:val="24"/>
          <w:highlight w:val="none"/>
        </w:rPr>
      </w:pPr>
    </w:p>
    <w:p w14:paraId="217182C7">
      <w:pPr>
        <w:pStyle w:val="68"/>
        <w:shd w:val="clear" w:fill="FFFFFF" w:themeFill="background1"/>
        <w:jc w:val="righ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续上表</w:t>
      </w:r>
    </w:p>
    <w:tbl>
      <w:tblPr>
        <w:tblStyle w:val="45"/>
        <w:tblW w:w="909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518"/>
        <w:gridCol w:w="8062"/>
      </w:tblGrid>
      <w:tr w14:paraId="63D0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19A5F02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桥</w:t>
            </w:r>
          </w:p>
          <w:p w14:paraId="4E93663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涵</w:t>
            </w:r>
          </w:p>
          <w:p w14:paraId="6343CC6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工</w:t>
            </w:r>
          </w:p>
          <w:p w14:paraId="7D1CAAE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程</w:t>
            </w:r>
          </w:p>
        </w:tc>
        <w:tc>
          <w:tcPr>
            <w:tcW w:w="518" w:type="dxa"/>
            <w:vAlign w:val="center"/>
          </w:tcPr>
          <w:p w14:paraId="0AD2EC6D">
            <w:pPr>
              <w:pStyle w:val="68"/>
              <w:shd w:val="clear" w:fill="FFFFFF" w:themeFill="background1"/>
              <w:jc w:val="center"/>
              <w:rPr>
                <w:rFonts w:ascii="宋体" w:hAnsi="宋体" w:cs="宋体"/>
                <w:color w:val="auto"/>
                <w:sz w:val="28"/>
                <w:szCs w:val="28"/>
                <w:highlight w:val="none"/>
              </w:rPr>
            </w:pPr>
            <w:r>
              <w:rPr>
                <w:rFonts w:hint="eastAsia" w:ascii="宋体" w:hAnsi="宋体" w:cs="宋体"/>
                <w:color w:val="auto"/>
                <w:sz w:val="28"/>
                <w:szCs w:val="28"/>
                <w:highlight w:val="none"/>
              </w:rPr>
              <w:t>1</w:t>
            </w:r>
          </w:p>
        </w:tc>
        <w:tc>
          <w:tcPr>
            <w:tcW w:w="8062" w:type="dxa"/>
            <w:vAlign w:val="center"/>
          </w:tcPr>
          <w:p w14:paraId="69F88E7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防撞栏出现大量麻面；线形有明显波折、错台；墙角或接缝漏浆；表面多处露筋，每十米违约金2000元。</w:t>
            </w:r>
          </w:p>
        </w:tc>
      </w:tr>
      <w:tr w14:paraId="1E9E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519" w:type="dxa"/>
            <w:vMerge w:val="continue"/>
          </w:tcPr>
          <w:p w14:paraId="356508E0">
            <w:pPr>
              <w:pStyle w:val="68"/>
              <w:shd w:val="clear" w:fill="FFFFFF" w:themeFill="background1"/>
              <w:rPr>
                <w:rFonts w:ascii="宋体" w:hAnsi="宋体" w:cs="宋体"/>
                <w:color w:val="auto"/>
                <w:sz w:val="28"/>
                <w:szCs w:val="28"/>
                <w:highlight w:val="none"/>
              </w:rPr>
            </w:pPr>
          </w:p>
        </w:tc>
        <w:tc>
          <w:tcPr>
            <w:tcW w:w="518" w:type="dxa"/>
            <w:vAlign w:val="center"/>
          </w:tcPr>
          <w:p w14:paraId="63BF0D7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vAlign w:val="center"/>
          </w:tcPr>
          <w:p w14:paraId="6D9A863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构造物不按要求进行养生的，每处违约金2000元。</w:t>
            </w:r>
          </w:p>
        </w:tc>
      </w:tr>
      <w:tr w14:paraId="16C4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19" w:type="dxa"/>
            <w:vMerge w:val="continue"/>
          </w:tcPr>
          <w:p w14:paraId="2E3DD3AD">
            <w:pPr>
              <w:pStyle w:val="68"/>
              <w:shd w:val="clear" w:fill="FFFFFF" w:themeFill="background1"/>
              <w:rPr>
                <w:rFonts w:ascii="宋体" w:hAnsi="宋体" w:cs="宋体"/>
                <w:color w:val="auto"/>
                <w:sz w:val="28"/>
                <w:szCs w:val="28"/>
                <w:highlight w:val="none"/>
              </w:rPr>
            </w:pPr>
          </w:p>
        </w:tc>
        <w:tc>
          <w:tcPr>
            <w:tcW w:w="518" w:type="dxa"/>
            <w:vAlign w:val="center"/>
          </w:tcPr>
          <w:p w14:paraId="3A9C58D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vAlign w:val="center"/>
          </w:tcPr>
          <w:p w14:paraId="5A386CC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构造物施工未采取措施保证钢筋保护层厚度就浇筑砼的，每次违约金2000元。</w:t>
            </w:r>
          </w:p>
        </w:tc>
      </w:tr>
      <w:tr w14:paraId="1546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5685290">
            <w:pPr>
              <w:pStyle w:val="68"/>
              <w:shd w:val="clear" w:fill="FFFFFF" w:themeFill="background1"/>
              <w:rPr>
                <w:rFonts w:ascii="宋体" w:hAnsi="宋体" w:cs="宋体"/>
                <w:color w:val="auto"/>
                <w:sz w:val="28"/>
                <w:szCs w:val="28"/>
                <w:highlight w:val="none"/>
              </w:rPr>
            </w:pPr>
          </w:p>
        </w:tc>
        <w:tc>
          <w:tcPr>
            <w:tcW w:w="518" w:type="dxa"/>
            <w:vAlign w:val="center"/>
          </w:tcPr>
          <w:p w14:paraId="77C13F1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vAlign w:val="center"/>
          </w:tcPr>
          <w:p w14:paraId="41F0744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下列情况，违者每次违约金2000元：</w:t>
            </w:r>
          </w:p>
          <w:p w14:paraId="6A20F330">
            <w:pPr>
              <w:pStyle w:val="68"/>
              <w:numPr>
                <w:ilvl w:val="0"/>
                <w:numId w:val="18"/>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伸缩缝位置必须保证满足设计要求，安装时必须按气温来确定安装宽度；</w:t>
            </w:r>
          </w:p>
          <w:p w14:paraId="1E917837">
            <w:pPr>
              <w:pStyle w:val="68"/>
              <w:numPr>
                <w:ilvl w:val="0"/>
                <w:numId w:val="18"/>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预留槽口底面的砼必须密实、平整；</w:t>
            </w:r>
          </w:p>
          <w:p w14:paraId="44783290">
            <w:pPr>
              <w:pStyle w:val="68"/>
              <w:numPr>
                <w:ilvl w:val="0"/>
                <w:numId w:val="18"/>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在填充前必须保证干净，不得有杂物。</w:t>
            </w:r>
          </w:p>
        </w:tc>
      </w:tr>
      <w:tr w14:paraId="4098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3CE52E1">
            <w:pPr>
              <w:pStyle w:val="68"/>
              <w:shd w:val="clear" w:fill="FFFFFF" w:themeFill="background1"/>
              <w:rPr>
                <w:rFonts w:ascii="宋体" w:hAnsi="宋体" w:cs="宋体"/>
                <w:color w:val="auto"/>
                <w:sz w:val="28"/>
                <w:szCs w:val="28"/>
                <w:highlight w:val="none"/>
              </w:rPr>
            </w:pPr>
          </w:p>
        </w:tc>
        <w:tc>
          <w:tcPr>
            <w:tcW w:w="518" w:type="dxa"/>
            <w:vAlign w:val="center"/>
          </w:tcPr>
          <w:p w14:paraId="719A229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62" w:type="dxa"/>
            <w:vAlign w:val="center"/>
          </w:tcPr>
          <w:p w14:paraId="54E0C432">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张拉千斤顶没有按规范要求标定，造成拉力不符设计要求的，每次违约金2000元。</w:t>
            </w:r>
          </w:p>
        </w:tc>
      </w:tr>
      <w:tr w14:paraId="068A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519" w:type="dxa"/>
            <w:vMerge w:val="continue"/>
          </w:tcPr>
          <w:p w14:paraId="5828DA49">
            <w:pPr>
              <w:pStyle w:val="68"/>
              <w:shd w:val="clear" w:fill="FFFFFF" w:themeFill="background1"/>
              <w:rPr>
                <w:rFonts w:ascii="宋体" w:hAnsi="宋体" w:cs="宋体"/>
                <w:color w:val="auto"/>
                <w:sz w:val="28"/>
                <w:szCs w:val="28"/>
                <w:highlight w:val="none"/>
              </w:rPr>
            </w:pPr>
          </w:p>
        </w:tc>
        <w:tc>
          <w:tcPr>
            <w:tcW w:w="518" w:type="dxa"/>
            <w:vAlign w:val="center"/>
          </w:tcPr>
          <w:p w14:paraId="4A4C2B1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8062" w:type="dxa"/>
            <w:vAlign w:val="center"/>
          </w:tcPr>
          <w:p w14:paraId="12FBB970">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预应力筋有烧伤或划伤，必须立即撤换，违者每次违约金5000元。</w:t>
            </w:r>
          </w:p>
        </w:tc>
      </w:tr>
      <w:tr w14:paraId="399B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519" w:type="dxa"/>
            <w:vMerge w:val="continue"/>
          </w:tcPr>
          <w:p w14:paraId="23A69D54">
            <w:pPr>
              <w:pStyle w:val="68"/>
              <w:shd w:val="clear" w:fill="FFFFFF" w:themeFill="background1"/>
              <w:rPr>
                <w:rFonts w:ascii="宋体" w:hAnsi="宋体" w:cs="宋体"/>
                <w:color w:val="auto"/>
                <w:sz w:val="28"/>
                <w:szCs w:val="28"/>
                <w:highlight w:val="none"/>
              </w:rPr>
            </w:pPr>
          </w:p>
        </w:tc>
        <w:tc>
          <w:tcPr>
            <w:tcW w:w="518" w:type="dxa"/>
            <w:vAlign w:val="center"/>
          </w:tcPr>
          <w:p w14:paraId="413F2A9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8062" w:type="dxa"/>
            <w:vAlign w:val="center"/>
          </w:tcPr>
          <w:p w14:paraId="07EDA36D">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预应力筋因施工不当造成断丝且无法补救时，每次违约金8000元。</w:t>
            </w:r>
          </w:p>
        </w:tc>
      </w:tr>
      <w:tr w14:paraId="7ABA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1BAEEED">
            <w:pPr>
              <w:pStyle w:val="68"/>
              <w:shd w:val="clear" w:fill="FFFFFF" w:themeFill="background1"/>
              <w:rPr>
                <w:rFonts w:ascii="宋体" w:hAnsi="宋体" w:cs="宋体"/>
                <w:color w:val="auto"/>
                <w:sz w:val="28"/>
                <w:szCs w:val="28"/>
                <w:highlight w:val="none"/>
              </w:rPr>
            </w:pPr>
          </w:p>
        </w:tc>
        <w:tc>
          <w:tcPr>
            <w:tcW w:w="518" w:type="dxa"/>
            <w:vAlign w:val="center"/>
          </w:tcPr>
          <w:p w14:paraId="0825DAA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8062" w:type="dxa"/>
            <w:vAlign w:val="center"/>
          </w:tcPr>
          <w:p w14:paraId="0D29374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预制梁施工必须符合设计要求，吊装位置准确，标高误差±lcm，违者违约金2000元。</w:t>
            </w:r>
          </w:p>
        </w:tc>
      </w:tr>
      <w:tr w14:paraId="7AC3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1FE4FB5">
            <w:pPr>
              <w:pStyle w:val="68"/>
              <w:shd w:val="clear" w:fill="FFFFFF" w:themeFill="background1"/>
              <w:rPr>
                <w:rFonts w:ascii="宋体" w:hAnsi="宋体" w:cs="宋体"/>
                <w:color w:val="auto"/>
                <w:sz w:val="28"/>
                <w:szCs w:val="28"/>
                <w:highlight w:val="none"/>
              </w:rPr>
            </w:pPr>
          </w:p>
        </w:tc>
        <w:tc>
          <w:tcPr>
            <w:tcW w:w="518" w:type="dxa"/>
            <w:vAlign w:val="center"/>
          </w:tcPr>
          <w:p w14:paraId="54434F0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8062" w:type="dxa"/>
            <w:vAlign w:val="center"/>
          </w:tcPr>
          <w:p w14:paraId="62D0432D">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 xml:space="preserve">一个经过自检的钢筋骨架中钢筋焊接长度不足及焊缝不饱满超过3处的，违约金 2000元。 </w:t>
            </w:r>
          </w:p>
        </w:tc>
      </w:tr>
      <w:tr w14:paraId="4291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2865AEA">
            <w:pPr>
              <w:pStyle w:val="68"/>
              <w:shd w:val="clear" w:fill="FFFFFF" w:themeFill="background1"/>
              <w:rPr>
                <w:rFonts w:ascii="宋体" w:hAnsi="宋体" w:cs="宋体"/>
                <w:color w:val="auto"/>
                <w:sz w:val="28"/>
                <w:szCs w:val="28"/>
                <w:highlight w:val="none"/>
              </w:rPr>
            </w:pPr>
          </w:p>
        </w:tc>
        <w:tc>
          <w:tcPr>
            <w:tcW w:w="518" w:type="dxa"/>
            <w:vAlign w:val="center"/>
          </w:tcPr>
          <w:p w14:paraId="4B4B692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w:t>
            </w:r>
          </w:p>
        </w:tc>
        <w:tc>
          <w:tcPr>
            <w:tcW w:w="8062" w:type="dxa"/>
            <w:vAlign w:val="center"/>
          </w:tcPr>
          <w:p w14:paraId="5AAA447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一个经过自检的钢筋骨架有3处钢筋间距(包括土筋和构造筋)不符合规范要求的违约金2000元。</w:t>
            </w:r>
          </w:p>
        </w:tc>
      </w:tr>
      <w:tr w14:paraId="7F80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19" w:type="dxa"/>
            <w:vMerge w:val="continue"/>
          </w:tcPr>
          <w:p w14:paraId="275A07CE">
            <w:pPr>
              <w:pStyle w:val="68"/>
              <w:shd w:val="clear" w:fill="FFFFFF" w:themeFill="background1"/>
              <w:rPr>
                <w:rFonts w:ascii="宋体" w:hAnsi="宋体" w:cs="宋体"/>
                <w:color w:val="auto"/>
                <w:sz w:val="28"/>
                <w:szCs w:val="28"/>
                <w:highlight w:val="none"/>
              </w:rPr>
            </w:pPr>
          </w:p>
        </w:tc>
        <w:tc>
          <w:tcPr>
            <w:tcW w:w="518" w:type="dxa"/>
            <w:vAlign w:val="center"/>
          </w:tcPr>
          <w:p w14:paraId="3A35631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11</w:t>
            </w:r>
          </w:p>
        </w:tc>
        <w:tc>
          <w:tcPr>
            <w:tcW w:w="8062" w:type="dxa"/>
            <w:vAlign w:val="center"/>
          </w:tcPr>
          <w:p w14:paraId="71628D0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钢筋骨架己生锈，在浇筑砼前未作去锈处理的，每次违约金2000元。</w:t>
            </w:r>
          </w:p>
        </w:tc>
      </w:tr>
      <w:tr w14:paraId="09CB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5B616FB">
            <w:pPr>
              <w:pStyle w:val="68"/>
              <w:shd w:val="clear" w:fill="FFFFFF" w:themeFill="background1"/>
              <w:rPr>
                <w:rFonts w:ascii="宋体" w:hAnsi="宋体" w:cs="宋体"/>
                <w:color w:val="auto"/>
                <w:sz w:val="28"/>
                <w:szCs w:val="28"/>
                <w:highlight w:val="none"/>
              </w:rPr>
            </w:pPr>
          </w:p>
        </w:tc>
        <w:tc>
          <w:tcPr>
            <w:tcW w:w="518" w:type="dxa"/>
            <w:vAlign w:val="center"/>
          </w:tcPr>
          <w:p w14:paraId="75593DD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12</w:t>
            </w:r>
          </w:p>
        </w:tc>
        <w:tc>
          <w:tcPr>
            <w:tcW w:w="8062" w:type="dxa"/>
            <w:vAlign w:val="center"/>
          </w:tcPr>
          <w:p w14:paraId="679449A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在钻孔桩的施工中泥浆循环系统未设沉淀池的，或沉淀池规格不符合有关要求的，每处违约金2000元。</w:t>
            </w:r>
          </w:p>
        </w:tc>
      </w:tr>
      <w:tr w14:paraId="2B8E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0889285">
            <w:pPr>
              <w:pStyle w:val="68"/>
              <w:shd w:val="clear" w:fill="FFFFFF" w:themeFill="background1"/>
              <w:rPr>
                <w:rFonts w:ascii="宋体" w:hAnsi="宋体" w:cs="宋体"/>
                <w:color w:val="auto"/>
                <w:sz w:val="28"/>
                <w:szCs w:val="28"/>
                <w:highlight w:val="none"/>
              </w:rPr>
            </w:pPr>
          </w:p>
        </w:tc>
        <w:tc>
          <w:tcPr>
            <w:tcW w:w="518" w:type="dxa"/>
            <w:vAlign w:val="center"/>
          </w:tcPr>
          <w:p w14:paraId="0713473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13</w:t>
            </w:r>
          </w:p>
        </w:tc>
        <w:tc>
          <w:tcPr>
            <w:tcW w:w="8062" w:type="dxa"/>
            <w:vAlign w:val="center"/>
          </w:tcPr>
          <w:p w14:paraId="12B1B2B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桩基检测评定为C类桩的，每根违约金2000元，出现不合格桩的，每根违约金5000元。</w:t>
            </w:r>
          </w:p>
        </w:tc>
      </w:tr>
      <w:tr w14:paraId="3024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519" w:type="dxa"/>
            <w:vMerge w:val="continue"/>
          </w:tcPr>
          <w:p w14:paraId="43705604">
            <w:pPr>
              <w:pStyle w:val="68"/>
              <w:shd w:val="clear" w:fill="FFFFFF" w:themeFill="background1"/>
              <w:rPr>
                <w:rFonts w:ascii="宋体" w:hAnsi="宋体" w:cs="宋体"/>
                <w:color w:val="auto"/>
                <w:sz w:val="28"/>
                <w:szCs w:val="28"/>
                <w:highlight w:val="none"/>
              </w:rPr>
            </w:pPr>
          </w:p>
        </w:tc>
        <w:tc>
          <w:tcPr>
            <w:tcW w:w="518" w:type="dxa"/>
            <w:vAlign w:val="center"/>
          </w:tcPr>
          <w:p w14:paraId="165DAE6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14</w:t>
            </w:r>
          </w:p>
        </w:tc>
        <w:tc>
          <w:tcPr>
            <w:tcW w:w="8062" w:type="dxa"/>
            <w:vAlign w:val="center"/>
          </w:tcPr>
          <w:p w14:paraId="316D98D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浇注砼时，自由下落高度超过2m而不用串筒的，每次违约金2000元。</w:t>
            </w:r>
          </w:p>
        </w:tc>
      </w:tr>
      <w:tr w14:paraId="09961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19" w:type="dxa"/>
            <w:vMerge w:val="continue"/>
          </w:tcPr>
          <w:p w14:paraId="1F51610B">
            <w:pPr>
              <w:pStyle w:val="68"/>
              <w:shd w:val="clear" w:fill="FFFFFF" w:themeFill="background1"/>
              <w:rPr>
                <w:rFonts w:ascii="宋体" w:hAnsi="宋体" w:cs="宋体"/>
                <w:color w:val="auto"/>
                <w:sz w:val="28"/>
                <w:szCs w:val="28"/>
                <w:highlight w:val="none"/>
              </w:rPr>
            </w:pPr>
          </w:p>
        </w:tc>
        <w:tc>
          <w:tcPr>
            <w:tcW w:w="518" w:type="dxa"/>
            <w:vAlign w:val="center"/>
          </w:tcPr>
          <w:p w14:paraId="5A47601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15</w:t>
            </w:r>
          </w:p>
        </w:tc>
        <w:tc>
          <w:tcPr>
            <w:tcW w:w="8062" w:type="dxa"/>
            <w:vAlign w:val="center"/>
          </w:tcPr>
          <w:p w14:paraId="67DF472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砼施工配合比不按重量比的，每次违约金5000元。</w:t>
            </w:r>
          </w:p>
        </w:tc>
      </w:tr>
      <w:tr w14:paraId="668F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19" w:type="dxa"/>
            <w:vMerge w:val="continue"/>
          </w:tcPr>
          <w:p w14:paraId="5BADAFDA">
            <w:pPr>
              <w:pStyle w:val="68"/>
              <w:shd w:val="clear" w:fill="FFFFFF" w:themeFill="background1"/>
              <w:rPr>
                <w:rFonts w:ascii="宋体" w:hAnsi="宋体" w:cs="宋体"/>
                <w:color w:val="auto"/>
                <w:sz w:val="28"/>
                <w:szCs w:val="28"/>
                <w:highlight w:val="none"/>
              </w:rPr>
            </w:pPr>
          </w:p>
        </w:tc>
        <w:tc>
          <w:tcPr>
            <w:tcW w:w="518" w:type="dxa"/>
            <w:vAlign w:val="center"/>
          </w:tcPr>
          <w:p w14:paraId="6E40339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16</w:t>
            </w:r>
          </w:p>
        </w:tc>
        <w:tc>
          <w:tcPr>
            <w:tcW w:w="8062" w:type="dxa"/>
            <w:vAlign w:val="center"/>
          </w:tcPr>
          <w:p w14:paraId="17FAF33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两梁板之间接缝不得有杂物，填充料符合设计要求，违者违约金2000元。</w:t>
            </w:r>
          </w:p>
        </w:tc>
      </w:tr>
      <w:tr w14:paraId="4517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D32A22E">
            <w:pPr>
              <w:pStyle w:val="68"/>
              <w:shd w:val="clear" w:fill="FFFFFF" w:themeFill="background1"/>
              <w:rPr>
                <w:rFonts w:ascii="宋体" w:hAnsi="宋体" w:cs="宋体"/>
                <w:color w:val="auto"/>
                <w:sz w:val="28"/>
                <w:szCs w:val="28"/>
                <w:highlight w:val="none"/>
              </w:rPr>
            </w:pPr>
          </w:p>
        </w:tc>
        <w:tc>
          <w:tcPr>
            <w:tcW w:w="518" w:type="dxa"/>
            <w:vAlign w:val="center"/>
          </w:tcPr>
          <w:p w14:paraId="27C7EC5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17</w:t>
            </w:r>
          </w:p>
        </w:tc>
        <w:tc>
          <w:tcPr>
            <w:tcW w:w="8062" w:type="dxa"/>
            <w:vAlign w:val="center"/>
          </w:tcPr>
          <w:p w14:paraId="326C962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砼拌和现场的称量和配水机械装置应维持良好状态，拌和机的容量要满足要求，桥梁施工要具备应急拌和机。正在施工的现场不满足上述要求的，每次违约金2000元</w:t>
            </w:r>
          </w:p>
        </w:tc>
      </w:tr>
      <w:tr w14:paraId="1B71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519" w:type="dxa"/>
            <w:vMerge w:val="continue"/>
          </w:tcPr>
          <w:p w14:paraId="017A59FA">
            <w:pPr>
              <w:pStyle w:val="68"/>
              <w:shd w:val="clear" w:fill="FFFFFF" w:themeFill="background1"/>
              <w:rPr>
                <w:rFonts w:ascii="宋体" w:hAnsi="宋体" w:cs="宋体"/>
                <w:color w:val="auto"/>
                <w:sz w:val="28"/>
                <w:szCs w:val="28"/>
                <w:highlight w:val="none"/>
              </w:rPr>
            </w:pPr>
          </w:p>
        </w:tc>
        <w:tc>
          <w:tcPr>
            <w:tcW w:w="518" w:type="dxa"/>
            <w:vAlign w:val="center"/>
          </w:tcPr>
          <w:p w14:paraId="11A70F3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18</w:t>
            </w:r>
          </w:p>
        </w:tc>
        <w:tc>
          <w:tcPr>
            <w:tcW w:w="8062" w:type="dxa"/>
            <w:vAlign w:val="center"/>
          </w:tcPr>
          <w:p w14:paraId="6CB2137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压浆不按配合比制浆，水灰比失控，强度达不到要求的，每次违约金3000元。</w:t>
            </w:r>
          </w:p>
        </w:tc>
      </w:tr>
      <w:tr w14:paraId="756E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519" w:type="dxa"/>
            <w:vMerge w:val="continue"/>
          </w:tcPr>
          <w:p w14:paraId="6F2176C4">
            <w:pPr>
              <w:pStyle w:val="68"/>
              <w:shd w:val="clear" w:fill="FFFFFF" w:themeFill="background1"/>
              <w:rPr>
                <w:rFonts w:ascii="宋体" w:hAnsi="宋体" w:cs="宋体"/>
                <w:color w:val="auto"/>
                <w:sz w:val="28"/>
                <w:szCs w:val="28"/>
                <w:highlight w:val="none"/>
              </w:rPr>
            </w:pPr>
          </w:p>
        </w:tc>
        <w:tc>
          <w:tcPr>
            <w:tcW w:w="518" w:type="dxa"/>
            <w:vAlign w:val="center"/>
          </w:tcPr>
          <w:p w14:paraId="0EBDE5D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19</w:t>
            </w:r>
          </w:p>
        </w:tc>
        <w:tc>
          <w:tcPr>
            <w:tcW w:w="8062" w:type="dxa"/>
            <w:vAlign w:val="center"/>
          </w:tcPr>
          <w:p w14:paraId="414791CE">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压浆不饱满的，每条管违约金3000元。</w:t>
            </w:r>
          </w:p>
        </w:tc>
      </w:tr>
      <w:tr w14:paraId="06DB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9D48E96">
            <w:pPr>
              <w:pStyle w:val="68"/>
              <w:shd w:val="clear" w:fill="FFFFFF" w:themeFill="background1"/>
              <w:rPr>
                <w:rFonts w:ascii="宋体" w:hAnsi="宋体" w:cs="宋体"/>
                <w:color w:val="auto"/>
                <w:sz w:val="28"/>
                <w:szCs w:val="28"/>
                <w:highlight w:val="none"/>
              </w:rPr>
            </w:pPr>
          </w:p>
        </w:tc>
        <w:tc>
          <w:tcPr>
            <w:tcW w:w="518" w:type="dxa"/>
            <w:vAlign w:val="center"/>
          </w:tcPr>
          <w:p w14:paraId="1443680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20</w:t>
            </w:r>
          </w:p>
        </w:tc>
        <w:tc>
          <w:tcPr>
            <w:tcW w:w="8062" w:type="dxa"/>
            <w:vAlign w:val="center"/>
          </w:tcPr>
          <w:p w14:paraId="15D4451E">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预制、现浇砼构件必须采用足够强度、大面积的钢板制模板，违者每次违约金3000元。</w:t>
            </w:r>
          </w:p>
        </w:tc>
      </w:tr>
      <w:tr w14:paraId="5A32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6B73374">
            <w:pPr>
              <w:pStyle w:val="68"/>
              <w:shd w:val="clear" w:fill="FFFFFF" w:themeFill="background1"/>
              <w:rPr>
                <w:rFonts w:ascii="宋体" w:hAnsi="宋体" w:cs="宋体"/>
                <w:color w:val="auto"/>
                <w:sz w:val="28"/>
                <w:szCs w:val="28"/>
                <w:highlight w:val="none"/>
              </w:rPr>
            </w:pPr>
          </w:p>
        </w:tc>
        <w:tc>
          <w:tcPr>
            <w:tcW w:w="518" w:type="dxa"/>
            <w:vAlign w:val="center"/>
          </w:tcPr>
          <w:p w14:paraId="6BD96B5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21</w:t>
            </w:r>
          </w:p>
        </w:tc>
        <w:tc>
          <w:tcPr>
            <w:tcW w:w="8062" w:type="dxa"/>
            <w:vAlign w:val="center"/>
          </w:tcPr>
          <w:p w14:paraId="71C990E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结构物外观质量不符合要求而需修补的，必须作好修补方案，经试验确实可行，并经发包人和监理人检查同意后，才能采取修整补救措施，无法进行补救的则以“推倒重来”为原则。如有违反，每次违约金3000元。</w:t>
            </w:r>
          </w:p>
        </w:tc>
      </w:tr>
      <w:tr w14:paraId="33BD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9633F9A">
            <w:pPr>
              <w:pStyle w:val="68"/>
              <w:shd w:val="clear" w:fill="FFFFFF" w:themeFill="background1"/>
              <w:rPr>
                <w:rFonts w:ascii="宋体" w:hAnsi="宋体" w:cs="宋体"/>
                <w:color w:val="auto"/>
                <w:sz w:val="28"/>
                <w:szCs w:val="28"/>
                <w:highlight w:val="none"/>
              </w:rPr>
            </w:pPr>
          </w:p>
        </w:tc>
        <w:tc>
          <w:tcPr>
            <w:tcW w:w="518" w:type="dxa"/>
            <w:vAlign w:val="center"/>
          </w:tcPr>
          <w:p w14:paraId="2A444D9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22</w:t>
            </w:r>
          </w:p>
        </w:tc>
        <w:tc>
          <w:tcPr>
            <w:tcW w:w="8062" w:type="dxa"/>
            <w:vAlign w:val="center"/>
          </w:tcPr>
          <w:p w14:paraId="67F6096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各标段第一根立柱、盖梁和第一段防撞栏必须经发包人和监理人检查外观质量合格后，方可进行第二根立柱、盖梁和第二段防撞栏的施工，违者每次违约金5000元</w:t>
            </w:r>
          </w:p>
        </w:tc>
      </w:tr>
      <w:tr w14:paraId="1047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519" w:type="dxa"/>
            <w:vMerge w:val="continue"/>
          </w:tcPr>
          <w:p w14:paraId="0D17BB4B">
            <w:pPr>
              <w:pStyle w:val="68"/>
              <w:shd w:val="clear" w:fill="FFFFFF" w:themeFill="background1"/>
              <w:rPr>
                <w:rFonts w:ascii="宋体" w:hAnsi="宋体" w:cs="宋体"/>
                <w:color w:val="auto"/>
                <w:sz w:val="28"/>
                <w:szCs w:val="28"/>
                <w:highlight w:val="none"/>
              </w:rPr>
            </w:pPr>
          </w:p>
        </w:tc>
        <w:tc>
          <w:tcPr>
            <w:tcW w:w="518" w:type="dxa"/>
            <w:vAlign w:val="center"/>
          </w:tcPr>
          <w:p w14:paraId="5BE2D30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23</w:t>
            </w:r>
          </w:p>
        </w:tc>
        <w:tc>
          <w:tcPr>
            <w:tcW w:w="8062" w:type="dxa"/>
            <w:vAlign w:val="center"/>
          </w:tcPr>
          <w:p w14:paraId="6653904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结构标高尺寸误差超出规范允许值，每处违约金2000元。</w:t>
            </w:r>
          </w:p>
        </w:tc>
      </w:tr>
      <w:tr w14:paraId="5BAA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3F14142">
            <w:pPr>
              <w:pStyle w:val="68"/>
              <w:shd w:val="clear" w:fill="FFFFFF" w:themeFill="background1"/>
              <w:rPr>
                <w:rFonts w:ascii="宋体" w:hAnsi="宋体" w:cs="宋体"/>
                <w:color w:val="auto"/>
                <w:sz w:val="28"/>
                <w:szCs w:val="28"/>
                <w:highlight w:val="none"/>
              </w:rPr>
            </w:pPr>
          </w:p>
        </w:tc>
        <w:tc>
          <w:tcPr>
            <w:tcW w:w="518" w:type="dxa"/>
            <w:vAlign w:val="center"/>
          </w:tcPr>
          <w:p w14:paraId="0A4BD07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24</w:t>
            </w:r>
          </w:p>
        </w:tc>
        <w:tc>
          <w:tcPr>
            <w:tcW w:w="8062" w:type="dxa"/>
            <w:vAlign w:val="center"/>
          </w:tcPr>
          <w:p w14:paraId="26A0D85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桥面铺装应符合路面的要求，其强度、厚度、平整度、横坡、抗滑构造深度均应符合要求；桥面与伸缩缝的缝面必须结合良好，保证平整，违者每处违约金2000元。</w:t>
            </w:r>
          </w:p>
        </w:tc>
      </w:tr>
      <w:tr w14:paraId="65E4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40782BD">
            <w:pPr>
              <w:pStyle w:val="68"/>
              <w:shd w:val="clear" w:fill="FFFFFF" w:themeFill="background1"/>
              <w:rPr>
                <w:rFonts w:ascii="宋体" w:hAnsi="宋体" w:cs="宋体"/>
                <w:color w:val="auto"/>
                <w:sz w:val="28"/>
                <w:szCs w:val="28"/>
                <w:highlight w:val="none"/>
              </w:rPr>
            </w:pPr>
          </w:p>
        </w:tc>
        <w:tc>
          <w:tcPr>
            <w:tcW w:w="518" w:type="dxa"/>
            <w:vAlign w:val="center"/>
          </w:tcPr>
          <w:p w14:paraId="5AC4262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25</w:t>
            </w:r>
          </w:p>
        </w:tc>
        <w:tc>
          <w:tcPr>
            <w:tcW w:w="8062" w:type="dxa"/>
            <w:vAlign w:val="center"/>
          </w:tcPr>
          <w:p w14:paraId="11F8217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达不到以下要求的，每处违约金2000元：</w:t>
            </w:r>
          </w:p>
          <w:p w14:paraId="7EDFA582">
            <w:pPr>
              <w:pStyle w:val="68"/>
              <w:numPr>
                <w:ilvl w:val="0"/>
                <w:numId w:val="19"/>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钢模板大面平整、坚固，板面缝隙小，错台不大于lmm；</w:t>
            </w:r>
          </w:p>
          <w:p w14:paraId="3F0E0F9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在盖梁浇筑前，立柱应用薄膜包裹，并用胶布密封固定，防止漏浆损坏立柱外观质量；裸露在砼外的结构钢筋或施工用的临时钢构件，时间需超过一个月，必须采取防锈措施(包裹或油漆)。</w:t>
            </w:r>
          </w:p>
        </w:tc>
      </w:tr>
      <w:tr w14:paraId="31043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67AC8A6">
            <w:pPr>
              <w:pStyle w:val="68"/>
              <w:shd w:val="clear" w:fill="FFFFFF" w:themeFill="background1"/>
              <w:rPr>
                <w:rFonts w:ascii="宋体" w:hAnsi="宋体" w:cs="宋体"/>
                <w:color w:val="auto"/>
                <w:sz w:val="28"/>
                <w:szCs w:val="28"/>
                <w:highlight w:val="none"/>
              </w:rPr>
            </w:pPr>
          </w:p>
        </w:tc>
        <w:tc>
          <w:tcPr>
            <w:tcW w:w="518" w:type="dxa"/>
            <w:vAlign w:val="center"/>
          </w:tcPr>
          <w:p w14:paraId="1C6C5A2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26</w:t>
            </w:r>
          </w:p>
        </w:tc>
        <w:tc>
          <w:tcPr>
            <w:tcW w:w="8062" w:type="dxa"/>
            <w:vAlign w:val="center"/>
          </w:tcPr>
          <w:p w14:paraId="7A17BEDD">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伸缩缝施工出现下列情况，违者每次或每处违约金2000元：</w:t>
            </w:r>
          </w:p>
          <w:p w14:paraId="54A289F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（1)伸缩缝位置必须保证满足设计要求，安装时必须按气温来确定安装宽度；</w:t>
            </w:r>
          </w:p>
          <w:p w14:paraId="6CC6237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（2)预留槽口底面的砼必须密实、平整；在填充前必须保证干净，不得有杂物；</w:t>
            </w:r>
          </w:p>
          <w:p w14:paraId="139BF63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（3)预埋钢筋未按设计要求预埋。</w:t>
            </w:r>
          </w:p>
        </w:tc>
      </w:tr>
      <w:tr w14:paraId="35DA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0E4845F">
            <w:pPr>
              <w:pStyle w:val="68"/>
              <w:shd w:val="clear" w:fill="FFFFFF" w:themeFill="background1"/>
              <w:rPr>
                <w:rFonts w:ascii="宋体" w:hAnsi="宋体" w:cs="宋体"/>
                <w:color w:val="auto"/>
                <w:sz w:val="28"/>
                <w:szCs w:val="28"/>
                <w:highlight w:val="none"/>
              </w:rPr>
            </w:pPr>
          </w:p>
        </w:tc>
        <w:tc>
          <w:tcPr>
            <w:tcW w:w="518" w:type="dxa"/>
            <w:vAlign w:val="center"/>
          </w:tcPr>
          <w:p w14:paraId="5AC1565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27</w:t>
            </w:r>
          </w:p>
        </w:tc>
        <w:tc>
          <w:tcPr>
            <w:tcW w:w="8062" w:type="dxa"/>
            <w:vAlign w:val="center"/>
          </w:tcPr>
          <w:p w14:paraId="49DD478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支座垫石标高误差超过±5mm，表面不清洁、不平整，有脱空松动的，每处违约金 2000元。</w:t>
            </w:r>
          </w:p>
        </w:tc>
      </w:tr>
      <w:tr w14:paraId="208C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E85A388">
            <w:pPr>
              <w:pStyle w:val="68"/>
              <w:shd w:val="clear" w:fill="FFFFFF" w:themeFill="background1"/>
              <w:rPr>
                <w:rFonts w:ascii="宋体" w:hAnsi="宋体" w:cs="宋体"/>
                <w:color w:val="auto"/>
                <w:sz w:val="28"/>
                <w:szCs w:val="28"/>
                <w:highlight w:val="none"/>
              </w:rPr>
            </w:pPr>
          </w:p>
        </w:tc>
        <w:tc>
          <w:tcPr>
            <w:tcW w:w="518" w:type="dxa"/>
            <w:vAlign w:val="center"/>
          </w:tcPr>
          <w:p w14:paraId="4FEAB3B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28</w:t>
            </w:r>
          </w:p>
        </w:tc>
        <w:tc>
          <w:tcPr>
            <w:tcW w:w="8062" w:type="dxa"/>
            <w:vAlign w:val="center"/>
          </w:tcPr>
          <w:p w14:paraId="417EE56D">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检测发现混凝土强度不合格的构件，每处违约金 10000 元。</w:t>
            </w:r>
          </w:p>
        </w:tc>
      </w:tr>
      <w:tr w14:paraId="3FCE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4CB5C79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路</w:t>
            </w:r>
          </w:p>
          <w:p w14:paraId="4CDA597E">
            <w:pPr>
              <w:pStyle w:val="68"/>
              <w:shd w:val="clear" w:fill="FFFFFF" w:themeFill="background1"/>
              <w:jc w:val="center"/>
              <w:rPr>
                <w:rFonts w:ascii="宋体" w:hAnsi="宋体" w:cs="宋体"/>
                <w:color w:val="auto"/>
                <w:sz w:val="28"/>
                <w:szCs w:val="28"/>
                <w:highlight w:val="none"/>
              </w:rPr>
            </w:pPr>
            <w:r>
              <w:rPr>
                <w:rFonts w:hint="eastAsia" w:ascii="宋体" w:hAnsi="宋体" w:cs="宋体"/>
                <w:color w:val="auto"/>
                <w:sz w:val="24"/>
                <w:highlight w:val="none"/>
              </w:rPr>
              <w:t>面工程</w:t>
            </w:r>
          </w:p>
        </w:tc>
        <w:tc>
          <w:tcPr>
            <w:tcW w:w="518" w:type="dxa"/>
            <w:vAlign w:val="center"/>
          </w:tcPr>
          <w:p w14:paraId="0E8979D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vAlign w:val="center"/>
          </w:tcPr>
          <w:p w14:paraId="1B759855">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路面基层必须碾压密实，表面干燥、清洁、无浮土，平整度和路拱度符合要求，违者每处违约金2000元。</w:t>
            </w:r>
          </w:p>
        </w:tc>
      </w:tr>
      <w:tr w14:paraId="1C55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vAlign w:val="center"/>
          </w:tcPr>
          <w:p w14:paraId="49B838E0">
            <w:pPr>
              <w:pStyle w:val="68"/>
              <w:shd w:val="clear" w:fill="FFFFFF" w:themeFill="background1"/>
              <w:jc w:val="center"/>
              <w:rPr>
                <w:rFonts w:ascii="宋体" w:hAnsi="宋体" w:cs="宋体"/>
                <w:color w:val="auto"/>
                <w:sz w:val="24"/>
                <w:highlight w:val="none"/>
              </w:rPr>
            </w:pPr>
          </w:p>
        </w:tc>
        <w:tc>
          <w:tcPr>
            <w:tcW w:w="518" w:type="dxa"/>
            <w:vAlign w:val="center"/>
          </w:tcPr>
          <w:p w14:paraId="2B690F1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vAlign w:val="center"/>
          </w:tcPr>
          <w:p w14:paraId="7BD99440">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水泥砼路面存在下列问题的，每处违约金1,000元：</w:t>
            </w:r>
          </w:p>
          <w:p w14:paraId="3ABB336D">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（1)粗细骨料不符合设计要求；</w:t>
            </w:r>
          </w:p>
          <w:p w14:paraId="3C676A2C">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（2)基层和底基层压实度没有≥98%，表面坑洼，明显离析；</w:t>
            </w:r>
          </w:p>
          <w:p w14:paraId="6DC04415">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（3)基层和底基层没有清理杂物，有浮土；</w:t>
            </w:r>
          </w:p>
          <w:p w14:paraId="2B1DAF9A">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（4)砼养生不及时；</w:t>
            </w:r>
          </w:p>
          <w:p w14:paraId="558D7DAF">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（5)膨胀传力杆活动端与固定端方向没有相反；</w:t>
            </w:r>
          </w:p>
          <w:p w14:paraId="5080E659">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（6)接缝填充料没有饱满或用料不符合设计要求。</w:t>
            </w:r>
          </w:p>
        </w:tc>
      </w:tr>
      <w:tr w14:paraId="7132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vAlign w:val="center"/>
          </w:tcPr>
          <w:p w14:paraId="4F2AC234">
            <w:pPr>
              <w:pStyle w:val="68"/>
              <w:shd w:val="clear" w:fill="FFFFFF" w:themeFill="background1"/>
              <w:jc w:val="center"/>
              <w:rPr>
                <w:rFonts w:ascii="宋体" w:hAnsi="宋体" w:cs="宋体"/>
                <w:color w:val="auto"/>
                <w:sz w:val="24"/>
                <w:highlight w:val="none"/>
              </w:rPr>
            </w:pPr>
          </w:p>
        </w:tc>
        <w:tc>
          <w:tcPr>
            <w:tcW w:w="518" w:type="dxa"/>
            <w:vAlign w:val="center"/>
          </w:tcPr>
          <w:p w14:paraId="4C635A2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vAlign w:val="center"/>
          </w:tcPr>
          <w:p w14:paraId="1047BC4B">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水泥砼路面检测发现混凝土强度不合格的构件，每处违约金 10000 元。</w:t>
            </w:r>
          </w:p>
        </w:tc>
      </w:tr>
      <w:tr w14:paraId="7D9C8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0CA2A0C">
            <w:pPr>
              <w:pStyle w:val="68"/>
              <w:shd w:val="clear" w:fill="FFFFFF" w:themeFill="background1"/>
              <w:rPr>
                <w:rFonts w:ascii="宋体" w:hAnsi="宋体" w:cs="宋体"/>
                <w:color w:val="auto"/>
                <w:sz w:val="28"/>
                <w:szCs w:val="28"/>
                <w:highlight w:val="none"/>
              </w:rPr>
            </w:pPr>
          </w:p>
        </w:tc>
        <w:tc>
          <w:tcPr>
            <w:tcW w:w="518" w:type="dxa"/>
            <w:vAlign w:val="center"/>
          </w:tcPr>
          <w:p w14:paraId="3BA06A3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vAlign w:val="center"/>
          </w:tcPr>
          <w:p w14:paraId="76ED93DC">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沥青路面存在以下问题的，每处违约金 10000-50000 元：</w:t>
            </w:r>
          </w:p>
          <w:p w14:paraId="0DF6551F">
            <w:pPr>
              <w:pStyle w:val="68"/>
              <w:widowControl/>
              <w:numPr>
                <w:ilvl w:val="0"/>
                <w:numId w:val="20"/>
              </w:numPr>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沥青及矿料质量及混合料级配及混合料指标不符合要求的；</w:t>
            </w:r>
          </w:p>
          <w:p w14:paraId="3FEEF02A">
            <w:pPr>
              <w:pStyle w:val="68"/>
              <w:widowControl/>
              <w:numPr>
                <w:ilvl w:val="0"/>
                <w:numId w:val="20"/>
              </w:numPr>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沥青混合料的拌合温度、摊铺温度、碾压温度不符合规范或设计要求；</w:t>
            </w:r>
          </w:p>
          <w:p w14:paraId="182B65ED">
            <w:pPr>
              <w:pStyle w:val="68"/>
              <w:widowControl/>
              <w:numPr>
                <w:ilvl w:val="0"/>
                <w:numId w:val="20"/>
              </w:numPr>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沥青混合料的生产，未按要求做抽提实验、筛分试验、马歇尔实验；</w:t>
            </w:r>
          </w:p>
          <w:p w14:paraId="07FF49BC">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4）拌和后的混合料不均匀一致，有花白、粗细料分离和结团成块现象；</w:t>
            </w:r>
          </w:p>
          <w:p w14:paraId="63262A33">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5）路面不平整密实，有泛油、松散、裂缝和明显离析现象；</w:t>
            </w:r>
          </w:p>
          <w:p w14:paraId="3DD4D413">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6)面层施工前未按要求对基层裂缝进行处理；</w:t>
            </w:r>
          </w:p>
          <w:p w14:paraId="509EAB97">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7)面层和路缘石及其他构造物不密贴，有积水或漏水现象的；</w:t>
            </w:r>
          </w:p>
          <w:p w14:paraId="008A53DB">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8)运输车辆未采取保温措施，运输过程中不加帆布遮盖的；</w:t>
            </w:r>
          </w:p>
          <w:p w14:paraId="65F8CF35">
            <w:pPr>
              <w:pStyle w:val="68"/>
              <w:widowControl/>
              <w:numPr>
                <w:ilvl w:val="0"/>
                <w:numId w:val="21"/>
              </w:numPr>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下雨时摊铺，或雨后地面过湿而没有采取措施就摊铺的；</w:t>
            </w:r>
          </w:p>
          <w:p w14:paraId="39460D1F">
            <w:pPr>
              <w:pStyle w:val="68"/>
              <w:widowControl/>
              <w:numPr>
                <w:ilvl w:val="0"/>
                <w:numId w:val="21"/>
              </w:numPr>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纵横缝施工不符合规范要求的。</w:t>
            </w:r>
          </w:p>
        </w:tc>
      </w:tr>
      <w:tr w14:paraId="4985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7A032B29">
            <w:pPr>
              <w:pStyle w:val="68"/>
              <w:shd w:val="clear" w:fill="FFFFFF" w:themeFill="background1"/>
              <w:rPr>
                <w:rFonts w:ascii="宋体" w:hAnsi="宋体" w:cs="宋体"/>
                <w:color w:val="auto"/>
                <w:sz w:val="24"/>
                <w:highlight w:val="none"/>
              </w:rPr>
            </w:pPr>
          </w:p>
          <w:p w14:paraId="39B9A69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隧道</w:t>
            </w:r>
          </w:p>
          <w:p w14:paraId="1E689E4E">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工程</w:t>
            </w:r>
          </w:p>
        </w:tc>
        <w:tc>
          <w:tcPr>
            <w:tcW w:w="518" w:type="dxa"/>
            <w:vAlign w:val="center"/>
          </w:tcPr>
          <w:p w14:paraId="6CC55B1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vAlign w:val="center"/>
          </w:tcPr>
          <w:p w14:paraId="15C7C377">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隧道工程出现以下情况,每处违约金 2000 元：</w:t>
            </w:r>
          </w:p>
          <w:p w14:paraId="3C31A2B6">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(1)隧道工程应严格控制超欠挖，超挖时必须用同级等强度的砼或同级片石砼回填密实，不得用土石或洞渣回填，违者每次处违约金 2000 元；</w:t>
            </w:r>
          </w:p>
          <w:p w14:paraId="4001E2E6">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(2)周边收敛量测埋点、量测频率不符合规范，数据处理不及时每次违约金2000元。</w:t>
            </w:r>
          </w:p>
        </w:tc>
      </w:tr>
      <w:tr w14:paraId="42EBD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E3CFA2A">
            <w:pPr>
              <w:pStyle w:val="68"/>
              <w:shd w:val="clear" w:fill="FFFFFF" w:themeFill="background1"/>
              <w:rPr>
                <w:rFonts w:ascii="宋体" w:hAnsi="宋体" w:cs="宋体"/>
                <w:color w:val="auto"/>
                <w:sz w:val="24"/>
                <w:highlight w:val="none"/>
              </w:rPr>
            </w:pPr>
          </w:p>
        </w:tc>
        <w:tc>
          <w:tcPr>
            <w:tcW w:w="518" w:type="dxa"/>
            <w:vAlign w:val="center"/>
          </w:tcPr>
          <w:p w14:paraId="60B124E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vAlign w:val="center"/>
          </w:tcPr>
          <w:p w14:paraId="4E2FB88A">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隧道工程出现以下情况,每处违约金 1000 元：</w:t>
            </w:r>
          </w:p>
          <w:p w14:paraId="04DFC237">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(1)防水板破损穿孔、搭接漏焊；</w:t>
            </w:r>
          </w:p>
          <w:p w14:paraId="7E1D6E27">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(2)防水板漏水；</w:t>
            </w:r>
          </w:p>
          <w:p w14:paraId="40DCD53A">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(3)锚垫板未按要求施工；</w:t>
            </w:r>
          </w:p>
          <w:p w14:paraId="47490A1E">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(4)没有按要求进行光面爆破；</w:t>
            </w:r>
          </w:p>
          <w:p w14:paraId="7413013B">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(5)洞内装修工程未达到设计要求，没有保持线形平顺，误差超过 1cm；</w:t>
            </w:r>
          </w:p>
          <w:p w14:paraId="2F07978E">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(6)排水管没有保持畅通，出现渗水、滴水现象；</w:t>
            </w:r>
          </w:p>
          <w:p w14:paraId="1388393A">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(7)二次衬砌台车刚度不够，施工缝接合处理不好；</w:t>
            </w:r>
          </w:p>
          <w:p w14:paraId="7B6266AE">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(8）通风、照明、防尘措施、运行不符合要求；</w:t>
            </w:r>
          </w:p>
          <w:p w14:paraId="2E730D36">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(9）钢拱架与隔栅定位不合设计要求。</w:t>
            </w:r>
          </w:p>
        </w:tc>
      </w:tr>
      <w:tr w14:paraId="6E42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DE4E988">
            <w:pPr>
              <w:pStyle w:val="68"/>
              <w:shd w:val="clear" w:fill="FFFFFF" w:themeFill="background1"/>
              <w:rPr>
                <w:rFonts w:ascii="宋体" w:hAnsi="宋体" w:cs="宋体"/>
                <w:color w:val="auto"/>
                <w:sz w:val="24"/>
                <w:highlight w:val="none"/>
              </w:rPr>
            </w:pPr>
          </w:p>
        </w:tc>
        <w:tc>
          <w:tcPr>
            <w:tcW w:w="518" w:type="dxa"/>
            <w:vAlign w:val="center"/>
          </w:tcPr>
          <w:p w14:paraId="12E50A4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vAlign w:val="center"/>
          </w:tcPr>
          <w:p w14:paraId="72B3FA02">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隧道施工中承包人应加强监控量测，监控量测应达到指导施工、确保安全、为确定支护参数服务的目的。监控量测发现问题应采取紧急措施避免事态发展，若监控量测失职造成不良后果由进行监控的单位自负，并处以 10000 元/次的违约金。</w:t>
            </w:r>
          </w:p>
        </w:tc>
      </w:tr>
      <w:tr w14:paraId="5971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D281C97">
            <w:pPr>
              <w:pStyle w:val="68"/>
              <w:shd w:val="clear" w:fill="FFFFFF" w:themeFill="background1"/>
              <w:rPr>
                <w:rFonts w:ascii="宋体" w:hAnsi="宋体" w:cs="宋体"/>
                <w:color w:val="auto"/>
                <w:sz w:val="24"/>
                <w:highlight w:val="none"/>
              </w:rPr>
            </w:pPr>
          </w:p>
        </w:tc>
        <w:tc>
          <w:tcPr>
            <w:tcW w:w="518" w:type="dxa"/>
            <w:vAlign w:val="center"/>
          </w:tcPr>
          <w:p w14:paraId="6A3DDF3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vAlign w:val="center"/>
          </w:tcPr>
          <w:p w14:paraId="5B451E0F">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隧道开挖应采用“短进尺、少扰动、早喷锚、紧封闭”的原则，开挖及支护严格按技术规范规定进行控制，避免造成坍塌。若延误支护或初期支护超过规定的距离，由此带来的后果由承包人自负，并处以 10000 元的违约金。</w:t>
            </w:r>
          </w:p>
        </w:tc>
      </w:tr>
      <w:tr w14:paraId="5ADF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2DD035D">
            <w:pPr>
              <w:pStyle w:val="68"/>
              <w:shd w:val="clear" w:fill="FFFFFF" w:themeFill="background1"/>
              <w:rPr>
                <w:rFonts w:ascii="宋体" w:hAnsi="宋体" w:cs="宋体"/>
                <w:color w:val="auto"/>
                <w:sz w:val="24"/>
                <w:highlight w:val="none"/>
              </w:rPr>
            </w:pPr>
          </w:p>
        </w:tc>
        <w:tc>
          <w:tcPr>
            <w:tcW w:w="518" w:type="dxa"/>
            <w:vAlign w:val="center"/>
          </w:tcPr>
          <w:p w14:paraId="6B169E4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62" w:type="dxa"/>
            <w:vAlign w:val="center"/>
          </w:tcPr>
          <w:p w14:paraId="44C92E43">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隧道开挖应满足隧道净空及衬砌厚度的要求，控制超挖，严禁欠挖，不许有超限突石。一经发现，处以承包人 1000 元--10000 元的违约金，并要求处理合格。</w:t>
            </w:r>
          </w:p>
        </w:tc>
      </w:tr>
      <w:tr w14:paraId="0F46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C065805">
            <w:pPr>
              <w:pStyle w:val="68"/>
              <w:shd w:val="clear" w:fill="FFFFFF" w:themeFill="background1"/>
              <w:rPr>
                <w:rFonts w:ascii="宋体" w:hAnsi="宋体" w:cs="宋体"/>
                <w:color w:val="auto"/>
                <w:sz w:val="24"/>
                <w:highlight w:val="none"/>
              </w:rPr>
            </w:pPr>
          </w:p>
        </w:tc>
        <w:tc>
          <w:tcPr>
            <w:tcW w:w="518" w:type="dxa"/>
            <w:vAlign w:val="center"/>
          </w:tcPr>
          <w:p w14:paraId="3F5238C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8062" w:type="dxa"/>
            <w:vAlign w:val="center"/>
          </w:tcPr>
          <w:p w14:paraId="67A2A6AC">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隧道拱墙范围内的超挖，要求用与拱圈同级强度的混凝土一次回填密实，衬砌背后的支撑块或其他杂物应清除干净，并按要求填塞紧密，否则，对承包人处以 10000 元的违约金。</w:t>
            </w:r>
          </w:p>
        </w:tc>
      </w:tr>
      <w:tr w14:paraId="188A4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F9082B3">
            <w:pPr>
              <w:pStyle w:val="68"/>
              <w:shd w:val="clear" w:fill="FFFFFF" w:themeFill="background1"/>
              <w:rPr>
                <w:rFonts w:ascii="宋体" w:hAnsi="宋体" w:cs="宋体"/>
                <w:color w:val="auto"/>
                <w:sz w:val="28"/>
                <w:szCs w:val="28"/>
                <w:highlight w:val="none"/>
              </w:rPr>
            </w:pPr>
          </w:p>
        </w:tc>
        <w:tc>
          <w:tcPr>
            <w:tcW w:w="518" w:type="dxa"/>
            <w:vAlign w:val="center"/>
          </w:tcPr>
          <w:p w14:paraId="5C669B8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8062" w:type="dxa"/>
            <w:vAlign w:val="center"/>
          </w:tcPr>
          <w:p w14:paraId="3B83D259">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衬砌混凝土强度应满足设计及《公路工程质量检验评定标准》要求，否则，除要求及时采取措施处理外，并处以承包人 10000 元的违约金。</w:t>
            </w:r>
          </w:p>
        </w:tc>
      </w:tr>
      <w:tr w14:paraId="4BC7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81E57D9">
            <w:pPr>
              <w:pStyle w:val="68"/>
              <w:shd w:val="clear" w:fill="FFFFFF" w:themeFill="background1"/>
              <w:rPr>
                <w:rFonts w:ascii="宋体" w:hAnsi="宋体" w:cs="宋体"/>
                <w:color w:val="auto"/>
                <w:sz w:val="28"/>
                <w:szCs w:val="28"/>
                <w:highlight w:val="none"/>
              </w:rPr>
            </w:pPr>
          </w:p>
        </w:tc>
        <w:tc>
          <w:tcPr>
            <w:tcW w:w="518" w:type="dxa"/>
            <w:vAlign w:val="center"/>
          </w:tcPr>
          <w:p w14:paraId="3D30925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8062" w:type="dxa"/>
            <w:vAlign w:val="center"/>
          </w:tcPr>
          <w:p w14:paraId="695611C3">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不按照施工技术规范、施工图纸进行施工，偷工减料、粗制滥造的，一经查实，违约处理。锚杆少打或锚杆长度不够，每根处以违约金 500 元。格栅拱架（或钢拱架）每少安一榀处以违约金 5000 元；间距超过设计，在允许误差以外，每超过 1 厘米处以违约金 500 元。</w:t>
            </w:r>
          </w:p>
        </w:tc>
      </w:tr>
      <w:tr w14:paraId="0F57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D516E24">
            <w:pPr>
              <w:pStyle w:val="68"/>
              <w:shd w:val="clear" w:fill="FFFFFF" w:themeFill="background1"/>
              <w:rPr>
                <w:rFonts w:ascii="宋体" w:hAnsi="宋体" w:cs="宋体"/>
                <w:color w:val="auto"/>
                <w:sz w:val="28"/>
                <w:szCs w:val="28"/>
                <w:highlight w:val="none"/>
              </w:rPr>
            </w:pPr>
          </w:p>
        </w:tc>
        <w:tc>
          <w:tcPr>
            <w:tcW w:w="518" w:type="dxa"/>
            <w:vAlign w:val="center"/>
          </w:tcPr>
          <w:p w14:paraId="64ADEED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8062" w:type="dxa"/>
            <w:vAlign w:val="center"/>
          </w:tcPr>
          <w:p w14:paraId="78F3800B">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小导管、大管棚每少打一根（或长度不够）分别处以违约金 2000 元-5000 元。其他偷工减料现象可根据具体情况处以 500 元-2000 元违约金。格栅拱架不垂直处以违约金 500 元/榀，并需按要求处理至监理人认可为止。</w:t>
            </w:r>
          </w:p>
        </w:tc>
      </w:tr>
      <w:tr w14:paraId="6EEA8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FB46BFB">
            <w:pPr>
              <w:pStyle w:val="68"/>
              <w:shd w:val="clear" w:fill="FFFFFF" w:themeFill="background1"/>
              <w:rPr>
                <w:rFonts w:ascii="宋体" w:hAnsi="宋体" w:cs="宋体"/>
                <w:color w:val="auto"/>
                <w:sz w:val="28"/>
                <w:szCs w:val="28"/>
                <w:highlight w:val="none"/>
              </w:rPr>
            </w:pPr>
          </w:p>
        </w:tc>
        <w:tc>
          <w:tcPr>
            <w:tcW w:w="518" w:type="dxa"/>
            <w:vAlign w:val="center"/>
          </w:tcPr>
          <w:p w14:paraId="2037C3E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w:t>
            </w:r>
          </w:p>
        </w:tc>
        <w:tc>
          <w:tcPr>
            <w:tcW w:w="8062" w:type="dxa"/>
            <w:vAlign w:val="center"/>
          </w:tcPr>
          <w:p w14:paraId="78F80975">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隧道洞身施工完毕后，不得出现渗水、漏水现象，如出现以上问题，除要求施工单位予以补救外，处以 5000 元/处的违约金。</w:t>
            </w:r>
          </w:p>
        </w:tc>
      </w:tr>
      <w:tr w14:paraId="34F3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4DC2524">
            <w:pPr>
              <w:pStyle w:val="68"/>
              <w:shd w:val="clear" w:fill="FFFFFF" w:themeFill="background1"/>
              <w:rPr>
                <w:rFonts w:ascii="宋体" w:hAnsi="宋体" w:cs="宋体"/>
                <w:color w:val="auto"/>
                <w:sz w:val="28"/>
                <w:szCs w:val="28"/>
                <w:highlight w:val="none"/>
              </w:rPr>
            </w:pPr>
          </w:p>
        </w:tc>
        <w:tc>
          <w:tcPr>
            <w:tcW w:w="518" w:type="dxa"/>
            <w:vAlign w:val="center"/>
          </w:tcPr>
          <w:p w14:paraId="6260400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11</w:t>
            </w:r>
          </w:p>
        </w:tc>
        <w:tc>
          <w:tcPr>
            <w:tcW w:w="8062" w:type="dxa"/>
            <w:vAlign w:val="center"/>
          </w:tcPr>
          <w:p w14:paraId="2292E4D0">
            <w:pPr>
              <w:pStyle w:val="68"/>
              <w:widowControl/>
              <w:shd w:val="clear" w:fill="FFFFFF" w:themeFill="background1"/>
              <w:rPr>
                <w:rFonts w:ascii="宋体" w:hAnsi="宋体" w:cs="宋体"/>
                <w:color w:val="auto"/>
                <w:kern w:val="0"/>
                <w:sz w:val="24"/>
                <w:highlight w:val="none"/>
              </w:rPr>
            </w:pPr>
            <w:r>
              <w:rPr>
                <w:rFonts w:hint="eastAsia" w:ascii="宋体" w:hAnsi="宋体" w:cs="宋体"/>
                <w:color w:val="auto"/>
                <w:kern w:val="0"/>
                <w:sz w:val="24"/>
                <w:highlight w:val="none"/>
              </w:rPr>
              <w:t>按照规范，隧道作业未开启通风设备的违约金 10000 元/次。</w:t>
            </w:r>
          </w:p>
        </w:tc>
      </w:tr>
      <w:tr w14:paraId="320B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tcPr>
          <w:p w14:paraId="3242631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绿化工程</w:t>
            </w:r>
          </w:p>
        </w:tc>
        <w:tc>
          <w:tcPr>
            <w:tcW w:w="518" w:type="dxa"/>
            <w:vAlign w:val="center"/>
          </w:tcPr>
          <w:p w14:paraId="683173D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vAlign w:val="center"/>
          </w:tcPr>
          <w:p w14:paraId="7F890CAD">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如果绿化工程质量不合格或造成质量隐患，按以下标准对承包人进行违约金：以清单单位为违约金依据，即1000元／丛、1000元／株、500元／㎡、500元／t以及10000元／个等。</w:t>
            </w:r>
          </w:p>
        </w:tc>
      </w:tr>
      <w:tr w14:paraId="4532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6984F73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安全生产</w:t>
            </w:r>
          </w:p>
        </w:tc>
        <w:tc>
          <w:tcPr>
            <w:tcW w:w="518" w:type="dxa"/>
            <w:vAlign w:val="center"/>
          </w:tcPr>
          <w:p w14:paraId="4CED7B0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vAlign w:val="center"/>
          </w:tcPr>
          <w:p w14:paraId="38EAA60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桥梁施工现场及构件预制场、钢筋加工场、搅拌站、施工驻地须悬挂安全生产标牌，违者每处违约金l000元。</w:t>
            </w:r>
          </w:p>
        </w:tc>
      </w:tr>
      <w:tr w14:paraId="3369A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22A33E7">
            <w:pPr>
              <w:pStyle w:val="68"/>
              <w:shd w:val="clear" w:fill="FFFFFF" w:themeFill="background1"/>
              <w:rPr>
                <w:rFonts w:ascii="宋体" w:hAnsi="宋体" w:cs="宋体"/>
                <w:color w:val="auto"/>
                <w:sz w:val="28"/>
                <w:szCs w:val="28"/>
                <w:highlight w:val="none"/>
              </w:rPr>
            </w:pPr>
          </w:p>
        </w:tc>
        <w:tc>
          <w:tcPr>
            <w:tcW w:w="518" w:type="dxa"/>
            <w:vAlign w:val="center"/>
          </w:tcPr>
          <w:p w14:paraId="64199B2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vAlign w:val="center"/>
          </w:tcPr>
          <w:p w14:paraId="37A1A7BF">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基坑开挖未有效围护的，桩孔施工后未加盖的，每处违约金1000元。</w:t>
            </w:r>
          </w:p>
        </w:tc>
      </w:tr>
      <w:tr w14:paraId="6E06E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803FBFB">
            <w:pPr>
              <w:pStyle w:val="68"/>
              <w:shd w:val="clear" w:fill="FFFFFF" w:themeFill="background1"/>
              <w:rPr>
                <w:rFonts w:ascii="宋体" w:hAnsi="宋体" w:cs="宋体"/>
                <w:color w:val="auto"/>
                <w:sz w:val="28"/>
                <w:szCs w:val="28"/>
                <w:highlight w:val="none"/>
              </w:rPr>
            </w:pPr>
          </w:p>
        </w:tc>
        <w:tc>
          <w:tcPr>
            <w:tcW w:w="518" w:type="dxa"/>
            <w:vAlign w:val="center"/>
          </w:tcPr>
          <w:p w14:paraId="13FE25A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vAlign w:val="center"/>
          </w:tcPr>
          <w:p w14:paraId="121EE47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电力线路架设零乱不牢固；电源线老化、绝缘损坏、接头处无包扎的；使用花线或劣质电线；不设电箱、漏电开关；施工现场未设安全警示牌，每处违约金1000元。</w:t>
            </w:r>
          </w:p>
        </w:tc>
      </w:tr>
      <w:tr w14:paraId="6ADE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B7681F9">
            <w:pPr>
              <w:pStyle w:val="68"/>
              <w:shd w:val="clear" w:fill="FFFFFF" w:themeFill="background1"/>
              <w:rPr>
                <w:rFonts w:ascii="宋体" w:hAnsi="宋体" w:cs="宋体"/>
                <w:color w:val="auto"/>
                <w:sz w:val="28"/>
                <w:szCs w:val="28"/>
                <w:highlight w:val="none"/>
              </w:rPr>
            </w:pPr>
          </w:p>
        </w:tc>
        <w:tc>
          <w:tcPr>
            <w:tcW w:w="518" w:type="dxa"/>
            <w:vAlign w:val="center"/>
          </w:tcPr>
          <w:p w14:paraId="1A7949C7">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vAlign w:val="center"/>
          </w:tcPr>
          <w:p w14:paraId="326AB24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高空作业未设置稳固爬梯；不设围栏、安全网，每处违约金l000元。</w:t>
            </w:r>
          </w:p>
        </w:tc>
      </w:tr>
      <w:tr w14:paraId="3FEA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47B7756">
            <w:pPr>
              <w:pStyle w:val="68"/>
              <w:shd w:val="clear" w:fill="FFFFFF" w:themeFill="background1"/>
              <w:rPr>
                <w:rFonts w:ascii="宋体" w:hAnsi="宋体" w:cs="宋体"/>
                <w:color w:val="auto"/>
                <w:sz w:val="28"/>
                <w:szCs w:val="28"/>
                <w:highlight w:val="none"/>
              </w:rPr>
            </w:pPr>
          </w:p>
        </w:tc>
        <w:tc>
          <w:tcPr>
            <w:tcW w:w="518" w:type="dxa"/>
            <w:vAlign w:val="center"/>
          </w:tcPr>
          <w:p w14:paraId="0DE654F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62" w:type="dxa"/>
            <w:vAlign w:val="center"/>
          </w:tcPr>
          <w:p w14:paraId="4D112710">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爆破作业应按批准的爆破方案及施工安全技术规程的要求进行，并对人身、工程本身及所有财产采取保护措施，违者每次违约金2000元。</w:t>
            </w:r>
          </w:p>
        </w:tc>
      </w:tr>
      <w:tr w14:paraId="74119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85CD0CA">
            <w:pPr>
              <w:pStyle w:val="68"/>
              <w:shd w:val="clear" w:fill="FFFFFF" w:themeFill="background1"/>
              <w:rPr>
                <w:rFonts w:ascii="宋体" w:hAnsi="宋体" w:cs="宋体"/>
                <w:color w:val="auto"/>
                <w:sz w:val="28"/>
                <w:szCs w:val="28"/>
                <w:highlight w:val="none"/>
              </w:rPr>
            </w:pPr>
          </w:p>
        </w:tc>
        <w:tc>
          <w:tcPr>
            <w:tcW w:w="518" w:type="dxa"/>
            <w:vAlign w:val="center"/>
          </w:tcPr>
          <w:p w14:paraId="3E8E15E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8062" w:type="dxa"/>
            <w:vAlign w:val="center"/>
          </w:tcPr>
          <w:p w14:paraId="505B805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 xml:space="preserve">爆破器材设专人保管，严格领用手续，违者每次违约金2000元。  </w:t>
            </w:r>
          </w:p>
        </w:tc>
      </w:tr>
      <w:tr w14:paraId="1705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FD3CFE0">
            <w:pPr>
              <w:pStyle w:val="68"/>
              <w:shd w:val="clear" w:fill="FFFFFF" w:themeFill="background1"/>
              <w:rPr>
                <w:rFonts w:ascii="宋体" w:hAnsi="宋体" w:cs="宋体"/>
                <w:color w:val="auto"/>
                <w:sz w:val="28"/>
                <w:szCs w:val="28"/>
                <w:highlight w:val="none"/>
              </w:rPr>
            </w:pPr>
          </w:p>
        </w:tc>
        <w:tc>
          <w:tcPr>
            <w:tcW w:w="518" w:type="dxa"/>
            <w:vAlign w:val="center"/>
          </w:tcPr>
          <w:p w14:paraId="31FAD19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8062" w:type="dxa"/>
            <w:vAlign w:val="center"/>
          </w:tcPr>
          <w:p w14:paraId="2D1B453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对于安全风险大的高空作业、梁板吊装，要求制订安全预案，违者每次违约金2000元。</w:t>
            </w:r>
          </w:p>
        </w:tc>
      </w:tr>
      <w:tr w14:paraId="55D7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9C12962">
            <w:pPr>
              <w:pStyle w:val="68"/>
              <w:shd w:val="clear" w:fill="FFFFFF" w:themeFill="background1"/>
              <w:rPr>
                <w:rFonts w:ascii="宋体" w:hAnsi="宋体" w:cs="宋体"/>
                <w:color w:val="auto"/>
                <w:sz w:val="28"/>
                <w:szCs w:val="28"/>
                <w:highlight w:val="none"/>
              </w:rPr>
            </w:pPr>
          </w:p>
        </w:tc>
        <w:tc>
          <w:tcPr>
            <w:tcW w:w="518" w:type="dxa"/>
            <w:vAlign w:val="center"/>
          </w:tcPr>
          <w:p w14:paraId="28C9465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8062" w:type="dxa"/>
            <w:vAlign w:val="center"/>
          </w:tcPr>
          <w:p w14:paraId="3DD329D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梁板吊运安装施工方案应经过监理人审批，吊车、龙门架、架桥机要经过安全生产管理部门检查合格，并在设备上张贴“四证”公示牌（当地无法办理使用登记证，张贴“三证”）才能施工作业，违者每次违约金 5000  元。</w:t>
            </w:r>
          </w:p>
        </w:tc>
      </w:tr>
      <w:tr w14:paraId="0D463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519" w:type="dxa"/>
            <w:vMerge w:val="continue"/>
          </w:tcPr>
          <w:p w14:paraId="035750CC">
            <w:pPr>
              <w:pStyle w:val="68"/>
              <w:shd w:val="clear" w:fill="FFFFFF" w:themeFill="background1"/>
              <w:rPr>
                <w:rFonts w:ascii="宋体" w:hAnsi="宋体" w:cs="宋体"/>
                <w:color w:val="auto"/>
                <w:sz w:val="28"/>
                <w:szCs w:val="28"/>
                <w:highlight w:val="none"/>
              </w:rPr>
            </w:pPr>
          </w:p>
        </w:tc>
        <w:tc>
          <w:tcPr>
            <w:tcW w:w="518" w:type="dxa"/>
            <w:vAlign w:val="center"/>
          </w:tcPr>
          <w:p w14:paraId="6785401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8062" w:type="dxa"/>
            <w:vAlign w:val="center"/>
          </w:tcPr>
          <w:p w14:paraId="44AF08B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出现以下情况每次违约金2000元：</w:t>
            </w:r>
          </w:p>
          <w:p w14:paraId="36668C59">
            <w:pPr>
              <w:pStyle w:val="68"/>
              <w:numPr>
                <w:ilvl w:val="0"/>
                <w:numId w:val="22"/>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施工车辆和机械带病上岗，操作人员无证上岗和违反操作规程；</w:t>
            </w:r>
          </w:p>
          <w:p w14:paraId="36C8E817">
            <w:pPr>
              <w:pStyle w:val="68"/>
              <w:numPr>
                <w:ilvl w:val="0"/>
                <w:numId w:val="22"/>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发生各种事故苗头及事故未及时不整改和隐瞒不报</w:t>
            </w:r>
          </w:p>
          <w:p w14:paraId="2483E7D9">
            <w:pPr>
              <w:pStyle w:val="68"/>
              <w:numPr>
                <w:ilvl w:val="0"/>
                <w:numId w:val="22"/>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每月安全大检查，安全管理人员无故不在位；</w:t>
            </w:r>
          </w:p>
          <w:p w14:paraId="7A6D3D5F">
            <w:pPr>
              <w:pStyle w:val="68"/>
              <w:numPr>
                <w:ilvl w:val="0"/>
                <w:numId w:val="22"/>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主要施工机械设备应悬挂操作规程；</w:t>
            </w:r>
          </w:p>
          <w:p w14:paraId="53D5427E">
            <w:pPr>
              <w:pStyle w:val="68"/>
              <w:numPr>
                <w:ilvl w:val="0"/>
                <w:numId w:val="22"/>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作业人员酒后作业、机器设备带病作业的；</w:t>
            </w:r>
          </w:p>
          <w:p w14:paraId="7479F532">
            <w:pPr>
              <w:pStyle w:val="68"/>
              <w:numPr>
                <w:ilvl w:val="0"/>
                <w:numId w:val="22"/>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施工未进行安全交底，安全交底无记录的。</w:t>
            </w:r>
          </w:p>
        </w:tc>
      </w:tr>
      <w:tr w14:paraId="199B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CFB5E11">
            <w:pPr>
              <w:pStyle w:val="68"/>
              <w:shd w:val="clear" w:fill="FFFFFF" w:themeFill="background1"/>
              <w:rPr>
                <w:rFonts w:ascii="宋体" w:hAnsi="宋体" w:cs="宋体"/>
                <w:color w:val="auto"/>
                <w:sz w:val="28"/>
                <w:szCs w:val="28"/>
                <w:highlight w:val="none"/>
              </w:rPr>
            </w:pPr>
          </w:p>
        </w:tc>
        <w:tc>
          <w:tcPr>
            <w:tcW w:w="518" w:type="dxa"/>
            <w:vAlign w:val="center"/>
          </w:tcPr>
          <w:p w14:paraId="0A89EA0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w:t>
            </w:r>
          </w:p>
        </w:tc>
        <w:tc>
          <w:tcPr>
            <w:tcW w:w="8062" w:type="dxa"/>
            <w:vAlign w:val="center"/>
          </w:tcPr>
          <w:p w14:paraId="26DB690D">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施工现场人员出现以下情况，每人／次违约金500元：</w:t>
            </w:r>
          </w:p>
          <w:p w14:paraId="3377DCA0">
            <w:pPr>
              <w:pStyle w:val="68"/>
              <w:numPr>
                <w:ilvl w:val="0"/>
                <w:numId w:val="23"/>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不戴安全帽；</w:t>
            </w:r>
          </w:p>
          <w:p w14:paraId="118611CC">
            <w:pPr>
              <w:pStyle w:val="68"/>
              <w:numPr>
                <w:ilvl w:val="0"/>
                <w:numId w:val="23"/>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高空作业不系安全带；</w:t>
            </w:r>
          </w:p>
          <w:p w14:paraId="2917BFA4">
            <w:pPr>
              <w:pStyle w:val="68"/>
              <w:numPr>
                <w:ilvl w:val="0"/>
                <w:numId w:val="23"/>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水上作业不穿救生衣；</w:t>
            </w:r>
          </w:p>
          <w:p w14:paraId="66D23571">
            <w:pPr>
              <w:pStyle w:val="68"/>
              <w:numPr>
                <w:ilvl w:val="0"/>
                <w:numId w:val="23"/>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赤脚或穿拖鞋；</w:t>
            </w:r>
          </w:p>
          <w:p w14:paraId="7361054C">
            <w:pPr>
              <w:pStyle w:val="68"/>
              <w:numPr>
                <w:ilvl w:val="0"/>
                <w:numId w:val="23"/>
              </w:numPr>
              <w:shd w:val="clear" w:fill="FFFFFF" w:themeFill="background1"/>
              <w:rPr>
                <w:rFonts w:ascii="宋体" w:hAnsi="宋体" w:cs="宋体"/>
                <w:color w:val="auto"/>
                <w:sz w:val="24"/>
                <w:highlight w:val="none"/>
              </w:rPr>
            </w:pPr>
            <w:r>
              <w:rPr>
                <w:rFonts w:hint="eastAsia" w:ascii="宋体" w:hAnsi="宋体" w:cs="宋体"/>
                <w:color w:val="auto"/>
                <w:sz w:val="24"/>
                <w:highlight w:val="none"/>
              </w:rPr>
              <w:t>爆破员、安全员、电工、装载机司机、运输车司机、电焊工、砼工、吊车、架桥机等特殊工种未持证上岗的。</w:t>
            </w:r>
          </w:p>
        </w:tc>
      </w:tr>
      <w:tr w14:paraId="6C2D7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64E5E86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文明施工</w:t>
            </w:r>
          </w:p>
        </w:tc>
        <w:tc>
          <w:tcPr>
            <w:tcW w:w="518" w:type="dxa"/>
            <w:vAlign w:val="center"/>
          </w:tcPr>
          <w:p w14:paraId="69556C3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vAlign w:val="center"/>
          </w:tcPr>
          <w:p w14:paraId="0FCBF04A">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 xml:space="preserve">承包人驻地建设应包括防护、围墙、临时便道和安全、卫生、防火设施，违者每项违约金5000元。   </w:t>
            </w:r>
          </w:p>
        </w:tc>
      </w:tr>
      <w:tr w14:paraId="24B5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9FEBD19">
            <w:pPr>
              <w:pStyle w:val="68"/>
              <w:shd w:val="clear" w:fill="FFFFFF" w:themeFill="background1"/>
              <w:rPr>
                <w:rFonts w:ascii="宋体" w:hAnsi="宋体" w:cs="宋体"/>
                <w:color w:val="auto"/>
                <w:sz w:val="28"/>
                <w:szCs w:val="28"/>
                <w:highlight w:val="none"/>
              </w:rPr>
            </w:pPr>
          </w:p>
        </w:tc>
        <w:tc>
          <w:tcPr>
            <w:tcW w:w="518" w:type="dxa"/>
            <w:vAlign w:val="center"/>
          </w:tcPr>
          <w:p w14:paraId="44E2575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vAlign w:val="center"/>
          </w:tcPr>
          <w:p w14:paraId="64871A2E">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承包人项目经理部应按发包人统一要求设置组织机构、质量管理、安全生产等宣传牌，违者每项违约金5000元。</w:t>
            </w:r>
          </w:p>
        </w:tc>
      </w:tr>
      <w:tr w14:paraId="0E88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529C3B8">
            <w:pPr>
              <w:pStyle w:val="68"/>
              <w:shd w:val="clear" w:fill="FFFFFF" w:themeFill="background1"/>
              <w:rPr>
                <w:rFonts w:ascii="宋体" w:hAnsi="宋体" w:cs="宋体"/>
                <w:color w:val="auto"/>
                <w:sz w:val="28"/>
                <w:szCs w:val="28"/>
                <w:highlight w:val="none"/>
              </w:rPr>
            </w:pPr>
          </w:p>
        </w:tc>
        <w:tc>
          <w:tcPr>
            <w:tcW w:w="518" w:type="dxa"/>
            <w:vAlign w:val="center"/>
          </w:tcPr>
          <w:p w14:paraId="2210960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vAlign w:val="center"/>
          </w:tcPr>
          <w:p w14:paraId="117068B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单项工程的施工现场未按要求设立标示牌的，施工点无安全员的，每处违约金500元。</w:t>
            </w:r>
          </w:p>
        </w:tc>
      </w:tr>
      <w:tr w14:paraId="218E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2643BBF">
            <w:pPr>
              <w:pStyle w:val="68"/>
              <w:shd w:val="clear" w:fill="FFFFFF" w:themeFill="background1"/>
              <w:rPr>
                <w:rFonts w:ascii="宋体" w:hAnsi="宋体" w:cs="宋体"/>
                <w:color w:val="auto"/>
                <w:sz w:val="28"/>
                <w:szCs w:val="28"/>
                <w:highlight w:val="none"/>
              </w:rPr>
            </w:pPr>
          </w:p>
        </w:tc>
        <w:tc>
          <w:tcPr>
            <w:tcW w:w="518" w:type="dxa"/>
            <w:vAlign w:val="center"/>
          </w:tcPr>
          <w:p w14:paraId="38BE420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vAlign w:val="center"/>
          </w:tcPr>
          <w:p w14:paraId="40FFD86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 xml:space="preserve">施工现场管理人员不佩带工作证，每人／次违约金200元。  </w:t>
            </w:r>
          </w:p>
        </w:tc>
      </w:tr>
      <w:tr w14:paraId="2826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7BF126B">
            <w:pPr>
              <w:pStyle w:val="68"/>
              <w:shd w:val="clear" w:fill="FFFFFF" w:themeFill="background1"/>
              <w:rPr>
                <w:rFonts w:ascii="宋体" w:hAnsi="宋体" w:cs="宋体"/>
                <w:color w:val="auto"/>
                <w:sz w:val="28"/>
                <w:szCs w:val="28"/>
                <w:highlight w:val="none"/>
              </w:rPr>
            </w:pPr>
          </w:p>
        </w:tc>
        <w:tc>
          <w:tcPr>
            <w:tcW w:w="518" w:type="dxa"/>
            <w:vAlign w:val="center"/>
          </w:tcPr>
          <w:p w14:paraId="21F46AC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62" w:type="dxa"/>
            <w:vAlign w:val="center"/>
          </w:tcPr>
          <w:p w14:paraId="62A66C0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路基施工作业面、便道不及时洒水降尘的，每次违约金3000元。</w:t>
            </w:r>
          </w:p>
        </w:tc>
      </w:tr>
      <w:tr w14:paraId="11838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85A570D">
            <w:pPr>
              <w:pStyle w:val="68"/>
              <w:shd w:val="clear" w:fill="FFFFFF" w:themeFill="background1"/>
              <w:rPr>
                <w:rFonts w:ascii="宋体" w:hAnsi="宋体" w:cs="宋体"/>
                <w:color w:val="auto"/>
                <w:sz w:val="28"/>
                <w:szCs w:val="28"/>
                <w:highlight w:val="none"/>
              </w:rPr>
            </w:pPr>
          </w:p>
        </w:tc>
        <w:tc>
          <w:tcPr>
            <w:tcW w:w="518" w:type="dxa"/>
            <w:vAlign w:val="center"/>
          </w:tcPr>
          <w:p w14:paraId="26941BE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8062" w:type="dxa"/>
            <w:vAlign w:val="center"/>
          </w:tcPr>
          <w:p w14:paraId="31B5153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 xml:space="preserve">桥梁施工过程中的泥浆及废弃物等，须在该项工程完工时即时清除干净，违者违约金30000元。   </w:t>
            </w:r>
          </w:p>
        </w:tc>
      </w:tr>
      <w:tr w14:paraId="72B3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50CBA1E">
            <w:pPr>
              <w:pStyle w:val="68"/>
              <w:shd w:val="clear" w:fill="FFFFFF" w:themeFill="background1"/>
              <w:rPr>
                <w:rFonts w:ascii="宋体" w:hAnsi="宋体" w:cs="宋体"/>
                <w:color w:val="auto"/>
                <w:sz w:val="28"/>
                <w:szCs w:val="28"/>
                <w:highlight w:val="none"/>
              </w:rPr>
            </w:pPr>
          </w:p>
        </w:tc>
        <w:tc>
          <w:tcPr>
            <w:tcW w:w="518" w:type="dxa"/>
            <w:vAlign w:val="center"/>
          </w:tcPr>
          <w:p w14:paraId="785547A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8062" w:type="dxa"/>
            <w:vAlign w:val="center"/>
          </w:tcPr>
          <w:p w14:paraId="225CCB6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施工现场未采取有效措施，造成水源污染、空气污染等不良后果，引起群众抗议、投诉或有关行政主管部门处理的，每次违约金 10000 元。</w:t>
            </w:r>
          </w:p>
        </w:tc>
      </w:tr>
      <w:tr w14:paraId="1B78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519" w:type="dxa"/>
            <w:vMerge w:val="continue"/>
          </w:tcPr>
          <w:p w14:paraId="65DF3A5D">
            <w:pPr>
              <w:pStyle w:val="68"/>
              <w:shd w:val="clear" w:fill="FFFFFF" w:themeFill="background1"/>
              <w:rPr>
                <w:rFonts w:ascii="宋体" w:hAnsi="宋体" w:cs="宋体"/>
                <w:color w:val="auto"/>
                <w:sz w:val="28"/>
                <w:szCs w:val="28"/>
                <w:highlight w:val="none"/>
              </w:rPr>
            </w:pPr>
          </w:p>
        </w:tc>
        <w:tc>
          <w:tcPr>
            <w:tcW w:w="518" w:type="dxa"/>
            <w:vAlign w:val="center"/>
          </w:tcPr>
          <w:p w14:paraId="4530AC4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8062" w:type="dxa"/>
            <w:vAlign w:val="center"/>
          </w:tcPr>
          <w:p w14:paraId="64B16E7C">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弃土、弃渣占农田果园、堵塞水道以及造成水土流失的，每次违约金 5000 元。</w:t>
            </w:r>
          </w:p>
        </w:tc>
      </w:tr>
      <w:tr w14:paraId="6344B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519" w:type="dxa"/>
            <w:vMerge w:val="continue"/>
          </w:tcPr>
          <w:p w14:paraId="0B291F3F">
            <w:pPr>
              <w:pStyle w:val="68"/>
              <w:shd w:val="clear" w:fill="FFFFFF" w:themeFill="background1"/>
              <w:rPr>
                <w:rFonts w:ascii="宋体" w:hAnsi="宋体" w:cs="宋体"/>
                <w:color w:val="auto"/>
                <w:sz w:val="28"/>
                <w:szCs w:val="28"/>
                <w:highlight w:val="none"/>
              </w:rPr>
            </w:pPr>
          </w:p>
        </w:tc>
        <w:tc>
          <w:tcPr>
            <w:tcW w:w="518" w:type="dxa"/>
            <w:vAlign w:val="center"/>
          </w:tcPr>
          <w:p w14:paraId="7B2147E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8062" w:type="dxa"/>
            <w:vAlign w:val="center"/>
          </w:tcPr>
          <w:p w14:paraId="560C135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水土保持防护措施不完善，造成水土流失，污染当地农田水利的，每次违约金5000 元。</w:t>
            </w:r>
          </w:p>
        </w:tc>
      </w:tr>
      <w:tr w14:paraId="7578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tcPr>
          <w:p w14:paraId="03EF7003">
            <w:pPr>
              <w:pStyle w:val="68"/>
              <w:shd w:val="clear" w:fill="FFFFFF" w:themeFill="background1"/>
              <w:rPr>
                <w:rFonts w:ascii="宋体" w:hAnsi="宋体" w:cs="宋体"/>
                <w:color w:val="auto"/>
                <w:sz w:val="24"/>
                <w:highlight w:val="none"/>
              </w:rPr>
            </w:pPr>
          </w:p>
          <w:p w14:paraId="1BFEB2F6">
            <w:pPr>
              <w:shd w:val="clear" w:fill="FFFFFF" w:themeFill="background1"/>
              <w:rPr>
                <w:rFonts w:ascii="宋体" w:hAnsi="宋体" w:cs="宋体"/>
                <w:color w:val="auto"/>
                <w:sz w:val="24"/>
                <w:highlight w:val="none"/>
              </w:rPr>
            </w:pPr>
          </w:p>
          <w:p w14:paraId="02E40916">
            <w:pPr>
              <w:shd w:val="clear" w:fill="FFFFFF" w:themeFill="background1"/>
              <w:rPr>
                <w:rFonts w:ascii="宋体" w:hAnsi="宋体" w:cs="宋体"/>
                <w:color w:val="auto"/>
                <w:sz w:val="24"/>
                <w:highlight w:val="none"/>
              </w:rPr>
            </w:pPr>
          </w:p>
          <w:p w14:paraId="16F56B17">
            <w:pPr>
              <w:shd w:val="clear" w:fill="FFFFFF" w:themeFill="background1"/>
              <w:rPr>
                <w:rFonts w:ascii="宋体" w:hAnsi="宋体" w:cs="宋体"/>
                <w:color w:val="auto"/>
                <w:sz w:val="24"/>
                <w:highlight w:val="none"/>
              </w:rPr>
            </w:pPr>
          </w:p>
          <w:p w14:paraId="520FF094">
            <w:pPr>
              <w:shd w:val="clear" w:fill="FFFFFF" w:themeFill="background1"/>
              <w:rPr>
                <w:rFonts w:ascii="宋体" w:hAnsi="宋体" w:cs="宋体"/>
                <w:color w:val="auto"/>
                <w:sz w:val="24"/>
                <w:highlight w:val="none"/>
              </w:rPr>
            </w:pPr>
          </w:p>
          <w:p w14:paraId="0560787E">
            <w:pPr>
              <w:shd w:val="clear" w:fill="FFFFFF" w:themeFill="background1"/>
              <w:rPr>
                <w:rFonts w:ascii="宋体" w:hAnsi="宋体" w:cs="宋体"/>
                <w:color w:val="auto"/>
                <w:sz w:val="24"/>
                <w:highlight w:val="none"/>
              </w:rPr>
            </w:pPr>
          </w:p>
          <w:p w14:paraId="2987549E">
            <w:pPr>
              <w:shd w:val="clear" w:fill="FFFFFF" w:themeFill="background1"/>
              <w:rPr>
                <w:rFonts w:ascii="宋体" w:hAnsi="宋体" w:cs="宋体"/>
                <w:color w:val="auto"/>
                <w:sz w:val="24"/>
                <w:highlight w:val="none"/>
              </w:rPr>
            </w:pPr>
          </w:p>
          <w:p w14:paraId="6DA152C8">
            <w:pPr>
              <w:shd w:val="clear" w:fill="FFFFFF" w:themeFill="background1"/>
              <w:rPr>
                <w:rFonts w:ascii="宋体" w:hAnsi="宋体" w:cs="宋体"/>
                <w:color w:val="auto"/>
                <w:sz w:val="24"/>
                <w:highlight w:val="none"/>
              </w:rPr>
            </w:pPr>
          </w:p>
          <w:p w14:paraId="1A96ED33">
            <w:pPr>
              <w:shd w:val="clear" w:fill="FFFFFF" w:themeFill="background1"/>
              <w:rPr>
                <w:rFonts w:ascii="宋体" w:hAnsi="宋体" w:cs="宋体"/>
                <w:color w:val="auto"/>
                <w:sz w:val="24"/>
                <w:highlight w:val="none"/>
              </w:rPr>
            </w:pPr>
          </w:p>
          <w:p w14:paraId="073A82AD">
            <w:pPr>
              <w:shd w:val="clear" w:fill="FFFFFF" w:themeFill="background1"/>
              <w:rPr>
                <w:rFonts w:ascii="宋体" w:hAnsi="宋体" w:cs="宋体"/>
                <w:color w:val="auto"/>
                <w:sz w:val="24"/>
                <w:highlight w:val="none"/>
              </w:rPr>
            </w:pPr>
          </w:p>
          <w:p w14:paraId="50DE5085">
            <w:pPr>
              <w:shd w:val="clear" w:fill="FFFFFF" w:themeFill="background1"/>
              <w:rPr>
                <w:rFonts w:ascii="宋体" w:hAnsi="宋体" w:cs="宋体"/>
                <w:color w:val="auto"/>
                <w:sz w:val="24"/>
                <w:highlight w:val="none"/>
              </w:rPr>
            </w:pPr>
          </w:p>
          <w:p w14:paraId="60E7A9E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环 境保护</w:t>
            </w:r>
          </w:p>
          <w:p w14:paraId="23463257">
            <w:pPr>
              <w:shd w:val="clear" w:fill="FFFFFF" w:themeFill="background1"/>
              <w:jc w:val="center"/>
              <w:rPr>
                <w:rFonts w:ascii="宋体" w:hAnsi="宋体" w:cs="宋体"/>
                <w:color w:val="auto"/>
                <w:sz w:val="24"/>
                <w:highlight w:val="none"/>
              </w:rPr>
            </w:pPr>
          </w:p>
        </w:tc>
        <w:tc>
          <w:tcPr>
            <w:tcW w:w="518" w:type="dxa"/>
            <w:vAlign w:val="center"/>
          </w:tcPr>
          <w:p w14:paraId="028A285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tcPr>
          <w:p w14:paraId="5850231F">
            <w:pPr>
              <w:pStyle w:val="80"/>
              <w:shd w:val="clear" w:fill="FFFFFF" w:themeFill="background1"/>
              <w:spacing w:before="86"/>
              <w:ind w:left="109"/>
              <w:rPr>
                <w:color w:val="auto"/>
                <w:sz w:val="24"/>
                <w:highlight w:val="none"/>
              </w:rPr>
            </w:pPr>
            <w:r>
              <w:rPr>
                <w:rFonts w:hint="eastAsia"/>
                <w:color w:val="auto"/>
                <w:sz w:val="24"/>
                <w:highlight w:val="none"/>
              </w:rPr>
              <w:t>未建立健全的环境保护管理机构，违约金 10000 元，并限期纠正。</w:t>
            </w:r>
          </w:p>
        </w:tc>
      </w:tr>
      <w:tr w14:paraId="4EDA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25AA47EF">
            <w:pPr>
              <w:pStyle w:val="68"/>
              <w:shd w:val="clear" w:fill="FFFFFF" w:themeFill="background1"/>
              <w:rPr>
                <w:rFonts w:ascii="宋体" w:hAnsi="宋体" w:cs="宋体"/>
                <w:color w:val="auto"/>
                <w:sz w:val="24"/>
                <w:highlight w:val="none"/>
              </w:rPr>
            </w:pPr>
          </w:p>
        </w:tc>
        <w:tc>
          <w:tcPr>
            <w:tcW w:w="518" w:type="dxa"/>
            <w:vAlign w:val="center"/>
          </w:tcPr>
          <w:p w14:paraId="0ABFE24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tcPr>
          <w:p w14:paraId="3C650257">
            <w:pPr>
              <w:pStyle w:val="80"/>
              <w:shd w:val="clear" w:fill="FFFFFF" w:themeFill="background1"/>
              <w:spacing w:before="85"/>
              <w:ind w:left="109"/>
              <w:rPr>
                <w:color w:val="auto"/>
                <w:sz w:val="24"/>
                <w:highlight w:val="none"/>
              </w:rPr>
            </w:pPr>
            <w:r>
              <w:rPr>
                <w:rFonts w:hint="eastAsia"/>
                <w:color w:val="auto"/>
                <w:sz w:val="24"/>
                <w:highlight w:val="none"/>
              </w:rPr>
              <w:t>环境保护规章制度不齐全，违约金 5000  元，并限期纠正。</w:t>
            </w:r>
          </w:p>
        </w:tc>
      </w:tr>
      <w:tr w14:paraId="0D033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F2B72F5">
            <w:pPr>
              <w:pStyle w:val="68"/>
              <w:shd w:val="clear" w:fill="FFFFFF" w:themeFill="background1"/>
              <w:rPr>
                <w:rFonts w:ascii="宋体" w:hAnsi="宋体" w:cs="宋体"/>
                <w:color w:val="auto"/>
                <w:sz w:val="24"/>
                <w:highlight w:val="none"/>
              </w:rPr>
            </w:pPr>
          </w:p>
        </w:tc>
        <w:tc>
          <w:tcPr>
            <w:tcW w:w="518" w:type="dxa"/>
            <w:vAlign w:val="center"/>
          </w:tcPr>
          <w:p w14:paraId="0559E06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tcPr>
          <w:p w14:paraId="51C3FF4C">
            <w:pPr>
              <w:pStyle w:val="80"/>
              <w:shd w:val="clear" w:fill="FFFFFF" w:themeFill="background1"/>
              <w:spacing w:before="85"/>
              <w:ind w:left="109"/>
              <w:rPr>
                <w:color w:val="auto"/>
                <w:sz w:val="24"/>
                <w:highlight w:val="none"/>
              </w:rPr>
            </w:pPr>
            <w:r>
              <w:rPr>
                <w:rFonts w:hint="eastAsia"/>
                <w:color w:val="auto"/>
                <w:sz w:val="24"/>
                <w:highlight w:val="none"/>
              </w:rPr>
              <w:t>施工方案中没有环保措施，违约金 1000 元，并限期纠正。</w:t>
            </w:r>
          </w:p>
        </w:tc>
      </w:tr>
      <w:tr w14:paraId="7525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39C0934">
            <w:pPr>
              <w:pStyle w:val="68"/>
              <w:shd w:val="clear" w:fill="FFFFFF" w:themeFill="background1"/>
              <w:rPr>
                <w:rFonts w:ascii="宋体" w:hAnsi="宋体" w:cs="宋体"/>
                <w:color w:val="auto"/>
                <w:sz w:val="24"/>
                <w:highlight w:val="none"/>
              </w:rPr>
            </w:pPr>
          </w:p>
        </w:tc>
        <w:tc>
          <w:tcPr>
            <w:tcW w:w="518" w:type="dxa"/>
            <w:vAlign w:val="center"/>
          </w:tcPr>
          <w:p w14:paraId="3336292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tcPr>
          <w:p w14:paraId="4C4F0745">
            <w:pPr>
              <w:pStyle w:val="80"/>
              <w:shd w:val="clear" w:fill="FFFFFF" w:themeFill="background1"/>
              <w:spacing w:before="85"/>
              <w:ind w:left="109"/>
              <w:rPr>
                <w:color w:val="auto"/>
                <w:sz w:val="24"/>
                <w:highlight w:val="none"/>
              </w:rPr>
            </w:pPr>
            <w:r>
              <w:rPr>
                <w:rFonts w:hint="eastAsia"/>
                <w:color w:val="auto"/>
                <w:sz w:val="24"/>
                <w:highlight w:val="none"/>
              </w:rPr>
              <w:t>未对可能造成环境污染的项目进行监测，违约金 1000 元，并限期纠正。</w:t>
            </w:r>
          </w:p>
        </w:tc>
      </w:tr>
      <w:tr w14:paraId="1D10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C2A60FB">
            <w:pPr>
              <w:pStyle w:val="68"/>
              <w:shd w:val="clear" w:fill="FFFFFF" w:themeFill="background1"/>
              <w:rPr>
                <w:rFonts w:ascii="宋体" w:hAnsi="宋体" w:cs="宋体"/>
                <w:color w:val="auto"/>
                <w:sz w:val="24"/>
                <w:highlight w:val="none"/>
              </w:rPr>
            </w:pPr>
          </w:p>
        </w:tc>
        <w:tc>
          <w:tcPr>
            <w:tcW w:w="518" w:type="dxa"/>
            <w:vAlign w:val="center"/>
          </w:tcPr>
          <w:p w14:paraId="06A2C81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62" w:type="dxa"/>
          </w:tcPr>
          <w:p w14:paraId="09480C2C">
            <w:pPr>
              <w:pStyle w:val="80"/>
              <w:shd w:val="clear" w:fill="FFFFFF" w:themeFill="background1"/>
              <w:spacing w:before="85"/>
              <w:ind w:left="109"/>
              <w:rPr>
                <w:color w:val="auto"/>
                <w:sz w:val="24"/>
                <w:highlight w:val="none"/>
              </w:rPr>
            </w:pPr>
            <w:r>
              <w:rPr>
                <w:rFonts w:hint="eastAsia"/>
                <w:color w:val="auto"/>
                <w:sz w:val="24"/>
                <w:highlight w:val="none"/>
              </w:rPr>
              <w:t>未配备必要的环境保护监测仪器，违约金 1000 元，并限期纠正。</w:t>
            </w:r>
          </w:p>
        </w:tc>
      </w:tr>
      <w:tr w14:paraId="752C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0230D63">
            <w:pPr>
              <w:pStyle w:val="68"/>
              <w:shd w:val="clear" w:fill="FFFFFF" w:themeFill="background1"/>
              <w:rPr>
                <w:rFonts w:ascii="宋体" w:hAnsi="宋体" w:cs="宋体"/>
                <w:color w:val="auto"/>
                <w:sz w:val="24"/>
                <w:highlight w:val="none"/>
              </w:rPr>
            </w:pPr>
          </w:p>
        </w:tc>
        <w:tc>
          <w:tcPr>
            <w:tcW w:w="518" w:type="dxa"/>
            <w:vAlign w:val="center"/>
          </w:tcPr>
          <w:p w14:paraId="1384EA2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8062" w:type="dxa"/>
          </w:tcPr>
          <w:p w14:paraId="1F6DC949">
            <w:pPr>
              <w:pStyle w:val="80"/>
              <w:shd w:val="clear" w:fill="FFFFFF" w:themeFill="background1"/>
              <w:spacing w:before="86"/>
              <w:ind w:left="108"/>
              <w:rPr>
                <w:color w:val="auto"/>
                <w:sz w:val="24"/>
                <w:highlight w:val="none"/>
              </w:rPr>
            </w:pPr>
            <w:r>
              <w:rPr>
                <w:rFonts w:hint="eastAsia"/>
                <w:color w:val="auto"/>
                <w:sz w:val="24"/>
                <w:highlight w:val="none"/>
              </w:rPr>
              <w:t>环境保护学习、宣传、教育、培训不健全，违约金 1000 元，并限期纠正。</w:t>
            </w:r>
          </w:p>
        </w:tc>
      </w:tr>
      <w:tr w14:paraId="7251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38DA84B">
            <w:pPr>
              <w:pStyle w:val="68"/>
              <w:shd w:val="clear" w:fill="FFFFFF" w:themeFill="background1"/>
              <w:rPr>
                <w:rFonts w:ascii="宋体" w:hAnsi="宋体" w:cs="宋体"/>
                <w:color w:val="auto"/>
                <w:sz w:val="24"/>
                <w:highlight w:val="none"/>
              </w:rPr>
            </w:pPr>
          </w:p>
        </w:tc>
        <w:tc>
          <w:tcPr>
            <w:tcW w:w="518" w:type="dxa"/>
            <w:vAlign w:val="center"/>
          </w:tcPr>
          <w:p w14:paraId="4D7BDD15">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8062" w:type="dxa"/>
          </w:tcPr>
          <w:p w14:paraId="02EB5B68">
            <w:pPr>
              <w:pStyle w:val="80"/>
              <w:shd w:val="clear" w:fill="FFFFFF" w:themeFill="background1"/>
              <w:spacing w:before="86"/>
              <w:ind w:left="108"/>
              <w:rPr>
                <w:color w:val="auto"/>
                <w:sz w:val="24"/>
                <w:highlight w:val="none"/>
              </w:rPr>
            </w:pPr>
            <w:r>
              <w:rPr>
                <w:rFonts w:hint="eastAsia"/>
                <w:color w:val="auto"/>
                <w:sz w:val="24"/>
                <w:highlight w:val="none"/>
              </w:rPr>
              <w:t>未建立环境保护管理台帐，报送资料不及时，违约金 1000 元，并限期纠正。</w:t>
            </w:r>
          </w:p>
        </w:tc>
      </w:tr>
      <w:tr w14:paraId="665E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BC63466">
            <w:pPr>
              <w:pStyle w:val="68"/>
              <w:shd w:val="clear" w:fill="FFFFFF" w:themeFill="background1"/>
              <w:rPr>
                <w:rFonts w:ascii="宋体" w:hAnsi="宋体" w:cs="宋体"/>
                <w:color w:val="auto"/>
                <w:sz w:val="24"/>
                <w:highlight w:val="none"/>
              </w:rPr>
            </w:pPr>
          </w:p>
        </w:tc>
        <w:tc>
          <w:tcPr>
            <w:tcW w:w="518" w:type="dxa"/>
            <w:vAlign w:val="center"/>
          </w:tcPr>
          <w:p w14:paraId="7DE64F00">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8062" w:type="dxa"/>
          </w:tcPr>
          <w:p w14:paraId="4CC9AEF7">
            <w:pPr>
              <w:pStyle w:val="80"/>
              <w:shd w:val="clear" w:fill="FFFFFF" w:themeFill="background1"/>
              <w:spacing w:before="85"/>
              <w:ind w:left="108"/>
              <w:rPr>
                <w:color w:val="auto"/>
                <w:sz w:val="24"/>
                <w:highlight w:val="none"/>
              </w:rPr>
            </w:pPr>
            <w:r>
              <w:rPr>
                <w:rFonts w:hint="eastAsia"/>
                <w:color w:val="auto"/>
                <w:sz w:val="24"/>
                <w:highlight w:val="none"/>
              </w:rPr>
              <w:t>驻地环保设施不完善或设施缺乏维护而造成环境污染，视严重程度违约金</w:t>
            </w:r>
          </w:p>
          <w:p w14:paraId="710FE14E">
            <w:pPr>
              <w:pStyle w:val="80"/>
              <w:shd w:val="clear" w:fill="FFFFFF" w:themeFill="background1"/>
              <w:spacing w:before="3"/>
              <w:ind w:left="108"/>
              <w:rPr>
                <w:color w:val="auto"/>
                <w:sz w:val="24"/>
                <w:highlight w:val="none"/>
              </w:rPr>
            </w:pPr>
            <w:r>
              <w:rPr>
                <w:rFonts w:hint="eastAsia"/>
                <w:color w:val="auto"/>
                <w:sz w:val="24"/>
                <w:highlight w:val="none"/>
              </w:rPr>
              <w:t>1000~10000 元，并限期纠正。</w:t>
            </w:r>
          </w:p>
        </w:tc>
      </w:tr>
      <w:tr w14:paraId="5711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320BAA2">
            <w:pPr>
              <w:pStyle w:val="68"/>
              <w:shd w:val="clear" w:fill="FFFFFF" w:themeFill="background1"/>
              <w:rPr>
                <w:rFonts w:ascii="宋体" w:hAnsi="宋体" w:cs="宋体"/>
                <w:color w:val="auto"/>
                <w:sz w:val="24"/>
                <w:highlight w:val="none"/>
              </w:rPr>
            </w:pPr>
          </w:p>
        </w:tc>
        <w:tc>
          <w:tcPr>
            <w:tcW w:w="518" w:type="dxa"/>
            <w:vAlign w:val="center"/>
          </w:tcPr>
          <w:p w14:paraId="3719A51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8062" w:type="dxa"/>
          </w:tcPr>
          <w:p w14:paraId="7AEBA003">
            <w:pPr>
              <w:pStyle w:val="80"/>
              <w:shd w:val="clear" w:fill="FFFFFF" w:themeFill="background1"/>
              <w:spacing w:before="85"/>
              <w:ind w:left="108"/>
              <w:rPr>
                <w:color w:val="auto"/>
                <w:sz w:val="24"/>
                <w:highlight w:val="none"/>
              </w:rPr>
            </w:pPr>
            <w:r>
              <w:rPr>
                <w:rFonts w:hint="eastAsia"/>
                <w:color w:val="auto"/>
                <w:sz w:val="24"/>
                <w:highlight w:val="none"/>
              </w:rPr>
              <w:t>临近居民区施工噪声超标，违约金 1000 元，并限期纠正。</w:t>
            </w:r>
          </w:p>
        </w:tc>
      </w:tr>
      <w:tr w14:paraId="0E00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9838609">
            <w:pPr>
              <w:pStyle w:val="68"/>
              <w:shd w:val="clear" w:fill="FFFFFF" w:themeFill="background1"/>
              <w:rPr>
                <w:rFonts w:ascii="宋体" w:hAnsi="宋体" w:cs="宋体"/>
                <w:color w:val="auto"/>
                <w:sz w:val="24"/>
                <w:highlight w:val="none"/>
              </w:rPr>
            </w:pPr>
          </w:p>
        </w:tc>
        <w:tc>
          <w:tcPr>
            <w:tcW w:w="518" w:type="dxa"/>
            <w:vAlign w:val="center"/>
          </w:tcPr>
          <w:p w14:paraId="623574E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10</w:t>
            </w:r>
          </w:p>
        </w:tc>
        <w:tc>
          <w:tcPr>
            <w:tcW w:w="8062" w:type="dxa"/>
          </w:tcPr>
          <w:p w14:paraId="744FD74A">
            <w:pPr>
              <w:pStyle w:val="80"/>
              <w:shd w:val="clear" w:fill="FFFFFF" w:themeFill="background1"/>
              <w:spacing w:before="85" w:line="242" w:lineRule="auto"/>
              <w:ind w:left="108" w:right="6"/>
              <w:rPr>
                <w:color w:val="auto"/>
                <w:sz w:val="24"/>
                <w:highlight w:val="none"/>
              </w:rPr>
            </w:pPr>
            <w:r>
              <w:rPr>
                <w:rFonts w:hint="eastAsia"/>
                <w:color w:val="auto"/>
                <w:sz w:val="24"/>
                <w:highlight w:val="none"/>
              </w:rPr>
              <w:t>施工废料、废渣或弃土乱堆乱弃于施工现场而未运至弃土场，违约金 2000 元，并限期纠正。</w:t>
            </w:r>
          </w:p>
        </w:tc>
      </w:tr>
      <w:tr w14:paraId="6342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5ACF9297">
            <w:pPr>
              <w:pStyle w:val="68"/>
              <w:shd w:val="clear" w:fill="FFFFFF" w:themeFill="background1"/>
              <w:rPr>
                <w:rFonts w:ascii="宋体" w:hAnsi="宋体" w:cs="宋体"/>
                <w:color w:val="auto"/>
                <w:sz w:val="28"/>
                <w:szCs w:val="28"/>
                <w:highlight w:val="none"/>
              </w:rPr>
            </w:pPr>
          </w:p>
        </w:tc>
        <w:tc>
          <w:tcPr>
            <w:tcW w:w="518" w:type="dxa"/>
            <w:vAlign w:val="center"/>
          </w:tcPr>
          <w:p w14:paraId="54EBFAC3">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11</w:t>
            </w:r>
          </w:p>
        </w:tc>
        <w:tc>
          <w:tcPr>
            <w:tcW w:w="8062" w:type="dxa"/>
          </w:tcPr>
          <w:p w14:paraId="1C5D4524">
            <w:pPr>
              <w:pStyle w:val="80"/>
              <w:shd w:val="clear" w:fill="FFFFFF" w:themeFill="background1"/>
              <w:spacing w:before="85"/>
              <w:ind w:left="108"/>
              <w:rPr>
                <w:color w:val="auto"/>
                <w:sz w:val="24"/>
                <w:highlight w:val="none"/>
              </w:rPr>
            </w:pPr>
            <w:r>
              <w:rPr>
                <w:rFonts w:hint="eastAsia"/>
                <w:color w:val="auto"/>
                <w:sz w:val="24"/>
                <w:highlight w:val="none"/>
              </w:rPr>
              <w:t>施工废水排放未经处理而对周边造成污染，违约金 2000 元，并限期纠正。</w:t>
            </w:r>
          </w:p>
        </w:tc>
      </w:tr>
      <w:tr w14:paraId="2D88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4624EB41">
            <w:pPr>
              <w:pStyle w:val="68"/>
              <w:shd w:val="clear" w:fill="FFFFFF" w:themeFill="background1"/>
              <w:rPr>
                <w:rFonts w:ascii="宋体" w:hAnsi="宋体" w:cs="宋体"/>
                <w:color w:val="auto"/>
                <w:sz w:val="28"/>
                <w:szCs w:val="28"/>
                <w:highlight w:val="none"/>
              </w:rPr>
            </w:pPr>
          </w:p>
        </w:tc>
        <w:tc>
          <w:tcPr>
            <w:tcW w:w="518" w:type="dxa"/>
            <w:vAlign w:val="center"/>
          </w:tcPr>
          <w:p w14:paraId="1044F326">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12</w:t>
            </w:r>
          </w:p>
        </w:tc>
        <w:tc>
          <w:tcPr>
            <w:tcW w:w="8062" w:type="dxa"/>
          </w:tcPr>
          <w:p w14:paraId="775CF095">
            <w:pPr>
              <w:pStyle w:val="80"/>
              <w:shd w:val="clear" w:fill="FFFFFF" w:themeFill="background1"/>
              <w:spacing w:before="85"/>
              <w:ind w:left="108"/>
              <w:rPr>
                <w:color w:val="auto"/>
                <w:sz w:val="24"/>
                <w:highlight w:val="none"/>
              </w:rPr>
            </w:pPr>
            <w:r>
              <w:rPr>
                <w:rFonts w:hint="eastAsia"/>
                <w:color w:val="auto"/>
                <w:sz w:val="24"/>
                <w:highlight w:val="none"/>
              </w:rPr>
              <w:t>施工废气排放未经处理而对周边造成污染，违约金 2000 元，并限期纠正。</w:t>
            </w:r>
          </w:p>
        </w:tc>
      </w:tr>
      <w:tr w14:paraId="2C77E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F8D3A5C">
            <w:pPr>
              <w:pStyle w:val="68"/>
              <w:shd w:val="clear" w:fill="FFFFFF" w:themeFill="background1"/>
              <w:rPr>
                <w:rFonts w:ascii="宋体" w:hAnsi="宋体" w:cs="宋体"/>
                <w:color w:val="auto"/>
                <w:sz w:val="28"/>
                <w:szCs w:val="28"/>
                <w:highlight w:val="none"/>
              </w:rPr>
            </w:pPr>
          </w:p>
        </w:tc>
        <w:tc>
          <w:tcPr>
            <w:tcW w:w="518" w:type="dxa"/>
            <w:vAlign w:val="center"/>
          </w:tcPr>
          <w:p w14:paraId="25E342F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13</w:t>
            </w:r>
          </w:p>
        </w:tc>
        <w:tc>
          <w:tcPr>
            <w:tcW w:w="8062" w:type="dxa"/>
          </w:tcPr>
          <w:p w14:paraId="29F4BDDB">
            <w:pPr>
              <w:pStyle w:val="80"/>
              <w:shd w:val="clear" w:fill="FFFFFF" w:themeFill="background1"/>
              <w:spacing w:before="85"/>
              <w:ind w:left="108"/>
              <w:rPr>
                <w:color w:val="auto"/>
                <w:sz w:val="24"/>
                <w:highlight w:val="none"/>
              </w:rPr>
            </w:pPr>
            <w:r>
              <w:rPr>
                <w:rFonts w:hint="eastAsia"/>
                <w:color w:val="auto"/>
                <w:sz w:val="24"/>
                <w:highlight w:val="none"/>
              </w:rPr>
              <w:t>施工粉尘未有效控制而对周边造成污染，违约金 2000 元，并限期纠正。</w:t>
            </w:r>
          </w:p>
        </w:tc>
      </w:tr>
      <w:tr w14:paraId="2344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9F8B675">
            <w:pPr>
              <w:pStyle w:val="68"/>
              <w:shd w:val="clear" w:fill="FFFFFF" w:themeFill="background1"/>
              <w:rPr>
                <w:rFonts w:ascii="宋体" w:hAnsi="宋体" w:cs="宋体"/>
                <w:color w:val="auto"/>
                <w:sz w:val="28"/>
                <w:szCs w:val="28"/>
                <w:highlight w:val="none"/>
              </w:rPr>
            </w:pPr>
          </w:p>
        </w:tc>
        <w:tc>
          <w:tcPr>
            <w:tcW w:w="518" w:type="dxa"/>
            <w:vAlign w:val="center"/>
          </w:tcPr>
          <w:p w14:paraId="4DA79738">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14</w:t>
            </w:r>
          </w:p>
        </w:tc>
        <w:tc>
          <w:tcPr>
            <w:tcW w:w="8062" w:type="dxa"/>
          </w:tcPr>
          <w:p w14:paraId="0424CE2E">
            <w:pPr>
              <w:pStyle w:val="80"/>
              <w:shd w:val="clear" w:fill="FFFFFF" w:themeFill="background1"/>
              <w:spacing w:before="86"/>
              <w:ind w:left="108"/>
              <w:rPr>
                <w:color w:val="auto"/>
                <w:sz w:val="24"/>
                <w:highlight w:val="none"/>
              </w:rPr>
            </w:pPr>
            <w:r>
              <w:rPr>
                <w:rFonts w:hint="eastAsia"/>
                <w:color w:val="auto"/>
                <w:sz w:val="24"/>
                <w:highlight w:val="none"/>
              </w:rPr>
              <w:t>生活污水没有处理直接排放而造成污染，违约金 1000 元，并限期纠正。</w:t>
            </w:r>
          </w:p>
        </w:tc>
      </w:tr>
      <w:tr w14:paraId="3C82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82C1A5A">
            <w:pPr>
              <w:pStyle w:val="68"/>
              <w:shd w:val="clear" w:fill="FFFFFF" w:themeFill="background1"/>
              <w:rPr>
                <w:rFonts w:ascii="宋体" w:hAnsi="宋体" w:cs="宋体"/>
                <w:color w:val="auto"/>
                <w:sz w:val="28"/>
                <w:szCs w:val="28"/>
                <w:highlight w:val="none"/>
              </w:rPr>
            </w:pPr>
          </w:p>
        </w:tc>
        <w:tc>
          <w:tcPr>
            <w:tcW w:w="518" w:type="dxa"/>
            <w:vAlign w:val="center"/>
          </w:tcPr>
          <w:p w14:paraId="0C2480A9">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15</w:t>
            </w:r>
          </w:p>
        </w:tc>
        <w:tc>
          <w:tcPr>
            <w:tcW w:w="8062" w:type="dxa"/>
          </w:tcPr>
          <w:p w14:paraId="24D792E5">
            <w:pPr>
              <w:pStyle w:val="80"/>
              <w:shd w:val="clear" w:fill="FFFFFF" w:themeFill="background1"/>
              <w:spacing w:before="86"/>
              <w:ind w:left="108"/>
              <w:rPr>
                <w:color w:val="auto"/>
                <w:sz w:val="24"/>
                <w:highlight w:val="none"/>
              </w:rPr>
            </w:pPr>
            <w:r>
              <w:rPr>
                <w:rFonts w:hint="eastAsia"/>
                <w:color w:val="auto"/>
                <w:sz w:val="24"/>
                <w:highlight w:val="none"/>
              </w:rPr>
              <w:t>生活垃圾没有集中且定期运走而造成污染，违约金 1000 元，并限期纠正。</w:t>
            </w:r>
          </w:p>
        </w:tc>
      </w:tr>
      <w:tr w14:paraId="1080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E75C4BB">
            <w:pPr>
              <w:pStyle w:val="68"/>
              <w:shd w:val="clear" w:fill="FFFFFF" w:themeFill="background1"/>
              <w:rPr>
                <w:rFonts w:ascii="宋体" w:hAnsi="宋体" w:cs="宋体"/>
                <w:color w:val="auto"/>
                <w:sz w:val="28"/>
                <w:szCs w:val="28"/>
                <w:highlight w:val="none"/>
              </w:rPr>
            </w:pPr>
          </w:p>
        </w:tc>
        <w:tc>
          <w:tcPr>
            <w:tcW w:w="518" w:type="dxa"/>
            <w:vAlign w:val="center"/>
          </w:tcPr>
          <w:p w14:paraId="3950481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16</w:t>
            </w:r>
          </w:p>
        </w:tc>
        <w:tc>
          <w:tcPr>
            <w:tcW w:w="8062" w:type="dxa"/>
          </w:tcPr>
          <w:p w14:paraId="4A913520">
            <w:pPr>
              <w:pStyle w:val="80"/>
              <w:shd w:val="clear" w:fill="FFFFFF" w:themeFill="background1"/>
              <w:spacing w:before="86" w:line="242" w:lineRule="auto"/>
              <w:ind w:left="108" w:right="111"/>
              <w:rPr>
                <w:color w:val="auto"/>
                <w:sz w:val="24"/>
                <w:highlight w:val="none"/>
              </w:rPr>
            </w:pPr>
            <w:r>
              <w:rPr>
                <w:rFonts w:hint="eastAsia"/>
                <w:color w:val="auto"/>
                <w:sz w:val="24"/>
                <w:highlight w:val="none"/>
              </w:rPr>
              <w:t>驻地噪音超过有关的规定，影响当地居民的正常生活，违约金 1000 元，并限期纠正。</w:t>
            </w:r>
          </w:p>
        </w:tc>
      </w:tr>
      <w:tr w14:paraId="42B8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restart"/>
            <w:vAlign w:val="center"/>
          </w:tcPr>
          <w:p w14:paraId="54D19D4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内业资料</w:t>
            </w:r>
          </w:p>
        </w:tc>
        <w:tc>
          <w:tcPr>
            <w:tcW w:w="518" w:type="dxa"/>
            <w:vAlign w:val="center"/>
          </w:tcPr>
          <w:p w14:paraId="59307A0E">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vAlign w:val="center"/>
          </w:tcPr>
          <w:p w14:paraId="377F8FB2">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开工前须结合工程特点进行分项、分部和单位工程划分，现场质量检查、质量验收资料按照划分进行归纳收集，违者每次违约金2000元。</w:t>
            </w:r>
          </w:p>
        </w:tc>
      </w:tr>
      <w:tr w14:paraId="37AF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58A0C4E">
            <w:pPr>
              <w:pStyle w:val="68"/>
              <w:shd w:val="clear" w:fill="FFFFFF" w:themeFill="background1"/>
              <w:rPr>
                <w:rFonts w:ascii="宋体" w:hAnsi="宋体" w:cs="宋体"/>
                <w:color w:val="auto"/>
                <w:sz w:val="24"/>
                <w:highlight w:val="none"/>
              </w:rPr>
            </w:pPr>
          </w:p>
        </w:tc>
        <w:tc>
          <w:tcPr>
            <w:tcW w:w="518" w:type="dxa"/>
            <w:vAlign w:val="center"/>
          </w:tcPr>
          <w:p w14:paraId="2419B11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vAlign w:val="center"/>
          </w:tcPr>
          <w:p w14:paraId="6CD415F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内业原始资料弄虚作假的，不及时填写的，填写不完整规范的，每次违约金1000元。</w:t>
            </w:r>
          </w:p>
        </w:tc>
      </w:tr>
      <w:tr w14:paraId="5BE1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096B8092">
            <w:pPr>
              <w:pStyle w:val="68"/>
              <w:shd w:val="clear" w:fill="FFFFFF" w:themeFill="background1"/>
              <w:rPr>
                <w:rFonts w:ascii="宋体" w:hAnsi="宋体" w:cs="宋体"/>
                <w:color w:val="auto"/>
                <w:sz w:val="24"/>
                <w:highlight w:val="none"/>
              </w:rPr>
            </w:pPr>
          </w:p>
        </w:tc>
        <w:tc>
          <w:tcPr>
            <w:tcW w:w="518" w:type="dxa"/>
            <w:vAlign w:val="center"/>
          </w:tcPr>
          <w:p w14:paraId="3893BAB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vAlign w:val="center"/>
          </w:tcPr>
          <w:p w14:paraId="5E0C22A7">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内业原始资料和整理资料未按有关要求采用文件盒及时归档，每次违约金500元。</w:t>
            </w:r>
          </w:p>
        </w:tc>
      </w:tr>
      <w:tr w14:paraId="1457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189C287">
            <w:pPr>
              <w:pStyle w:val="68"/>
              <w:shd w:val="clear" w:fill="FFFFFF" w:themeFill="background1"/>
              <w:rPr>
                <w:rFonts w:ascii="宋体" w:hAnsi="宋体" w:cs="宋体"/>
                <w:color w:val="auto"/>
                <w:sz w:val="24"/>
                <w:highlight w:val="none"/>
              </w:rPr>
            </w:pPr>
          </w:p>
        </w:tc>
        <w:tc>
          <w:tcPr>
            <w:tcW w:w="518" w:type="dxa"/>
            <w:vAlign w:val="center"/>
          </w:tcPr>
          <w:p w14:paraId="71EAB522">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vAlign w:val="center"/>
          </w:tcPr>
          <w:p w14:paraId="658B85E4">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分部工程完成时，须将原始资料、施工记录、进度照片等资料整理归纳，装订成册，违者每次违约金2000元。</w:t>
            </w:r>
          </w:p>
        </w:tc>
      </w:tr>
      <w:tr w14:paraId="6709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19" w:type="dxa"/>
            <w:vMerge w:val="continue"/>
          </w:tcPr>
          <w:p w14:paraId="70C47217">
            <w:pPr>
              <w:pStyle w:val="68"/>
              <w:shd w:val="clear" w:fill="FFFFFF" w:themeFill="background1"/>
              <w:rPr>
                <w:rFonts w:ascii="宋体" w:hAnsi="宋体" w:cs="宋体"/>
                <w:color w:val="auto"/>
                <w:sz w:val="24"/>
                <w:highlight w:val="none"/>
              </w:rPr>
            </w:pPr>
          </w:p>
        </w:tc>
        <w:tc>
          <w:tcPr>
            <w:tcW w:w="518" w:type="dxa"/>
            <w:vAlign w:val="center"/>
          </w:tcPr>
          <w:p w14:paraId="46571AA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62" w:type="dxa"/>
            <w:vAlign w:val="center"/>
          </w:tcPr>
          <w:p w14:paraId="40A60C28">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试验设备不齐全，未建立试验台帐，每次违约金5000元。</w:t>
            </w:r>
          </w:p>
        </w:tc>
      </w:tr>
      <w:tr w14:paraId="5D9B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19" w:type="dxa"/>
            <w:vMerge w:val="restart"/>
            <w:vAlign w:val="center"/>
          </w:tcPr>
          <w:p w14:paraId="21FF127F">
            <w:pPr>
              <w:pStyle w:val="68"/>
              <w:shd w:val="clear" w:fill="FFFFFF" w:themeFill="background1"/>
              <w:jc w:val="center"/>
              <w:rPr>
                <w:rFonts w:ascii="宋体" w:hAnsi="宋体" w:cs="宋体"/>
                <w:color w:val="auto"/>
                <w:sz w:val="28"/>
                <w:szCs w:val="28"/>
                <w:highlight w:val="none"/>
              </w:rPr>
            </w:pPr>
            <w:r>
              <w:rPr>
                <w:rFonts w:hint="eastAsia" w:ascii="宋体" w:hAnsi="宋体" w:cs="宋体"/>
                <w:color w:val="auto"/>
                <w:sz w:val="24"/>
                <w:highlight w:val="none"/>
              </w:rPr>
              <w:t>其他</w:t>
            </w:r>
          </w:p>
        </w:tc>
        <w:tc>
          <w:tcPr>
            <w:tcW w:w="518" w:type="dxa"/>
            <w:vAlign w:val="center"/>
          </w:tcPr>
          <w:p w14:paraId="76E60AB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1</w:t>
            </w:r>
          </w:p>
        </w:tc>
        <w:tc>
          <w:tcPr>
            <w:tcW w:w="8062" w:type="dxa"/>
            <w:vAlign w:val="center"/>
          </w:tcPr>
          <w:p w14:paraId="26DE06C1">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不按照有关规定进行技术交底就进行施工作业的，每次违约金2000元。</w:t>
            </w:r>
          </w:p>
        </w:tc>
      </w:tr>
      <w:tr w14:paraId="1805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519" w:type="dxa"/>
            <w:vMerge w:val="continue"/>
          </w:tcPr>
          <w:p w14:paraId="710FFF1C">
            <w:pPr>
              <w:pStyle w:val="68"/>
              <w:shd w:val="clear" w:fill="FFFFFF" w:themeFill="background1"/>
              <w:rPr>
                <w:rFonts w:ascii="宋体" w:hAnsi="宋体" w:cs="宋体"/>
                <w:color w:val="auto"/>
                <w:sz w:val="28"/>
                <w:szCs w:val="28"/>
                <w:highlight w:val="none"/>
              </w:rPr>
            </w:pPr>
          </w:p>
        </w:tc>
        <w:tc>
          <w:tcPr>
            <w:tcW w:w="518" w:type="dxa"/>
            <w:vAlign w:val="center"/>
          </w:tcPr>
          <w:p w14:paraId="19A5BD9F">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2</w:t>
            </w:r>
          </w:p>
        </w:tc>
        <w:tc>
          <w:tcPr>
            <w:tcW w:w="8062" w:type="dxa"/>
            <w:vAlign w:val="center"/>
          </w:tcPr>
          <w:p w14:paraId="77EFB49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上一道工序未经监理人签认就进行下一道工序施工的，每次违约金5000元。</w:t>
            </w:r>
          </w:p>
        </w:tc>
      </w:tr>
      <w:tr w14:paraId="1466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6E9899A1">
            <w:pPr>
              <w:pStyle w:val="68"/>
              <w:shd w:val="clear" w:fill="FFFFFF" w:themeFill="background1"/>
              <w:rPr>
                <w:rFonts w:ascii="宋体" w:hAnsi="宋体" w:cs="宋体"/>
                <w:color w:val="auto"/>
                <w:sz w:val="28"/>
                <w:szCs w:val="28"/>
                <w:highlight w:val="none"/>
              </w:rPr>
            </w:pPr>
          </w:p>
        </w:tc>
        <w:tc>
          <w:tcPr>
            <w:tcW w:w="518" w:type="dxa"/>
            <w:vAlign w:val="center"/>
          </w:tcPr>
          <w:p w14:paraId="279BF3D4">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3</w:t>
            </w:r>
          </w:p>
        </w:tc>
        <w:tc>
          <w:tcPr>
            <w:tcW w:w="8062" w:type="dxa"/>
            <w:vAlign w:val="center"/>
          </w:tcPr>
          <w:p w14:paraId="04749BF9">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要求返工的工程未在规定的时间内进行返工或要求清除出施工现场材料未在规定的时间内清除出场的，每延误一天罚1000元。</w:t>
            </w:r>
          </w:p>
        </w:tc>
      </w:tr>
      <w:tr w14:paraId="58F57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19" w:type="dxa"/>
            <w:vMerge w:val="continue"/>
          </w:tcPr>
          <w:p w14:paraId="2071AC73">
            <w:pPr>
              <w:pStyle w:val="68"/>
              <w:shd w:val="clear" w:fill="FFFFFF" w:themeFill="background1"/>
              <w:rPr>
                <w:rFonts w:ascii="宋体" w:hAnsi="宋体" w:cs="宋体"/>
                <w:color w:val="auto"/>
                <w:sz w:val="28"/>
                <w:szCs w:val="28"/>
                <w:highlight w:val="none"/>
              </w:rPr>
            </w:pPr>
          </w:p>
        </w:tc>
        <w:tc>
          <w:tcPr>
            <w:tcW w:w="518" w:type="dxa"/>
            <w:vAlign w:val="center"/>
          </w:tcPr>
          <w:p w14:paraId="016B8DF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4</w:t>
            </w:r>
          </w:p>
        </w:tc>
        <w:tc>
          <w:tcPr>
            <w:tcW w:w="8062" w:type="dxa"/>
            <w:vAlign w:val="center"/>
          </w:tcPr>
          <w:p w14:paraId="082E3C06">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 xml:space="preserve">水泥、钢筋、钢筋笼等存放不满足要求的，每次违约金2000元。  </w:t>
            </w:r>
          </w:p>
        </w:tc>
      </w:tr>
      <w:tr w14:paraId="3708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519" w:type="dxa"/>
            <w:vMerge w:val="continue"/>
          </w:tcPr>
          <w:p w14:paraId="212D3DE7">
            <w:pPr>
              <w:pStyle w:val="68"/>
              <w:shd w:val="clear" w:fill="FFFFFF" w:themeFill="background1"/>
              <w:rPr>
                <w:rFonts w:ascii="宋体" w:hAnsi="宋体" w:cs="宋体"/>
                <w:color w:val="auto"/>
                <w:sz w:val="28"/>
                <w:szCs w:val="28"/>
                <w:highlight w:val="none"/>
              </w:rPr>
            </w:pPr>
          </w:p>
        </w:tc>
        <w:tc>
          <w:tcPr>
            <w:tcW w:w="518" w:type="dxa"/>
            <w:vAlign w:val="center"/>
          </w:tcPr>
          <w:p w14:paraId="79126BEB">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5</w:t>
            </w:r>
          </w:p>
        </w:tc>
        <w:tc>
          <w:tcPr>
            <w:tcW w:w="8062" w:type="dxa"/>
            <w:vAlign w:val="center"/>
          </w:tcPr>
          <w:p w14:paraId="3C587DE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所有桩标须加固保护，树立易于识别得标志，违者每处违约金2000元。</w:t>
            </w:r>
          </w:p>
        </w:tc>
      </w:tr>
      <w:tr w14:paraId="28192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519" w:type="dxa"/>
            <w:vMerge w:val="continue"/>
          </w:tcPr>
          <w:p w14:paraId="740228B6">
            <w:pPr>
              <w:pStyle w:val="68"/>
              <w:shd w:val="clear" w:fill="FFFFFF" w:themeFill="background1"/>
              <w:rPr>
                <w:rFonts w:ascii="宋体" w:hAnsi="宋体" w:cs="宋体"/>
                <w:color w:val="auto"/>
                <w:sz w:val="28"/>
                <w:szCs w:val="28"/>
                <w:highlight w:val="none"/>
              </w:rPr>
            </w:pPr>
          </w:p>
        </w:tc>
        <w:tc>
          <w:tcPr>
            <w:tcW w:w="518" w:type="dxa"/>
            <w:vAlign w:val="center"/>
          </w:tcPr>
          <w:p w14:paraId="490C950D">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6</w:t>
            </w:r>
          </w:p>
        </w:tc>
        <w:tc>
          <w:tcPr>
            <w:tcW w:w="8062" w:type="dxa"/>
            <w:vAlign w:val="center"/>
          </w:tcPr>
          <w:p w14:paraId="5B7AF01D">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 xml:space="preserve">实验及检测仪器未标定或标定不合格仍使用的，每次违约金2000元。  </w:t>
            </w:r>
          </w:p>
        </w:tc>
      </w:tr>
      <w:tr w14:paraId="4975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11BAFE0A">
            <w:pPr>
              <w:pStyle w:val="68"/>
              <w:shd w:val="clear" w:fill="FFFFFF" w:themeFill="background1"/>
              <w:rPr>
                <w:rFonts w:ascii="宋体" w:hAnsi="宋体" w:cs="宋体"/>
                <w:color w:val="auto"/>
                <w:sz w:val="28"/>
                <w:szCs w:val="28"/>
                <w:highlight w:val="none"/>
              </w:rPr>
            </w:pPr>
          </w:p>
        </w:tc>
        <w:tc>
          <w:tcPr>
            <w:tcW w:w="518" w:type="dxa"/>
            <w:vAlign w:val="center"/>
          </w:tcPr>
          <w:p w14:paraId="67B5E521">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7</w:t>
            </w:r>
          </w:p>
        </w:tc>
        <w:tc>
          <w:tcPr>
            <w:tcW w:w="8062" w:type="dxa"/>
            <w:vAlign w:val="center"/>
          </w:tcPr>
          <w:p w14:paraId="1EA4AA20">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检验项目、方法、频率，没有按设计或规范要求执行；原材料送检和其它自检项目的试验(如钢筋焊接，土的重击实试验)不及时，频率未达到规定要求，每次违约金2000元。</w:t>
            </w:r>
          </w:p>
        </w:tc>
      </w:tr>
      <w:tr w14:paraId="51E3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335B360E">
            <w:pPr>
              <w:pStyle w:val="68"/>
              <w:shd w:val="clear" w:fill="FFFFFF" w:themeFill="background1"/>
              <w:rPr>
                <w:rFonts w:ascii="宋体" w:hAnsi="宋体" w:cs="宋体"/>
                <w:color w:val="auto"/>
                <w:sz w:val="28"/>
                <w:szCs w:val="28"/>
                <w:highlight w:val="none"/>
              </w:rPr>
            </w:pPr>
          </w:p>
        </w:tc>
        <w:tc>
          <w:tcPr>
            <w:tcW w:w="518" w:type="dxa"/>
            <w:vAlign w:val="center"/>
          </w:tcPr>
          <w:p w14:paraId="290DB4FC">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8</w:t>
            </w:r>
          </w:p>
        </w:tc>
        <w:tc>
          <w:tcPr>
            <w:tcW w:w="8062" w:type="dxa"/>
            <w:vAlign w:val="center"/>
          </w:tcPr>
          <w:p w14:paraId="13973A1B">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未经检验合格的材料(原材料、锚具等)用于施工的，每次违约金5000元。</w:t>
            </w:r>
          </w:p>
        </w:tc>
      </w:tr>
      <w:tr w14:paraId="7BF1C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519" w:type="dxa"/>
            <w:vMerge w:val="continue"/>
          </w:tcPr>
          <w:p w14:paraId="7A98183E">
            <w:pPr>
              <w:pStyle w:val="68"/>
              <w:shd w:val="clear" w:fill="FFFFFF" w:themeFill="background1"/>
              <w:rPr>
                <w:rFonts w:ascii="宋体" w:hAnsi="宋体" w:cs="宋体"/>
                <w:color w:val="auto"/>
                <w:sz w:val="28"/>
                <w:szCs w:val="28"/>
                <w:highlight w:val="none"/>
              </w:rPr>
            </w:pPr>
          </w:p>
        </w:tc>
        <w:tc>
          <w:tcPr>
            <w:tcW w:w="518" w:type="dxa"/>
            <w:vAlign w:val="center"/>
          </w:tcPr>
          <w:p w14:paraId="6919AAAA">
            <w:pPr>
              <w:pStyle w:val="68"/>
              <w:shd w:val="clear" w:fill="FFFFFF" w:themeFill="background1"/>
              <w:jc w:val="center"/>
              <w:rPr>
                <w:rFonts w:ascii="宋体" w:hAnsi="宋体" w:cs="宋体"/>
                <w:color w:val="auto"/>
                <w:sz w:val="24"/>
                <w:highlight w:val="none"/>
              </w:rPr>
            </w:pPr>
            <w:r>
              <w:rPr>
                <w:rFonts w:hint="eastAsia" w:ascii="宋体" w:hAnsi="宋体" w:cs="宋体"/>
                <w:color w:val="auto"/>
                <w:sz w:val="24"/>
                <w:highlight w:val="none"/>
              </w:rPr>
              <w:t>9</w:t>
            </w:r>
          </w:p>
        </w:tc>
        <w:tc>
          <w:tcPr>
            <w:tcW w:w="8062" w:type="dxa"/>
            <w:vAlign w:val="center"/>
          </w:tcPr>
          <w:p w14:paraId="23C230E3">
            <w:pPr>
              <w:pStyle w:val="68"/>
              <w:shd w:val="clear" w:fill="FFFFFF" w:themeFill="background1"/>
              <w:rPr>
                <w:rFonts w:ascii="宋体" w:hAnsi="宋体" w:cs="宋体"/>
                <w:color w:val="auto"/>
                <w:sz w:val="24"/>
                <w:highlight w:val="none"/>
              </w:rPr>
            </w:pPr>
            <w:r>
              <w:rPr>
                <w:rFonts w:hint="eastAsia" w:ascii="宋体" w:hAnsi="宋体" w:cs="宋体"/>
                <w:color w:val="auto"/>
                <w:sz w:val="24"/>
                <w:highlight w:val="none"/>
              </w:rPr>
              <w:t>其他不按照《广东省公路施工标准化指南》和《广东省高速公路工程施工组织设计和施工方案标准化管理指南》有关规定进行管理或施工作业的，每次违约金 1,000—50,000 元，并限期纠正。</w:t>
            </w:r>
          </w:p>
        </w:tc>
      </w:tr>
    </w:tbl>
    <w:p w14:paraId="172ABD9F">
      <w:pPr>
        <w:shd w:val="clear" w:fill="FFFFFF" w:themeFill="background1"/>
        <w:rPr>
          <w:rFonts w:ascii="宋体" w:hAnsi="宋体" w:cs="宋体"/>
          <w:color w:val="auto"/>
          <w:sz w:val="24"/>
          <w:highlight w:val="none"/>
        </w:rPr>
      </w:pPr>
    </w:p>
    <w:p w14:paraId="3D7B11C0">
      <w:pPr>
        <w:shd w:val="clear" w:fill="FFFFFF" w:themeFill="background1"/>
        <w:rPr>
          <w:rFonts w:ascii="宋体" w:hAnsi="宋体" w:cs="宋体"/>
          <w:color w:val="auto"/>
          <w:highlight w:val="none"/>
        </w:rPr>
      </w:pPr>
      <w:r>
        <w:rPr>
          <w:rFonts w:hint="eastAsia" w:ascii="宋体" w:hAnsi="宋体" w:cs="宋体"/>
          <w:color w:val="auto"/>
          <w:sz w:val="24"/>
          <w:highlight w:val="none"/>
        </w:rPr>
        <w:br w:type="page"/>
      </w:r>
    </w:p>
    <w:p w14:paraId="3614A0EC">
      <w:pPr>
        <w:pStyle w:val="78"/>
        <w:shd w:val="clear" w:fill="FFFFFF" w:themeFill="background1"/>
        <w:spacing w:line="360" w:lineRule="auto"/>
        <w:rPr>
          <w:b w:val="0"/>
          <w:bCs w:val="0"/>
          <w:color w:val="auto"/>
          <w:sz w:val="24"/>
          <w:szCs w:val="24"/>
          <w:highlight w:val="none"/>
        </w:rPr>
      </w:pPr>
      <w:bookmarkStart w:id="1737" w:name="_Toc43476019"/>
      <w:bookmarkEnd w:id="1737"/>
      <w:r>
        <w:rPr>
          <w:rFonts w:hint="eastAsia"/>
          <w:bCs w:val="0"/>
          <w:color w:val="auto"/>
          <w:sz w:val="24"/>
          <w:szCs w:val="24"/>
          <w:highlight w:val="none"/>
        </w:rPr>
        <w:t>附件十三  建设工程农民工工资支付保证书</w:t>
      </w:r>
    </w:p>
    <w:p w14:paraId="76CC4A59">
      <w:pPr>
        <w:shd w:val="clear" w:fill="FFFFFF" w:themeFill="background1"/>
        <w:spacing w:line="360" w:lineRule="exact"/>
        <w:jc w:val="center"/>
        <w:rPr>
          <w:rFonts w:ascii="宋体" w:hAnsi="宋体" w:cs="宋体"/>
          <w:color w:val="auto"/>
          <w:sz w:val="24"/>
          <w:highlight w:val="none"/>
        </w:rPr>
      </w:pPr>
      <w:r>
        <w:rPr>
          <w:rFonts w:hint="eastAsia" w:ascii="宋体" w:hAnsi="宋体" w:cs="宋体"/>
          <w:color w:val="auto"/>
          <w:sz w:val="30"/>
          <w:szCs w:val="30"/>
          <w:highlight w:val="none"/>
        </w:rPr>
        <w:t>建设工程农民工工资支付保证书</w:t>
      </w:r>
    </w:p>
    <w:p w14:paraId="430F491C">
      <w:pPr>
        <w:shd w:val="clear" w:fill="FFFFFF" w:themeFill="background1"/>
        <w:spacing w:line="360" w:lineRule="exact"/>
        <w:ind w:firstLine="465"/>
        <w:rPr>
          <w:rFonts w:ascii="宋体" w:hAnsi="宋体" w:cs="宋体"/>
          <w:color w:val="auto"/>
          <w:sz w:val="24"/>
          <w:highlight w:val="none"/>
        </w:rPr>
      </w:pPr>
    </w:p>
    <w:p w14:paraId="041FD962">
      <w:pPr>
        <w:pStyle w:val="104"/>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致：</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p>
    <w:p w14:paraId="0E33E30C">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鉴于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(以下简称“承包人”)拟与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(以下简称“发包人”)签订</w:t>
      </w:r>
      <w:r>
        <w:rPr>
          <w:rFonts w:hint="eastAsia" w:ascii="宋体" w:hAnsi="宋体" w:cs="宋体"/>
          <w:color w:val="auto"/>
          <w:sz w:val="24"/>
          <w:highlight w:val="none"/>
          <w:u w:val="single"/>
        </w:rPr>
        <w:t xml:space="preserve">   项目名称  标类（或标段）    </w:t>
      </w:r>
      <w:r>
        <w:rPr>
          <w:rFonts w:hint="eastAsia" w:ascii="宋体" w:hAnsi="宋体" w:cs="宋体"/>
          <w:color w:val="auto"/>
          <w:sz w:val="24"/>
          <w:highlight w:val="none"/>
        </w:rPr>
        <w:t>的施工承包合同，为规范本项目农民工工资的支付行为，预防和解决施工承包人拖欠或克扣农民工工资问题，切实保障农民工的合法利益，维护社会稳定，根据《中华人民共和国劳动合同法》《中华人民共和国建筑法》《保障农民工工资支付条例》《广东省建设工程领域工人工资支付专用账户管理办法》《广东省建设工程领域用工实名制管理暂行办法》《广东省交通运输厅关于加强交通建设工程从业人员实名制管理和作业工人工资支付管理的通知》等有关法律、法规，结合本项目建设管理的具体情况，承包人在此承诺：</w:t>
      </w:r>
    </w:p>
    <w:p w14:paraId="20567517">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一、承诺严格按照国家法规和相关规定与农民工或与具备用工主体资格的组织签订劳动合同，按照当地劳动保障部门要求及时进行用工备案。严格根据劳动合同约定的农民工工资标准等内容，按照依法签订的劳动合同约定的日期按月支付工资，且不低于当地最低工资标准。若因违反上述法律、法规及相关管理办法而引发的民工工资纠纷等，承包人承担所有的民事及刑事法律责任。</w:t>
      </w:r>
    </w:p>
    <w:p w14:paraId="20CCB7CB">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二、决不违反有关规定，将工程转包、分包给不具备用工主体资格的组织或个人，并独自承担因违反上述规定而引发的民工工资纠纷等所有民事及刑事的法律连带责任。</w:t>
      </w:r>
    </w:p>
    <w:p w14:paraId="4CA32C67">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承诺开展劳动法、建筑法等普法学习教育活动，建立健全承包人农民工用工制度，制定农民工劳动保护措施，实施劳动工资支付监控机制，建立劳动用工的举报投诉制度，设立专门的举报投诉电话，受理相关单位和个人的举报及投诉，监督并认真查处合同范围内的侵害农民工按劳取酬合法权益的行为。</w:t>
      </w:r>
    </w:p>
    <w:p w14:paraId="55A4B681">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四、承诺在工地现场宣传栏中公布发包人关于农民工工资管理的有关法律法规、制度，公开发包人的投诉电话。</w:t>
      </w:r>
    </w:p>
    <w:p w14:paraId="1E8BB386">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五、承诺在本项目工程开工前承包人制定内部工资支付办法，并抄报监理、发包人，同时告知全体农民工。内部工资支付办法包括以下内容：支付项目、支付标准、支付方式、支付周期和日期、加班工资计算基数、特殊情况下的工资支付以及其他工资支付等。支付程序也将明文规定，且严格按章办事。工资支付管理接受监理、发包人及上级主管单位的监督和检查。</w:t>
      </w:r>
    </w:p>
    <w:p w14:paraId="56EF6419">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六、承诺指定专人负责对农民工工资进行发放，实行专户管理，以银行转账方式按月直接支付工资（原则上是当月支付，最多不超过拖欠两个月）。</w:t>
      </w:r>
    </w:p>
    <w:p w14:paraId="63E5B29D">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七、在合同工程范围内，一旦承包人发现任何下属单位、分包单位、施工班组等在劳动用工与工资结算支付活动中存在有违反法律法规规定的行为，承包人将以最快的速度、采取最得力的措施就地予以纠正，同时将有关问题抄报监理人及发包人，在监理人、发包人或劳动监察部门有要求或规定时，将处理结果上报备案。</w:t>
      </w:r>
    </w:p>
    <w:p w14:paraId="524D8704">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八、承诺在收到中标通知书后且合同签署前，按规定向发包人缴纳工资保障金，金额为元</w:t>
      </w:r>
      <w:r>
        <w:rPr>
          <w:rFonts w:hint="eastAsia" w:ascii="宋体" w:hAnsi="宋体" w:cs="宋体"/>
          <w:color w:val="auto"/>
          <w:sz w:val="24"/>
          <w:highlight w:val="none"/>
          <w:u w:val="single"/>
        </w:rPr>
        <w:t>人民币（按照本项目合同额1.5%，原则上不超过100万）</w:t>
      </w:r>
      <w:r>
        <w:rPr>
          <w:rFonts w:hint="eastAsia" w:ascii="宋体" w:hAnsi="宋体" w:cs="宋体"/>
          <w:color w:val="auto"/>
          <w:sz w:val="24"/>
          <w:highlight w:val="none"/>
        </w:rPr>
        <w:t>，用于支付拖欠的农民工工资，如工资保障金不足，发包人有权利在应支付给承包人的工程款或是履约保证金中划扣支付。该保障金余额发包人将于本项目施工完毕，并交工验收合格后退还。</w:t>
      </w:r>
    </w:p>
    <w:p w14:paraId="55B58F33">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九、承诺建立农民工工资支付台帐，如实记录支付时间、支付对象、支付数额等工资支付情况，并于每月申请支付计量款时将上期工资表及工资支付台帐上报监理和发包人。若承包人拖欠民工工资两个月以上且一直未得到解决的，发包人有权利不给予承包人当月计量的工程款，直至拖欠的民工工资得到支付，或者发包人有权利直接从承包人按规定缴纳的工资保障金或应支付给承包人的工程款或是履约保证金中直接扣除相应费用后向民工进行支付，承包人均无异议。</w:t>
      </w:r>
    </w:p>
    <w:p w14:paraId="50058D46">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十、在合同工程实施过程中如有发生</w:t>
      </w:r>
    </w:p>
    <w:p w14:paraId="4AA2C25D">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(1)不按规定签订劳动合同或签订劳动合同不规范情况；或</w:t>
      </w:r>
    </w:p>
    <w:p w14:paraId="4091409B">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(2)拖欠农民工工资、侵害农民工合法权益、农民工劳动安全保护欠缺的情况；或</w:t>
      </w:r>
    </w:p>
    <w:p w14:paraId="1FDEDC38">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因欠薪导致的闹事、打斗、死伤、上访事件，承包人愿接受监理人和/或发包人按合同或下发的管理办法规定的违约金。如果发生上述情况是因为我方违法分包、转包或出让资质、挂靠投标造成的，承包人对发包人或发包人的上级主管部门、政府机构提出的取消中标资格、终止合同、行政处罚等违约金表示理解并无条件接受。</w:t>
      </w:r>
    </w:p>
    <w:p w14:paraId="295E99A6">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十一、本保证书作为本项目施工承包合同的有效组成部分，纳入合同一并签署，在承包人法定代表人或委托代理人签署并加盖公章后生效，并保证在施工承包合同有效期内一直保持有效。</w:t>
      </w:r>
    </w:p>
    <w:p w14:paraId="00BA402E">
      <w:pPr>
        <w:pStyle w:val="104"/>
        <w:shd w:val="clear" w:fill="FFFFFF" w:themeFill="background1"/>
        <w:spacing w:line="360" w:lineRule="auto"/>
        <w:ind w:firstLine="480" w:firstLineChars="200"/>
        <w:rPr>
          <w:rFonts w:ascii="宋体" w:hAnsi="宋体" w:cs="宋体"/>
          <w:color w:val="auto"/>
          <w:sz w:val="24"/>
          <w:highlight w:val="none"/>
        </w:rPr>
      </w:pPr>
    </w:p>
    <w:p w14:paraId="08770798">
      <w:pPr>
        <w:pStyle w:val="104"/>
        <w:shd w:val="clear" w:fill="FFFFFF" w:themeFill="background1"/>
        <w:spacing w:line="360" w:lineRule="auto"/>
        <w:ind w:firstLine="480" w:firstLineChars="200"/>
        <w:rPr>
          <w:rFonts w:ascii="宋体" w:hAnsi="宋体" w:cs="宋体"/>
          <w:color w:val="auto"/>
          <w:sz w:val="24"/>
          <w:highlight w:val="none"/>
        </w:rPr>
      </w:pPr>
    </w:p>
    <w:p w14:paraId="7679CEDF">
      <w:pPr>
        <w:pStyle w:val="104"/>
        <w:shd w:val="clear" w:fill="FFFFFF" w:themeFill="background1"/>
        <w:spacing w:line="360" w:lineRule="auto"/>
        <w:ind w:firstLine="480" w:firstLineChars="200"/>
        <w:rPr>
          <w:rFonts w:ascii="宋体" w:hAnsi="宋体" w:cs="宋体"/>
          <w:color w:val="auto"/>
          <w:sz w:val="24"/>
          <w:highlight w:val="none"/>
        </w:rPr>
      </w:pPr>
    </w:p>
    <w:p w14:paraId="4FBC3B96">
      <w:pPr>
        <w:pStyle w:val="18"/>
        <w:shd w:val="clear" w:fill="FFFFFF" w:themeFill="background1"/>
        <w:tabs>
          <w:tab w:val="left" w:pos="6543"/>
        </w:tabs>
        <w:spacing w:before="1"/>
        <w:ind w:left="2974"/>
        <w:jc w:val="center"/>
        <w:rPr>
          <w:rFonts w:ascii="宋体" w:hAnsi="宋体" w:cs="宋体"/>
          <w:color w:val="auto"/>
          <w:sz w:val="24"/>
          <w:highlight w:val="none"/>
        </w:rPr>
      </w:pPr>
      <w:r>
        <w:rPr>
          <w:rFonts w:hint="eastAsia" w:ascii="宋体" w:hAnsi="宋体" w:cs="宋体"/>
          <w:color w:val="auto"/>
          <w:sz w:val="24"/>
          <w:highlight w:val="none"/>
        </w:rPr>
        <w:t>承 包 人</w:t>
      </w:r>
      <w:r>
        <w:rPr>
          <w:rFonts w:hint="eastAsia" w:ascii="宋体" w:hAnsi="宋体" w:cs="宋体"/>
          <w:color w:val="auto"/>
          <w:spacing w:val="-2"/>
          <w:sz w:val="24"/>
          <w:highlight w:val="none"/>
        </w:rPr>
        <w:t>（</w:t>
      </w:r>
      <w:r>
        <w:rPr>
          <w:rFonts w:hint="eastAsia" w:ascii="宋体" w:hAnsi="宋体" w:cs="宋体"/>
          <w:color w:val="auto"/>
          <w:sz w:val="24"/>
          <w:highlight w:val="none"/>
        </w:rPr>
        <w:t>盖章</w:t>
      </w:r>
      <w:r>
        <w:rPr>
          <w:rFonts w:hint="eastAsia" w:ascii="宋体" w:hAnsi="宋体" w:cs="宋体"/>
          <w:color w:val="auto"/>
          <w:spacing w:val="-105"/>
          <w:sz w:val="24"/>
          <w:highlight w:val="none"/>
        </w:rPr>
        <w:t>）</w:t>
      </w:r>
      <w:r>
        <w:rPr>
          <w:rFonts w:hint="eastAsia" w:ascii="宋体" w:hAnsi="宋体" w:cs="宋体"/>
          <w:color w:val="auto"/>
          <w:spacing w:val="-1"/>
          <w:sz w:val="24"/>
          <w:highlight w:val="none"/>
        </w:rPr>
        <w:t>：</w:t>
      </w:r>
      <w:r>
        <w:rPr>
          <w:rFonts w:hint="eastAsia" w:ascii="宋体" w:hAnsi="宋体" w:cs="宋体"/>
          <w:color w:val="auto"/>
          <w:sz w:val="24"/>
          <w:highlight w:val="none"/>
          <w:u w:val="single"/>
        </w:rPr>
        <w:tab/>
      </w:r>
    </w:p>
    <w:p w14:paraId="18568ED6">
      <w:pPr>
        <w:pStyle w:val="18"/>
        <w:shd w:val="clear" w:fill="FFFFFF" w:themeFill="background1"/>
        <w:tabs>
          <w:tab w:val="left" w:pos="8055"/>
        </w:tabs>
        <w:spacing w:before="138"/>
        <w:ind w:left="3037"/>
        <w:jc w:val="center"/>
        <w:rPr>
          <w:rFonts w:ascii="宋体" w:hAnsi="宋体" w:cs="宋体"/>
          <w:color w:val="auto"/>
          <w:sz w:val="24"/>
          <w:highlight w:val="none"/>
        </w:rPr>
      </w:pPr>
      <w:r>
        <w:rPr>
          <w:rFonts w:hint="eastAsia" w:ascii="宋体" w:hAnsi="宋体" w:cs="宋体"/>
          <w:color w:val="auto"/>
          <w:sz w:val="24"/>
          <w:highlight w:val="none"/>
        </w:rPr>
        <w:t>法定代表</w:t>
      </w:r>
      <w:r>
        <w:rPr>
          <w:rFonts w:hint="eastAsia" w:ascii="宋体" w:hAnsi="宋体" w:cs="宋体"/>
          <w:color w:val="auto"/>
          <w:spacing w:val="-2"/>
          <w:sz w:val="24"/>
          <w:highlight w:val="none"/>
        </w:rPr>
        <w:t>人</w:t>
      </w:r>
      <w:r>
        <w:rPr>
          <w:rFonts w:hint="eastAsia" w:ascii="宋体" w:hAnsi="宋体" w:cs="宋体"/>
          <w:color w:val="auto"/>
          <w:sz w:val="24"/>
          <w:highlight w:val="none"/>
        </w:rPr>
        <w:t>或其委托代理人</w:t>
      </w:r>
      <w:r>
        <w:rPr>
          <w:rFonts w:hint="eastAsia" w:ascii="宋体" w:hAnsi="宋体" w:cs="宋体"/>
          <w:color w:val="auto"/>
          <w:spacing w:val="-105"/>
          <w:sz w:val="24"/>
          <w:highlight w:val="none"/>
        </w:rPr>
        <w:t>：</w:t>
      </w:r>
      <w:r>
        <w:rPr>
          <w:rFonts w:hint="eastAsia" w:ascii="宋体" w:hAnsi="宋体" w:cs="宋体"/>
          <w:color w:val="auto"/>
          <w:spacing w:val="-1"/>
          <w:sz w:val="24"/>
          <w:highlight w:val="none"/>
        </w:rPr>
        <w:t>（签字</w:t>
      </w:r>
      <w:r>
        <w:rPr>
          <w:rFonts w:hint="eastAsia" w:ascii="宋体" w:hAnsi="宋体" w:cs="宋体"/>
          <w:color w:val="auto"/>
          <w:sz w:val="24"/>
          <w:highlight w:val="none"/>
        </w:rPr>
        <w:t>）</w:t>
      </w:r>
      <w:r>
        <w:rPr>
          <w:rFonts w:hint="eastAsia" w:ascii="宋体" w:hAnsi="宋体" w:cs="宋体"/>
          <w:color w:val="auto"/>
          <w:sz w:val="24"/>
          <w:highlight w:val="none"/>
          <w:u w:val="single"/>
        </w:rPr>
        <w:tab/>
      </w:r>
    </w:p>
    <w:p w14:paraId="36342885">
      <w:pPr>
        <w:pStyle w:val="105"/>
        <w:shd w:val="clear" w:fill="FFFFFF" w:themeFill="background1"/>
        <w:spacing w:line="360" w:lineRule="auto"/>
        <w:ind w:firstLine="4800" w:firstLineChars="2000"/>
        <w:rPr>
          <w:rFonts w:ascii="宋体" w:hAnsi="宋体" w:cs="宋体"/>
          <w:color w:val="auto"/>
          <w:spacing w:val="-5"/>
          <w:sz w:val="24"/>
          <w:szCs w:val="24"/>
          <w:highlight w:val="none"/>
        </w:rPr>
      </w:pPr>
      <w:r>
        <w:rPr>
          <w:rFonts w:hint="eastAsia" w:ascii="宋体" w:hAnsi="宋体" w:cs="宋体"/>
          <w:color w:val="auto"/>
          <w:sz w:val="24"/>
          <w:szCs w:val="24"/>
          <w:highlight w:val="none"/>
        </w:rPr>
        <w:t>年</w:t>
      </w:r>
      <w:r>
        <w:rPr>
          <w:rFonts w:hint="eastAsia" w:ascii="宋体" w:hAnsi="宋体" w:cs="宋体"/>
          <w:color w:val="auto"/>
          <w:sz w:val="24"/>
          <w:szCs w:val="24"/>
          <w:highlight w:val="none"/>
        </w:rPr>
        <w:tab/>
      </w:r>
      <w:r>
        <w:rPr>
          <w:rFonts w:hint="eastAsia" w:ascii="宋体" w:hAnsi="宋体" w:cs="宋体"/>
          <w:color w:val="auto"/>
          <w:sz w:val="24"/>
          <w:szCs w:val="24"/>
          <w:highlight w:val="none"/>
        </w:rPr>
        <w:t>月</w:t>
      </w:r>
      <w:r>
        <w:rPr>
          <w:rFonts w:hint="eastAsia" w:ascii="宋体" w:hAnsi="宋体" w:cs="宋体"/>
          <w:color w:val="auto"/>
          <w:sz w:val="24"/>
          <w:szCs w:val="24"/>
          <w:highlight w:val="none"/>
        </w:rPr>
        <w:tab/>
      </w:r>
      <w:r>
        <w:rPr>
          <w:rFonts w:hint="eastAsia" w:ascii="宋体" w:hAnsi="宋体" w:cs="宋体"/>
          <w:color w:val="auto"/>
          <w:sz w:val="24"/>
          <w:szCs w:val="24"/>
          <w:highlight w:val="none"/>
        </w:rPr>
        <w:t xml:space="preserve">  日</w:t>
      </w:r>
    </w:p>
    <w:p w14:paraId="74829C97">
      <w:pPr>
        <w:pStyle w:val="106"/>
        <w:shd w:val="clear" w:fill="FFFFFF" w:themeFill="background1"/>
        <w:rPr>
          <w:rFonts w:ascii="宋体" w:hAnsi="宋体" w:cs="宋体"/>
          <w:color w:val="auto"/>
          <w:sz w:val="30"/>
          <w:szCs w:val="30"/>
          <w:highlight w:val="none"/>
        </w:rPr>
      </w:pPr>
      <w:r>
        <w:rPr>
          <w:rFonts w:hint="eastAsia" w:ascii="宋体" w:hAnsi="宋体" w:cs="宋体"/>
          <w:color w:val="auto"/>
          <w:sz w:val="30"/>
          <w:szCs w:val="30"/>
          <w:highlight w:val="none"/>
        </w:rPr>
        <w:br w:type="page"/>
      </w:r>
    </w:p>
    <w:p w14:paraId="5F09F4B2">
      <w:pPr>
        <w:pStyle w:val="78"/>
        <w:shd w:val="clear" w:fill="FFFFFF" w:themeFill="background1"/>
        <w:spacing w:line="360" w:lineRule="auto"/>
        <w:rPr>
          <w:bCs w:val="0"/>
          <w:color w:val="auto"/>
          <w:sz w:val="24"/>
          <w:szCs w:val="24"/>
          <w:highlight w:val="none"/>
        </w:rPr>
      </w:pPr>
      <w:bookmarkStart w:id="1738" w:name="_Toc43476022"/>
      <w:bookmarkEnd w:id="1738"/>
      <w:bookmarkStart w:id="1739" w:name="_Toc43476020"/>
      <w:bookmarkEnd w:id="1739"/>
      <w:bookmarkStart w:id="1740" w:name="_Toc29766"/>
      <w:r>
        <w:rPr>
          <w:rFonts w:hint="eastAsia"/>
          <w:bCs w:val="0"/>
          <w:color w:val="auto"/>
          <w:sz w:val="24"/>
          <w:szCs w:val="24"/>
          <w:highlight w:val="none"/>
        </w:rPr>
        <w:t>附件十四  工程结算协议</w:t>
      </w:r>
      <w:bookmarkEnd w:id="1740"/>
    </w:p>
    <w:p w14:paraId="325E3497">
      <w:pPr>
        <w:shd w:val="clear" w:fill="FFFFFF" w:themeFill="background1"/>
        <w:spacing w:line="360" w:lineRule="exact"/>
        <w:jc w:val="center"/>
        <w:rPr>
          <w:rFonts w:ascii="宋体" w:hAnsi="宋体" w:cs="宋体"/>
          <w:color w:val="auto"/>
          <w:sz w:val="24"/>
          <w:highlight w:val="none"/>
        </w:rPr>
      </w:pPr>
      <w:r>
        <w:rPr>
          <w:rFonts w:hint="eastAsia" w:ascii="宋体" w:hAnsi="宋体" w:cs="宋体"/>
          <w:color w:val="auto"/>
          <w:sz w:val="30"/>
          <w:szCs w:val="30"/>
          <w:highlight w:val="none"/>
        </w:rPr>
        <w:t>工程结算协议</w:t>
      </w:r>
    </w:p>
    <w:p w14:paraId="39EBF595">
      <w:pPr>
        <w:shd w:val="clear" w:fill="FFFFFF" w:themeFill="background1"/>
        <w:spacing w:line="360" w:lineRule="exact"/>
        <w:ind w:firstLine="465"/>
        <w:rPr>
          <w:rFonts w:ascii="宋体" w:hAnsi="宋体" w:cs="宋体"/>
          <w:color w:val="auto"/>
          <w:sz w:val="24"/>
          <w:highlight w:val="none"/>
        </w:rPr>
      </w:pPr>
    </w:p>
    <w:p w14:paraId="48A4C76A">
      <w:pPr>
        <w:pStyle w:val="104"/>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甲方（发包人）</w:t>
      </w:r>
      <w:r>
        <w:rPr>
          <w:rFonts w:hint="eastAsia" w:ascii="宋体" w:hAnsi="宋体" w:cs="宋体"/>
          <w:color w:val="auto"/>
          <w:sz w:val="24"/>
          <w:highlight w:val="none"/>
          <w:u w:val="single"/>
        </w:rPr>
        <w:t>：</w:t>
      </w:r>
      <w:r>
        <w:rPr>
          <w:rFonts w:hint="eastAsia" w:ascii="宋体" w:hAnsi="宋体" w:cs="宋体"/>
          <w:color w:val="auto"/>
          <w:sz w:val="24"/>
          <w:highlight w:val="none"/>
          <w:u w:val="single"/>
        </w:rPr>
        <w:tab/>
      </w:r>
    </w:p>
    <w:p w14:paraId="7B8577E1">
      <w:pPr>
        <w:pStyle w:val="104"/>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i/>
          <w:iCs/>
          <w:color w:val="auto"/>
          <w:sz w:val="24"/>
          <w:highlight w:val="none"/>
          <w:u w:val="single"/>
        </w:rPr>
        <w:tab/>
      </w:r>
      <w:r>
        <w:rPr>
          <w:rFonts w:hint="eastAsia" w:ascii="宋体" w:hAnsi="宋体" w:cs="宋体"/>
          <w:i/>
          <w:iCs/>
          <w:color w:val="auto"/>
          <w:sz w:val="24"/>
          <w:highlight w:val="none"/>
          <w:u w:val="single"/>
        </w:rPr>
        <w:tab/>
      </w:r>
      <w:r>
        <w:rPr>
          <w:rFonts w:hint="eastAsia" w:ascii="宋体" w:hAnsi="宋体" w:cs="宋体"/>
          <w:color w:val="auto"/>
          <w:sz w:val="24"/>
          <w:highlight w:val="none"/>
        </w:rPr>
        <w:tab/>
      </w:r>
      <w:r>
        <w:rPr>
          <w:rFonts w:hint="eastAsia" w:ascii="宋体" w:hAnsi="宋体" w:cs="宋体"/>
          <w:color w:val="auto"/>
          <w:sz w:val="24"/>
          <w:highlight w:val="none"/>
        </w:rPr>
        <w:t>法定代表人：</w:t>
      </w:r>
      <w:r>
        <w:rPr>
          <w:rFonts w:hint="eastAsia" w:ascii="宋体" w:hAnsi="宋体" w:cs="宋体"/>
          <w:color w:val="auto"/>
          <w:sz w:val="24"/>
          <w:highlight w:val="none"/>
          <w:u w:val="single"/>
        </w:rPr>
        <w:tab/>
      </w:r>
    </w:p>
    <w:p w14:paraId="4D09A7F2">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乙方（承包人）：</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p>
    <w:p w14:paraId="5FFEC77C">
      <w:pPr>
        <w:pStyle w:val="104"/>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地址：</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ab/>
      </w:r>
      <w:r>
        <w:rPr>
          <w:rFonts w:hint="eastAsia" w:ascii="宋体" w:hAnsi="宋体" w:cs="宋体"/>
          <w:color w:val="auto"/>
          <w:sz w:val="24"/>
          <w:highlight w:val="none"/>
        </w:rPr>
        <w:t>法定代表人：</w:t>
      </w:r>
      <w:r>
        <w:rPr>
          <w:rFonts w:hint="eastAsia" w:ascii="宋体" w:hAnsi="宋体" w:cs="宋体"/>
          <w:color w:val="auto"/>
          <w:sz w:val="24"/>
          <w:highlight w:val="none"/>
          <w:u w:val="single"/>
        </w:rPr>
        <w:tab/>
      </w:r>
    </w:p>
    <w:p w14:paraId="605F43E1">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鉴于：</w:t>
      </w:r>
    </w:p>
    <w:p w14:paraId="58762A0A">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 </w:t>
      </w:r>
      <w:r>
        <w:rPr>
          <w:rFonts w:hint="eastAsia" w:ascii="宋体" w:hAnsi="宋体" w:cs="宋体"/>
          <w:color w:val="auto"/>
          <w:sz w:val="24"/>
          <w:highlight w:val="none"/>
        </w:rPr>
        <w:tab/>
      </w:r>
      <w:r>
        <w:rPr>
          <w:rFonts w:hint="eastAsia" w:ascii="宋体" w:hAnsi="宋体" w:cs="宋体"/>
          <w:color w:val="auto"/>
          <w:sz w:val="24"/>
          <w:highlight w:val="none"/>
        </w:rPr>
        <w:t xml:space="preserve">年 </w:t>
      </w:r>
      <w:r>
        <w:rPr>
          <w:rFonts w:hint="eastAsia" w:ascii="宋体" w:hAnsi="宋体" w:cs="宋体"/>
          <w:color w:val="auto"/>
          <w:sz w:val="24"/>
          <w:highlight w:val="none"/>
        </w:rPr>
        <w:tab/>
      </w:r>
      <w:r>
        <w:rPr>
          <w:rFonts w:hint="eastAsia" w:ascii="宋体" w:hAnsi="宋体" w:cs="宋体"/>
          <w:color w:val="auto"/>
          <w:sz w:val="24"/>
          <w:highlight w:val="none"/>
        </w:rPr>
        <w:t xml:space="preserve">月 </w:t>
      </w:r>
      <w:r>
        <w:rPr>
          <w:rFonts w:hint="eastAsia" w:ascii="宋体" w:hAnsi="宋体" w:cs="宋体"/>
          <w:color w:val="auto"/>
          <w:sz w:val="24"/>
          <w:highlight w:val="none"/>
        </w:rPr>
        <w:tab/>
      </w:r>
      <w:r>
        <w:rPr>
          <w:rFonts w:hint="eastAsia" w:ascii="宋体" w:hAnsi="宋体" w:cs="宋体"/>
          <w:color w:val="auto"/>
          <w:sz w:val="24"/>
          <w:highlight w:val="none"/>
        </w:rPr>
        <w:t xml:space="preserve">日，甲方与乙方签订了《   合同》（下简称“合同”），约定 </w:t>
      </w:r>
      <w:r>
        <w:rPr>
          <w:rFonts w:hint="eastAsia" w:ascii="宋体" w:hAnsi="宋体" w:cs="宋体"/>
          <w:color w:val="auto"/>
          <w:sz w:val="24"/>
          <w:highlight w:val="none"/>
        </w:rPr>
        <w:tab/>
      </w:r>
      <w:r>
        <w:rPr>
          <w:rFonts w:hint="eastAsia" w:ascii="宋体" w:hAnsi="宋体" w:cs="宋体"/>
          <w:color w:val="auto"/>
          <w:sz w:val="24"/>
          <w:highlight w:val="none"/>
        </w:rPr>
        <w:t>（注：填写乙方负责承包的工程内容）。</w:t>
      </w:r>
    </w:p>
    <w:p w14:paraId="5BAB6E24">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 </w:t>
      </w:r>
      <w:r>
        <w:rPr>
          <w:rFonts w:hint="eastAsia" w:ascii="宋体" w:hAnsi="宋体" w:cs="宋体"/>
          <w:color w:val="auto"/>
          <w:sz w:val="24"/>
          <w:highlight w:val="none"/>
        </w:rPr>
        <w:tab/>
      </w:r>
      <w:r>
        <w:rPr>
          <w:rFonts w:hint="eastAsia" w:ascii="宋体" w:hAnsi="宋体" w:cs="宋体"/>
          <w:color w:val="auto"/>
          <w:sz w:val="24"/>
          <w:highlight w:val="none"/>
        </w:rPr>
        <w:t xml:space="preserve">年 </w:t>
      </w:r>
      <w:r>
        <w:rPr>
          <w:rFonts w:hint="eastAsia" w:ascii="宋体" w:hAnsi="宋体" w:cs="宋体"/>
          <w:color w:val="auto"/>
          <w:sz w:val="24"/>
          <w:highlight w:val="none"/>
        </w:rPr>
        <w:tab/>
      </w:r>
      <w:r>
        <w:rPr>
          <w:rFonts w:hint="eastAsia" w:ascii="宋体" w:hAnsi="宋体" w:cs="宋体"/>
          <w:color w:val="auto"/>
          <w:sz w:val="24"/>
          <w:highlight w:val="none"/>
        </w:rPr>
        <w:t xml:space="preserve">月 </w:t>
      </w:r>
      <w:r>
        <w:rPr>
          <w:rFonts w:hint="eastAsia" w:ascii="宋体" w:hAnsi="宋体" w:cs="宋体"/>
          <w:color w:val="auto"/>
          <w:sz w:val="24"/>
          <w:highlight w:val="none"/>
        </w:rPr>
        <w:tab/>
      </w:r>
      <w:r>
        <w:rPr>
          <w:rFonts w:hint="eastAsia" w:ascii="宋体" w:hAnsi="宋体" w:cs="宋体"/>
          <w:color w:val="auto"/>
          <w:sz w:val="24"/>
          <w:highlight w:val="none"/>
        </w:rPr>
        <w:t xml:space="preserve">日，乙方承包的 </w:t>
      </w:r>
      <w:r>
        <w:rPr>
          <w:rFonts w:hint="eastAsia" w:ascii="宋体" w:hAnsi="宋体" w:cs="宋体"/>
          <w:color w:val="auto"/>
          <w:sz w:val="24"/>
          <w:highlight w:val="none"/>
        </w:rPr>
        <w:tab/>
      </w:r>
      <w:r>
        <w:rPr>
          <w:rFonts w:hint="eastAsia" w:ascii="宋体" w:hAnsi="宋体" w:cs="宋体"/>
          <w:color w:val="auto"/>
          <w:sz w:val="24"/>
          <w:highlight w:val="none"/>
        </w:rPr>
        <w:t>工程已完成交工验收，且乙方已取得上述工程交工证书。基于上述，甲、乙双方经协商一致，特就乙方承包的 工程的结算事宜订立本协议，以共同遵守。</w:t>
      </w:r>
    </w:p>
    <w:p w14:paraId="47024055">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一、乙方承包的 </w:t>
      </w:r>
      <w:r>
        <w:rPr>
          <w:rFonts w:hint="eastAsia" w:ascii="宋体" w:hAnsi="宋体" w:cs="宋体"/>
          <w:color w:val="auto"/>
          <w:sz w:val="24"/>
          <w:highlight w:val="none"/>
        </w:rPr>
        <w:tab/>
      </w:r>
      <w:r>
        <w:rPr>
          <w:rFonts w:hint="eastAsia" w:ascii="宋体" w:hAnsi="宋体" w:cs="宋体"/>
          <w:color w:val="auto"/>
          <w:sz w:val="24"/>
          <w:highlight w:val="none"/>
        </w:rPr>
        <w:t xml:space="preserve">工程（以下简称“本工程”）结算价暂定为人民币 </w:t>
      </w:r>
      <w:r>
        <w:rPr>
          <w:rFonts w:hint="eastAsia" w:ascii="宋体" w:hAnsi="宋体" w:cs="宋体"/>
          <w:color w:val="auto"/>
          <w:sz w:val="24"/>
          <w:highlight w:val="none"/>
        </w:rPr>
        <w:tab/>
      </w:r>
      <w:r>
        <w:rPr>
          <w:rFonts w:hint="eastAsia" w:ascii="宋体" w:hAnsi="宋体" w:cs="宋体"/>
          <w:color w:val="auto"/>
          <w:sz w:val="24"/>
          <w:highlight w:val="none"/>
        </w:rPr>
        <w:t xml:space="preserve">元（大写： </w:t>
      </w:r>
      <w:r>
        <w:rPr>
          <w:rFonts w:hint="eastAsia" w:ascii="宋体" w:hAnsi="宋体" w:cs="宋体"/>
          <w:color w:val="auto"/>
          <w:sz w:val="24"/>
          <w:highlight w:val="none"/>
        </w:rPr>
        <w:tab/>
      </w:r>
      <w:r>
        <w:rPr>
          <w:rFonts w:hint="eastAsia" w:ascii="宋体" w:hAnsi="宋体" w:cs="宋体"/>
          <w:color w:val="auto"/>
          <w:sz w:val="24"/>
          <w:highlight w:val="none"/>
        </w:rPr>
        <w:t>）。若政府审计部门之后进行审计，且作出的审计决定和行业主管部门造价审查结果不一致，双方同意按以下原则处理：</w:t>
      </w:r>
    </w:p>
    <w:p w14:paraId="4D5414D4">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行业主管部门和审计部门对不同内容进行核减的，综合行业主管部门和审计部门的意见进行调整。</w:t>
      </w:r>
    </w:p>
    <w:p w14:paraId="113E2360">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二、甲、乙双方确认，截至</w:t>
      </w:r>
      <w:r>
        <w:rPr>
          <w:rFonts w:hint="eastAsia" w:ascii="宋体" w:hAnsi="宋体" w:cs="宋体"/>
          <w:color w:val="auto"/>
          <w:sz w:val="24"/>
          <w:highlight w:val="none"/>
          <w:u w:val="single"/>
        </w:rPr>
        <w:t>年  月  日</w:t>
      </w:r>
      <w:r>
        <w:rPr>
          <w:rFonts w:hint="eastAsia" w:ascii="宋体" w:hAnsi="宋体" w:cs="宋体"/>
          <w:color w:val="auto"/>
          <w:sz w:val="24"/>
          <w:highlight w:val="none"/>
        </w:rPr>
        <w:t>，甲方就本工程已向乙方支付款项累计</w:t>
      </w:r>
      <w:r>
        <w:rPr>
          <w:rFonts w:hint="eastAsia" w:ascii="宋体" w:hAnsi="宋体" w:cs="宋体"/>
          <w:color w:val="auto"/>
          <w:sz w:val="24"/>
          <w:highlight w:val="none"/>
          <w:u w:val="single"/>
        </w:rPr>
        <w:t>人民币  元</w:t>
      </w:r>
      <w:r>
        <w:rPr>
          <w:rFonts w:hint="eastAsia" w:ascii="宋体" w:hAnsi="宋体" w:cs="宋体"/>
          <w:color w:val="auto"/>
          <w:sz w:val="24"/>
          <w:highlight w:val="none"/>
        </w:rPr>
        <w:t>。甲方将在本结算书生效后 15 个工作日内向乙方支付至结算金额的 100％，即</w:t>
      </w:r>
      <w:r>
        <w:rPr>
          <w:rFonts w:hint="eastAsia" w:ascii="宋体" w:hAnsi="宋体" w:cs="宋体"/>
          <w:color w:val="auto"/>
          <w:sz w:val="24"/>
          <w:highlight w:val="none"/>
          <w:u w:val="single"/>
        </w:rPr>
        <w:t xml:space="preserve">人民币 </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元</w:t>
      </w:r>
      <w:r>
        <w:rPr>
          <w:rFonts w:hint="eastAsia" w:ascii="宋体" w:hAnsi="宋体" w:cs="宋体"/>
          <w:color w:val="auto"/>
          <w:sz w:val="24"/>
          <w:highlight w:val="none"/>
        </w:rPr>
        <w:t>。如本工程缺陷责任期满且未发现存在工程缺陷，在监理人出具该工程缺陷责任期届满证明并签订本协议后28 天内支付工程质量保证金的 80%。</w:t>
      </w:r>
    </w:p>
    <w:p w14:paraId="473FD99B">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三、甲方向乙方退还全部质量保证金需同时满足以下条件：</w:t>
      </w:r>
    </w:p>
    <w:p w14:paraId="33CD7582">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1、乙方承包的工程的缺陷责任期已届满，并由监理人出具了该工程缺陷责任期届满的证明；</w:t>
      </w:r>
    </w:p>
    <w:p w14:paraId="45A5F5DD">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2、在缺陷责任期内按合同约定进行了缺陷工程的修复且项目完成竣工验收。</w:t>
      </w:r>
    </w:p>
    <w:p w14:paraId="7EAD3444">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如甲方已付款项少于本协议第一条的核准的金额，则甲方应在乙方满足了质量保证金退还的全部条件后</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天</w:t>
      </w:r>
      <w:r>
        <w:rPr>
          <w:rFonts w:hint="eastAsia" w:ascii="宋体" w:hAnsi="宋体" w:cs="宋体"/>
          <w:color w:val="auto"/>
          <w:sz w:val="24"/>
          <w:highlight w:val="none"/>
        </w:rPr>
        <w:t>内将少付工程款（含质量保证金）支付予乙方。</w:t>
      </w:r>
    </w:p>
    <w:p w14:paraId="626B7A5C">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如甲方已付款项超过本协议第一条的核准的金额，则乙方应在收到甲方发出的还款通知后 天内将超出核准金额的工程款返还给甲方，且甲方无需将质量保证金退还给乙方。</w:t>
      </w:r>
    </w:p>
    <w:p w14:paraId="58CEBCA5">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四、如甲方或乙方未按本协议约定履行付款义务，则每延迟一天，违约方需向对方支付相当于未付款项的 </w:t>
      </w:r>
      <w:r>
        <w:rPr>
          <w:rFonts w:hint="eastAsia" w:ascii="宋体" w:hAnsi="宋体" w:cs="宋体"/>
          <w:color w:val="auto"/>
          <w:sz w:val="24"/>
          <w:highlight w:val="none"/>
        </w:rPr>
        <w:tab/>
      </w:r>
      <w:r>
        <w:rPr>
          <w:rFonts w:hint="eastAsia" w:ascii="宋体" w:hAnsi="宋体" w:cs="宋体"/>
          <w:color w:val="auto"/>
          <w:sz w:val="24"/>
          <w:highlight w:val="none"/>
        </w:rPr>
        <w:t>%作为违约金。</w:t>
      </w:r>
    </w:p>
    <w:p w14:paraId="7FFBAAB8">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五、本协议条款与合同如有冲突，以本协议为准。</w:t>
      </w:r>
    </w:p>
    <w:p w14:paraId="504C7265">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六、本协议经双方法定代表人（负责人）或授权代表签字并加盖公章后生效。</w:t>
      </w:r>
    </w:p>
    <w:p w14:paraId="6F198F35">
      <w:pPr>
        <w:pStyle w:val="104"/>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七、本协议一式</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份</w:t>
      </w:r>
      <w:r>
        <w:rPr>
          <w:rFonts w:hint="eastAsia" w:ascii="宋体" w:hAnsi="宋体" w:cs="宋体"/>
          <w:color w:val="auto"/>
          <w:sz w:val="24"/>
          <w:highlight w:val="none"/>
        </w:rPr>
        <w:t>，甲、乙双方各执</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份</w:t>
      </w:r>
      <w:r>
        <w:rPr>
          <w:rFonts w:hint="eastAsia" w:ascii="宋体" w:hAnsi="宋体" w:cs="宋体"/>
          <w:color w:val="auto"/>
          <w:sz w:val="24"/>
          <w:highlight w:val="none"/>
        </w:rPr>
        <w:t>。</w:t>
      </w:r>
    </w:p>
    <w:p w14:paraId="637E5E4D">
      <w:pPr>
        <w:pStyle w:val="104"/>
        <w:shd w:val="clear" w:fill="FFFFFF" w:themeFill="background1"/>
        <w:spacing w:line="360" w:lineRule="auto"/>
        <w:rPr>
          <w:rFonts w:ascii="宋体" w:hAnsi="宋体" w:cs="宋体"/>
          <w:color w:val="auto"/>
          <w:sz w:val="24"/>
          <w:highlight w:val="none"/>
        </w:rPr>
      </w:pPr>
    </w:p>
    <w:p w14:paraId="03CFEAC7">
      <w:pPr>
        <w:pStyle w:val="104"/>
        <w:shd w:val="clear" w:fill="FFFFFF" w:themeFill="background1"/>
        <w:spacing w:line="360" w:lineRule="auto"/>
        <w:rPr>
          <w:rFonts w:ascii="宋体" w:hAnsi="宋体" w:cs="宋体"/>
          <w:color w:val="auto"/>
          <w:sz w:val="24"/>
          <w:highlight w:val="none"/>
        </w:rPr>
      </w:pPr>
    </w:p>
    <w:p w14:paraId="664FB785">
      <w:pPr>
        <w:pStyle w:val="104"/>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甲  方：（盖章）       乙  方：（盖章）</w:t>
      </w:r>
    </w:p>
    <w:p w14:paraId="28461A9C">
      <w:pPr>
        <w:pStyle w:val="104"/>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签署代表：      签署代表：</w:t>
      </w:r>
    </w:p>
    <w:p w14:paraId="7E57F301">
      <w:pPr>
        <w:pStyle w:val="104"/>
        <w:shd w:val="clear" w:fill="FFFFFF" w:themeFill="background1"/>
        <w:spacing w:line="360" w:lineRule="auto"/>
        <w:rPr>
          <w:rFonts w:ascii="宋体" w:hAnsi="宋体" w:cs="宋体"/>
          <w:color w:val="auto"/>
          <w:sz w:val="24"/>
          <w:highlight w:val="none"/>
          <w:u w:val="single"/>
        </w:rPr>
      </w:pPr>
      <w:r>
        <w:rPr>
          <w:rFonts w:hint="eastAsia" w:ascii="宋体" w:hAnsi="宋体" w:cs="宋体"/>
          <w:color w:val="auto"/>
          <w:sz w:val="24"/>
          <w:highlight w:val="none"/>
        </w:rPr>
        <w:t>签署日期：      签署日期：</w:t>
      </w:r>
    </w:p>
    <w:p w14:paraId="69106967">
      <w:pPr>
        <w:pStyle w:val="104"/>
        <w:shd w:val="clear" w:fill="FFFFFF" w:themeFill="background1"/>
        <w:spacing w:line="360" w:lineRule="auto"/>
        <w:rPr>
          <w:rFonts w:ascii="宋体" w:hAnsi="宋体" w:cs="宋体"/>
          <w:color w:val="auto"/>
          <w:sz w:val="24"/>
          <w:highlight w:val="none"/>
          <w:u w:val="single"/>
        </w:rPr>
      </w:pPr>
      <w:r>
        <w:rPr>
          <w:rFonts w:hint="eastAsia" w:ascii="宋体" w:hAnsi="宋体" w:cs="宋体"/>
          <w:color w:val="auto"/>
          <w:sz w:val="24"/>
          <w:highlight w:val="none"/>
          <w:u w:val="single"/>
        </w:rPr>
        <w:br w:type="page"/>
      </w:r>
    </w:p>
    <w:p w14:paraId="5521DD60">
      <w:pPr>
        <w:shd w:val="clear" w:fill="FFFFFF" w:themeFill="background1"/>
        <w:jc w:val="center"/>
        <w:rPr>
          <w:rFonts w:ascii="宋体" w:hAnsi="宋体"/>
          <w:color w:val="auto"/>
          <w:sz w:val="72"/>
          <w:szCs w:val="72"/>
          <w:highlight w:val="none"/>
          <w:u w:val="single"/>
        </w:rPr>
      </w:pPr>
    </w:p>
    <w:p w14:paraId="552731F1">
      <w:pPr>
        <w:pStyle w:val="107"/>
        <w:shd w:val="clear" w:fill="FFFFFF" w:themeFill="background1"/>
        <w:rPr>
          <w:rFonts w:hAnsi="宋体" w:cs="宋体"/>
          <w:b/>
          <w:color w:val="auto"/>
          <w:sz w:val="28"/>
          <w:szCs w:val="28"/>
          <w:highlight w:val="none"/>
        </w:rPr>
      </w:pPr>
      <w:r>
        <w:rPr>
          <w:rFonts w:hint="eastAsia" w:hAnsi="宋体" w:cs="宋体"/>
          <w:b/>
          <w:color w:val="auto"/>
          <w:sz w:val="28"/>
          <w:szCs w:val="28"/>
          <w:highlight w:val="none"/>
        </w:rPr>
        <w:t>附件十五：分包合同</w:t>
      </w:r>
    </w:p>
    <w:p w14:paraId="0DDE9910">
      <w:pPr>
        <w:pStyle w:val="107"/>
        <w:shd w:val="clear" w:fill="FFFFFF" w:themeFill="background1"/>
        <w:jc w:val="center"/>
        <w:rPr>
          <w:rFonts w:hAnsi="宋体" w:cs="宋体"/>
          <w:color w:val="auto"/>
          <w:sz w:val="32"/>
          <w:szCs w:val="32"/>
          <w:highlight w:val="none"/>
        </w:rPr>
      </w:pPr>
    </w:p>
    <w:p w14:paraId="505C3C20">
      <w:pPr>
        <w:pStyle w:val="107"/>
        <w:shd w:val="clear" w:fill="FFFFFF" w:themeFill="background1"/>
        <w:jc w:val="center"/>
        <w:rPr>
          <w:rFonts w:hAnsi="宋体" w:cs="宋体"/>
          <w:color w:val="auto"/>
          <w:sz w:val="32"/>
          <w:szCs w:val="32"/>
          <w:highlight w:val="none"/>
        </w:rPr>
      </w:pPr>
    </w:p>
    <w:p w14:paraId="0C25007B">
      <w:pPr>
        <w:pStyle w:val="107"/>
        <w:shd w:val="clear" w:fill="FFFFFF" w:themeFill="background1"/>
        <w:jc w:val="center"/>
        <w:rPr>
          <w:rFonts w:hAnsi="宋体" w:cs="宋体"/>
          <w:color w:val="auto"/>
          <w:sz w:val="32"/>
          <w:szCs w:val="32"/>
          <w:highlight w:val="none"/>
        </w:rPr>
      </w:pPr>
    </w:p>
    <w:p w14:paraId="1B3EBFE9">
      <w:pPr>
        <w:pStyle w:val="107"/>
        <w:shd w:val="clear" w:fill="FFFFFF" w:themeFill="background1"/>
        <w:jc w:val="center"/>
        <w:rPr>
          <w:rFonts w:hAnsi="宋体" w:cs="宋体"/>
          <w:color w:val="auto"/>
          <w:sz w:val="32"/>
          <w:szCs w:val="32"/>
          <w:highlight w:val="none"/>
        </w:rPr>
      </w:pPr>
    </w:p>
    <w:p w14:paraId="5FF70AE1">
      <w:pPr>
        <w:pStyle w:val="107"/>
        <w:shd w:val="clear" w:fill="FFFFFF" w:themeFill="background1"/>
        <w:jc w:val="center"/>
        <w:rPr>
          <w:rFonts w:hAnsi="宋体" w:cs="宋体"/>
          <w:color w:val="auto"/>
          <w:sz w:val="52"/>
          <w:szCs w:val="52"/>
          <w:highlight w:val="none"/>
        </w:rPr>
      </w:pPr>
      <w:r>
        <w:rPr>
          <w:rFonts w:hint="eastAsia" w:hAnsi="宋体" w:cs="宋体"/>
          <w:color w:val="auto"/>
          <w:sz w:val="52"/>
          <w:szCs w:val="52"/>
          <w:highlight w:val="none"/>
        </w:rPr>
        <w:t>公路工程施工分包合同</w:t>
      </w:r>
    </w:p>
    <w:p w14:paraId="509EC148">
      <w:pPr>
        <w:pStyle w:val="107"/>
        <w:shd w:val="clear" w:fill="FFFFFF" w:themeFill="background1"/>
        <w:jc w:val="center"/>
        <w:rPr>
          <w:rFonts w:hAnsi="宋体" w:cs="宋体"/>
          <w:color w:val="auto"/>
          <w:sz w:val="32"/>
          <w:szCs w:val="32"/>
          <w:highlight w:val="none"/>
        </w:rPr>
      </w:pPr>
    </w:p>
    <w:p w14:paraId="17089059">
      <w:pPr>
        <w:pStyle w:val="107"/>
        <w:shd w:val="clear" w:fill="FFFFFF" w:themeFill="background1"/>
        <w:jc w:val="center"/>
        <w:rPr>
          <w:rFonts w:hAnsi="宋体" w:cs="宋体"/>
          <w:color w:val="auto"/>
          <w:sz w:val="44"/>
          <w:szCs w:val="44"/>
          <w:highlight w:val="none"/>
        </w:rPr>
      </w:pPr>
      <w:r>
        <w:rPr>
          <w:rFonts w:hint="eastAsia" w:hAnsi="宋体" w:cs="宋体"/>
          <w:color w:val="auto"/>
          <w:sz w:val="44"/>
          <w:szCs w:val="44"/>
          <w:highlight w:val="none"/>
        </w:rPr>
        <w:t>（示范文本）</w:t>
      </w:r>
    </w:p>
    <w:p w14:paraId="768415D3">
      <w:pPr>
        <w:pStyle w:val="107"/>
        <w:shd w:val="clear" w:fill="FFFFFF" w:themeFill="background1"/>
        <w:jc w:val="center"/>
        <w:rPr>
          <w:rFonts w:hAnsi="宋体" w:cs="宋体"/>
          <w:color w:val="auto"/>
          <w:sz w:val="32"/>
          <w:szCs w:val="32"/>
          <w:highlight w:val="none"/>
        </w:rPr>
      </w:pPr>
    </w:p>
    <w:p w14:paraId="00E41305">
      <w:pPr>
        <w:pStyle w:val="107"/>
        <w:shd w:val="clear" w:fill="FFFFFF" w:themeFill="background1"/>
        <w:jc w:val="center"/>
        <w:rPr>
          <w:rFonts w:hAnsi="宋体" w:cs="宋体"/>
          <w:color w:val="auto"/>
          <w:sz w:val="32"/>
          <w:szCs w:val="32"/>
          <w:highlight w:val="none"/>
        </w:rPr>
      </w:pPr>
    </w:p>
    <w:p w14:paraId="432F1344">
      <w:pPr>
        <w:pStyle w:val="107"/>
        <w:shd w:val="clear" w:fill="FFFFFF" w:themeFill="background1"/>
        <w:jc w:val="center"/>
        <w:rPr>
          <w:rFonts w:hAnsi="宋体" w:cs="宋体"/>
          <w:color w:val="auto"/>
          <w:sz w:val="32"/>
          <w:szCs w:val="32"/>
          <w:highlight w:val="none"/>
        </w:rPr>
      </w:pPr>
    </w:p>
    <w:p w14:paraId="0D24C1B1">
      <w:pPr>
        <w:pStyle w:val="107"/>
        <w:shd w:val="clear" w:fill="FFFFFF" w:themeFill="background1"/>
        <w:jc w:val="center"/>
        <w:rPr>
          <w:rFonts w:hAnsi="宋体" w:cs="宋体"/>
          <w:color w:val="auto"/>
          <w:sz w:val="32"/>
          <w:szCs w:val="32"/>
          <w:highlight w:val="none"/>
        </w:rPr>
      </w:pPr>
    </w:p>
    <w:p w14:paraId="1EFFED5F">
      <w:pPr>
        <w:pStyle w:val="107"/>
        <w:shd w:val="clear" w:fill="FFFFFF" w:themeFill="background1"/>
        <w:jc w:val="center"/>
        <w:rPr>
          <w:rFonts w:hAnsi="宋体" w:cs="宋体"/>
          <w:color w:val="auto"/>
          <w:sz w:val="32"/>
          <w:szCs w:val="32"/>
          <w:highlight w:val="none"/>
        </w:rPr>
      </w:pPr>
    </w:p>
    <w:p w14:paraId="35DF1EB2">
      <w:pPr>
        <w:pStyle w:val="107"/>
        <w:shd w:val="clear" w:fill="FFFFFF" w:themeFill="background1"/>
        <w:jc w:val="center"/>
        <w:rPr>
          <w:rFonts w:hAnsi="宋体" w:cs="宋体"/>
          <w:color w:val="auto"/>
          <w:sz w:val="32"/>
          <w:szCs w:val="32"/>
          <w:highlight w:val="none"/>
        </w:rPr>
      </w:pPr>
    </w:p>
    <w:p w14:paraId="42B48E10">
      <w:pPr>
        <w:pStyle w:val="107"/>
        <w:shd w:val="clear" w:fill="FFFFFF" w:themeFill="background1"/>
        <w:jc w:val="center"/>
        <w:rPr>
          <w:rFonts w:hAnsi="宋体" w:cs="宋体"/>
          <w:color w:val="auto"/>
          <w:sz w:val="32"/>
          <w:szCs w:val="32"/>
          <w:highlight w:val="none"/>
        </w:rPr>
      </w:pPr>
    </w:p>
    <w:p w14:paraId="74727EE7">
      <w:pPr>
        <w:pStyle w:val="107"/>
        <w:shd w:val="clear" w:fill="FFFFFF" w:themeFill="background1"/>
        <w:jc w:val="center"/>
        <w:rPr>
          <w:rFonts w:hAnsi="宋体" w:cs="宋体"/>
          <w:color w:val="auto"/>
          <w:sz w:val="32"/>
          <w:szCs w:val="32"/>
          <w:highlight w:val="none"/>
        </w:rPr>
      </w:pPr>
    </w:p>
    <w:p w14:paraId="0A2B9997">
      <w:pPr>
        <w:pStyle w:val="107"/>
        <w:shd w:val="clear" w:fill="FFFFFF" w:themeFill="background1"/>
        <w:jc w:val="center"/>
        <w:rPr>
          <w:rFonts w:hAnsi="宋体" w:cs="宋体"/>
          <w:color w:val="auto"/>
          <w:sz w:val="32"/>
          <w:szCs w:val="32"/>
          <w:highlight w:val="none"/>
        </w:rPr>
      </w:pPr>
    </w:p>
    <w:p w14:paraId="72566DE4">
      <w:pPr>
        <w:pStyle w:val="107"/>
        <w:shd w:val="clear" w:fill="FFFFFF" w:themeFill="background1"/>
        <w:jc w:val="center"/>
        <w:rPr>
          <w:rFonts w:hAnsi="宋体" w:cs="宋体"/>
          <w:color w:val="auto"/>
          <w:sz w:val="32"/>
          <w:szCs w:val="32"/>
          <w:highlight w:val="none"/>
        </w:rPr>
      </w:pPr>
    </w:p>
    <w:p w14:paraId="6984A039">
      <w:pPr>
        <w:pStyle w:val="107"/>
        <w:shd w:val="clear" w:fill="FFFFFF" w:themeFill="background1"/>
        <w:jc w:val="center"/>
        <w:rPr>
          <w:rFonts w:hAnsi="宋体" w:cs="宋体"/>
          <w:color w:val="auto"/>
          <w:sz w:val="44"/>
          <w:szCs w:val="44"/>
          <w:highlight w:val="none"/>
        </w:rPr>
      </w:pPr>
    </w:p>
    <w:p w14:paraId="312F529C">
      <w:pPr>
        <w:pStyle w:val="107"/>
        <w:shd w:val="clear" w:fill="FFFFFF" w:themeFill="background1"/>
        <w:jc w:val="center"/>
        <w:rPr>
          <w:rFonts w:hAnsi="宋体" w:cs="宋体"/>
          <w:color w:val="auto"/>
          <w:sz w:val="44"/>
          <w:szCs w:val="44"/>
          <w:highlight w:val="none"/>
        </w:rPr>
      </w:pPr>
      <w:r>
        <w:rPr>
          <w:rFonts w:hint="eastAsia" w:hAnsi="宋体" w:cs="宋体"/>
          <w:color w:val="auto"/>
          <w:sz w:val="44"/>
          <w:szCs w:val="44"/>
          <w:highlight w:val="none"/>
        </w:rPr>
        <w:t>20   年  月</w:t>
      </w:r>
    </w:p>
    <w:p w14:paraId="69EAB56B">
      <w:pPr>
        <w:pStyle w:val="107"/>
        <w:shd w:val="clear" w:fill="FFFFFF" w:themeFill="background1"/>
        <w:jc w:val="center"/>
        <w:rPr>
          <w:rFonts w:hAnsi="宋体" w:cs="宋体"/>
          <w:color w:val="auto"/>
          <w:sz w:val="44"/>
          <w:szCs w:val="44"/>
          <w:highlight w:val="none"/>
        </w:rPr>
      </w:pPr>
      <w:r>
        <w:rPr>
          <w:rFonts w:hint="eastAsia" w:hAnsi="宋体" w:cs="宋体"/>
          <w:color w:val="auto"/>
          <w:sz w:val="44"/>
          <w:szCs w:val="44"/>
          <w:highlight w:val="none"/>
        </w:rPr>
        <w:br w:type="page"/>
      </w:r>
    </w:p>
    <w:p w14:paraId="2A255B56">
      <w:pPr>
        <w:pStyle w:val="107"/>
        <w:shd w:val="clear" w:fill="FFFFFF" w:themeFill="background1"/>
        <w:jc w:val="center"/>
        <w:rPr>
          <w:rFonts w:hAnsi="宋体" w:cs="宋体"/>
          <w:color w:val="auto"/>
          <w:sz w:val="44"/>
          <w:szCs w:val="44"/>
          <w:highlight w:val="none"/>
        </w:rPr>
      </w:pPr>
    </w:p>
    <w:p w14:paraId="096F6B7D">
      <w:pPr>
        <w:pStyle w:val="107"/>
        <w:shd w:val="clear" w:fill="FFFFFF" w:themeFill="background1"/>
        <w:jc w:val="center"/>
        <w:rPr>
          <w:rFonts w:hAnsi="宋体" w:cs="宋体"/>
          <w:color w:val="auto"/>
          <w:sz w:val="28"/>
          <w:szCs w:val="28"/>
          <w:highlight w:val="none"/>
        </w:rPr>
      </w:pPr>
    </w:p>
    <w:p w14:paraId="715F1DE7">
      <w:pPr>
        <w:pStyle w:val="107"/>
        <w:shd w:val="clear" w:fill="FFFFFF" w:themeFill="background1"/>
        <w:jc w:val="center"/>
        <w:rPr>
          <w:rFonts w:hAnsi="宋体" w:cs="宋体"/>
          <w:color w:val="auto"/>
          <w:sz w:val="28"/>
          <w:szCs w:val="28"/>
          <w:highlight w:val="none"/>
        </w:rPr>
      </w:pPr>
    </w:p>
    <w:p w14:paraId="15E55F97">
      <w:pPr>
        <w:pStyle w:val="107"/>
        <w:shd w:val="clear" w:fill="FFFFFF" w:themeFill="background1"/>
        <w:jc w:val="center"/>
        <w:rPr>
          <w:rFonts w:hAnsi="宋体" w:cs="宋体"/>
          <w:color w:val="auto"/>
          <w:sz w:val="28"/>
          <w:szCs w:val="28"/>
          <w:highlight w:val="none"/>
        </w:rPr>
      </w:pPr>
      <w:r>
        <w:rPr>
          <w:rFonts w:hint="eastAsia" w:hAnsi="宋体" w:cs="宋体"/>
          <w:color w:val="auto"/>
          <w:sz w:val="32"/>
          <w:szCs w:val="32"/>
          <w:highlight w:val="none"/>
        </w:rPr>
        <w:t>公路工程施工分包合同</w:t>
      </w:r>
    </w:p>
    <w:p w14:paraId="08A44426">
      <w:pPr>
        <w:pStyle w:val="107"/>
        <w:shd w:val="clear" w:fill="FFFFFF" w:themeFill="background1"/>
        <w:spacing w:line="280" w:lineRule="exact"/>
        <w:ind w:right="630"/>
        <w:jc w:val="right"/>
        <w:rPr>
          <w:rFonts w:hAnsi="宋体" w:cs="宋体"/>
          <w:color w:val="auto"/>
          <w:szCs w:val="21"/>
          <w:highlight w:val="none"/>
        </w:rPr>
      </w:pPr>
    </w:p>
    <w:p w14:paraId="0AAC6F83">
      <w:pPr>
        <w:pStyle w:val="107"/>
        <w:shd w:val="clear" w:fill="FFFFFF" w:themeFill="background1"/>
        <w:ind w:right="1380" w:firstLine="5400" w:firstLineChars="2250"/>
        <w:rPr>
          <w:rFonts w:hAnsi="宋体" w:cs="宋体"/>
          <w:color w:val="auto"/>
          <w:highlight w:val="none"/>
        </w:rPr>
      </w:pPr>
      <w:r>
        <w:rPr>
          <w:rFonts w:hint="eastAsia" w:hAnsi="宋体" w:cs="宋体"/>
          <w:color w:val="auto"/>
          <w:highlight w:val="none"/>
        </w:rPr>
        <w:t>分包合同编号：</w:t>
      </w:r>
    </w:p>
    <w:p w14:paraId="14B8916F">
      <w:pPr>
        <w:pStyle w:val="107"/>
        <w:shd w:val="clear" w:fill="FFFFFF" w:themeFill="background1"/>
        <w:rPr>
          <w:rFonts w:hAnsi="宋体" w:cs="宋体"/>
          <w:color w:val="auto"/>
          <w:highlight w:val="none"/>
        </w:rPr>
      </w:pPr>
      <w:r>
        <w:rPr>
          <w:rFonts w:hint="eastAsia" w:hAnsi="宋体" w:cs="宋体"/>
          <w:color w:val="auto"/>
          <w:highlight w:val="none"/>
        </w:rPr>
        <w:t>工程项目：  合同段：</w:t>
      </w:r>
    </w:p>
    <w:p w14:paraId="6ECFFA16">
      <w:pPr>
        <w:pStyle w:val="107"/>
        <w:shd w:val="clear" w:fill="FFFFFF" w:themeFill="background1"/>
        <w:rPr>
          <w:rFonts w:hAnsi="宋体" w:cs="宋体"/>
          <w:color w:val="auto"/>
          <w:highlight w:val="none"/>
          <w:u w:val="single"/>
        </w:rPr>
      </w:pPr>
      <w:r>
        <w:rPr>
          <w:rFonts w:hint="eastAsia" w:hAnsi="宋体" w:cs="宋体"/>
          <w:color w:val="auto"/>
          <w:highlight w:val="none"/>
        </w:rPr>
        <w:t>甲方(承包人) ：</w:t>
      </w:r>
    </w:p>
    <w:p w14:paraId="31B9924E">
      <w:pPr>
        <w:pStyle w:val="107"/>
        <w:shd w:val="clear" w:fill="FFFFFF" w:themeFill="background1"/>
        <w:rPr>
          <w:rFonts w:hAnsi="宋体" w:cs="宋体"/>
          <w:color w:val="auto"/>
          <w:highlight w:val="none"/>
        </w:rPr>
      </w:pPr>
      <w:r>
        <w:rPr>
          <w:rFonts w:hint="eastAsia" w:hAnsi="宋体" w:cs="宋体"/>
          <w:color w:val="auto"/>
          <w:highlight w:val="none"/>
        </w:rPr>
        <w:t>乙方(分包人) ：</w:t>
      </w:r>
    </w:p>
    <w:p w14:paraId="30FCF271">
      <w:pPr>
        <w:pStyle w:val="107"/>
        <w:shd w:val="clear" w:fill="FFFFFF" w:themeFill="background1"/>
        <w:rPr>
          <w:rFonts w:hAnsi="宋体" w:cs="宋体"/>
          <w:color w:val="auto"/>
          <w:highlight w:val="none"/>
        </w:rPr>
      </w:pPr>
    </w:p>
    <w:p w14:paraId="4697D038">
      <w:pPr>
        <w:pStyle w:val="107"/>
        <w:shd w:val="clear" w:fill="FFFFFF" w:themeFill="background1"/>
        <w:ind w:firstLine="422"/>
        <w:rPr>
          <w:rFonts w:hAnsi="宋体" w:cs="宋体"/>
          <w:color w:val="auto"/>
          <w:highlight w:val="none"/>
        </w:rPr>
      </w:pPr>
      <w:r>
        <w:rPr>
          <w:rFonts w:hint="eastAsia" w:hAnsi="宋体" w:cs="宋体"/>
          <w:color w:val="auto"/>
          <w:highlight w:val="none"/>
        </w:rPr>
        <w:t>依照《</w:t>
      </w:r>
      <w:r>
        <w:rPr>
          <w:rFonts w:hint="eastAsia" w:hAnsi="宋体" w:cs="宋体"/>
          <w:color w:val="auto"/>
          <w:highlight w:val="none"/>
          <w:lang w:eastAsia="zh-CN"/>
        </w:rPr>
        <w:t>中华人民共和国民法典合同编</w:t>
      </w:r>
      <w:r>
        <w:rPr>
          <w:rFonts w:hint="eastAsia" w:hAnsi="宋体" w:cs="宋体"/>
          <w:color w:val="auto"/>
          <w:highlight w:val="none"/>
        </w:rPr>
        <w:t>》、《中华人民共和国公路法》、《中华人民共和国港口法》、《中华人民共和国航道法》、交通运输部《公路工程施工分包管理办法》及其他有关法律、法规和规章，遵循平等、自愿、公平和诚实信用的原则，鉴于××××××××（以下简称为“发包人”）与承包人已经签订施工总承包合同（以下称为“总包合同”），承包人和分包人双方就分包专项工程施工事项经协商达成一致，订立本合同。</w:t>
      </w:r>
    </w:p>
    <w:p w14:paraId="0F5505AF">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1.  分包人情况</w:t>
      </w:r>
    </w:p>
    <w:p w14:paraId="05EE2124">
      <w:pPr>
        <w:pStyle w:val="107"/>
        <w:shd w:val="clear" w:fill="FFFFFF" w:themeFill="background1"/>
        <w:ind w:firstLine="422"/>
        <w:rPr>
          <w:rFonts w:hAnsi="宋体" w:cs="宋体"/>
          <w:color w:val="auto"/>
          <w:highlight w:val="none"/>
        </w:rPr>
      </w:pPr>
      <w:r>
        <w:rPr>
          <w:rFonts w:hint="eastAsia" w:hAnsi="宋体" w:cs="宋体"/>
          <w:color w:val="auto"/>
          <w:highlight w:val="none"/>
        </w:rPr>
        <w:t>1.1分包人名称：；注册地址：；</w:t>
      </w:r>
    </w:p>
    <w:p w14:paraId="1D24ADE3">
      <w:pPr>
        <w:pStyle w:val="107"/>
        <w:shd w:val="clear" w:fill="FFFFFF" w:themeFill="background1"/>
        <w:ind w:firstLine="720" w:firstLineChars="300"/>
        <w:rPr>
          <w:rFonts w:hAnsi="宋体" w:cs="宋体"/>
          <w:color w:val="auto"/>
          <w:highlight w:val="none"/>
        </w:rPr>
      </w:pPr>
      <w:r>
        <w:rPr>
          <w:rFonts w:hint="eastAsia" w:hAnsi="宋体" w:cs="宋体"/>
          <w:color w:val="auto"/>
          <w:highlight w:val="none"/>
        </w:rPr>
        <w:t>法定代表人姓名：，职称：，职务：。</w:t>
      </w:r>
    </w:p>
    <w:p w14:paraId="71403618">
      <w:pPr>
        <w:pStyle w:val="107"/>
        <w:shd w:val="clear" w:fill="FFFFFF" w:themeFill="background1"/>
        <w:ind w:firstLine="422"/>
        <w:rPr>
          <w:rFonts w:hAnsi="宋体" w:cs="宋体"/>
          <w:color w:val="auto"/>
          <w:highlight w:val="none"/>
        </w:rPr>
      </w:pPr>
      <w:r>
        <w:rPr>
          <w:rFonts w:hint="eastAsia" w:hAnsi="宋体" w:cs="宋体"/>
          <w:color w:val="auto"/>
          <w:highlight w:val="none"/>
        </w:rPr>
        <w:t>1.2分包项目负责人姓名，职称：，资格：：分包技术负责人姓名：职称：，资格：：</w:t>
      </w:r>
    </w:p>
    <w:p w14:paraId="6CFE5D3E">
      <w:pPr>
        <w:pStyle w:val="107"/>
        <w:shd w:val="clear" w:fill="FFFFFF" w:themeFill="background1"/>
        <w:ind w:firstLine="422"/>
        <w:rPr>
          <w:rFonts w:hAnsi="宋体" w:cs="宋体"/>
          <w:color w:val="auto"/>
          <w:highlight w:val="none"/>
        </w:rPr>
      </w:pPr>
      <w:r>
        <w:rPr>
          <w:rFonts w:hint="eastAsia" w:hAnsi="宋体" w:cs="宋体"/>
          <w:color w:val="auto"/>
          <w:highlight w:val="none"/>
        </w:rPr>
        <w:t>1.3分包人拟投入的主要管理人员（见附表1）</w:t>
      </w:r>
    </w:p>
    <w:p w14:paraId="68A28D33">
      <w:pPr>
        <w:pStyle w:val="107"/>
        <w:shd w:val="clear" w:fill="FFFFFF" w:themeFill="background1"/>
        <w:ind w:firstLine="422"/>
        <w:rPr>
          <w:rFonts w:hAnsi="宋体" w:cs="宋体"/>
          <w:color w:val="auto"/>
          <w:highlight w:val="none"/>
        </w:rPr>
      </w:pPr>
      <w:r>
        <w:rPr>
          <w:rFonts w:hint="eastAsia" w:hAnsi="宋体" w:cs="宋体"/>
          <w:color w:val="auto"/>
          <w:highlight w:val="none"/>
        </w:rPr>
        <w:t>1.4分包人拟投入的主要机械设备（见附表2)</w:t>
      </w:r>
    </w:p>
    <w:p w14:paraId="0E90CB27">
      <w:pPr>
        <w:pStyle w:val="107"/>
        <w:shd w:val="clear" w:fill="FFFFFF" w:themeFill="background1"/>
        <w:ind w:firstLine="422"/>
        <w:jc w:val="left"/>
        <w:rPr>
          <w:rFonts w:hAnsi="宋体" w:cs="宋体"/>
          <w:b/>
          <w:color w:val="auto"/>
          <w:highlight w:val="none"/>
        </w:rPr>
      </w:pPr>
    </w:p>
    <w:p w14:paraId="69887DB7">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2.分包专项工程概况</w:t>
      </w:r>
    </w:p>
    <w:p w14:paraId="4E1E16B5">
      <w:pPr>
        <w:pStyle w:val="107"/>
        <w:shd w:val="clear" w:fill="FFFFFF" w:themeFill="background1"/>
        <w:ind w:firstLine="422"/>
        <w:rPr>
          <w:rFonts w:hAnsi="宋体" w:cs="宋体"/>
          <w:color w:val="auto"/>
          <w:highlight w:val="none"/>
        </w:rPr>
      </w:pPr>
      <w:r>
        <w:rPr>
          <w:rFonts w:hint="eastAsia" w:hAnsi="宋体" w:cs="宋体"/>
          <w:color w:val="auto"/>
          <w:highlight w:val="none"/>
        </w:rPr>
        <w:t>2.1分包专项工程名称及地点</w:t>
      </w:r>
    </w:p>
    <w:p w14:paraId="6F2CE0CF">
      <w:pPr>
        <w:pStyle w:val="107"/>
        <w:shd w:val="clear" w:fill="FFFFFF" w:themeFill="background1"/>
        <w:ind w:firstLine="422"/>
        <w:rPr>
          <w:rFonts w:hAnsi="宋体" w:cs="宋体"/>
          <w:color w:val="auto"/>
          <w:highlight w:val="none"/>
        </w:rPr>
      </w:pPr>
      <w:r>
        <w:rPr>
          <w:rFonts w:hint="eastAsia" w:hAnsi="宋体" w:cs="宋体"/>
          <w:color w:val="auto"/>
          <w:highlight w:val="none"/>
        </w:rPr>
        <w:t xml:space="preserve">2.2 分包专项工程范围、内容： </w:t>
      </w:r>
    </w:p>
    <w:p w14:paraId="53600D33">
      <w:pPr>
        <w:pStyle w:val="107"/>
        <w:shd w:val="clear" w:fill="FFFFFF" w:themeFill="background1"/>
        <w:ind w:firstLine="422"/>
        <w:rPr>
          <w:rFonts w:hAnsi="宋体" w:cs="宋体"/>
          <w:color w:val="auto"/>
          <w:highlight w:val="none"/>
        </w:rPr>
      </w:pPr>
      <w:r>
        <w:rPr>
          <w:rFonts w:hint="eastAsia" w:hAnsi="宋体" w:cs="宋体"/>
          <w:color w:val="auto"/>
          <w:highlight w:val="none"/>
        </w:rPr>
        <w:t>2.3 分包方式：</w:t>
      </w:r>
    </w:p>
    <w:p w14:paraId="1516867C">
      <w:pPr>
        <w:pStyle w:val="107"/>
        <w:shd w:val="clear" w:fill="FFFFFF" w:themeFill="background1"/>
        <w:ind w:firstLine="422"/>
        <w:jc w:val="left"/>
        <w:rPr>
          <w:rFonts w:hAnsi="宋体" w:cs="宋体"/>
          <w:b/>
          <w:color w:val="auto"/>
          <w:highlight w:val="none"/>
        </w:rPr>
      </w:pPr>
    </w:p>
    <w:p w14:paraId="2FFC1EB0">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3.分包合同有关款项</w:t>
      </w:r>
    </w:p>
    <w:p w14:paraId="163D4CEE">
      <w:pPr>
        <w:pStyle w:val="107"/>
        <w:shd w:val="clear" w:fill="FFFFFF" w:themeFill="background1"/>
        <w:ind w:firstLine="422"/>
        <w:rPr>
          <w:rFonts w:hAnsi="宋体" w:cs="宋体"/>
          <w:b/>
          <w:color w:val="auto"/>
          <w:highlight w:val="none"/>
        </w:rPr>
      </w:pPr>
      <w:r>
        <w:rPr>
          <w:rFonts w:hint="eastAsia" w:hAnsi="宋体" w:cs="宋体"/>
          <w:b/>
          <w:color w:val="auto"/>
          <w:highlight w:val="none"/>
        </w:rPr>
        <w:t>3.1 分包价款</w:t>
      </w:r>
    </w:p>
    <w:p w14:paraId="2456D9F9">
      <w:pPr>
        <w:pStyle w:val="107"/>
        <w:shd w:val="clear" w:fill="FFFFFF" w:themeFill="background1"/>
        <w:ind w:firstLine="422"/>
        <w:rPr>
          <w:rFonts w:hAnsi="宋体" w:cs="宋体"/>
          <w:color w:val="auto"/>
          <w:highlight w:val="none"/>
        </w:rPr>
      </w:pPr>
      <w:r>
        <w:rPr>
          <w:rFonts w:hint="eastAsia" w:hAnsi="宋体" w:cs="宋体"/>
          <w:color w:val="auto"/>
          <w:highlight w:val="none"/>
        </w:rPr>
        <w:t>3.1.1本合同为固定单价合同，合同总价为人民币元（大写：），合同单价和暂估数量见《分包专项工程工程量清单》（附表3）。实际合同总价根据乙方实际完成，由甲方确认并经监理人签认的数量按本合同后附清单所列固定单价进行计算，并结合本合同条款进行结算支付。</w:t>
      </w:r>
    </w:p>
    <w:p w14:paraId="48C66D13">
      <w:pPr>
        <w:pStyle w:val="107"/>
        <w:shd w:val="clear" w:fill="FFFFFF" w:themeFill="background1"/>
        <w:ind w:firstLine="422"/>
        <w:rPr>
          <w:rFonts w:hAnsi="宋体" w:cs="宋体"/>
          <w:color w:val="auto"/>
          <w:highlight w:val="none"/>
        </w:rPr>
      </w:pPr>
      <w:r>
        <w:rPr>
          <w:rFonts w:hint="eastAsia" w:hAnsi="宋体" w:cs="宋体"/>
          <w:color w:val="auto"/>
          <w:highlight w:val="none"/>
        </w:rPr>
        <w:t>3.1.2上述合同单价已包括了乙方为实施和完成上述工程量清单细目内容及其附属工作及缺陷修复工作所发生的一切费用，以及合同明示或暗示的一切风险、责任和义务。涉及工程量清单中未列的子目，其费用参照总包合同相关计量有关条款办理。</w:t>
      </w:r>
    </w:p>
    <w:p w14:paraId="3C0E8ED2">
      <w:pPr>
        <w:pStyle w:val="107"/>
        <w:shd w:val="clear" w:fill="FFFFFF" w:themeFill="background1"/>
        <w:ind w:firstLine="422"/>
        <w:rPr>
          <w:rFonts w:hAnsi="宋体" w:cs="宋体"/>
          <w:color w:val="auto"/>
          <w:highlight w:val="none"/>
        </w:rPr>
      </w:pPr>
      <w:r>
        <w:rPr>
          <w:rFonts w:hint="eastAsia" w:hAnsi="宋体" w:cs="宋体"/>
          <w:color w:val="auto"/>
          <w:highlight w:val="none"/>
        </w:rPr>
        <w:t xml:space="preserve">3.1.3（税费内容约定）。 </w:t>
      </w:r>
    </w:p>
    <w:p w14:paraId="0A25CED8">
      <w:pPr>
        <w:pStyle w:val="107"/>
        <w:shd w:val="clear" w:fill="FFFFFF" w:themeFill="background1"/>
        <w:ind w:firstLine="422"/>
        <w:rPr>
          <w:rFonts w:hAnsi="宋体" w:cs="宋体"/>
          <w:b/>
          <w:color w:val="auto"/>
          <w:highlight w:val="none"/>
        </w:rPr>
      </w:pPr>
      <w:r>
        <w:rPr>
          <w:rFonts w:hint="eastAsia" w:hAnsi="宋体" w:cs="宋体"/>
          <w:b/>
          <w:color w:val="auto"/>
          <w:highlight w:val="none"/>
        </w:rPr>
        <w:t>3.2履约保函或保证金：</w:t>
      </w:r>
    </w:p>
    <w:p w14:paraId="7F0F2352">
      <w:pPr>
        <w:pStyle w:val="107"/>
        <w:shd w:val="clear" w:fill="FFFFFF" w:themeFill="background1"/>
        <w:ind w:firstLine="422"/>
        <w:rPr>
          <w:rFonts w:hAnsi="宋体" w:cs="宋体"/>
          <w:color w:val="auto"/>
          <w:highlight w:val="none"/>
        </w:rPr>
      </w:pPr>
      <w:r>
        <w:rPr>
          <w:rFonts w:hint="eastAsia" w:hAnsi="宋体" w:cs="宋体"/>
          <w:color w:val="auto"/>
          <w:highlight w:val="none"/>
        </w:rPr>
        <w:t>3.2.1乙方与甲方签订合同后的天内，应向甲方交纳：（b履约保函；b履约保证金），即：</w:t>
      </w:r>
    </w:p>
    <w:p w14:paraId="399FAEF3">
      <w:pPr>
        <w:pStyle w:val="107"/>
        <w:shd w:val="clear" w:fill="FFFFFF" w:themeFill="background1"/>
        <w:ind w:firstLine="424" w:firstLineChars="177"/>
        <w:rPr>
          <w:rFonts w:hAnsi="宋体" w:cs="宋体"/>
          <w:color w:val="auto"/>
          <w:highlight w:val="none"/>
        </w:rPr>
      </w:pPr>
      <w:r>
        <w:rPr>
          <w:rFonts w:hint="eastAsia" w:hAnsi="宋体" w:cs="宋体"/>
          <w:color w:val="auto"/>
          <w:highlight w:val="none"/>
        </w:rPr>
        <w:t>a.分包合同价的％履约保函和分包合同价的％质量保函。</w:t>
      </w:r>
    </w:p>
    <w:p w14:paraId="3982F135">
      <w:pPr>
        <w:pStyle w:val="107"/>
        <w:shd w:val="clear" w:fill="FFFFFF" w:themeFill="background1"/>
        <w:ind w:firstLine="422"/>
        <w:rPr>
          <w:rFonts w:hAnsi="宋体" w:cs="宋体"/>
          <w:color w:val="auto"/>
          <w:highlight w:val="none"/>
        </w:rPr>
      </w:pPr>
      <w:r>
        <w:rPr>
          <w:rFonts w:hint="eastAsia" w:hAnsi="宋体" w:cs="宋体"/>
          <w:color w:val="auto"/>
          <w:highlight w:val="none"/>
        </w:rPr>
        <w:t>b.分包合同价的％履约保证金计元和分包合同价的％质量保证金计元。</w:t>
      </w:r>
    </w:p>
    <w:p w14:paraId="47DB83A6">
      <w:pPr>
        <w:pStyle w:val="107"/>
        <w:shd w:val="clear" w:fill="FFFFFF" w:themeFill="background1"/>
        <w:ind w:firstLine="422"/>
        <w:rPr>
          <w:rFonts w:hAnsi="宋体" w:cs="宋体"/>
          <w:color w:val="auto"/>
          <w:highlight w:val="none"/>
        </w:rPr>
      </w:pPr>
      <w:r>
        <w:rPr>
          <w:rFonts w:hint="eastAsia" w:hAnsi="宋体" w:cs="宋体"/>
          <w:color w:val="auto"/>
          <w:highlight w:val="none"/>
        </w:rPr>
        <w:t>3.2.3乙方严格履行了本合同规定的各项事宜，施工任务如期完工，工程质量达到甲方向发包人承诺的质量要求，无安全责任事故发生，未遗留各种纠纷，在本合同履行完毕后，给予全额退还保证金，否则甲方继续扣留或扣除部分或全部保证金。</w:t>
      </w:r>
    </w:p>
    <w:p w14:paraId="0D82F4DD">
      <w:pPr>
        <w:pStyle w:val="107"/>
        <w:shd w:val="clear" w:fill="FFFFFF" w:themeFill="background1"/>
        <w:ind w:firstLine="422"/>
        <w:rPr>
          <w:rFonts w:hAnsi="宋体" w:cs="宋体"/>
          <w:b/>
          <w:color w:val="auto"/>
          <w:highlight w:val="none"/>
        </w:rPr>
      </w:pPr>
      <w:r>
        <w:rPr>
          <w:rFonts w:hint="eastAsia" w:hAnsi="宋体" w:cs="宋体"/>
          <w:b/>
          <w:color w:val="auto"/>
          <w:highlight w:val="none"/>
        </w:rPr>
        <w:t>3.3有关本分包专项工程款项约定</w:t>
      </w:r>
    </w:p>
    <w:p w14:paraId="67F736D8">
      <w:pPr>
        <w:pStyle w:val="107"/>
        <w:shd w:val="clear" w:fill="FFFFFF" w:themeFill="background1"/>
        <w:ind w:firstLine="422"/>
        <w:rPr>
          <w:rFonts w:hAnsi="宋体" w:cs="宋体"/>
          <w:color w:val="auto"/>
          <w:highlight w:val="none"/>
        </w:rPr>
      </w:pPr>
      <w:r>
        <w:rPr>
          <w:rFonts w:hint="eastAsia" w:hAnsi="宋体" w:cs="宋体"/>
          <w:color w:val="auto"/>
          <w:highlight w:val="none"/>
        </w:rPr>
        <w:t>3.3.1动员预付款元，甲方在发包人动员预付款支付后，并乙方交纳上述保函或保证金后的    天内向乙方支付；</w:t>
      </w:r>
    </w:p>
    <w:p w14:paraId="7C5A581C">
      <w:pPr>
        <w:pStyle w:val="107"/>
        <w:shd w:val="clear" w:fill="FFFFFF" w:themeFill="background1"/>
        <w:ind w:firstLine="422"/>
        <w:rPr>
          <w:rFonts w:hAnsi="宋体" w:cs="宋体"/>
          <w:color w:val="auto"/>
          <w:highlight w:val="none"/>
        </w:rPr>
      </w:pPr>
      <w:r>
        <w:rPr>
          <w:rFonts w:hint="eastAsia" w:hAnsi="宋体" w:cs="宋体"/>
          <w:color w:val="auto"/>
          <w:highlight w:val="none"/>
        </w:rPr>
        <w:t>3.3.2质量保证金限额为合同总价％。质量保证金参照总包合同中的规定执行。若在缺陷责任期内发生涉及乙方施工项目的维修费用，则由乙方全额承担，并在质量保证金中扣除。</w:t>
      </w:r>
    </w:p>
    <w:p w14:paraId="77B3B5EB">
      <w:pPr>
        <w:pStyle w:val="107"/>
        <w:shd w:val="clear" w:fill="FFFFFF" w:themeFill="background1"/>
        <w:ind w:firstLine="422"/>
        <w:rPr>
          <w:rFonts w:hAnsi="宋体" w:cs="宋体"/>
          <w:bCs/>
          <w:color w:val="auto"/>
          <w:highlight w:val="none"/>
        </w:rPr>
      </w:pPr>
      <w:r>
        <w:rPr>
          <w:rFonts w:hint="eastAsia" w:hAnsi="宋体" w:cs="宋体"/>
          <w:color w:val="auto"/>
          <w:highlight w:val="none"/>
        </w:rPr>
        <w:t>3.3.3安全生产费用按总包合同的专用条款的规定进行计量支付，按实投入使用，</w:t>
      </w:r>
      <w:r>
        <w:rPr>
          <w:rFonts w:hint="eastAsia" w:hAnsi="宋体" w:cs="宋体"/>
          <w:bCs/>
          <w:color w:val="auto"/>
          <w:highlight w:val="none"/>
        </w:rPr>
        <w:t>承建工程竣工后，最终由甲乙双方结算。</w:t>
      </w:r>
    </w:p>
    <w:p w14:paraId="6075F5F9">
      <w:pPr>
        <w:pStyle w:val="107"/>
        <w:shd w:val="clear" w:fill="FFFFFF" w:themeFill="background1"/>
        <w:ind w:firstLine="422"/>
        <w:rPr>
          <w:rFonts w:hAnsi="宋体" w:cs="宋体"/>
          <w:color w:val="auto"/>
          <w:highlight w:val="none"/>
        </w:rPr>
      </w:pPr>
      <w:r>
        <w:rPr>
          <w:rFonts w:hint="eastAsia" w:hAnsi="宋体" w:cs="宋体"/>
          <w:color w:val="auto"/>
          <w:highlight w:val="none"/>
        </w:rPr>
        <w:t>3.3.4农民工工资支付保证金按项目专用条款或发包人规定的比例在计量支付时提取，在乙方项目完工并出具无拖欠农民工工资承诺后退还。</w:t>
      </w:r>
    </w:p>
    <w:p w14:paraId="601BD955">
      <w:pPr>
        <w:pStyle w:val="107"/>
        <w:shd w:val="clear" w:fill="FFFFFF" w:themeFill="background1"/>
        <w:ind w:firstLine="422"/>
        <w:rPr>
          <w:rFonts w:hAnsi="宋体" w:cs="宋体"/>
          <w:color w:val="auto"/>
          <w:highlight w:val="none"/>
        </w:rPr>
      </w:pPr>
      <w:r>
        <w:rPr>
          <w:rFonts w:hint="eastAsia" w:hAnsi="宋体" w:cs="宋体"/>
          <w:color w:val="auto"/>
          <w:highlight w:val="none"/>
        </w:rPr>
        <w:t>3.3.5本合同约定的所有保证金、保留金等到期无争议需要返还的，均不计利息。</w:t>
      </w:r>
    </w:p>
    <w:p w14:paraId="4F0A4322">
      <w:pPr>
        <w:pStyle w:val="107"/>
        <w:shd w:val="clear" w:fill="FFFFFF" w:themeFill="background1"/>
        <w:ind w:firstLine="422"/>
        <w:rPr>
          <w:rFonts w:hAnsi="宋体" w:cs="宋体"/>
          <w:color w:val="auto"/>
          <w:highlight w:val="none"/>
        </w:rPr>
      </w:pPr>
      <w:r>
        <w:rPr>
          <w:rFonts w:hint="eastAsia" w:hAnsi="宋体" w:cs="宋体"/>
          <w:color w:val="auto"/>
          <w:highlight w:val="none"/>
        </w:rPr>
        <w:t>3.3.3（质量和进度考核相关条款）。</w:t>
      </w:r>
    </w:p>
    <w:p w14:paraId="438DB643">
      <w:pPr>
        <w:pStyle w:val="107"/>
        <w:shd w:val="clear" w:fill="FFFFFF" w:themeFill="background1"/>
        <w:ind w:firstLine="422"/>
        <w:jc w:val="left"/>
        <w:rPr>
          <w:rFonts w:hAnsi="宋体" w:cs="宋体"/>
          <w:b/>
          <w:color w:val="auto"/>
          <w:highlight w:val="none"/>
        </w:rPr>
      </w:pPr>
    </w:p>
    <w:p w14:paraId="50AE4FA1">
      <w:pPr>
        <w:pStyle w:val="107"/>
        <w:shd w:val="clear" w:fill="FFFFFF" w:themeFill="background1"/>
        <w:ind w:firstLine="482" w:firstLineChars="200"/>
        <w:rPr>
          <w:rFonts w:hAnsi="宋体" w:cs="宋体"/>
          <w:b/>
          <w:color w:val="auto"/>
          <w:highlight w:val="none"/>
        </w:rPr>
      </w:pPr>
      <w:r>
        <w:rPr>
          <w:rFonts w:hint="eastAsia" w:hAnsi="宋体" w:cs="宋体"/>
          <w:b/>
          <w:color w:val="auto"/>
          <w:highlight w:val="none"/>
        </w:rPr>
        <w:t>4.双方责任</w:t>
      </w:r>
    </w:p>
    <w:p w14:paraId="1FC34752">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4.1甲方责任</w:t>
      </w:r>
    </w:p>
    <w:p w14:paraId="4E3BFDD5">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4.1.1及时向乙方提供施工设计图及有关技术资料。</w:t>
      </w:r>
    </w:p>
    <w:p w14:paraId="5310558A">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4.1.2协调建设单位，办理永久征地手续，提供乙方使用。</w:t>
      </w:r>
    </w:p>
    <w:p w14:paraId="2E3E3078">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4.1.3开工前由甲方牵头联系建设单位和设计单位对乙方进行交桩，负责完成线路复测、控制桩复测及加密等工作，乙方配合。</w:t>
      </w:r>
    </w:p>
    <w:p w14:paraId="71A5F871">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4.1.4监督、协助乙方办理临时用地，但不承担因临时用地造成的任何费用及责任。</w:t>
      </w:r>
    </w:p>
    <w:p w14:paraId="0D7CCD97">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4.1.5按招标文件和建设单位规章制度对乙方施工进行监控，监督乙方文明施工、质量管理、安全生产、施工进度。</w:t>
      </w:r>
    </w:p>
    <w:p w14:paraId="1FE30347">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4.1.6负责牵头联系建设单位、设计单位、监理单位有关工作。</w:t>
      </w:r>
    </w:p>
    <w:p w14:paraId="5A434D26">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4.1.7负责转发政府、建设、设计、监理等相关单位，甲方认为有必要传达的文件、通知及其他资料。</w:t>
      </w:r>
    </w:p>
    <w:p w14:paraId="2BB0A126">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4.1.8负责成立中心试验室，并承担需要中心试验室负责的试验、检测工作，依照甲乙双方协商的工程试验检测费用支付。</w:t>
      </w:r>
    </w:p>
    <w:p w14:paraId="7C0C2CA4">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4.1.9负责建设拌和站，并按商品砼约定价格及供货方式提供砼，砼使用搅拌运输车提供至“可以安全送达”的施工区域。</w:t>
      </w:r>
    </w:p>
    <w:p w14:paraId="00461082">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4.1.10负责对乙方临时设施及标示标牌的统一规划，但不承担所发生的费用。</w:t>
      </w:r>
    </w:p>
    <w:p w14:paraId="43618FBA">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4.1.11负责对建设单位计量工作（按乙方当期实际进度完成情况上报建设单位审批），负责办理乙方中间结算和完工决算，并拨付工程款。</w:t>
      </w:r>
    </w:p>
    <w:p w14:paraId="2B109A68">
      <w:pPr>
        <w:pStyle w:val="107"/>
        <w:shd w:val="clear" w:fill="FFFFFF" w:themeFill="background1"/>
        <w:ind w:left="1" w:firstLine="480" w:firstLineChars="200"/>
        <w:rPr>
          <w:rFonts w:hAnsi="宋体" w:cs="宋体"/>
          <w:color w:val="auto"/>
          <w:highlight w:val="none"/>
        </w:rPr>
      </w:pPr>
      <w:r>
        <w:rPr>
          <w:rFonts w:hint="eastAsia" w:hAnsi="宋体" w:cs="宋体"/>
          <w:color w:val="auto"/>
          <w:highlight w:val="none"/>
        </w:rPr>
        <w:t>4.1.12负责制定并下达有关“技术、质量、安全、环保、文明施工、试验、资料”等有关管理规定，提供乙方使用。</w:t>
      </w:r>
    </w:p>
    <w:p w14:paraId="42B0C55C">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4.1.13负责下达年、季、月施工计划，并对乙方施工进行全方位监控。</w:t>
      </w:r>
    </w:p>
    <w:p w14:paraId="567ADA50">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4.1.14负责根据进度计划，及时提供甲供材料。</w:t>
      </w:r>
    </w:p>
    <w:p w14:paraId="72C00ED8">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4.1.15施工过程中，负责对乙方主要管理人员（项目经理、副经理、总工、现场技术主管、专职安全员、资料员等）进行考核和评估，对不符合要求的管理人员有权下达限期更换指令。</w:t>
      </w:r>
    </w:p>
    <w:p w14:paraId="4AB3944A">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4.1.16合同履行过程中，甲方有权对乙方的资金去向进行监控，并对擅自挪用的资金提出整改意见，并视造成的后果进行必要处罚。</w:t>
      </w:r>
    </w:p>
    <w:p w14:paraId="31B4B381">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4.1.17施工过程中，甲方有权监督乙方的农民工管理及工资发放，如果出现乙方无理由拖欠农民工工资，甲方有权直接代发，所代发工资直接从乙方工程款中扣除。</w:t>
      </w:r>
    </w:p>
    <w:p w14:paraId="7130B559">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4.1.18协助乙方办理相关工程施工事宜，传达下发上级所发的本合同相关文件和信息。</w:t>
      </w:r>
    </w:p>
    <w:p w14:paraId="5F64996A">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4.2乙方责任</w:t>
      </w:r>
    </w:p>
    <w:p w14:paraId="742367C9">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临时占地由乙方向当地政府土地管理部门申请，并办理租用手续和承担费用,办理征地手续时，应用甲方名义，甲方负责配合。临时占地退还前，乙方应自费恢复到临时占地使用前的状况。如乙方撤离后未按要求对临时占地进行恢复或虽进行了恢复但未达到地方政府及土地所有人合同约定的标准，将由甲方负责对其恢复，所发生的费用将从应付给乙方的任何款项内扣除。</w:t>
      </w:r>
    </w:p>
    <w:p w14:paraId="10115398">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4.2.2乙方应配合甲方完成线路复测、控制桩复测及加密等工作，交桩后由乙方对控制桩、加密桩等进行妥善保护，并自行负责施工过程中的测量工作，并承担全部费用。</w:t>
      </w:r>
    </w:p>
    <w:p w14:paraId="1C50862C">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4.2.3乙方需成立健全的组织机构，配备“项目经理、现场副经理、总工”以及“工程技术、测量、安全质量、环保、物资、设备、计量、财务、试验”等相应管理和技术人员，主要人员资质需符合甲方要求。乙方应将组织机构及人员情况（需注明姓名、性别、年龄、职务、职称、学历证书、从业资格证书、业绩、身份证号码、电话号码等）报送甲方备案，同时按甲方要求提供相应证件供建设、监理单位核查，并在施工中保持稳定。施工过种中，接受甲方对相关人员的考核和评估，对认定为不适合的管理人员，限期内执行完毕甲方的更换指令。除甲方更换指令外，不得随意变更，如有更换，必须事先征得甲方书面同意。</w:t>
      </w:r>
    </w:p>
    <w:p w14:paraId="7063EDB8">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4.2.4乙方主要管理人员（项目负责人、技术负责人）必须坚守工地，严格请销假制度，未经甲方同意，乙方主要人员擅离工作岗位，处以元/人·日的罚款。</w:t>
      </w:r>
    </w:p>
    <w:p w14:paraId="2B17152D">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4.2.5乙方应按照合同要求为其履行合同所雇用的全部人员缴纳工伤保险费、在整个施工期间为其现场机构雇用的全部人员投保人身意外伤害险并为其施工设备办理保险，其费用由乙方承担。</w:t>
      </w:r>
    </w:p>
    <w:p w14:paraId="44186898">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4.2.6乙方应按照甲方统一规划方案进行临时设施的建设及标示并承担费用。</w:t>
      </w:r>
    </w:p>
    <w:p w14:paraId="791FC41D">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4.2.7甲方未提供规划方案的临时设施，乙方自行建设，但严格按照甲方转发的相关“标准化管理规定”自行负责修建、管理、养护及拆除。</w:t>
      </w:r>
    </w:p>
    <w:p w14:paraId="6539E6BE">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4.2.8乙方施工工地宣传标识以及对外的舆论宣传必须以甲方的名义进行。</w:t>
      </w:r>
    </w:p>
    <w:p w14:paraId="7D28C63E">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4.2.9乙方应根据工程要求配备试验人员。中心试验室由甲方负责建设，并申报合格资质，负责本合同段的需要中心试验室负责的试验、检测工作；乙方自行购置现场试验检测器具并完成本段内现场试验检测工作；乙方的外委试验费用由乙方自行承担；乙方需负责本合同工程业主发试验表格费用，发生金额由甲方代扣。</w:t>
      </w:r>
    </w:p>
    <w:p w14:paraId="02588BAB">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4.2.10为确保工程质量，乙方无条件接收甲方用于本工程施工需要提供的“甲供材料”，并按合同约定的方式进行甲供材料的领取，装卸、运输、仓储等全部费用，由乙方自行承担。每月结算时，配合甲方进行甲供料的核算，并按合同条款的约定承担全部费用。</w:t>
      </w:r>
    </w:p>
    <w:p w14:paraId="36A2E420">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4.2.11乙方自行购置的路基、路面、桥梁附属工程的砂、碎石、等主要原材料，必须符合国家现行标准并报经甲方试验部门同意后方可用于本工程，不得擅自更换。</w:t>
      </w:r>
    </w:p>
    <w:p w14:paraId="557E7BF1">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4.2.12负责本合同承包范围内工程的实施、完成及缺陷修复等工作并承担相应费用，接受甲方的领导、整体协调以及施工中的监督、指令、检查。</w:t>
      </w:r>
    </w:p>
    <w:p w14:paraId="250FB92D">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4.2.13在施工中及时按甲方要求调整生产要素，并在规定时间内上报各种文件、资料和报表。</w:t>
      </w:r>
    </w:p>
    <w:p w14:paraId="193CD1D3">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4.2.14服从甲方管理，参加甲方组织的各种工程施工会议和甲方开展的工程管理活动，否则，甲方有权对乙方实施经济处罚。</w:t>
      </w:r>
    </w:p>
    <w:p w14:paraId="5FEFA297">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4.2.15乙方无条件执行甲方下达的有关“进度、安全、质量、环保、文明施工、技术、试验、测量、资料管理”等相关计划及管理规定，管理规定不足时依照甲方转发的建设单位相关文件执行。施工过程中，配置一切必要资源完成本合同确定的所有工程，满足建设单位、监理单位和甲方的要求，积极配合各级单位的质量、安全、进度、环保和信用评价等检查工作。</w:t>
      </w:r>
    </w:p>
    <w:p w14:paraId="6AA81ED0">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4.2.16乙方须按文明施工，环境保护标准组织施工。在业主组织的工地检查和为迎接政府视察及甲方组织的工地检查中，要按要求组织整理施工现场，检查中如被批评、处罚，责任及费用全部由乙方承担。</w:t>
      </w:r>
    </w:p>
    <w:p w14:paraId="27FE75D5">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4.2.17乙方应积极配合甲方进行结算，及时提供相应资料，因“乙方原因造成计量不能按时批复”或者“建设单位资金不足”，工程款支付不到位，乙方必须自行解决资金问题，确保工期目标的实现，并承担全部责任。</w:t>
      </w:r>
    </w:p>
    <w:p w14:paraId="0DF2A5C8">
      <w:pPr>
        <w:pStyle w:val="107"/>
        <w:shd w:val="clear" w:fill="FFFFFF" w:themeFill="background1"/>
        <w:tabs>
          <w:tab w:val="left" w:pos="2745"/>
        </w:tabs>
        <w:ind w:firstLine="480" w:firstLineChars="200"/>
        <w:rPr>
          <w:rFonts w:hAnsi="宋体" w:cs="宋体"/>
          <w:color w:val="auto"/>
          <w:highlight w:val="none"/>
        </w:rPr>
      </w:pPr>
      <w:r>
        <w:rPr>
          <w:rFonts w:hint="eastAsia" w:hAnsi="宋体" w:cs="宋体"/>
          <w:color w:val="auto"/>
          <w:highlight w:val="none"/>
        </w:rPr>
        <w:t>4.2.18为确保工程施工顺利，乙方必须确保甲方支付的资金用于本工程，并与甲方、银行共同签订《工程资金监管协议》，接受甲方和银行对资金的查询、监管。未经甲方同意，不得擅自挪用，否则甲方有权终止月支付并进行处罚，乙方对造成的后果负完全责任。</w:t>
      </w:r>
    </w:p>
    <w:p w14:paraId="5FD075E1">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4.2.19工程完工后，乙方应进行场地清理平整，做到工完场清，并提供竣工验收有关资料，在工程未交付前，应负责已完工程的保护工作，若有损坏，应自费予以修复。</w:t>
      </w:r>
    </w:p>
    <w:p w14:paraId="50841C3D">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4.2.20缺陷责任期及缺陷责任期的工程维护依据业主规定，质量保修金依据业主规定；乙方需负责施工资料及竣工资料的收集整理，并及时上报甲方；责任期内，工程需要维修时，乙方应负责维修施工用的照明、看守围栏和警示等防护设施，并对所造成的环境污染或道路损毁等全部费用负责。</w:t>
      </w:r>
    </w:p>
    <w:p w14:paraId="69474D09">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4.2.21乙方委派专人（有乙方的授权委托书）与甲方办理各种涉及合同、经济、财务等方面的手续。</w:t>
      </w:r>
    </w:p>
    <w:p w14:paraId="6603D166">
      <w:pPr>
        <w:pStyle w:val="107"/>
        <w:shd w:val="clear" w:fill="FFFFFF" w:themeFill="background1"/>
        <w:snapToGrid w:val="0"/>
        <w:ind w:firstLine="480" w:firstLineChars="200"/>
        <w:rPr>
          <w:rFonts w:hAnsi="宋体" w:cs="宋体"/>
          <w:color w:val="auto"/>
          <w:highlight w:val="none"/>
        </w:rPr>
      </w:pPr>
      <w:r>
        <w:rPr>
          <w:rFonts w:hint="eastAsia" w:hAnsi="宋体" w:cs="宋体"/>
          <w:color w:val="auto"/>
          <w:highlight w:val="none"/>
        </w:rPr>
        <w:t>4.2.22乙方可以直接雇用农民工，但必须依法签订劳务用工合同，并将“劳务用工花名册”及“劳务用工合同”报甲方备案。乙方按照法律、法规和劳务用工合同按时支付劳务工资，落实各项劳动保护措施。承担拖欠农民工工资所引发的全部法律及经济责任。</w:t>
      </w:r>
    </w:p>
    <w:p w14:paraId="2E2903ED">
      <w:pPr>
        <w:pStyle w:val="107"/>
        <w:shd w:val="clear" w:fill="FFFFFF" w:themeFill="background1"/>
        <w:snapToGrid w:val="0"/>
        <w:ind w:firstLine="480" w:firstLineChars="200"/>
        <w:rPr>
          <w:rFonts w:hAnsi="宋体" w:cs="宋体"/>
          <w:color w:val="auto"/>
          <w:highlight w:val="none"/>
        </w:rPr>
      </w:pPr>
      <w:r>
        <w:rPr>
          <w:rFonts w:hint="eastAsia" w:hAnsi="宋体" w:cs="宋体"/>
          <w:color w:val="auto"/>
          <w:highlight w:val="none"/>
        </w:rPr>
        <w:t>4.2.23乙方接受甲方按相关规定向乙方开出的违约处罚金，甲方可直接从“认为合适”的任何一个“期中支付月份”中“应付工程款中”直接扣除。甲方向乙方开出的任何违约处罚金将导致乙方最终的应得结算价款相应地减少。</w:t>
      </w:r>
    </w:p>
    <w:p w14:paraId="0179BA3E">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4.2.24乙方在施工中与第三方产生的债权债务及纠纷等问题由乙方自行负责处理，并承担全部责任和费用。</w:t>
      </w:r>
    </w:p>
    <w:p w14:paraId="2258C48E">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4.2.25乙方应不折不扣地按合同文件规定承担本合同工程的实施、完成、维护及缺陷的修复；甲方不承担任何停工及窝工损失费；由于建设单位原因造成的停工或窝工，乙方配合甲方向建设单位争取费用补偿。</w:t>
      </w:r>
    </w:p>
    <w:p w14:paraId="26616D05">
      <w:pPr>
        <w:pStyle w:val="107"/>
        <w:shd w:val="clear" w:fill="FFFFFF" w:themeFill="background1"/>
        <w:ind w:firstLine="422"/>
        <w:jc w:val="left"/>
        <w:rPr>
          <w:rFonts w:hAnsi="宋体" w:cs="宋体"/>
          <w:b/>
          <w:color w:val="auto"/>
          <w:highlight w:val="none"/>
        </w:rPr>
      </w:pPr>
      <w:r>
        <w:rPr>
          <w:rFonts w:hint="eastAsia" w:hAnsi="宋体" w:cs="宋体"/>
          <w:color w:val="auto"/>
          <w:highlight w:val="none"/>
        </w:rPr>
        <w:t>4.2.26乙方应自行组织工程施工，不得将工程转包或分包，否则甲方有权终止合同，乙方承担违约责任。</w:t>
      </w:r>
    </w:p>
    <w:p w14:paraId="6B74419A">
      <w:pPr>
        <w:pStyle w:val="107"/>
        <w:shd w:val="clear" w:fill="FFFFFF" w:themeFill="background1"/>
        <w:ind w:firstLine="422"/>
        <w:jc w:val="left"/>
        <w:rPr>
          <w:rFonts w:hAnsi="宋体" w:cs="宋体"/>
          <w:b/>
          <w:color w:val="auto"/>
          <w:highlight w:val="none"/>
        </w:rPr>
      </w:pPr>
    </w:p>
    <w:p w14:paraId="1DD7EACC">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5 合同工期和要求</w:t>
      </w:r>
    </w:p>
    <w:p w14:paraId="7A1CA135">
      <w:pPr>
        <w:pStyle w:val="107"/>
        <w:shd w:val="clear" w:fill="FFFFFF" w:themeFill="background1"/>
        <w:ind w:firstLine="422"/>
        <w:rPr>
          <w:rFonts w:hAnsi="宋体" w:cs="宋体"/>
          <w:color w:val="auto"/>
          <w:highlight w:val="none"/>
        </w:rPr>
      </w:pPr>
      <w:r>
        <w:rPr>
          <w:rFonts w:hint="eastAsia" w:hAnsi="宋体" w:cs="宋体"/>
          <w:color w:val="auto"/>
          <w:highlight w:val="none"/>
        </w:rPr>
        <w:t>5.1根据甲方的总体施工计划要求，乙方完成分包专项工程的合同工期天，自年   月   日开工，至年   月   日完工。</w:t>
      </w:r>
    </w:p>
    <w:p w14:paraId="228BFBBD">
      <w:pPr>
        <w:pStyle w:val="107"/>
        <w:shd w:val="clear" w:fill="FFFFFF" w:themeFill="background1"/>
        <w:ind w:firstLine="422"/>
        <w:rPr>
          <w:rFonts w:hAnsi="宋体" w:cs="宋体"/>
          <w:color w:val="auto"/>
          <w:highlight w:val="none"/>
        </w:rPr>
      </w:pPr>
      <w:r>
        <w:rPr>
          <w:rFonts w:hint="eastAsia" w:hAnsi="宋体" w:cs="宋体"/>
          <w:color w:val="auto"/>
          <w:highlight w:val="none"/>
        </w:rPr>
        <w:t>5.2如甲方总体施工计划调整时，乙方应作相应的调整，由此增加的费用由甲乙双方协商解决。</w:t>
      </w:r>
    </w:p>
    <w:p w14:paraId="799DC3AE">
      <w:pPr>
        <w:pStyle w:val="107"/>
        <w:shd w:val="clear" w:fill="FFFFFF" w:themeFill="background1"/>
        <w:ind w:firstLine="422"/>
        <w:rPr>
          <w:rFonts w:hAnsi="宋体" w:cs="宋体"/>
          <w:color w:val="auto"/>
          <w:highlight w:val="none"/>
        </w:rPr>
      </w:pPr>
      <w:r>
        <w:rPr>
          <w:rFonts w:hint="eastAsia" w:hAnsi="宋体" w:cs="宋体"/>
          <w:color w:val="auto"/>
          <w:highlight w:val="none"/>
        </w:rPr>
        <w:t>5.3如因乙方原因未能按时开工或延误工期，由此引起的损失由乙方承担，必要时，甲方有权单方面终止合同。因发包人原因或不可抗力造成的工期延误，则按照发包人同意的相应工期予以顺延。</w:t>
      </w:r>
    </w:p>
    <w:p w14:paraId="3FF156DF">
      <w:pPr>
        <w:pStyle w:val="107"/>
        <w:shd w:val="clear" w:fill="FFFFFF" w:themeFill="background1"/>
        <w:ind w:firstLine="422"/>
        <w:rPr>
          <w:rFonts w:hAnsi="宋体" w:cs="宋体"/>
          <w:color w:val="auto"/>
          <w:highlight w:val="none"/>
        </w:rPr>
      </w:pPr>
    </w:p>
    <w:p w14:paraId="38C87593">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6工程质量及质量保修</w:t>
      </w:r>
    </w:p>
    <w:p w14:paraId="67E75215">
      <w:pPr>
        <w:pStyle w:val="107"/>
        <w:shd w:val="clear" w:fill="FFFFFF" w:themeFill="background1"/>
        <w:ind w:firstLine="422"/>
        <w:rPr>
          <w:rFonts w:hAnsi="宋体" w:cs="宋体"/>
          <w:color w:val="auto"/>
          <w:highlight w:val="none"/>
        </w:rPr>
      </w:pPr>
      <w:r>
        <w:rPr>
          <w:rFonts w:hint="eastAsia" w:hAnsi="宋体" w:cs="宋体"/>
          <w:color w:val="auto"/>
          <w:highlight w:val="none"/>
        </w:rPr>
        <w:t>6.1乙方应向甲方负责其分包工程的质量。甲方应对乙方分包的工程进行全面有效质量管理。</w:t>
      </w:r>
    </w:p>
    <w:p w14:paraId="5CE6CBC9">
      <w:pPr>
        <w:pStyle w:val="107"/>
        <w:shd w:val="clear" w:fill="FFFFFF" w:themeFill="background1"/>
        <w:ind w:firstLine="422"/>
        <w:rPr>
          <w:rFonts w:hAnsi="宋体" w:cs="宋体"/>
          <w:color w:val="auto"/>
          <w:highlight w:val="none"/>
        </w:rPr>
      </w:pPr>
      <w:r>
        <w:rPr>
          <w:rFonts w:hint="eastAsia" w:hAnsi="宋体" w:cs="宋体"/>
          <w:color w:val="auto"/>
          <w:highlight w:val="none"/>
        </w:rPr>
        <w:t>6.2乙方应按照施工图纸、技术规范及有关要求，精心组织施工，保证工程质量达到甲方向发包人承诺的质量等级和标准。如果因乙方原因质量不符合要求，乙方应返工达到质量等级和标准，增加的费用由乙方承担。</w:t>
      </w:r>
    </w:p>
    <w:p w14:paraId="3D231E2F">
      <w:pPr>
        <w:pStyle w:val="107"/>
        <w:shd w:val="clear" w:fill="FFFFFF" w:themeFill="background1"/>
        <w:ind w:firstLine="422"/>
        <w:rPr>
          <w:rFonts w:hAnsi="宋体" w:cs="宋体"/>
          <w:color w:val="auto"/>
          <w:highlight w:val="none"/>
        </w:rPr>
      </w:pPr>
      <w:r>
        <w:rPr>
          <w:rFonts w:hint="eastAsia" w:hAnsi="宋体" w:cs="宋体"/>
          <w:color w:val="auto"/>
          <w:highlight w:val="none"/>
        </w:rPr>
        <w:t>6.3甲方委派质检人员对乙方分包的专项工程进行质量管理，乙方应配备相应的质检人员予以配合。施工每道工序完毕后，先由乙方质检员自检，符合要求后报甲方质检员检验，检验通过后，再由甲方质检员通知监理人检验签认，通过并签认后，才可进入下一道工序施工。</w:t>
      </w:r>
    </w:p>
    <w:p w14:paraId="6B23E4B3">
      <w:pPr>
        <w:pStyle w:val="107"/>
        <w:shd w:val="clear" w:fill="FFFFFF" w:themeFill="background1"/>
        <w:ind w:firstLine="422"/>
        <w:rPr>
          <w:rFonts w:hAnsi="宋体" w:cs="宋体"/>
          <w:color w:val="auto"/>
          <w:highlight w:val="none"/>
        </w:rPr>
      </w:pPr>
      <w:r>
        <w:rPr>
          <w:rFonts w:hint="eastAsia" w:hAnsi="宋体" w:cs="宋体"/>
          <w:color w:val="auto"/>
          <w:highlight w:val="none"/>
        </w:rPr>
        <w:t>6.4乙方的各项试验和检测内容应到甲方的试验室或甲方认可的有资质的试验检测机构完成，其费用由方承担。试验检测的频率、方法、操作规程等，应严格按照相关的技术标准执行。</w:t>
      </w:r>
    </w:p>
    <w:p w14:paraId="3AA4D87E">
      <w:pPr>
        <w:pStyle w:val="107"/>
        <w:shd w:val="clear" w:fill="FFFFFF" w:themeFill="background1"/>
        <w:ind w:firstLine="422"/>
        <w:rPr>
          <w:rFonts w:hAnsi="宋体" w:cs="宋体"/>
          <w:color w:val="auto"/>
          <w:highlight w:val="none"/>
        </w:rPr>
      </w:pPr>
      <w:r>
        <w:rPr>
          <w:rFonts w:hint="eastAsia" w:hAnsi="宋体" w:cs="宋体"/>
          <w:color w:val="auto"/>
          <w:highlight w:val="none"/>
        </w:rPr>
        <w:t>6.5甲方按照现行的验收办法、评定标准、施工技术规范及施工图等报请发包人组织验收。分包专项工程涉及的竣工资料（a.由甲方统一编制，乙方承担竣工资料编制费用；b.由乙方编制，乙方承担竣工资料编制费用；）。</w:t>
      </w:r>
    </w:p>
    <w:p w14:paraId="3D48B083">
      <w:pPr>
        <w:pStyle w:val="107"/>
        <w:shd w:val="clear" w:fill="FFFFFF" w:themeFill="background1"/>
        <w:ind w:firstLine="422"/>
        <w:rPr>
          <w:rFonts w:hAnsi="宋体" w:cs="宋体"/>
          <w:color w:val="auto"/>
          <w:highlight w:val="none"/>
        </w:rPr>
      </w:pPr>
      <w:r>
        <w:rPr>
          <w:rFonts w:hint="eastAsia" w:hAnsi="宋体" w:cs="宋体"/>
          <w:color w:val="auto"/>
          <w:highlight w:val="none"/>
        </w:rPr>
        <w:t>6.6乙方分包专项工程的质量保修期等同于发包人要求甲方的保修期，保修期间发生在乙方工作范围内的保修费用由乙方承担。</w:t>
      </w:r>
    </w:p>
    <w:p w14:paraId="2E0FD340">
      <w:pPr>
        <w:pStyle w:val="107"/>
        <w:shd w:val="clear" w:fill="FFFFFF" w:themeFill="background1"/>
        <w:ind w:firstLine="422"/>
        <w:jc w:val="center"/>
        <w:rPr>
          <w:rFonts w:hAnsi="宋体" w:cs="宋体"/>
          <w:color w:val="auto"/>
          <w:highlight w:val="none"/>
        </w:rPr>
      </w:pPr>
    </w:p>
    <w:p w14:paraId="1661D625">
      <w:pPr>
        <w:pStyle w:val="107"/>
        <w:shd w:val="clear" w:fill="FFFFFF" w:themeFill="background1"/>
        <w:ind w:firstLine="422"/>
        <w:jc w:val="left"/>
        <w:rPr>
          <w:rFonts w:hAnsi="宋体" w:cs="宋体"/>
          <w:color w:val="auto"/>
          <w:highlight w:val="none"/>
        </w:rPr>
      </w:pPr>
      <w:r>
        <w:rPr>
          <w:rFonts w:hint="eastAsia" w:hAnsi="宋体" w:cs="宋体"/>
          <w:color w:val="auto"/>
          <w:highlight w:val="none"/>
        </w:rPr>
        <w:t>7 工程变更和质量事故处理</w:t>
      </w:r>
    </w:p>
    <w:p w14:paraId="74D29F71">
      <w:pPr>
        <w:pStyle w:val="107"/>
        <w:shd w:val="clear" w:fill="FFFFFF" w:themeFill="background1"/>
        <w:ind w:firstLine="422"/>
        <w:rPr>
          <w:rFonts w:hAnsi="宋体" w:cs="宋体"/>
          <w:color w:val="auto"/>
          <w:highlight w:val="none"/>
        </w:rPr>
      </w:pPr>
      <w:r>
        <w:rPr>
          <w:rFonts w:hint="eastAsia" w:hAnsi="宋体" w:cs="宋体"/>
          <w:color w:val="auto"/>
          <w:highlight w:val="none"/>
        </w:rPr>
        <w:t>7.1工程变更的处理方式及费用按照总包合同的相应条款由甲方统一办理。应由乙方负责实施的变更项目和内容，乙方不得以任何理由拒绝或拖延或不按要求实施，否则给甲方造成损失的，乙方负责赔偿。</w:t>
      </w:r>
    </w:p>
    <w:p w14:paraId="4BC9C595">
      <w:pPr>
        <w:pStyle w:val="107"/>
        <w:shd w:val="clear" w:fill="FFFFFF" w:themeFill="background1"/>
        <w:ind w:firstLine="422"/>
        <w:rPr>
          <w:rFonts w:hAnsi="宋体" w:cs="宋体"/>
          <w:color w:val="auto"/>
          <w:highlight w:val="none"/>
        </w:rPr>
      </w:pPr>
      <w:r>
        <w:rPr>
          <w:rFonts w:hint="eastAsia" w:hAnsi="宋体" w:cs="宋体"/>
          <w:color w:val="auto"/>
          <w:highlight w:val="none"/>
        </w:rPr>
        <w:t>7.2乙方实施完成的工程变更项目的费用待发包人批复并支付给甲方后,甲方扣除一定比例即%的管理费用后结算支付给乙方。</w:t>
      </w:r>
    </w:p>
    <w:p w14:paraId="411AC921">
      <w:pPr>
        <w:pStyle w:val="107"/>
        <w:shd w:val="clear" w:fill="FFFFFF" w:themeFill="background1"/>
        <w:ind w:firstLine="422"/>
        <w:rPr>
          <w:rFonts w:hAnsi="宋体" w:cs="宋体"/>
          <w:color w:val="auto"/>
          <w:highlight w:val="none"/>
        </w:rPr>
      </w:pPr>
      <w:r>
        <w:rPr>
          <w:rFonts w:hint="eastAsia" w:hAnsi="宋体" w:cs="宋体"/>
          <w:color w:val="auto"/>
          <w:highlight w:val="none"/>
        </w:rPr>
        <w:t>7.3乙方应向甲方及时报告分包工程发生质量问题和事故，甲方应按公路工程质量事故处理相关规定及时报告，按规定程序处理。根据质量事故发生的原因，由责任方承担造成的责任和损失。</w:t>
      </w:r>
    </w:p>
    <w:p w14:paraId="68B68BF9">
      <w:pPr>
        <w:pStyle w:val="107"/>
        <w:shd w:val="clear" w:fill="FFFFFF" w:themeFill="background1"/>
        <w:ind w:firstLine="422"/>
        <w:rPr>
          <w:rFonts w:hAnsi="宋体" w:cs="宋体"/>
          <w:color w:val="auto"/>
          <w:highlight w:val="none"/>
        </w:rPr>
      </w:pPr>
    </w:p>
    <w:p w14:paraId="699F64AB">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8 工程款项的结算与支付</w:t>
      </w:r>
    </w:p>
    <w:p w14:paraId="3D65A2E2">
      <w:pPr>
        <w:pStyle w:val="107"/>
        <w:shd w:val="clear" w:fill="FFFFFF" w:themeFill="background1"/>
        <w:ind w:left="422"/>
        <w:rPr>
          <w:rFonts w:hAnsi="宋体" w:cs="宋体"/>
          <w:color w:val="auto"/>
          <w:highlight w:val="none"/>
        </w:rPr>
      </w:pPr>
      <w:r>
        <w:rPr>
          <w:rFonts w:hint="eastAsia" w:hAnsi="宋体" w:cs="宋体"/>
          <w:color w:val="auto"/>
          <w:highlight w:val="none"/>
        </w:rPr>
        <w:t>8.1中期支付</w:t>
      </w:r>
    </w:p>
    <w:p w14:paraId="3A04F749">
      <w:pPr>
        <w:pStyle w:val="107"/>
        <w:shd w:val="clear" w:fill="FFFFFF" w:themeFill="background1"/>
        <w:ind w:firstLine="422"/>
        <w:rPr>
          <w:rFonts w:hAnsi="宋体" w:cs="宋体"/>
          <w:color w:val="auto"/>
          <w:highlight w:val="none"/>
        </w:rPr>
      </w:pPr>
      <w:r>
        <w:rPr>
          <w:rFonts w:hint="eastAsia" w:hAnsi="宋体" w:cs="宋体"/>
          <w:color w:val="auto"/>
          <w:highlight w:val="none"/>
        </w:rPr>
        <w:t>8.1.1按分包专项工程量清单及其计量规则，以乙方实际完成的工程数量和甲乙双方约定的单价进行结算，并扣除应扣款项。中期支付所需的有关资料由乙方准备，计量支付报表编制和报送要求按发包人规定的要求执行。价款的支付时间为甲方取得发包人的支付款后的天之内，并以（a.银行支票b.转账方式）支付。</w:t>
      </w:r>
    </w:p>
    <w:p w14:paraId="655C4CA6">
      <w:pPr>
        <w:pStyle w:val="107"/>
        <w:shd w:val="clear" w:fill="FFFFFF" w:themeFill="background1"/>
        <w:ind w:firstLine="422"/>
        <w:rPr>
          <w:rFonts w:hAnsi="宋体" w:cs="宋体"/>
          <w:color w:val="auto"/>
          <w:highlight w:val="none"/>
        </w:rPr>
      </w:pPr>
      <w:r>
        <w:rPr>
          <w:rFonts w:hint="eastAsia" w:hAnsi="宋体" w:cs="宋体"/>
          <w:color w:val="auto"/>
          <w:highlight w:val="none"/>
        </w:rPr>
        <w:t>8.1.2甲方向乙方支付的动员预付款，从中期支付款的第一期开始逐月按比例扣回，扣完为止。</w:t>
      </w:r>
    </w:p>
    <w:p w14:paraId="50E6D0C7">
      <w:pPr>
        <w:pStyle w:val="107"/>
        <w:shd w:val="clear" w:fill="FFFFFF" w:themeFill="background1"/>
        <w:ind w:firstLine="422"/>
        <w:rPr>
          <w:rFonts w:hAnsi="宋体" w:cs="宋体"/>
          <w:color w:val="auto"/>
          <w:highlight w:val="none"/>
        </w:rPr>
      </w:pPr>
      <w:r>
        <w:rPr>
          <w:rFonts w:hint="eastAsia" w:hAnsi="宋体" w:cs="宋体"/>
          <w:color w:val="auto"/>
          <w:highlight w:val="none"/>
        </w:rPr>
        <w:t>8.2完工结算</w:t>
      </w:r>
    </w:p>
    <w:p w14:paraId="0CC698C7">
      <w:pPr>
        <w:pStyle w:val="107"/>
        <w:shd w:val="clear" w:fill="FFFFFF" w:themeFill="background1"/>
        <w:ind w:firstLine="422"/>
        <w:rPr>
          <w:rFonts w:hAnsi="宋体" w:cs="宋体"/>
          <w:color w:val="auto"/>
          <w:highlight w:val="none"/>
        </w:rPr>
      </w:pPr>
      <w:r>
        <w:rPr>
          <w:rFonts w:hint="eastAsia" w:hAnsi="宋体" w:cs="宋体"/>
          <w:color w:val="auto"/>
          <w:highlight w:val="none"/>
        </w:rPr>
        <w:t>8.2.1乙方承担项目完工，根据乙方实际完成的，经甲方确认并经监理人签认及发包人支付涉及的工程量和甲乙双方约订的单价结算。在扣留质量保证金，乙方证明债务债权与甲方无涉后，甲方将剩余款额在天内支付给乙方。</w:t>
      </w:r>
    </w:p>
    <w:p w14:paraId="5DB4EB76">
      <w:pPr>
        <w:pStyle w:val="107"/>
        <w:shd w:val="clear" w:fill="FFFFFF" w:themeFill="background1"/>
        <w:ind w:firstLine="422"/>
        <w:rPr>
          <w:rFonts w:hAnsi="宋体" w:cs="宋体"/>
          <w:color w:val="auto"/>
          <w:highlight w:val="none"/>
        </w:rPr>
      </w:pPr>
      <w:r>
        <w:rPr>
          <w:rFonts w:hint="eastAsia" w:hAnsi="宋体" w:cs="宋体"/>
          <w:color w:val="auto"/>
          <w:highlight w:val="none"/>
        </w:rPr>
        <w:t>对于完工时尚不能完成结算的细目，双方核实列出清单，说明情况和结算原则，签字确认，待终期结算时视项目决算审计及发包人决算支付情况一并结清。</w:t>
      </w:r>
    </w:p>
    <w:p w14:paraId="4C2562EB">
      <w:pPr>
        <w:pStyle w:val="107"/>
        <w:shd w:val="clear" w:fill="FFFFFF" w:themeFill="background1"/>
        <w:ind w:firstLine="422"/>
        <w:rPr>
          <w:rFonts w:hAnsi="宋体" w:cs="宋体"/>
          <w:color w:val="auto"/>
          <w:highlight w:val="none"/>
        </w:rPr>
      </w:pPr>
      <w:r>
        <w:rPr>
          <w:rFonts w:hint="eastAsia" w:hAnsi="宋体" w:cs="宋体"/>
          <w:color w:val="auto"/>
          <w:highlight w:val="none"/>
        </w:rPr>
        <w:t>8.2.2完工结算时，对乙方的履约保证金、质量保证金、安全生产费用等按合同约定办理结算。</w:t>
      </w:r>
    </w:p>
    <w:p w14:paraId="14B2CB14">
      <w:pPr>
        <w:pStyle w:val="107"/>
        <w:shd w:val="clear" w:fill="FFFFFF" w:themeFill="background1"/>
        <w:ind w:firstLine="422"/>
        <w:rPr>
          <w:rFonts w:hAnsi="宋体" w:cs="宋体"/>
          <w:color w:val="auto"/>
          <w:highlight w:val="none"/>
        </w:rPr>
      </w:pPr>
      <w:r>
        <w:rPr>
          <w:rFonts w:hint="eastAsia" w:hAnsi="宋体" w:cs="宋体"/>
          <w:color w:val="auto"/>
          <w:highlight w:val="none"/>
        </w:rPr>
        <w:t>8.3最终结算支付</w:t>
      </w:r>
    </w:p>
    <w:p w14:paraId="730F8970">
      <w:pPr>
        <w:pStyle w:val="107"/>
        <w:shd w:val="clear" w:fill="FFFFFF" w:themeFill="background1"/>
        <w:ind w:firstLine="422"/>
        <w:rPr>
          <w:rFonts w:hAnsi="宋体" w:cs="宋体"/>
          <w:color w:val="auto"/>
          <w:highlight w:val="none"/>
        </w:rPr>
      </w:pPr>
      <w:r>
        <w:rPr>
          <w:rFonts w:hint="eastAsia" w:hAnsi="宋体" w:cs="宋体"/>
          <w:color w:val="auto"/>
          <w:highlight w:val="none"/>
        </w:rPr>
        <w:t xml:space="preserve">整个工程缺陷责任期满，并经项目决算审计完成后，甲方获得发包人竣工最终结算支付后，甲方扣除缺陷责任期和审计中涉及乙方施工项目所发生的实际费用后，剩余部分全额支付给乙方，并退还保留金。   </w:t>
      </w:r>
    </w:p>
    <w:p w14:paraId="5C7162F6">
      <w:pPr>
        <w:pStyle w:val="107"/>
        <w:shd w:val="clear" w:fill="FFFFFF" w:themeFill="background1"/>
        <w:ind w:firstLine="422"/>
        <w:rPr>
          <w:rFonts w:hAnsi="宋体" w:cs="宋体"/>
          <w:color w:val="auto"/>
          <w:highlight w:val="none"/>
        </w:rPr>
      </w:pPr>
      <w:r>
        <w:rPr>
          <w:rFonts w:hint="eastAsia" w:hAnsi="宋体" w:cs="宋体"/>
          <w:color w:val="auto"/>
          <w:highlight w:val="none"/>
        </w:rPr>
        <w:t>8.4分包人应设置会计帐簿，健全财务制度，及时、准确、完整地进行会计核算；所得的分包款项应有明确的收支明细帐目和凭证。</w:t>
      </w:r>
    </w:p>
    <w:p w14:paraId="195E0E75">
      <w:pPr>
        <w:pStyle w:val="107"/>
        <w:shd w:val="clear" w:fill="FFFFFF" w:themeFill="background1"/>
        <w:ind w:firstLine="422"/>
        <w:rPr>
          <w:rFonts w:hAnsi="宋体" w:cs="宋体"/>
          <w:color w:val="auto"/>
          <w:highlight w:val="none"/>
        </w:rPr>
      </w:pPr>
    </w:p>
    <w:p w14:paraId="64BE40AB">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9 材料物资和机械设备</w:t>
      </w:r>
    </w:p>
    <w:p w14:paraId="08514BB8">
      <w:pPr>
        <w:pStyle w:val="107"/>
        <w:shd w:val="clear" w:fill="FFFFFF" w:themeFill="background1"/>
        <w:ind w:firstLine="422"/>
        <w:rPr>
          <w:rFonts w:hAnsi="宋体" w:cs="宋体"/>
          <w:color w:val="auto"/>
          <w:highlight w:val="none"/>
        </w:rPr>
      </w:pPr>
      <w:r>
        <w:rPr>
          <w:rFonts w:hint="eastAsia" w:hAnsi="宋体" w:cs="宋体"/>
          <w:color w:val="auto"/>
          <w:highlight w:val="none"/>
        </w:rPr>
        <w:t>9.1材料</w:t>
      </w:r>
    </w:p>
    <w:p w14:paraId="34645278">
      <w:pPr>
        <w:pStyle w:val="107"/>
        <w:shd w:val="clear" w:fill="FFFFFF" w:themeFill="background1"/>
        <w:ind w:firstLine="422"/>
        <w:rPr>
          <w:rFonts w:hAnsi="宋体" w:cs="宋体"/>
          <w:color w:val="auto"/>
          <w:highlight w:val="none"/>
        </w:rPr>
      </w:pPr>
      <w:r>
        <w:rPr>
          <w:rFonts w:hint="eastAsia" w:hAnsi="宋体" w:cs="宋体"/>
          <w:color w:val="auto"/>
          <w:highlight w:val="none"/>
        </w:rPr>
        <w:t>9.1.1发包人和甲方统一采购供应的材料名称、单价及允许损耗系数等见《承包人供应材料清单》（附表4）。乙方领用的甲供材料，若累计用量在图纸用量加允许损耗用量以内的数量按材料清单单价扣回，超出允许损耗用量的材料款在乙方当月的工程款结算时按上述材料的市场价加</w:t>
      </w:r>
      <w:r>
        <w:rPr>
          <w:rFonts w:hint="eastAsia" w:hAnsi="宋体" w:cs="宋体"/>
          <w:color w:val="auto"/>
          <w:highlight w:val="none"/>
          <w:u w:val="single"/>
        </w:rPr>
        <w:t xml:space="preserve">         %</w:t>
      </w:r>
      <w:r>
        <w:rPr>
          <w:rFonts w:hint="eastAsia" w:hAnsi="宋体" w:cs="宋体"/>
          <w:color w:val="auto"/>
          <w:highlight w:val="none"/>
        </w:rPr>
        <w:t>保管费的费用扣回。</w:t>
      </w:r>
    </w:p>
    <w:p w14:paraId="21902386">
      <w:pPr>
        <w:pStyle w:val="107"/>
        <w:shd w:val="clear" w:fill="FFFFFF" w:themeFill="background1"/>
        <w:ind w:firstLine="422"/>
        <w:rPr>
          <w:rFonts w:hAnsi="宋体" w:cs="宋体"/>
          <w:color w:val="auto"/>
          <w:highlight w:val="none"/>
        </w:rPr>
      </w:pPr>
      <w:r>
        <w:rPr>
          <w:rFonts w:hint="eastAsia" w:hAnsi="宋体" w:cs="宋体"/>
          <w:color w:val="auto"/>
          <w:highlight w:val="none"/>
        </w:rPr>
        <w:t>9.1.2除上述甲方提供的材料物资外，用于乙方施工的其他材料物资由乙方自行采购和提供，并负责其保管、检测、使用、运输等全部费用。</w:t>
      </w:r>
    </w:p>
    <w:p w14:paraId="794B9779">
      <w:pPr>
        <w:pStyle w:val="107"/>
        <w:shd w:val="clear" w:fill="FFFFFF" w:themeFill="background1"/>
        <w:ind w:firstLine="422"/>
        <w:rPr>
          <w:rFonts w:hAnsi="宋体" w:cs="宋体"/>
          <w:color w:val="auto"/>
          <w:highlight w:val="none"/>
        </w:rPr>
      </w:pPr>
      <w:r>
        <w:rPr>
          <w:rFonts w:hint="eastAsia" w:hAnsi="宋体" w:cs="宋体"/>
          <w:color w:val="auto"/>
          <w:highlight w:val="none"/>
        </w:rPr>
        <w:t>9.2机械设备</w:t>
      </w:r>
    </w:p>
    <w:p w14:paraId="1FAD7830">
      <w:pPr>
        <w:pStyle w:val="107"/>
        <w:shd w:val="clear" w:fill="FFFFFF" w:themeFill="background1"/>
        <w:ind w:firstLine="422"/>
        <w:rPr>
          <w:rFonts w:hAnsi="宋体" w:cs="宋体"/>
          <w:color w:val="auto"/>
          <w:highlight w:val="none"/>
        </w:rPr>
      </w:pPr>
      <w:r>
        <w:rPr>
          <w:rFonts w:hint="eastAsia" w:hAnsi="宋体" w:cs="宋体"/>
          <w:color w:val="auto"/>
          <w:highlight w:val="none"/>
        </w:rPr>
        <w:t>9.2.1乙方施工所需机械设备均由乙方自行采购和提供，并符合工程施工和进度的要求。</w:t>
      </w:r>
    </w:p>
    <w:p w14:paraId="75C76BBB">
      <w:pPr>
        <w:pStyle w:val="107"/>
        <w:shd w:val="clear" w:fill="FFFFFF" w:themeFill="background1"/>
        <w:ind w:firstLine="422"/>
        <w:rPr>
          <w:rFonts w:hAnsi="宋体" w:cs="宋体"/>
          <w:color w:val="auto"/>
          <w:highlight w:val="none"/>
        </w:rPr>
      </w:pPr>
    </w:p>
    <w:p w14:paraId="134728E0">
      <w:pPr>
        <w:pStyle w:val="107"/>
        <w:shd w:val="clear" w:fill="FFFFFF" w:themeFill="background1"/>
        <w:ind w:firstLine="422"/>
        <w:jc w:val="left"/>
        <w:rPr>
          <w:rFonts w:hAnsi="宋体" w:cs="宋体"/>
          <w:color w:val="auto"/>
          <w:highlight w:val="none"/>
        </w:rPr>
      </w:pPr>
      <w:r>
        <w:rPr>
          <w:rFonts w:hint="eastAsia" w:hAnsi="宋体" w:cs="宋体"/>
          <w:b/>
          <w:color w:val="auto"/>
          <w:highlight w:val="none"/>
        </w:rPr>
        <w:t>10 安全生产管理</w:t>
      </w:r>
    </w:p>
    <w:p w14:paraId="7403F6E8">
      <w:pPr>
        <w:pStyle w:val="107"/>
        <w:shd w:val="clear" w:fill="FFFFFF" w:themeFill="background1"/>
        <w:tabs>
          <w:tab w:val="left" w:pos="1288"/>
        </w:tabs>
        <w:ind w:firstLine="480" w:firstLineChars="200"/>
        <w:rPr>
          <w:rFonts w:hAnsi="宋体" w:cs="宋体"/>
          <w:color w:val="auto"/>
          <w:highlight w:val="none"/>
        </w:rPr>
      </w:pPr>
      <w:r>
        <w:rPr>
          <w:rFonts w:hint="eastAsia" w:hAnsi="宋体" w:cs="宋体"/>
          <w:color w:val="auto"/>
          <w:highlight w:val="none"/>
        </w:rPr>
        <w:t>10.1甲方对施工现场安全生产负总责，对分包工程的安全生产承担连带责任；乙方必须认真贯彻落实国家安全生产法律法规，执行安全生产操作规程和总包合同条款有关安全生产管理规定，承担施工安全法律责任和经济责任。</w:t>
      </w:r>
    </w:p>
    <w:p w14:paraId="29D822F4">
      <w:pPr>
        <w:pStyle w:val="107"/>
        <w:shd w:val="clear" w:fill="FFFFFF" w:themeFill="background1"/>
        <w:tabs>
          <w:tab w:val="left" w:pos="1288"/>
        </w:tabs>
        <w:ind w:firstLine="480" w:firstLineChars="200"/>
        <w:rPr>
          <w:rFonts w:hAnsi="宋体" w:cs="宋体"/>
          <w:color w:val="auto"/>
          <w:highlight w:val="none"/>
        </w:rPr>
      </w:pPr>
      <w:r>
        <w:rPr>
          <w:rFonts w:hint="eastAsia" w:hAnsi="宋体" w:cs="宋体"/>
          <w:color w:val="auto"/>
          <w:highlight w:val="none"/>
        </w:rPr>
        <w:t>10.2乙方应按规定对所属员工进行安全教育，并对其施工安全负责。乙方应服从甲方的安全生产管理，乙方不服从管理导致生产安全事故的，由乙方承担主要责任。</w:t>
      </w:r>
    </w:p>
    <w:p w14:paraId="502727A7">
      <w:pPr>
        <w:pStyle w:val="107"/>
        <w:shd w:val="clear" w:fill="FFFFFF" w:themeFill="background1"/>
        <w:ind w:firstLine="422"/>
        <w:rPr>
          <w:rFonts w:hAnsi="宋体" w:cs="宋体"/>
          <w:color w:val="auto"/>
          <w:highlight w:val="none"/>
        </w:rPr>
      </w:pPr>
      <w:r>
        <w:rPr>
          <w:rFonts w:hint="eastAsia" w:hAnsi="宋体" w:cs="宋体"/>
          <w:color w:val="auto"/>
          <w:highlight w:val="none"/>
        </w:rPr>
        <w:t>10.3乙方施工范围内安全防护设施的采购、提供、搭拆、保管和维护，由乙方负责实施并承担费用。劳动防护用品费用由乙方承担，并按安全生产相关规定进行用品发放、并督促员工正确使用劳动防护用品。</w:t>
      </w:r>
    </w:p>
    <w:p w14:paraId="0B4BB495">
      <w:pPr>
        <w:pStyle w:val="107"/>
        <w:shd w:val="clear" w:fill="FFFFFF" w:themeFill="background1"/>
        <w:ind w:firstLine="422"/>
        <w:rPr>
          <w:rFonts w:hAnsi="宋体" w:cs="宋体"/>
          <w:color w:val="auto"/>
          <w:highlight w:val="none"/>
        </w:rPr>
      </w:pPr>
    </w:p>
    <w:p w14:paraId="45616418">
      <w:pPr>
        <w:pStyle w:val="107"/>
        <w:shd w:val="clear" w:fill="FFFFFF" w:themeFill="background1"/>
        <w:ind w:firstLine="482" w:firstLineChars="200"/>
        <w:rPr>
          <w:rFonts w:hAnsi="宋体" w:cs="宋体"/>
          <w:color w:val="auto"/>
          <w:highlight w:val="none"/>
        </w:rPr>
      </w:pPr>
      <w:r>
        <w:rPr>
          <w:rFonts w:hint="eastAsia" w:hAnsi="宋体" w:cs="宋体"/>
          <w:b/>
          <w:color w:val="auto"/>
          <w:highlight w:val="none"/>
        </w:rPr>
        <w:t>11劳务管理</w:t>
      </w:r>
    </w:p>
    <w:p w14:paraId="046DC289">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11.1乙方招用的劳务人员，应当依法签订劳动用工合同，缴纳工伤保险，其应得工资应通过银行卡转帐或现金发放的方式及时、足额地直接发放给劳务人员本人。严禁发放给其他不具备用工主体资格的组织和个人。</w:t>
      </w:r>
    </w:p>
    <w:p w14:paraId="26E768E8">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11.2乙方招用的劳务人员，在核定的人工费总额内需由甲方统一代为发放的，乙方需出具书面委托，并在每月月底报送员工考勤表及乙方签认的工资发放表到甲方。甲方以工资卡形式发放，费用在月结算计量款中抵扣。</w:t>
      </w:r>
    </w:p>
    <w:p w14:paraId="27737273">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 xml:space="preserve">11.3乙方不得以任何理由和形式克扣员工工资，更不得发生员工到甲方追讨工资或有举报拖欠工资的情况发生，若乙方无理克扣或拖欠工资情况属实，视为乙方违约，甲方在垫付其应得工资后，有权要求乙方支付违约金，违约金数额为每次元，并没收保证金。 </w:t>
      </w:r>
    </w:p>
    <w:p w14:paraId="0CB7B558">
      <w:pPr>
        <w:pStyle w:val="107"/>
        <w:shd w:val="clear" w:fill="FFFFFF" w:themeFill="background1"/>
        <w:ind w:firstLine="422"/>
        <w:rPr>
          <w:rFonts w:hAnsi="宋体" w:cs="宋体"/>
          <w:color w:val="auto"/>
          <w:highlight w:val="none"/>
        </w:rPr>
      </w:pPr>
    </w:p>
    <w:p w14:paraId="60DEED4A">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12保险</w:t>
      </w:r>
    </w:p>
    <w:p w14:paraId="3CD9B3BA">
      <w:pPr>
        <w:pStyle w:val="107"/>
        <w:shd w:val="clear" w:fill="FFFFFF" w:themeFill="background1"/>
        <w:ind w:firstLine="422"/>
        <w:rPr>
          <w:rFonts w:hAnsi="宋体" w:cs="宋体"/>
          <w:color w:val="auto"/>
          <w:highlight w:val="none"/>
        </w:rPr>
      </w:pPr>
      <w:r>
        <w:rPr>
          <w:rFonts w:hint="eastAsia" w:hAnsi="宋体" w:cs="宋体"/>
          <w:color w:val="auto"/>
          <w:highlight w:val="none"/>
        </w:rPr>
        <w:t>12.1工程一切险和第三者责任险，由甲方投保并承担费用。一旦发生事故和损失，乙方应按要求和程序采用应急措施，并保护好现场，由甲方通知保险公司办理理赔手续，乙方有责任提供理赔所需的基础资料。甲方获得的理赔金额扣除在理赔过程中发生的有关费用后，补偿给乙方，乙方得到补偿后还不能弥补损失的，如因甲方原因造成事故和损失，由甲方承担；如因乙方原因造成事故和损失的，由乙方承担主要责任，甲方承担连带责任。</w:t>
      </w:r>
    </w:p>
    <w:p w14:paraId="2E1BF990">
      <w:pPr>
        <w:pStyle w:val="107"/>
        <w:shd w:val="clear" w:fill="FFFFFF" w:themeFill="background1"/>
        <w:ind w:firstLine="422"/>
        <w:rPr>
          <w:rFonts w:hAnsi="宋体" w:cs="宋体"/>
          <w:color w:val="auto"/>
          <w:highlight w:val="none"/>
        </w:rPr>
      </w:pPr>
      <w:r>
        <w:rPr>
          <w:rFonts w:hint="eastAsia" w:hAnsi="宋体" w:cs="宋体"/>
          <w:color w:val="auto"/>
          <w:highlight w:val="none"/>
        </w:rPr>
        <w:t>12.2除上一条款险种外，其他保险由乙方自行投保并承担费用，其中，高危等项目，乙方必须投保。乙方并将所有自行投保合同报甲方备案。</w:t>
      </w:r>
    </w:p>
    <w:p w14:paraId="64A7C692">
      <w:pPr>
        <w:pStyle w:val="107"/>
        <w:shd w:val="clear" w:fill="FFFFFF" w:themeFill="background1"/>
        <w:ind w:firstLine="422"/>
        <w:rPr>
          <w:rFonts w:hAnsi="宋体" w:cs="宋体"/>
          <w:color w:val="auto"/>
          <w:highlight w:val="none"/>
        </w:rPr>
      </w:pPr>
    </w:p>
    <w:p w14:paraId="160F9EA6">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13现场管理</w:t>
      </w:r>
    </w:p>
    <w:p w14:paraId="00BBCF0F">
      <w:pPr>
        <w:pStyle w:val="107"/>
        <w:shd w:val="clear" w:fill="FFFFFF" w:themeFill="background1"/>
        <w:ind w:firstLine="422"/>
        <w:rPr>
          <w:rFonts w:hAnsi="宋体" w:cs="宋体"/>
          <w:color w:val="auto"/>
          <w:highlight w:val="none"/>
        </w:rPr>
      </w:pPr>
      <w:r>
        <w:rPr>
          <w:rFonts w:hint="eastAsia" w:hAnsi="宋体" w:cs="宋体"/>
          <w:color w:val="auto"/>
          <w:highlight w:val="none"/>
        </w:rPr>
        <w:t>13.1乙方应做到文明施工，做到施工场地整洁有序，设立必要宣传、告示等标志、标牌。</w:t>
      </w:r>
    </w:p>
    <w:p w14:paraId="2CEFA36C">
      <w:pPr>
        <w:pStyle w:val="107"/>
        <w:shd w:val="clear" w:fill="FFFFFF" w:themeFill="background1"/>
        <w:ind w:firstLine="422"/>
        <w:rPr>
          <w:rFonts w:hAnsi="宋体" w:cs="宋体"/>
          <w:color w:val="auto"/>
          <w:highlight w:val="none"/>
        </w:rPr>
      </w:pPr>
      <w:r>
        <w:rPr>
          <w:rFonts w:hint="eastAsia" w:hAnsi="宋体" w:cs="宋体"/>
          <w:color w:val="auto"/>
          <w:highlight w:val="none"/>
        </w:rPr>
        <w:t>13.2乙方施工所需的临时道路、桥梁等设施由方修建和维护，在使用中对临时设施有损坏时，乙方可通过甲方指出由损坏人给予修复或赔偿的要求。</w:t>
      </w:r>
    </w:p>
    <w:p w14:paraId="386B45A8">
      <w:pPr>
        <w:pStyle w:val="107"/>
        <w:shd w:val="clear" w:fill="FFFFFF" w:themeFill="background1"/>
        <w:ind w:firstLine="422"/>
        <w:rPr>
          <w:rFonts w:hAnsi="宋体" w:cs="宋体"/>
          <w:color w:val="auto"/>
          <w:highlight w:val="none"/>
        </w:rPr>
      </w:pPr>
      <w:r>
        <w:rPr>
          <w:rFonts w:hint="eastAsia" w:hAnsi="宋体" w:cs="宋体"/>
          <w:color w:val="auto"/>
          <w:highlight w:val="none"/>
        </w:rPr>
        <w:t>13.3 乙方必须对分包合同施工范围内的三线、文物、矿产及环境做好保护工作，在施工前应做好详细的调查工作，并制定切实可行的保护措施，确保安全。如因乙方原因造成三线、文物、矿产及环境破坏，应承担相应的损失和责任。</w:t>
      </w:r>
    </w:p>
    <w:p w14:paraId="3B2B09C2">
      <w:pPr>
        <w:pStyle w:val="107"/>
        <w:shd w:val="clear" w:fill="FFFFFF" w:themeFill="background1"/>
        <w:ind w:firstLine="422"/>
        <w:rPr>
          <w:rFonts w:hAnsi="宋体" w:cs="宋体"/>
          <w:color w:val="auto"/>
          <w:highlight w:val="none"/>
        </w:rPr>
      </w:pPr>
    </w:p>
    <w:p w14:paraId="0EC7C915">
      <w:pPr>
        <w:pStyle w:val="107"/>
        <w:shd w:val="clear" w:fill="FFFFFF" w:themeFill="background1"/>
        <w:ind w:firstLine="422"/>
        <w:jc w:val="left"/>
        <w:rPr>
          <w:rFonts w:hAnsi="宋体" w:cs="宋体"/>
          <w:color w:val="auto"/>
          <w:highlight w:val="none"/>
        </w:rPr>
      </w:pPr>
      <w:r>
        <w:rPr>
          <w:rFonts w:hint="eastAsia" w:hAnsi="宋体" w:cs="宋体"/>
          <w:b/>
          <w:color w:val="auto"/>
          <w:highlight w:val="none"/>
        </w:rPr>
        <w:t>14违约责任</w:t>
      </w:r>
    </w:p>
    <w:p w14:paraId="5F96D94A">
      <w:pPr>
        <w:pStyle w:val="107"/>
        <w:shd w:val="clear" w:fill="FFFFFF" w:themeFill="background1"/>
        <w:ind w:firstLine="422"/>
        <w:rPr>
          <w:rFonts w:hAnsi="宋体" w:cs="宋体"/>
          <w:color w:val="auto"/>
          <w:highlight w:val="none"/>
        </w:rPr>
      </w:pPr>
      <w:r>
        <w:rPr>
          <w:rFonts w:hint="eastAsia" w:hAnsi="宋体" w:cs="宋体"/>
          <w:color w:val="auto"/>
          <w:highlight w:val="none"/>
        </w:rPr>
        <w:t>14.1 乙方分包的工程项目，不得再行转包或分包，否则将无条件被认为乙方违约，由此引起的一切责任、事故和损失由乙方负责。</w:t>
      </w:r>
    </w:p>
    <w:p w14:paraId="48B56769">
      <w:pPr>
        <w:pStyle w:val="107"/>
        <w:shd w:val="clear" w:fill="FFFFFF" w:themeFill="background1"/>
        <w:ind w:firstLine="422"/>
        <w:rPr>
          <w:rFonts w:hAnsi="宋体" w:cs="宋体"/>
          <w:color w:val="auto"/>
          <w:highlight w:val="none"/>
        </w:rPr>
      </w:pPr>
      <w:r>
        <w:rPr>
          <w:rFonts w:hint="eastAsia" w:hAnsi="宋体" w:cs="宋体"/>
          <w:color w:val="auto"/>
          <w:highlight w:val="none"/>
        </w:rPr>
        <w:t>14.2在施工过程中经检验达不到验收规范和评定标准，不能保证工程质量，或因乙方原因造成发包人、监理人或有关部门的极大不满，则甲方有权终止合同，由此造成的损失由乙方承担。</w:t>
      </w:r>
    </w:p>
    <w:p w14:paraId="61450CBD">
      <w:pPr>
        <w:pStyle w:val="107"/>
        <w:shd w:val="clear" w:fill="FFFFFF" w:themeFill="background1"/>
        <w:ind w:firstLine="422"/>
        <w:rPr>
          <w:rFonts w:hAnsi="宋体" w:cs="宋体"/>
          <w:color w:val="auto"/>
          <w:highlight w:val="none"/>
        </w:rPr>
      </w:pPr>
      <w:r>
        <w:rPr>
          <w:rFonts w:hint="eastAsia" w:hAnsi="宋体" w:cs="宋体"/>
          <w:color w:val="auto"/>
          <w:highlight w:val="none"/>
        </w:rPr>
        <w:t>14.3 除上一条款外，合同签订后，不经双方协商同意，任何一方不得随意变更或解除。如乙方未经甲方同意，单方解除合同时，应由乙方赔偿甲方因影响施工计划造成的经济损失；如甲方中途解除合同，应赔偿乙方因此造成的经济损失。</w:t>
      </w:r>
    </w:p>
    <w:p w14:paraId="6313B29C">
      <w:pPr>
        <w:pStyle w:val="107"/>
        <w:shd w:val="clear" w:fill="FFFFFF" w:themeFill="background1"/>
        <w:ind w:firstLine="422"/>
        <w:rPr>
          <w:rFonts w:hAnsi="宋体" w:cs="宋体"/>
          <w:color w:val="auto"/>
          <w:highlight w:val="none"/>
        </w:rPr>
      </w:pPr>
      <w:r>
        <w:rPr>
          <w:rFonts w:hint="eastAsia" w:hAnsi="宋体" w:cs="宋体"/>
          <w:color w:val="auto"/>
          <w:highlight w:val="none"/>
        </w:rPr>
        <w:t>14.4因乙方原因，出现下列情况之一的，甲方有权采取认为合理的一切措施进行处理，由此引起的损失由乙方承担。</w:t>
      </w:r>
    </w:p>
    <w:p w14:paraId="0D02B7C1">
      <w:pPr>
        <w:pStyle w:val="107"/>
        <w:shd w:val="clear" w:fill="FFFFFF" w:themeFill="background1"/>
        <w:ind w:firstLine="422"/>
        <w:rPr>
          <w:rFonts w:hAnsi="宋体" w:cs="宋体"/>
          <w:color w:val="auto"/>
          <w:highlight w:val="none"/>
        </w:rPr>
      </w:pPr>
      <w:r>
        <w:rPr>
          <w:rFonts w:hint="eastAsia" w:hAnsi="宋体" w:cs="宋体"/>
          <w:color w:val="auto"/>
          <w:highlight w:val="none"/>
        </w:rPr>
        <w:t>14.4.1乙方的主要人员、机械设备及流动资金不能按时到位的，严重制约了工程的施工；</w:t>
      </w:r>
    </w:p>
    <w:p w14:paraId="157B9B4A">
      <w:pPr>
        <w:pStyle w:val="107"/>
        <w:shd w:val="clear" w:fill="FFFFFF" w:themeFill="background1"/>
        <w:ind w:firstLine="422"/>
        <w:rPr>
          <w:rFonts w:hAnsi="宋体" w:cs="宋体"/>
          <w:color w:val="auto"/>
          <w:highlight w:val="none"/>
        </w:rPr>
      </w:pPr>
      <w:r>
        <w:rPr>
          <w:rFonts w:hint="eastAsia" w:hAnsi="宋体" w:cs="宋体"/>
          <w:color w:val="auto"/>
          <w:highlight w:val="none"/>
        </w:rPr>
        <w:t>14.4.2进度滞后该工程总体进度计划的10％或落到工程管理曲线下线以下的；</w:t>
      </w:r>
    </w:p>
    <w:p w14:paraId="0D4A7C13">
      <w:pPr>
        <w:pStyle w:val="107"/>
        <w:shd w:val="clear" w:fill="FFFFFF" w:themeFill="background1"/>
        <w:ind w:firstLine="422"/>
        <w:rPr>
          <w:rFonts w:hAnsi="宋体" w:cs="宋体"/>
          <w:color w:val="auto"/>
          <w:highlight w:val="none"/>
        </w:rPr>
      </w:pPr>
      <w:r>
        <w:rPr>
          <w:rFonts w:hint="eastAsia" w:hAnsi="宋体" w:cs="宋体"/>
          <w:color w:val="auto"/>
          <w:highlight w:val="none"/>
        </w:rPr>
        <w:t>14.4.3不按施工技术规范和标准要求施工，造成工程质量低劣的达不到验收标准的；</w:t>
      </w:r>
    </w:p>
    <w:p w14:paraId="2C83B43B">
      <w:pPr>
        <w:pStyle w:val="107"/>
        <w:shd w:val="clear" w:fill="FFFFFF" w:themeFill="background1"/>
        <w:ind w:firstLine="422"/>
        <w:rPr>
          <w:rFonts w:hAnsi="宋体" w:cs="宋体"/>
          <w:color w:val="auto"/>
          <w:highlight w:val="none"/>
        </w:rPr>
      </w:pPr>
      <w:r>
        <w:rPr>
          <w:rFonts w:hint="eastAsia" w:hAnsi="宋体" w:cs="宋体"/>
          <w:color w:val="auto"/>
          <w:highlight w:val="none"/>
        </w:rPr>
        <w:t>14.4. 4不遵守甲方的管理，不能服从发包人和监理人的指令，造成工程不能管理无法推进。</w:t>
      </w:r>
    </w:p>
    <w:p w14:paraId="167967C3">
      <w:pPr>
        <w:pStyle w:val="107"/>
        <w:shd w:val="clear" w:fill="FFFFFF" w:themeFill="background1"/>
        <w:ind w:firstLine="422"/>
        <w:rPr>
          <w:rFonts w:hAnsi="宋体" w:cs="宋体"/>
          <w:color w:val="auto"/>
          <w:highlight w:val="none"/>
        </w:rPr>
      </w:pPr>
      <w:r>
        <w:rPr>
          <w:rFonts w:hint="eastAsia" w:hAnsi="宋体" w:cs="宋体"/>
          <w:color w:val="auto"/>
          <w:highlight w:val="none"/>
        </w:rPr>
        <w:t>14.5乙方应按本合同规定的工期及质量要求完成，否则应偿付给甲方元/天的逾期违约金，限额为％本合同的签约合同价。</w:t>
      </w:r>
    </w:p>
    <w:p w14:paraId="679B1C42">
      <w:pPr>
        <w:pStyle w:val="107"/>
        <w:shd w:val="clear" w:fill="FFFFFF" w:themeFill="background1"/>
        <w:ind w:firstLine="422"/>
        <w:rPr>
          <w:rFonts w:hAnsi="宋体" w:cs="宋体"/>
          <w:color w:val="auto"/>
          <w:highlight w:val="none"/>
        </w:rPr>
      </w:pPr>
    </w:p>
    <w:p w14:paraId="3D502665">
      <w:pPr>
        <w:pStyle w:val="107"/>
        <w:shd w:val="clear" w:fill="FFFFFF" w:themeFill="background1"/>
        <w:ind w:firstLine="422"/>
        <w:jc w:val="left"/>
        <w:rPr>
          <w:rFonts w:hAnsi="宋体" w:cs="宋体"/>
          <w:b/>
          <w:color w:val="auto"/>
          <w:highlight w:val="none"/>
        </w:rPr>
      </w:pPr>
      <w:r>
        <w:rPr>
          <w:rFonts w:hint="eastAsia" w:hAnsi="宋体" w:cs="宋体"/>
          <w:b/>
          <w:color w:val="auto"/>
          <w:highlight w:val="none"/>
        </w:rPr>
        <w:t>15 附则</w:t>
      </w:r>
    </w:p>
    <w:p w14:paraId="4C8D2EF2">
      <w:pPr>
        <w:pStyle w:val="107"/>
        <w:shd w:val="clear" w:fill="FFFFFF" w:themeFill="background1"/>
        <w:ind w:firstLine="422"/>
        <w:rPr>
          <w:rFonts w:hAnsi="宋体" w:cs="宋体"/>
          <w:color w:val="auto"/>
          <w:highlight w:val="none"/>
        </w:rPr>
      </w:pPr>
      <w:r>
        <w:rPr>
          <w:rFonts w:hint="eastAsia" w:hAnsi="宋体" w:cs="宋体"/>
          <w:color w:val="auto"/>
          <w:highlight w:val="none"/>
        </w:rPr>
        <w:t>15.1合同生效：本合同经甲乙双方签字盖章后，须经驻地监理办审查，报发包人备案之日起生效。</w:t>
      </w:r>
    </w:p>
    <w:p w14:paraId="684ED65D">
      <w:pPr>
        <w:pStyle w:val="107"/>
        <w:shd w:val="clear" w:fill="FFFFFF" w:themeFill="background1"/>
        <w:ind w:firstLine="422"/>
        <w:rPr>
          <w:rFonts w:hAnsi="宋体" w:cs="宋体"/>
          <w:color w:val="auto"/>
          <w:highlight w:val="none"/>
        </w:rPr>
      </w:pPr>
      <w:r>
        <w:rPr>
          <w:rFonts w:hint="eastAsia" w:hAnsi="宋体" w:cs="宋体"/>
          <w:color w:val="auto"/>
          <w:highlight w:val="none"/>
        </w:rPr>
        <w:t>15.2合同终止日期：在全部工程竣工，办理竣工验收款项结清后失效。</w:t>
      </w:r>
    </w:p>
    <w:p w14:paraId="4C918AE2">
      <w:pPr>
        <w:pStyle w:val="107"/>
        <w:shd w:val="clear" w:fill="FFFFFF" w:themeFill="background1"/>
        <w:ind w:firstLine="422"/>
        <w:rPr>
          <w:rFonts w:hAnsi="宋体" w:cs="宋体"/>
          <w:color w:val="auto"/>
          <w:highlight w:val="none"/>
        </w:rPr>
      </w:pPr>
      <w:r>
        <w:rPr>
          <w:rFonts w:hint="eastAsia" w:hAnsi="宋体" w:cs="宋体"/>
          <w:color w:val="auto"/>
          <w:highlight w:val="none"/>
        </w:rPr>
        <w:t>15.3本合同发生纠纷时，甲乙双方应及时协商解决。若协商不成时，可按以下第项解决：(a)向工程所在地经济合同仲裁委员会申请仲裁，(b)向人民法院起诉。</w:t>
      </w:r>
    </w:p>
    <w:p w14:paraId="54021A66">
      <w:pPr>
        <w:pStyle w:val="107"/>
        <w:shd w:val="clear" w:fill="FFFFFF" w:themeFill="background1"/>
        <w:ind w:firstLine="422"/>
        <w:rPr>
          <w:rFonts w:hAnsi="宋体" w:cs="宋体"/>
          <w:color w:val="auto"/>
          <w:highlight w:val="none"/>
        </w:rPr>
      </w:pPr>
      <w:r>
        <w:rPr>
          <w:rFonts w:hint="eastAsia" w:hAnsi="宋体" w:cs="宋体"/>
          <w:color w:val="auto"/>
          <w:highlight w:val="none"/>
        </w:rPr>
        <w:t>15.4本合同要求鉴证(公证)的，可向工程所在地的市(县)工商行政管理局进行鉴证或公证处公证。</w:t>
      </w:r>
    </w:p>
    <w:p w14:paraId="39F81695">
      <w:pPr>
        <w:pStyle w:val="107"/>
        <w:shd w:val="clear" w:fill="FFFFFF" w:themeFill="background1"/>
        <w:ind w:firstLine="422"/>
        <w:rPr>
          <w:rFonts w:hAnsi="宋体" w:cs="宋体"/>
          <w:color w:val="auto"/>
          <w:highlight w:val="none"/>
        </w:rPr>
      </w:pPr>
      <w:r>
        <w:rPr>
          <w:rFonts w:hint="eastAsia" w:hAnsi="宋体" w:cs="宋体"/>
          <w:color w:val="auto"/>
          <w:highlight w:val="none"/>
        </w:rPr>
        <w:t>15.5本合同一式份，甲乙双方各执正本一份，副本份，驻地监理办、发包人备案各一份。</w:t>
      </w:r>
    </w:p>
    <w:p w14:paraId="23FBAD8C">
      <w:pPr>
        <w:pStyle w:val="107"/>
        <w:shd w:val="clear" w:fill="FFFFFF" w:themeFill="background1"/>
        <w:ind w:firstLine="422"/>
        <w:rPr>
          <w:rFonts w:hAnsi="宋体" w:cs="宋体"/>
          <w:color w:val="auto"/>
          <w:highlight w:val="none"/>
        </w:rPr>
      </w:pPr>
      <w:r>
        <w:rPr>
          <w:rFonts w:hint="eastAsia" w:hAnsi="宋体" w:cs="宋体"/>
          <w:color w:val="auto"/>
          <w:highlight w:val="none"/>
        </w:rPr>
        <w:t>15.6 双方商定的补充条款：</w:t>
      </w:r>
    </w:p>
    <w:p w14:paraId="311C53D5">
      <w:pPr>
        <w:pStyle w:val="107"/>
        <w:shd w:val="clear" w:fill="FFFFFF" w:themeFill="background1"/>
        <w:ind w:firstLine="422"/>
        <w:rPr>
          <w:rFonts w:hAnsi="宋体" w:cs="宋体"/>
          <w:color w:val="auto"/>
          <w:highlight w:val="none"/>
        </w:rPr>
      </w:pPr>
      <w:r>
        <w:rPr>
          <w:rFonts w:hint="eastAsia" w:hAnsi="宋体" w:cs="宋体"/>
          <w:color w:val="auto"/>
          <w:highlight w:val="none"/>
        </w:rPr>
        <w:t xml:space="preserve">    1.</w:t>
      </w:r>
    </w:p>
    <w:p w14:paraId="3A81B959">
      <w:pPr>
        <w:pStyle w:val="107"/>
        <w:shd w:val="clear" w:fill="FFFFFF" w:themeFill="background1"/>
        <w:ind w:firstLine="422"/>
        <w:rPr>
          <w:rFonts w:hAnsi="宋体" w:cs="宋体"/>
          <w:color w:val="auto"/>
          <w:highlight w:val="none"/>
        </w:rPr>
      </w:pPr>
      <w:r>
        <w:rPr>
          <w:rFonts w:hint="eastAsia" w:hAnsi="宋体" w:cs="宋体"/>
          <w:color w:val="auto"/>
          <w:highlight w:val="none"/>
        </w:rPr>
        <w:t xml:space="preserve">    2.</w:t>
      </w:r>
    </w:p>
    <w:p w14:paraId="57408F29">
      <w:pPr>
        <w:pStyle w:val="107"/>
        <w:shd w:val="clear" w:fill="FFFFFF" w:themeFill="background1"/>
        <w:ind w:firstLine="960" w:firstLineChars="400"/>
        <w:rPr>
          <w:rFonts w:hAnsi="宋体" w:cs="宋体"/>
          <w:color w:val="auto"/>
          <w:highlight w:val="none"/>
        </w:rPr>
      </w:pPr>
      <w:r>
        <w:rPr>
          <w:rFonts w:hint="eastAsia" w:hAnsi="宋体" w:cs="宋体"/>
          <w:color w:val="auto"/>
          <w:highlight w:val="none"/>
        </w:rPr>
        <w:t>……</w:t>
      </w:r>
    </w:p>
    <w:p w14:paraId="794F6220">
      <w:pPr>
        <w:pStyle w:val="107"/>
        <w:shd w:val="clear" w:fill="FFFFFF" w:themeFill="background1"/>
        <w:ind w:firstLine="960" w:firstLineChars="400"/>
        <w:rPr>
          <w:rFonts w:hAnsi="宋体" w:cs="宋体"/>
          <w:color w:val="auto"/>
          <w:highlight w:val="none"/>
        </w:rPr>
      </w:pPr>
    </w:p>
    <w:p w14:paraId="4DBA9DE9">
      <w:pPr>
        <w:pStyle w:val="107"/>
        <w:shd w:val="clear" w:fill="FFFFFF" w:themeFill="background1"/>
        <w:ind w:firstLine="422"/>
        <w:rPr>
          <w:rFonts w:hAnsi="宋体" w:cs="宋体"/>
          <w:color w:val="auto"/>
          <w:highlight w:val="none"/>
        </w:rPr>
      </w:pPr>
      <w:r>
        <w:rPr>
          <w:rFonts w:hint="eastAsia" w:hAnsi="宋体" w:cs="宋体"/>
          <w:color w:val="auto"/>
          <w:highlight w:val="none"/>
        </w:rPr>
        <w:t>15.7本合同未尽事宜，发包人与甲方签订总包合同的相关条款已有的，按其办理；未涉及的，按照本工程合同文件的精神，甲乙双方协商解决。</w:t>
      </w:r>
    </w:p>
    <w:p w14:paraId="73E877BC">
      <w:pPr>
        <w:pStyle w:val="107"/>
        <w:shd w:val="clear" w:fill="FFFFFF" w:themeFill="background1"/>
        <w:ind w:firstLine="960" w:firstLineChars="400"/>
        <w:rPr>
          <w:rFonts w:hAnsi="宋体" w:cs="宋体"/>
          <w:color w:val="auto"/>
          <w:highlight w:val="none"/>
        </w:rPr>
      </w:pPr>
    </w:p>
    <w:p w14:paraId="3A09CA6C">
      <w:pPr>
        <w:pStyle w:val="107"/>
        <w:shd w:val="clear" w:fill="FFFFFF" w:themeFill="background1"/>
        <w:rPr>
          <w:rFonts w:hAnsi="宋体" w:cs="宋体"/>
          <w:b/>
          <w:color w:val="auto"/>
          <w:highlight w:val="none"/>
        </w:rPr>
      </w:pPr>
      <w:r>
        <w:rPr>
          <w:rFonts w:hint="eastAsia" w:hAnsi="宋体" w:cs="宋体"/>
          <w:b/>
          <w:color w:val="auto"/>
          <w:highlight w:val="none"/>
        </w:rPr>
        <w:t>合同附件：</w:t>
      </w:r>
    </w:p>
    <w:p w14:paraId="4913626A">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(一)分包人营业执照复印件。</w:t>
      </w:r>
    </w:p>
    <w:p w14:paraId="57F71765">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(二)分包人有关企业信息介绍等资料。</w:t>
      </w:r>
    </w:p>
    <w:p w14:paraId="0D3BBB79">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(三)分包管理人员身份证、资格证书、职称证书、劳动合同关系材料复印件。</w:t>
      </w:r>
    </w:p>
    <w:p w14:paraId="75E4E1AA">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(四)分包人拟投入的主要管理人员表（附表1）</w:t>
      </w:r>
    </w:p>
    <w:p w14:paraId="7A6BED3F">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(五)分包人拟投入的主要机械设备表（附表2)</w:t>
      </w:r>
    </w:p>
    <w:p w14:paraId="5D470D6F">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(六)分包专项工程工程量清单(附表3)</w:t>
      </w:r>
    </w:p>
    <w:p w14:paraId="392E4149">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(五)承包人供应的材料清单 (附表4)。</w:t>
      </w:r>
    </w:p>
    <w:p w14:paraId="251D76A4">
      <w:pPr>
        <w:pStyle w:val="107"/>
        <w:shd w:val="clear" w:fill="FFFFFF" w:themeFill="background1"/>
        <w:ind w:firstLine="480"/>
        <w:rPr>
          <w:rFonts w:hAnsi="宋体" w:cs="宋体"/>
          <w:color w:val="auto"/>
          <w:highlight w:val="none"/>
        </w:rPr>
      </w:pPr>
      <w:r>
        <w:rPr>
          <w:rFonts w:hint="eastAsia" w:hAnsi="宋体" w:cs="宋体"/>
          <w:color w:val="auto"/>
          <w:highlight w:val="none"/>
        </w:rPr>
        <w:t>(六)其它：</w:t>
      </w:r>
    </w:p>
    <w:p w14:paraId="41E23831">
      <w:pPr>
        <w:pStyle w:val="107"/>
        <w:shd w:val="clear" w:fill="FFFFFF" w:themeFill="background1"/>
        <w:ind w:firstLine="480"/>
        <w:rPr>
          <w:rFonts w:hAnsi="宋体" w:cs="宋体"/>
          <w:color w:val="auto"/>
          <w:highlight w:val="none"/>
        </w:rPr>
      </w:pPr>
    </w:p>
    <w:p w14:paraId="7D0E2282">
      <w:pPr>
        <w:pStyle w:val="107"/>
        <w:shd w:val="clear" w:fill="FFFFFF" w:themeFill="background1"/>
        <w:ind w:firstLine="480"/>
        <w:rPr>
          <w:rFonts w:hAnsi="宋体" w:cs="宋体"/>
          <w:color w:val="auto"/>
          <w:highlight w:val="none"/>
        </w:rPr>
      </w:pPr>
    </w:p>
    <w:p w14:paraId="03635B48">
      <w:pPr>
        <w:pStyle w:val="107"/>
        <w:shd w:val="clear" w:fill="FFFFFF" w:themeFill="background1"/>
        <w:ind w:firstLine="480"/>
        <w:rPr>
          <w:rFonts w:hAnsi="宋体" w:cs="宋体"/>
          <w:color w:val="auto"/>
          <w:highlight w:val="none"/>
        </w:rPr>
      </w:pPr>
    </w:p>
    <w:p w14:paraId="3A662262">
      <w:pPr>
        <w:pStyle w:val="107"/>
        <w:shd w:val="clear" w:fill="FFFFFF" w:themeFill="background1"/>
        <w:ind w:firstLine="480"/>
        <w:rPr>
          <w:rFonts w:hAnsi="宋体" w:cs="宋体"/>
          <w:color w:val="auto"/>
          <w:highlight w:val="none"/>
        </w:rPr>
      </w:pPr>
    </w:p>
    <w:p w14:paraId="673E1B76">
      <w:pPr>
        <w:pStyle w:val="107"/>
        <w:shd w:val="clear" w:fill="FFFFFF" w:themeFill="background1"/>
        <w:rPr>
          <w:rFonts w:hAnsi="宋体" w:cs="宋体"/>
          <w:color w:val="auto"/>
          <w:highlight w:val="none"/>
        </w:rPr>
      </w:pPr>
      <w:r>
        <w:rPr>
          <w:rFonts w:hint="eastAsia" w:hAnsi="宋体" w:cs="宋体"/>
          <w:color w:val="auto"/>
          <w:highlight w:val="none"/>
        </w:rPr>
        <w:t>甲  方：(盖章)                           乙  方：(盖章)</w:t>
      </w:r>
    </w:p>
    <w:p w14:paraId="2118AB07">
      <w:pPr>
        <w:pStyle w:val="107"/>
        <w:shd w:val="clear" w:fill="FFFFFF" w:themeFill="background1"/>
        <w:rPr>
          <w:rFonts w:hAnsi="宋体" w:cs="宋体"/>
          <w:color w:val="auto"/>
          <w:highlight w:val="none"/>
        </w:rPr>
      </w:pPr>
      <w:r>
        <w:rPr>
          <w:rFonts w:hint="eastAsia" w:hAnsi="宋体" w:cs="宋体"/>
          <w:color w:val="auto"/>
          <w:highlight w:val="none"/>
        </w:rPr>
        <w:t>法定代表人：(签字)                       法定代表人：(签字)</w:t>
      </w:r>
    </w:p>
    <w:p w14:paraId="4C4DFB7F">
      <w:pPr>
        <w:pStyle w:val="107"/>
        <w:shd w:val="clear" w:fill="FFFFFF" w:themeFill="background1"/>
        <w:rPr>
          <w:rFonts w:hAnsi="宋体" w:cs="宋体"/>
          <w:color w:val="auto"/>
          <w:highlight w:val="none"/>
        </w:rPr>
      </w:pPr>
      <w:r>
        <w:rPr>
          <w:rFonts w:hint="eastAsia" w:hAnsi="宋体" w:cs="宋体"/>
          <w:color w:val="auto"/>
          <w:highlight w:val="none"/>
        </w:rPr>
        <w:t>委托代理人：(签字)                       委托代理人：(签字)</w:t>
      </w:r>
    </w:p>
    <w:p w14:paraId="7E660D8C">
      <w:pPr>
        <w:pStyle w:val="107"/>
        <w:shd w:val="clear" w:fill="FFFFFF" w:themeFill="background1"/>
        <w:rPr>
          <w:rFonts w:hAnsi="宋体" w:cs="宋体"/>
          <w:color w:val="auto"/>
          <w:highlight w:val="none"/>
        </w:rPr>
      </w:pPr>
      <w:r>
        <w:rPr>
          <w:rFonts w:hint="eastAsia" w:hAnsi="宋体" w:cs="宋体"/>
          <w:color w:val="auto"/>
          <w:highlight w:val="none"/>
        </w:rPr>
        <w:t>地    址：                              地    址：</w:t>
      </w:r>
    </w:p>
    <w:p w14:paraId="7DEE94CF">
      <w:pPr>
        <w:pStyle w:val="107"/>
        <w:shd w:val="clear" w:fill="FFFFFF" w:themeFill="background1"/>
        <w:rPr>
          <w:rFonts w:hAnsi="宋体" w:cs="宋体"/>
          <w:color w:val="auto"/>
          <w:highlight w:val="none"/>
        </w:rPr>
      </w:pPr>
      <w:r>
        <w:rPr>
          <w:rFonts w:hint="eastAsia" w:hAnsi="宋体" w:cs="宋体"/>
          <w:color w:val="auto"/>
          <w:highlight w:val="none"/>
        </w:rPr>
        <w:t>邮政编码：                              邮政编码：</w:t>
      </w:r>
    </w:p>
    <w:p w14:paraId="219F3250">
      <w:pPr>
        <w:pStyle w:val="107"/>
        <w:shd w:val="clear" w:fill="FFFFFF" w:themeFill="background1"/>
        <w:rPr>
          <w:rFonts w:hAnsi="宋体" w:cs="宋体"/>
          <w:color w:val="auto"/>
          <w:highlight w:val="none"/>
        </w:rPr>
      </w:pPr>
      <w:r>
        <w:rPr>
          <w:rFonts w:hint="eastAsia" w:hAnsi="宋体" w:cs="宋体"/>
          <w:color w:val="auto"/>
          <w:highlight w:val="none"/>
        </w:rPr>
        <w:t>电    话：                              电    话：</w:t>
      </w:r>
    </w:p>
    <w:p w14:paraId="6C5D8AD6">
      <w:pPr>
        <w:pStyle w:val="107"/>
        <w:shd w:val="clear" w:fill="FFFFFF" w:themeFill="background1"/>
        <w:rPr>
          <w:rFonts w:hAnsi="宋体" w:cs="宋体"/>
          <w:color w:val="auto"/>
          <w:highlight w:val="none"/>
        </w:rPr>
      </w:pPr>
      <w:r>
        <w:rPr>
          <w:rFonts w:hint="eastAsia" w:hAnsi="宋体" w:cs="宋体"/>
          <w:color w:val="auto"/>
          <w:highlight w:val="none"/>
        </w:rPr>
        <w:t>传  真：                                传    真：</w:t>
      </w:r>
    </w:p>
    <w:p w14:paraId="13028B7C">
      <w:pPr>
        <w:pStyle w:val="107"/>
        <w:shd w:val="clear" w:fill="FFFFFF" w:themeFill="background1"/>
        <w:rPr>
          <w:rFonts w:hAnsi="宋体" w:cs="宋体"/>
          <w:color w:val="auto"/>
          <w:highlight w:val="none"/>
        </w:rPr>
      </w:pPr>
      <w:r>
        <w:rPr>
          <w:rFonts w:hint="eastAsia" w:hAnsi="宋体" w:cs="宋体"/>
          <w:color w:val="auto"/>
          <w:highlight w:val="none"/>
        </w:rPr>
        <w:t>开户银行：                              开户银行：</w:t>
      </w:r>
    </w:p>
    <w:p w14:paraId="605DA713">
      <w:pPr>
        <w:pStyle w:val="107"/>
        <w:shd w:val="clear" w:fill="FFFFFF" w:themeFill="background1"/>
        <w:rPr>
          <w:rFonts w:hAnsi="宋体" w:cs="宋体"/>
          <w:color w:val="auto"/>
          <w:highlight w:val="none"/>
        </w:rPr>
      </w:pPr>
      <w:r>
        <w:rPr>
          <w:rFonts w:hint="eastAsia" w:hAnsi="宋体" w:cs="宋体"/>
          <w:color w:val="auto"/>
          <w:highlight w:val="none"/>
        </w:rPr>
        <w:t>银行帐号：                              银行帐号：</w:t>
      </w:r>
    </w:p>
    <w:p w14:paraId="6223D9DB">
      <w:pPr>
        <w:pStyle w:val="107"/>
        <w:shd w:val="clear" w:fill="FFFFFF" w:themeFill="background1"/>
        <w:rPr>
          <w:rFonts w:hAnsi="宋体" w:cs="宋体"/>
          <w:color w:val="auto"/>
          <w:highlight w:val="none"/>
        </w:rPr>
      </w:pPr>
      <w:r>
        <w:rPr>
          <w:rFonts w:hint="eastAsia" w:hAnsi="宋体" w:cs="宋体"/>
          <w:color w:val="auto"/>
          <w:highlight w:val="none"/>
        </w:rPr>
        <w:t>签订时间：                              签订时间：</w:t>
      </w:r>
    </w:p>
    <w:p w14:paraId="2C5BC030">
      <w:pPr>
        <w:pStyle w:val="107"/>
        <w:shd w:val="clear" w:fill="FFFFFF" w:themeFill="background1"/>
        <w:jc w:val="center"/>
        <w:rPr>
          <w:rFonts w:hAnsi="宋体" w:cs="宋体"/>
          <w:b/>
          <w:color w:val="auto"/>
          <w:sz w:val="28"/>
          <w:szCs w:val="28"/>
          <w:highlight w:val="none"/>
        </w:rPr>
      </w:pPr>
      <w:r>
        <w:rPr>
          <w:rFonts w:hint="eastAsia" w:hAnsi="宋体" w:cs="宋体"/>
          <w:color w:val="auto"/>
          <w:sz w:val="32"/>
          <w:szCs w:val="32"/>
          <w:highlight w:val="none"/>
        </w:rPr>
        <w:br w:type="page"/>
      </w:r>
      <w:r>
        <w:rPr>
          <w:rFonts w:hint="eastAsia" w:hAnsi="宋体" w:cs="宋体"/>
          <w:b/>
          <w:color w:val="auto"/>
          <w:sz w:val="28"/>
          <w:szCs w:val="28"/>
          <w:highlight w:val="none"/>
        </w:rPr>
        <w:t>附表1：分包人投入人员表</w:t>
      </w:r>
    </w:p>
    <w:p w14:paraId="5229886D">
      <w:pPr>
        <w:pStyle w:val="107"/>
        <w:shd w:val="clear" w:fill="FFFFFF" w:themeFill="background1"/>
        <w:rPr>
          <w:rFonts w:hAnsi="宋体" w:cs="宋体"/>
          <w:color w:val="auto"/>
          <w:highlight w:val="none"/>
        </w:rPr>
      </w:pPr>
      <w:r>
        <w:rPr>
          <w:rFonts w:hint="eastAsia" w:hAnsi="宋体" w:cs="宋体"/>
          <w:color w:val="auto"/>
          <w:highlight w:val="none"/>
        </w:rPr>
        <w:t>工程项目：                                  合同段：</w:t>
      </w:r>
    </w:p>
    <w:p w14:paraId="411E7DBA">
      <w:pPr>
        <w:pStyle w:val="107"/>
        <w:shd w:val="clear" w:fill="FFFFFF" w:themeFill="background1"/>
        <w:rPr>
          <w:rFonts w:hAnsi="宋体" w:cs="宋体"/>
          <w:b/>
          <w:bCs/>
          <w:color w:val="auto"/>
          <w:highlight w:val="none"/>
        </w:rPr>
      </w:pPr>
      <w:r>
        <w:rPr>
          <w:rFonts w:hint="eastAsia" w:hAnsi="宋体" w:cs="宋体"/>
          <w:color w:val="auto"/>
          <w:highlight w:val="none"/>
        </w:rPr>
        <w:t xml:space="preserve">分包专项工程：                              分包人：                 </w:t>
      </w:r>
    </w:p>
    <w:tbl>
      <w:tblPr>
        <w:tblStyle w:val="4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080"/>
        <w:gridCol w:w="1980"/>
        <w:gridCol w:w="1025"/>
        <w:gridCol w:w="1339"/>
        <w:gridCol w:w="1355"/>
        <w:gridCol w:w="1141"/>
      </w:tblGrid>
      <w:tr w14:paraId="2C2A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40" w:type="dxa"/>
            <w:vAlign w:val="center"/>
          </w:tcPr>
          <w:p w14:paraId="795B7CE1">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岗位</w:t>
            </w:r>
          </w:p>
          <w:p w14:paraId="55F00279">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名称</w:t>
            </w:r>
          </w:p>
        </w:tc>
        <w:tc>
          <w:tcPr>
            <w:tcW w:w="1080" w:type="dxa"/>
            <w:vAlign w:val="center"/>
          </w:tcPr>
          <w:p w14:paraId="57B813EC">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姓名</w:t>
            </w:r>
          </w:p>
        </w:tc>
        <w:tc>
          <w:tcPr>
            <w:tcW w:w="1980" w:type="dxa"/>
            <w:vAlign w:val="center"/>
          </w:tcPr>
          <w:p w14:paraId="1542A6B6">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身份证号</w:t>
            </w:r>
          </w:p>
        </w:tc>
        <w:tc>
          <w:tcPr>
            <w:tcW w:w="1025" w:type="dxa"/>
            <w:vAlign w:val="center"/>
          </w:tcPr>
          <w:p w14:paraId="0CCDEBF3">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职称</w:t>
            </w:r>
          </w:p>
        </w:tc>
        <w:tc>
          <w:tcPr>
            <w:tcW w:w="1339" w:type="dxa"/>
            <w:vAlign w:val="center"/>
          </w:tcPr>
          <w:p w14:paraId="39DC3F01">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资格</w:t>
            </w:r>
          </w:p>
        </w:tc>
        <w:tc>
          <w:tcPr>
            <w:tcW w:w="1355" w:type="dxa"/>
            <w:vAlign w:val="center"/>
          </w:tcPr>
          <w:p w14:paraId="50DD196D">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拟进场时间</w:t>
            </w:r>
          </w:p>
        </w:tc>
        <w:tc>
          <w:tcPr>
            <w:tcW w:w="1141" w:type="dxa"/>
            <w:vAlign w:val="center"/>
          </w:tcPr>
          <w:p w14:paraId="2E8BCE9F">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备注</w:t>
            </w:r>
          </w:p>
        </w:tc>
      </w:tr>
      <w:tr w14:paraId="7B90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440" w:type="dxa"/>
          </w:tcPr>
          <w:p w14:paraId="6A7CCBAD">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分包项目</w:t>
            </w:r>
          </w:p>
          <w:p w14:paraId="3464CDBD">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负责人</w:t>
            </w:r>
          </w:p>
        </w:tc>
        <w:tc>
          <w:tcPr>
            <w:tcW w:w="1080" w:type="dxa"/>
          </w:tcPr>
          <w:p w14:paraId="3632F581">
            <w:pPr>
              <w:pStyle w:val="107"/>
              <w:shd w:val="clear" w:fill="FFFFFF" w:themeFill="background1"/>
              <w:jc w:val="center"/>
              <w:rPr>
                <w:rFonts w:hAnsi="宋体" w:cs="宋体"/>
                <w:color w:val="auto"/>
                <w:szCs w:val="21"/>
                <w:highlight w:val="none"/>
              </w:rPr>
            </w:pPr>
          </w:p>
        </w:tc>
        <w:tc>
          <w:tcPr>
            <w:tcW w:w="1980" w:type="dxa"/>
          </w:tcPr>
          <w:p w14:paraId="0D1CC1B8">
            <w:pPr>
              <w:pStyle w:val="107"/>
              <w:shd w:val="clear" w:fill="FFFFFF" w:themeFill="background1"/>
              <w:jc w:val="center"/>
              <w:rPr>
                <w:rFonts w:hAnsi="宋体" w:cs="宋体"/>
                <w:color w:val="auto"/>
                <w:szCs w:val="21"/>
                <w:highlight w:val="none"/>
              </w:rPr>
            </w:pPr>
          </w:p>
        </w:tc>
        <w:tc>
          <w:tcPr>
            <w:tcW w:w="1025" w:type="dxa"/>
          </w:tcPr>
          <w:p w14:paraId="59B91E14">
            <w:pPr>
              <w:pStyle w:val="107"/>
              <w:shd w:val="clear" w:fill="FFFFFF" w:themeFill="background1"/>
              <w:jc w:val="center"/>
              <w:rPr>
                <w:rFonts w:hAnsi="宋体" w:cs="宋体"/>
                <w:color w:val="auto"/>
                <w:szCs w:val="21"/>
                <w:highlight w:val="none"/>
              </w:rPr>
            </w:pPr>
          </w:p>
        </w:tc>
        <w:tc>
          <w:tcPr>
            <w:tcW w:w="1339" w:type="dxa"/>
          </w:tcPr>
          <w:p w14:paraId="710F3790">
            <w:pPr>
              <w:pStyle w:val="107"/>
              <w:shd w:val="clear" w:fill="FFFFFF" w:themeFill="background1"/>
              <w:jc w:val="center"/>
              <w:rPr>
                <w:rFonts w:hAnsi="宋体" w:cs="宋体"/>
                <w:color w:val="auto"/>
                <w:szCs w:val="21"/>
                <w:highlight w:val="none"/>
              </w:rPr>
            </w:pPr>
          </w:p>
        </w:tc>
        <w:tc>
          <w:tcPr>
            <w:tcW w:w="1355" w:type="dxa"/>
          </w:tcPr>
          <w:p w14:paraId="42C0A1D7">
            <w:pPr>
              <w:pStyle w:val="107"/>
              <w:shd w:val="clear" w:fill="FFFFFF" w:themeFill="background1"/>
              <w:jc w:val="center"/>
              <w:rPr>
                <w:rFonts w:hAnsi="宋体" w:cs="宋体"/>
                <w:color w:val="auto"/>
                <w:szCs w:val="21"/>
                <w:highlight w:val="none"/>
              </w:rPr>
            </w:pPr>
          </w:p>
        </w:tc>
        <w:tc>
          <w:tcPr>
            <w:tcW w:w="1141" w:type="dxa"/>
          </w:tcPr>
          <w:p w14:paraId="4D381F9B">
            <w:pPr>
              <w:pStyle w:val="107"/>
              <w:shd w:val="clear" w:fill="FFFFFF" w:themeFill="background1"/>
              <w:jc w:val="center"/>
              <w:rPr>
                <w:rFonts w:hAnsi="宋体" w:cs="宋体"/>
                <w:color w:val="auto"/>
                <w:szCs w:val="21"/>
                <w:highlight w:val="none"/>
              </w:rPr>
            </w:pPr>
          </w:p>
        </w:tc>
      </w:tr>
      <w:tr w14:paraId="56A5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440" w:type="dxa"/>
          </w:tcPr>
          <w:p w14:paraId="7965BAF5">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分包项目</w:t>
            </w:r>
          </w:p>
          <w:p w14:paraId="3689BFBB">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技术（质量）负责人</w:t>
            </w:r>
          </w:p>
        </w:tc>
        <w:tc>
          <w:tcPr>
            <w:tcW w:w="1080" w:type="dxa"/>
          </w:tcPr>
          <w:p w14:paraId="24ED3D3B">
            <w:pPr>
              <w:pStyle w:val="107"/>
              <w:shd w:val="clear" w:fill="FFFFFF" w:themeFill="background1"/>
              <w:jc w:val="center"/>
              <w:rPr>
                <w:rFonts w:hAnsi="宋体" w:cs="宋体"/>
                <w:color w:val="auto"/>
                <w:szCs w:val="21"/>
                <w:highlight w:val="none"/>
              </w:rPr>
            </w:pPr>
          </w:p>
        </w:tc>
        <w:tc>
          <w:tcPr>
            <w:tcW w:w="1980" w:type="dxa"/>
          </w:tcPr>
          <w:p w14:paraId="21E45527">
            <w:pPr>
              <w:pStyle w:val="107"/>
              <w:shd w:val="clear" w:fill="FFFFFF" w:themeFill="background1"/>
              <w:jc w:val="center"/>
              <w:rPr>
                <w:rFonts w:hAnsi="宋体" w:cs="宋体"/>
                <w:color w:val="auto"/>
                <w:szCs w:val="21"/>
                <w:highlight w:val="none"/>
              </w:rPr>
            </w:pPr>
          </w:p>
        </w:tc>
        <w:tc>
          <w:tcPr>
            <w:tcW w:w="1025" w:type="dxa"/>
          </w:tcPr>
          <w:p w14:paraId="683D4704">
            <w:pPr>
              <w:pStyle w:val="107"/>
              <w:shd w:val="clear" w:fill="FFFFFF" w:themeFill="background1"/>
              <w:jc w:val="center"/>
              <w:rPr>
                <w:rFonts w:hAnsi="宋体" w:cs="宋体"/>
                <w:color w:val="auto"/>
                <w:szCs w:val="21"/>
                <w:highlight w:val="none"/>
              </w:rPr>
            </w:pPr>
          </w:p>
        </w:tc>
        <w:tc>
          <w:tcPr>
            <w:tcW w:w="1339" w:type="dxa"/>
          </w:tcPr>
          <w:p w14:paraId="288E143D">
            <w:pPr>
              <w:pStyle w:val="107"/>
              <w:shd w:val="clear" w:fill="FFFFFF" w:themeFill="background1"/>
              <w:jc w:val="center"/>
              <w:rPr>
                <w:rFonts w:hAnsi="宋体" w:cs="宋体"/>
                <w:color w:val="auto"/>
                <w:szCs w:val="21"/>
                <w:highlight w:val="none"/>
              </w:rPr>
            </w:pPr>
          </w:p>
        </w:tc>
        <w:tc>
          <w:tcPr>
            <w:tcW w:w="1355" w:type="dxa"/>
          </w:tcPr>
          <w:p w14:paraId="3B181641">
            <w:pPr>
              <w:pStyle w:val="107"/>
              <w:shd w:val="clear" w:fill="FFFFFF" w:themeFill="background1"/>
              <w:jc w:val="center"/>
              <w:rPr>
                <w:rFonts w:hAnsi="宋体" w:cs="宋体"/>
                <w:color w:val="auto"/>
                <w:szCs w:val="21"/>
                <w:highlight w:val="none"/>
              </w:rPr>
            </w:pPr>
          </w:p>
        </w:tc>
        <w:tc>
          <w:tcPr>
            <w:tcW w:w="1141" w:type="dxa"/>
          </w:tcPr>
          <w:p w14:paraId="4C4EB097">
            <w:pPr>
              <w:pStyle w:val="107"/>
              <w:shd w:val="clear" w:fill="FFFFFF" w:themeFill="background1"/>
              <w:jc w:val="center"/>
              <w:rPr>
                <w:rFonts w:hAnsi="宋体" w:cs="宋体"/>
                <w:color w:val="auto"/>
                <w:szCs w:val="21"/>
                <w:highlight w:val="none"/>
              </w:rPr>
            </w:pPr>
          </w:p>
        </w:tc>
      </w:tr>
      <w:tr w14:paraId="3AD3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440" w:type="dxa"/>
          </w:tcPr>
          <w:p w14:paraId="721D65A4">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分包项目</w:t>
            </w:r>
          </w:p>
          <w:p w14:paraId="1DA32468">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安全负责人</w:t>
            </w:r>
          </w:p>
        </w:tc>
        <w:tc>
          <w:tcPr>
            <w:tcW w:w="1080" w:type="dxa"/>
          </w:tcPr>
          <w:p w14:paraId="6D57D795">
            <w:pPr>
              <w:pStyle w:val="107"/>
              <w:shd w:val="clear" w:fill="FFFFFF" w:themeFill="background1"/>
              <w:jc w:val="center"/>
              <w:rPr>
                <w:rFonts w:hAnsi="宋体" w:cs="宋体"/>
                <w:color w:val="auto"/>
                <w:szCs w:val="21"/>
                <w:highlight w:val="none"/>
              </w:rPr>
            </w:pPr>
          </w:p>
        </w:tc>
        <w:tc>
          <w:tcPr>
            <w:tcW w:w="1980" w:type="dxa"/>
          </w:tcPr>
          <w:p w14:paraId="6169CDA9">
            <w:pPr>
              <w:pStyle w:val="107"/>
              <w:shd w:val="clear" w:fill="FFFFFF" w:themeFill="background1"/>
              <w:jc w:val="center"/>
              <w:rPr>
                <w:rFonts w:hAnsi="宋体" w:cs="宋体"/>
                <w:color w:val="auto"/>
                <w:szCs w:val="21"/>
                <w:highlight w:val="none"/>
              </w:rPr>
            </w:pPr>
          </w:p>
        </w:tc>
        <w:tc>
          <w:tcPr>
            <w:tcW w:w="1025" w:type="dxa"/>
          </w:tcPr>
          <w:p w14:paraId="56985AF2">
            <w:pPr>
              <w:pStyle w:val="107"/>
              <w:shd w:val="clear" w:fill="FFFFFF" w:themeFill="background1"/>
              <w:jc w:val="center"/>
              <w:rPr>
                <w:rFonts w:hAnsi="宋体" w:cs="宋体"/>
                <w:color w:val="auto"/>
                <w:szCs w:val="21"/>
                <w:highlight w:val="none"/>
              </w:rPr>
            </w:pPr>
          </w:p>
        </w:tc>
        <w:tc>
          <w:tcPr>
            <w:tcW w:w="1339" w:type="dxa"/>
          </w:tcPr>
          <w:p w14:paraId="3DC132F8">
            <w:pPr>
              <w:pStyle w:val="107"/>
              <w:shd w:val="clear" w:fill="FFFFFF" w:themeFill="background1"/>
              <w:jc w:val="center"/>
              <w:rPr>
                <w:rFonts w:hAnsi="宋体" w:cs="宋体"/>
                <w:color w:val="auto"/>
                <w:szCs w:val="21"/>
                <w:highlight w:val="none"/>
              </w:rPr>
            </w:pPr>
          </w:p>
        </w:tc>
        <w:tc>
          <w:tcPr>
            <w:tcW w:w="1355" w:type="dxa"/>
          </w:tcPr>
          <w:p w14:paraId="1BFF69D9">
            <w:pPr>
              <w:pStyle w:val="107"/>
              <w:shd w:val="clear" w:fill="FFFFFF" w:themeFill="background1"/>
              <w:jc w:val="center"/>
              <w:rPr>
                <w:rFonts w:hAnsi="宋体" w:cs="宋体"/>
                <w:color w:val="auto"/>
                <w:szCs w:val="21"/>
                <w:highlight w:val="none"/>
              </w:rPr>
            </w:pPr>
          </w:p>
        </w:tc>
        <w:tc>
          <w:tcPr>
            <w:tcW w:w="1141" w:type="dxa"/>
          </w:tcPr>
          <w:p w14:paraId="42EEE64C">
            <w:pPr>
              <w:pStyle w:val="107"/>
              <w:shd w:val="clear" w:fill="FFFFFF" w:themeFill="background1"/>
              <w:jc w:val="center"/>
              <w:rPr>
                <w:rFonts w:hAnsi="宋体" w:cs="宋体"/>
                <w:color w:val="auto"/>
                <w:szCs w:val="21"/>
                <w:highlight w:val="none"/>
              </w:rPr>
            </w:pPr>
          </w:p>
        </w:tc>
      </w:tr>
      <w:tr w14:paraId="00C0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1440" w:type="dxa"/>
          </w:tcPr>
          <w:p w14:paraId="0D75AAE1">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分包项目</w:t>
            </w:r>
          </w:p>
          <w:p w14:paraId="14460BC1">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计划负责人</w:t>
            </w:r>
          </w:p>
        </w:tc>
        <w:tc>
          <w:tcPr>
            <w:tcW w:w="1080" w:type="dxa"/>
          </w:tcPr>
          <w:p w14:paraId="0221B4A4">
            <w:pPr>
              <w:pStyle w:val="107"/>
              <w:shd w:val="clear" w:fill="FFFFFF" w:themeFill="background1"/>
              <w:jc w:val="center"/>
              <w:rPr>
                <w:rFonts w:hAnsi="宋体" w:cs="宋体"/>
                <w:color w:val="auto"/>
                <w:szCs w:val="21"/>
                <w:highlight w:val="none"/>
              </w:rPr>
            </w:pPr>
          </w:p>
        </w:tc>
        <w:tc>
          <w:tcPr>
            <w:tcW w:w="1980" w:type="dxa"/>
          </w:tcPr>
          <w:p w14:paraId="6DAEDA35">
            <w:pPr>
              <w:pStyle w:val="107"/>
              <w:shd w:val="clear" w:fill="FFFFFF" w:themeFill="background1"/>
              <w:jc w:val="center"/>
              <w:rPr>
                <w:rFonts w:hAnsi="宋体" w:cs="宋体"/>
                <w:color w:val="auto"/>
                <w:szCs w:val="21"/>
                <w:highlight w:val="none"/>
              </w:rPr>
            </w:pPr>
          </w:p>
        </w:tc>
        <w:tc>
          <w:tcPr>
            <w:tcW w:w="1025" w:type="dxa"/>
          </w:tcPr>
          <w:p w14:paraId="64CB0C7F">
            <w:pPr>
              <w:pStyle w:val="107"/>
              <w:shd w:val="clear" w:fill="FFFFFF" w:themeFill="background1"/>
              <w:jc w:val="center"/>
              <w:rPr>
                <w:rFonts w:hAnsi="宋体" w:cs="宋体"/>
                <w:color w:val="auto"/>
                <w:szCs w:val="21"/>
                <w:highlight w:val="none"/>
              </w:rPr>
            </w:pPr>
          </w:p>
        </w:tc>
        <w:tc>
          <w:tcPr>
            <w:tcW w:w="1339" w:type="dxa"/>
          </w:tcPr>
          <w:p w14:paraId="677114F7">
            <w:pPr>
              <w:pStyle w:val="107"/>
              <w:shd w:val="clear" w:fill="FFFFFF" w:themeFill="background1"/>
              <w:jc w:val="center"/>
              <w:rPr>
                <w:rFonts w:hAnsi="宋体" w:cs="宋体"/>
                <w:color w:val="auto"/>
                <w:szCs w:val="21"/>
                <w:highlight w:val="none"/>
              </w:rPr>
            </w:pPr>
          </w:p>
        </w:tc>
        <w:tc>
          <w:tcPr>
            <w:tcW w:w="1355" w:type="dxa"/>
          </w:tcPr>
          <w:p w14:paraId="6F97FAE7">
            <w:pPr>
              <w:pStyle w:val="107"/>
              <w:shd w:val="clear" w:fill="FFFFFF" w:themeFill="background1"/>
              <w:jc w:val="center"/>
              <w:rPr>
                <w:rFonts w:hAnsi="宋体" w:cs="宋体"/>
                <w:color w:val="auto"/>
                <w:szCs w:val="21"/>
                <w:highlight w:val="none"/>
              </w:rPr>
            </w:pPr>
          </w:p>
        </w:tc>
        <w:tc>
          <w:tcPr>
            <w:tcW w:w="1141" w:type="dxa"/>
          </w:tcPr>
          <w:p w14:paraId="78852D7C">
            <w:pPr>
              <w:pStyle w:val="107"/>
              <w:shd w:val="clear" w:fill="FFFFFF" w:themeFill="background1"/>
              <w:jc w:val="center"/>
              <w:rPr>
                <w:rFonts w:hAnsi="宋体" w:cs="宋体"/>
                <w:color w:val="auto"/>
                <w:szCs w:val="21"/>
                <w:highlight w:val="none"/>
              </w:rPr>
            </w:pPr>
          </w:p>
        </w:tc>
      </w:tr>
      <w:tr w14:paraId="1AA9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jc w:val="center"/>
        </w:trPr>
        <w:tc>
          <w:tcPr>
            <w:tcW w:w="1440" w:type="dxa"/>
          </w:tcPr>
          <w:p w14:paraId="34114CCF">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分包项目</w:t>
            </w:r>
          </w:p>
          <w:p w14:paraId="238B5F3B">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财务负责人</w:t>
            </w:r>
          </w:p>
        </w:tc>
        <w:tc>
          <w:tcPr>
            <w:tcW w:w="1080" w:type="dxa"/>
          </w:tcPr>
          <w:p w14:paraId="29BE9F95">
            <w:pPr>
              <w:pStyle w:val="107"/>
              <w:shd w:val="clear" w:fill="FFFFFF" w:themeFill="background1"/>
              <w:jc w:val="center"/>
              <w:rPr>
                <w:rFonts w:hAnsi="宋体" w:cs="宋体"/>
                <w:color w:val="auto"/>
                <w:szCs w:val="21"/>
                <w:highlight w:val="none"/>
              </w:rPr>
            </w:pPr>
          </w:p>
        </w:tc>
        <w:tc>
          <w:tcPr>
            <w:tcW w:w="1980" w:type="dxa"/>
          </w:tcPr>
          <w:p w14:paraId="5EC3886F">
            <w:pPr>
              <w:pStyle w:val="107"/>
              <w:shd w:val="clear" w:fill="FFFFFF" w:themeFill="background1"/>
              <w:jc w:val="center"/>
              <w:rPr>
                <w:rFonts w:hAnsi="宋体" w:cs="宋体"/>
                <w:color w:val="auto"/>
                <w:szCs w:val="21"/>
                <w:highlight w:val="none"/>
              </w:rPr>
            </w:pPr>
          </w:p>
        </w:tc>
        <w:tc>
          <w:tcPr>
            <w:tcW w:w="1025" w:type="dxa"/>
          </w:tcPr>
          <w:p w14:paraId="6439F990">
            <w:pPr>
              <w:pStyle w:val="107"/>
              <w:shd w:val="clear" w:fill="FFFFFF" w:themeFill="background1"/>
              <w:jc w:val="center"/>
              <w:rPr>
                <w:rFonts w:hAnsi="宋体" w:cs="宋体"/>
                <w:color w:val="auto"/>
                <w:szCs w:val="21"/>
                <w:highlight w:val="none"/>
              </w:rPr>
            </w:pPr>
          </w:p>
        </w:tc>
        <w:tc>
          <w:tcPr>
            <w:tcW w:w="1339" w:type="dxa"/>
          </w:tcPr>
          <w:p w14:paraId="1407BBB1">
            <w:pPr>
              <w:pStyle w:val="107"/>
              <w:shd w:val="clear" w:fill="FFFFFF" w:themeFill="background1"/>
              <w:jc w:val="center"/>
              <w:rPr>
                <w:rFonts w:hAnsi="宋体" w:cs="宋体"/>
                <w:color w:val="auto"/>
                <w:szCs w:val="21"/>
                <w:highlight w:val="none"/>
              </w:rPr>
            </w:pPr>
          </w:p>
        </w:tc>
        <w:tc>
          <w:tcPr>
            <w:tcW w:w="1355" w:type="dxa"/>
          </w:tcPr>
          <w:p w14:paraId="02401207">
            <w:pPr>
              <w:pStyle w:val="107"/>
              <w:shd w:val="clear" w:fill="FFFFFF" w:themeFill="background1"/>
              <w:jc w:val="center"/>
              <w:rPr>
                <w:rFonts w:hAnsi="宋体" w:cs="宋体"/>
                <w:color w:val="auto"/>
                <w:szCs w:val="21"/>
                <w:highlight w:val="none"/>
              </w:rPr>
            </w:pPr>
          </w:p>
        </w:tc>
        <w:tc>
          <w:tcPr>
            <w:tcW w:w="1141" w:type="dxa"/>
          </w:tcPr>
          <w:p w14:paraId="7D9E9E66">
            <w:pPr>
              <w:pStyle w:val="107"/>
              <w:shd w:val="clear" w:fill="FFFFFF" w:themeFill="background1"/>
              <w:jc w:val="center"/>
              <w:rPr>
                <w:rFonts w:hAnsi="宋体" w:cs="宋体"/>
                <w:color w:val="auto"/>
                <w:szCs w:val="21"/>
                <w:highlight w:val="none"/>
              </w:rPr>
            </w:pPr>
          </w:p>
        </w:tc>
      </w:tr>
      <w:tr w14:paraId="3F26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40" w:type="dxa"/>
          </w:tcPr>
          <w:p w14:paraId="0CDCEAEC">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w:t>
            </w:r>
          </w:p>
        </w:tc>
        <w:tc>
          <w:tcPr>
            <w:tcW w:w="1080" w:type="dxa"/>
          </w:tcPr>
          <w:p w14:paraId="3937353A">
            <w:pPr>
              <w:pStyle w:val="107"/>
              <w:shd w:val="clear" w:fill="FFFFFF" w:themeFill="background1"/>
              <w:jc w:val="center"/>
              <w:rPr>
                <w:rFonts w:hAnsi="宋体" w:cs="宋体"/>
                <w:color w:val="auto"/>
                <w:szCs w:val="21"/>
                <w:highlight w:val="none"/>
              </w:rPr>
            </w:pPr>
          </w:p>
        </w:tc>
        <w:tc>
          <w:tcPr>
            <w:tcW w:w="1980" w:type="dxa"/>
          </w:tcPr>
          <w:p w14:paraId="63EFA377">
            <w:pPr>
              <w:pStyle w:val="107"/>
              <w:shd w:val="clear" w:fill="FFFFFF" w:themeFill="background1"/>
              <w:jc w:val="center"/>
              <w:rPr>
                <w:rFonts w:hAnsi="宋体" w:cs="宋体"/>
                <w:color w:val="auto"/>
                <w:szCs w:val="21"/>
                <w:highlight w:val="none"/>
              </w:rPr>
            </w:pPr>
          </w:p>
        </w:tc>
        <w:tc>
          <w:tcPr>
            <w:tcW w:w="1025" w:type="dxa"/>
          </w:tcPr>
          <w:p w14:paraId="408A62EF">
            <w:pPr>
              <w:pStyle w:val="107"/>
              <w:shd w:val="clear" w:fill="FFFFFF" w:themeFill="background1"/>
              <w:jc w:val="center"/>
              <w:rPr>
                <w:rFonts w:hAnsi="宋体" w:cs="宋体"/>
                <w:color w:val="auto"/>
                <w:szCs w:val="21"/>
                <w:highlight w:val="none"/>
              </w:rPr>
            </w:pPr>
          </w:p>
        </w:tc>
        <w:tc>
          <w:tcPr>
            <w:tcW w:w="1339" w:type="dxa"/>
          </w:tcPr>
          <w:p w14:paraId="0B2098F5">
            <w:pPr>
              <w:pStyle w:val="107"/>
              <w:shd w:val="clear" w:fill="FFFFFF" w:themeFill="background1"/>
              <w:jc w:val="center"/>
              <w:rPr>
                <w:rFonts w:hAnsi="宋体" w:cs="宋体"/>
                <w:color w:val="auto"/>
                <w:szCs w:val="21"/>
                <w:highlight w:val="none"/>
              </w:rPr>
            </w:pPr>
          </w:p>
        </w:tc>
        <w:tc>
          <w:tcPr>
            <w:tcW w:w="1355" w:type="dxa"/>
          </w:tcPr>
          <w:p w14:paraId="01DC0C17">
            <w:pPr>
              <w:pStyle w:val="107"/>
              <w:shd w:val="clear" w:fill="FFFFFF" w:themeFill="background1"/>
              <w:jc w:val="center"/>
              <w:rPr>
                <w:rFonts w:hAnsi="宋体" w:cs="宋体"/>
                <w:color w:val="auto"/>
                <w:szCs w:val="21"/>
                <w:highlight w:val="none"/>
              </w:rPr>
            </w:pPr>
          </w:p>
        </w:tc>
        <w:tc>
          <w:tcPr>
            <w:tcW w:w="1141" w:type="dxa"/>
          </w:tcPr>
          <w:p w14:paraId="63F93564">
            <w:pPr>
              <w:pStyle w:val="107"/>
              <w:shd w:val="clear" w:fill="FFFFFF" w:themeFill="background1"/>
              <w:jc w:val="center"/>
              <w:rPr>
                <w:rFonts w:hAnsi="宋体" w:cs="宋体"/>
                <w:color w:val="auto"/>
                <w:szCs w:val="21"/>
                <w:highlight w:val="none"/>
              </w:rPr>
            </w:pPr>
          </w:p>
        </w:tc>
      </w:tr>
      <w:tr w14:paraId="4577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40" w:type="dxa"/>
          </w:tcPr>
          <w:p w14:paraId="37480DE3">
            <w:pPr>
              <w:pStyle w:val="107"/>
              <w:shd w:val="clear" w:fill="FFFFFF" w:themeFill="background1"/>
              <w:jc w:val="center"/>
              <w:rPr>
                <w:rFonts w:hAnsi="宋体" w:cs="宋体"/>
                <w:color w:val="auto"/>
                <w:szCs w:val="21"/>
                <w:highlight w:val="none"/>
              </w:rPr>
            </w:pPr>
          </w:p>
        </w:tc>
        <w:tc>
          <w:tcPr>
            <w:tcW w:w="1080" w:type="dxa"/>
          </w:tcPr>
          <w:p w14:paraId="50D35677">
            <w:pPr>
              <w:pStyle w:val="107"/>
              <w:shd w:val="clear" w:fill="FFFFFF" w:themeFill="background1"/>
              <w:jc w:val="center"/>
              <w:rPr>
                <w:rFonts w:hAnsi="宋体" w:cs="宋体"/>
                <w:color w:val="auto"/>
                <w:szCs w:val="21"/>
                <w:highlight w:val="none"/>
              </w:rPr>
            </w:pPr>
          </w:p>
        </w:tc>
        <w:tc>
          <w:tcPr>
            <w:tcW w:w="1980" w:type="dxa"/>
          </w:tcPr>
          <w:p w14:paraId="2EFED6F5">
            <w:pPr>
              <w:pStyle w:val="107"/>
              <w:shd w:val="clear" w:fill="FFFFFF" w:themeFill="background1"/>
              <w:jc w:val="center"/>
              <w:rPr>
                <w:rFonts w:hAnsi="宋体" w:cs="宋体"/>
                <w:color w:val="auto"/>
                <w:szCs w:val="21"/>
                <w:highlight w:val="none"/>
              </w:rPr>
            </w:pPr>
          </w:p>
        </w:tc>
        <w:tc>
          <w:tcPr>
            <w:tcW w:w="1025" w:type="dxa"/>
          </w:tcPr>
          <w:p w14:paraId="0977CB34">
            <w:pPr>
              <w:pStyle w:val="107"/>
              <w:shd w:val="clear" w:fill="FFFFFF" w:themeFill="background1"/>
              <w:jc w:val="center"/>
              <w:rPr>
                <w:rFonts w:hAnsi="宋体" w:cs="宋体"/>
                <w:color w:val="auto"/>
                <w:szCs w:val="21"/>
                <w:highlight w:val="none"/>
              </w:rPr>
            </w:pPr>
          </w:p>
        </w:tc>
        <w:tc>
          <w:tcPr>
            <w:tcW w:w="1339" w:type="dxa"/>
          </w:tcPr>
          <w:p w14:paraId="7A5077B7">
            <w:pPr>
              <w:pStyle w:val="107"/>
              <w:shd w:val="clear" w:fill="FFFFFF" w:themeFill="background1"/>
              <w:jc w:val="center"/>
              <w:rPr>
                <w:rFonts w:hAnsi="宋体" w:cs="宋体"/>
                <w:color w:val="auto"/>
                <w:szCs w:val="21"/>
                <w:highlight w:val="none"/>
              </w:rPr>
            </w:pPr>
          </w:p>
        </w:tc>
        <w:tc>
          <w:tcPr>
            <w:tcW w:w="1355" w:type="dxa"/>
          </w:tcPr>
          <w:p w14:paraId="59F91ABF">
            <w:pPr>
              <w:pStyle w:val="107"/>
              <w:shd w:val="clear" w:fill="FFFFFF" w:themeFill="background1"/>
              <w:jc w:val="center"/>
              <w:rPr>
                <w:rFonts w:hAnsi="宋体" w:cs="宋体"/>
                <w:color w:val="auto"/>
                <w:szCs w:val="21"/>
                <w:highlight w:val="none"/>
              </w:rPr>
            </w:pPr>
          </w:p>
        </w:tc>
        <w:tc>
          <w:tcPr>
            <w:tcW w:w="1141" w:type="dxa"/>
          </w:tcPr>
          <w:p w14:paraId="721EEB7F">
            <w:pPr>
              <w:pStyle w:val="107"/>
              <w:shd w:val="clear" w:fill="FFFFFF" w:themeFill="background1"/>
              <w:jc w:val="center"/>
              <w:rPr>
                <w:rFonts w:hAnsi="宋体" w:cs="宋体"/>
                <w:color w:val="auto"/>
                <w:szCs w:val="21"/>
                <w:highlight w:val="none"/>
              </w:rPr>
            </w:pPr>
          </w:p>
        </w:tc>
      </w:tr>
    </w:tbl>
    <w:p w14:paraId="61A0132D">
      <w:pPr>
        <w:pStyle w:val="107"/>
        <w:shd w:val="clear" w:fill="FFFFFF" w:themeFill="background1"/>
        <w:rPr>
          <w:rFonts w:hAnsi="宋体" w:cs="宋体"/>
          <w:color w:val="auto"/>
          <w:szCs w:val="21"/>
          <w:highlight w:val="none"/>
        </w:rPr>
      </w:pPr>
      <w:r>
        <w:rPr>
          <w:rFonts w:hint="eastAsia" w:hAnsi="宋体" w:cs="宋体"/>
          <w:color w:val="auto"/>
          <w:highlight w:val="none"/>
        </w:rPr>
        <w:t>附：身份证件、职称证书、资格证书、劳动合同等复印件。</w:t>
      </w:r>
    </w:p>
    <w:p w14:paraId="7EEBA824">
      <w:pPr>
        <w:pStyle w:val="107"/>
        <w:shd w:val="clear" w:fill="FFFFFF" w:themeFill="background1"/>
        <w:jc w:val="center"/>
        <w:rPr>
          <w:rFonts w:hAnsi="宋体" w:cs="宋体"/>
          <w:b/>
          <w:color w:val="auto"/>
          <w:sz w:val="28"/>
          <w:szCs w:val="28"/>
          <w:highlight w:val="none"/>
        </w:rPr>
      </w:pPr>
    </w:p>
    <w:p w14:paraId="058C3FB2">
      <w:pPr>
        <w:pStyle w:val="107"/>
        <w:shd w:val="clear" w:fill="FFFFFF" w:themeFill="background1"/>
        <w:jc w:val="center"/>
        <w:rPr>
          <w:rFonts w:hAnsi="宋体" w:cs="宋体"/>
          <w:b/>
          <w:color w:val="auto"/>
          <w:sz w:val="28"/>
          <w:szCs w:val="28"/>
          <w:highlight w:val="none"/>
        </w:rPr>
      </w:pPr>
      <w:r>
        <w:rPr>
          <w:rFonts w:hint="eastAsia" w:hAnsi="宋体" w:cs="宋体"/>
          <w:b/>
          <w:color w:val="auto"/>
          <w:sz w:val="28"/>
          <w:szCs w:val="28"/>
          <w:highlight w:val="none"/>
        </w:rPr>
        <w:t>附表2：分包人投入设备表</w:t>
      </w:r>
    </w:p>
    <w:p w14:paraId="606F2A89">
      <w:pPr>
        <w:pStyle w:val="107"/>
        <w:shd w:val="clear" w:fill="FFFFFF" w:themeFill="background1"/>
        <w:rPr>
          <w:rFonts w:hAnsi="宋体" w:cs="宋体"/>
          <w:color w:val="auto"/>
          <w:highlight w:val="none"/>
        </w:rPr>
      </w:pPr>
      <w:r>
        <w:rPr>
          <w:rFonts w:hint="eastAsia" w:hAnsi="宋体" w:cs="宋体"/>
          <w:color w:val="auto"/>
          <w:highlight w:val="none"/>
        </w:rPr>
        <w:t>工程项目：                                   合同段：</w:t>
      </w:r>
    </w:p>
    <w:p w14:paraId="224DA723">
      <w:pPr>
        <w:pStyle w:val="107"/>
        <w:shd w:val="clear" w:fill="FFFFFF" w:themeFill="background1"/>
        <w:rPr>
          <w:rFonts w:hAnsi="宋体" w:cs="宋体"/>
          <w:b/>
          <w:bCs/>
          <w:color w:val="auto"/>
          <w:highlight w:val="none"/>
        </w:rPr>
      </w:pPr>
      <w:r>
        <w:rPr>
          <w:rFonts w:hint="eastAsia" w:hAnsi="宋体" w:cs="宋体"/>
          <w:color w:val="auto"/>
          <w:highlight w:val="none"/>
        </w:rPr>
        <w:t xml:space="preserve">分包专项工程：                               分包人：                 </w:t>
      </w:r>
    </w:p>
    <w:tbl>
      <w:tblPr>
        <w:tblStyle w:val="45"/>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90"/>
        <w:gridCol w:w="1080"/>
        <w:gridCol w:w="1080"/>
        <w:gridCol w:w="1080"/>
        <w:gridCol w:w="1440"/>
        <w:gridCol w:w="1440"/>
      </w:tblGrid>
      <w:tr w14:paraId="307A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0" w:type="dxa"/>
            <w:vAlign w:val="center"/>
          </w:tcPr>
          <w:p w14:paraId="1A17C169">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设备名称</w:t>
            </w:r>
          </w:p>
        </w:tc>
        <w:tc>
          <w:tcPr>
            <w:tcW w:w="1590" w:type="dxa"/>
            <w:vAlign w:val="center"/>
          </w:tcPr>
          <w:p w14:paraId="3FAAB856">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型号</w:t>
            </w:r>
          </w:p>
        </w:tc>
        <w:tc>
          <w:tcPr>
            <w:tcW w:w="1080" w:type="dxa"/>
            <w:vAlign w:val="center"/>
          </w:tcPr>
          <w:p w14:paraId="24584197">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性能</w:t>
            </w:r>
          </w:p>
        </w:tc>
        <w:tc>
          <w:tcPr>
            <w:tcW w:w="1080" w:type="dxa"/>
            <w:vAlign w:val="center"/>
          </w:tcPr>
          <w:p w14:paraId="2BCA8989">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数量</w:t>
            </w:r>
          </w:p>
        </w:tc>
        <w:tc>
          <w:tcPr>
            <w:tcW w:w="1080" w:type="dxa"/>
            <w:vAlign w:val="center"/>
          </w:tcPr>
          <w:p w14:paraId="1B66DBCE">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进场时间</w:t>
            </w:r>
          </w:p>
        </w:tc>
        <w:tc>
          <w:tcPr>
            <w:tcW w:w="1440" w:type="dxa"/>
            <w:vAlign w:val="center"/>
          </w:tcPr>
          <w:p w14:paraId="51AD750C">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承诺违约金（元/日）</w:t>
            </w:r>
          </w:p>
        </w:tc>
        <w:tc>
          <w:tcPr>
            <w:tcW w:w="1440" w:type="dxa"/>
            <w:vAlign w:val="center"/>
          </w:tcPr>
          <w:p w14:paraId="5F6C2C53">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备注</w:t>
            </w:r>
          </w:p>
        </w:tc>
      </w:tr>
      <w:tr w14:paraId="594F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50" w:type="dxa"/>
          </w:tcPr>
          <w:p w14:paraId="31D7F6E5">
            <w:pPr>
              <w:pStyle w:val="107"/>
              <w:shd w:val="clear" w:fill="FFFFFF" w:themeFill="background1"/>
              <w:jc w:val="center"/>
              <w:rPr>
                <w:rFonts w:hAnsi="宋体" w:cs="宋体"/>
                <w:color w:val="auto"/>
                <w:sz w:val="18"/>
                <w:highlight w:val="none"/>
              </w:rPr>
            </w:pPr>
          </w:p>
        </w:tc>
        <w:tc>
          <w:tcPr>
            <w:tcW w:w="1590" w:type="dxa"/>
          </w:tcPr>
          <w:p w14:paraId="04591478">
            <w:pPr>
              <w:pStyle w:val="107"/>
              <w:shd w:val="clear" w:fill="FFFFFF" w:themeFill="background1"/>
              <w:jc w:val="center"/>
              <w:rPr>
                <w:rFonts w:hAnsi="宋体" w:cs="宋体"/>
                <w:color w:val="auto"/>
                <w:sz w:val="18"/>
                <w:highlight w:val="none"/>
              </w:rPr>
            </w:pPr>
          </w:p>
        </w:tc>
        <w:tc>
          <w:tcPr>
            <w:tcW w:w="1080" w:type="dxa"/>
          </w:tcPr>
          <w:p w14:paraId="09E9B140">
            <w:pPr>
              <w:pStyle w:val="107"/>
              <w:shd w:val="clear" w:fill="FFFFFF" w:themeFill="background1"/>
              <w:jc w:val="center"/>
              <w:rPr>
                <w:rFonts w:hAnsi="宋体" w:cs="宋体"/>
                <w:color w:val="auto"/>
                <w:sz w:val="18"/>
                <w:highlight w:val="none"/>
              </w:rPr>
            </w:pPr>
          </w:p>
        </w:tc>
        <w:tc>
          <w:tcPr>
            <w:tcW w:w="1080" w:type="dxa"/>
          </w:tcPr>
          <w:p w14:paraId="7435DB91">
            <w:pPr>
              <w:pStyle w:val="107"/>
              <w:shd w:val="clear" w:fill="FFFFFF" w:themeFill="background1"/>
              <w:jc w:val="center"/>
              <w:rPr>
                <w:rFonts w:hAnsi="宋体" w:cs="宋体"/>
                <w:color w:val="auto"/>
                <w:sz w:val="18"/>
                <w:highlight w:val="none"/>
              </w:rPr>
            </w:pPr>
          </w:p>
        </w:tc>
        <w:tc>
          <w:tcPr>
            <w:tcW w:w="1080" w:type="dxa"/>
          </w:tcPr>
          <w:p w14:paraId="59A6BA64">
            <w:pPr>
              <w:pStyle w:val="107"/>
              <w:shd w:val="clear" w:fill="FFFFFF" w:themeFill="background1"/>
              <w:jc w:val="center"/>
              <w:rPr>
                <w:rFonts w:hAnsi="宋体" w:cs="宋体"/>
                <w:color w:val="auto"/>
                <w:sz w:val="18"/>
                <w:highlight w:val="none"/>
              </w:rPr>
            </w:pPr>
          </w:p>
        </w:tc>
        <w:tc>
          <w:tcPr>
            <w:tcW w:w="1440" w:type="dxa"/>
          </w:tcPr>
          <w:p w14:paraId="11CB566E">
            <w:pPr>
              <w:pStyle w:val="107"/>
              <w:shd w:val="clear" w:fill="FFFFFF" w:themeFill="background1"/>
              <w:jc w:val="center"/>
              <w:rPr>
                <w:rFonts w:hAnsi="宋体" w:cs="宋体"/>
                <w:color w:val="auto"/>
                <w:sz w:val="18"/>
                <w:highlight w:val="none"/>
              </w:rPr>
            </w:pPr>
          </w:p>
        </w:tc>
        <w:tc>
          <w:tcPr>
            <w:tcW w:w="1440" w:type="dxa"/>
          </w:tcPr>
          <w:p w14:paraId="6A17D2A4">
            <w:pPr>
              <w:pStyle w:val="107"/>
              <w:shd w:val="clear" w:fill="FFFFFF" w:themeFill="background1"/>
              <w:jc w:val="center"/>
              <w:rPr>
                <w:rFonts w:hAnsi="宋体" w:cs="宋体"/>
                <w:color w:val="auto"/>
                <w:sz w:val="18"/>
                <w:highlight w:val="none"/>
              </w:rPr>
            </w:pPr>
          </w:p>
        </w:tc>
      </w:tr>
      <w:tr w14:paraId="2C63E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50" w:type="dxa"/>
          </w:tcPr>
          <w:p w14:paraId="52FA13DB">
            <w:pPr>
              <w:pStyle w:val="107"/>
              <w:shd w:val="clear" w:fill="FFFFFF" w:themeFill="background1"/>
              <w:jc w:val="center"/>
              <w:rPr>
                <w:rFonts w:hAnsi="宋体" w:cs="宋体"/>
                <w:color w:val="auto"/>
                <w:sz w:val="18"/>
                <w:highlight w:val="none"/>
              </w:rPr>
            </w:pPr>
          </w:p>
        </w:tc>
        <w:tc>
          <w:tcPr>
            <w:tcW w:w="1590" w:type="dxa"/>
          </w:tcPr>
          <w:p w14:paraId="163797E0">
            <w:pPr>
              <w:pStyle w:val="107"/>
              <w:shd w:val="clear" w:fill="FFFFFF" w:themeFill="background1"/>
              <w:jc w:val="center"/>
              <w:rPr>
                <w:rFonts w:hAnsi="宋体" w:cs="宋体"/>
                <w:color w:val="auto"/>
                <w:sz w:val="18"/>
                <w:highlight w:val="none"/>
              </w:rPr>
            </w:pPr>
          </w:p>
        </w:tc>
        <w:tc>
          <w:tcPr>
            <w:tcW w:w="1080" w:type="dxa"/>
          </w:tcPr>
          <w:p w14:paraId="6A20C6F8">
            <w:pPr>
              <w:pStyle w:val="107"/>
              <w:shd w:val="clear" w:fill="FFFFFF" w:themeFill="background1"/>
              <w:jc w:val="center"/>
              <w:rPr>
                <w:rFonts w:hAnsi="宋体" w:cs="宋体"/>
                <w:color w:val="auto"/>
                <w:sz w:val="18"/>
                <w:highlight w:val="none"/>
              </w:rPr>
            </w:pPr>
          </w:p>
        </w:tc>
        <w:tc>
          <w:tcPr>
            <w:tcW w:w="1080" w:type="dxa"/>
          </w:tcPr>
          <w:p w14:paraId="363ABF3D">
            <w:pPr>
              <w:pStyle w:val="107"/>
              <w:shd w:val="clear" w:fill="FFFFFF" w:themeFill="background1"/>
              <w:jc w:val="center"/>
              <w:rPr>
                <w:rFonts w:hAnsi="宋体" w:cs="宋体"/>
                <w:color w:val="auto"/>
                <w:sz w:val="18"/>
                <w:highlight w:val="none"/>
              </w:rPr>
            </w:pPr>
          </w:p>
        </w:tc>
        <w:tc>
          <w:tcPr>
            <w:tcW w:w="1080" w:type="dxa"/>
          </w:tcPr>
          <w:p w14:paraId="40698C9D">
            <w:pPr>
              <w:pStyle w:val="107"/>
              <w:shd w:val="clear" w:fill="FFFFFF" w:themeFill="background1"/>
              <w:jc w:val="center"/>
              <w:rPr>
                <w:rFonts w:hAnsi="宋体" w:cs="宋体"/>
                <w:color w:val="auto"/>
                <w:sz w:val="18"/>
                <w:highlight w:val="none"/>
              </w:rPr>
            </w:pPr>
          </w:p>
        </w:tc>
        <w:tc>
          <w:tcPr>
            <w:tcW w:w="1440" w:type="dxa"/>
          </w:tcPr>
          <w:p w14:paraId="3B078643">
            <w:pPr>
              <w:pStyle w:val="107"/>
              <w:shd w:val="clear" w:fill="FFFFFF" w:themeFill="background1"/>
              <w:jc w:val="center"/>
              <w:rPr>
                <w:rFonts w:hAnsi="宋体" w:cs="宋体"/>
                <w:color w:val="auto"/>
                <w:sz w:val="18"/>
                <w:highlight w:val="none"/>
              </w:rPr>
            </w:pPr>
          </w:p>
        </w:tc>
        <w:tc>
          <w:tcPr>
            <w:tcW w:w="1440" w:type="dxa"/>
          </w:tcPr>
          <w:p w14:paraId="1D4C8A07">
            <w:pPr>
              <w:pStyle w:val="107"/>
              <w:shd w:val="clear" w:fill="FFFFFF" w:themeFill="background1"/>
              <w:jc w:val="center"/>
              <w:rPr>
                <w:rFonts w:hAnsi="宋体" w:cs="宋体"/>
                <w:color w:val="auto"/>
                <w:sz w:val="18"/>
                <w:highlight w:val="none"/>
              </w:rPr>
            </w:pPr>
          </w:p>
        </w:tc>
      </w:tr>
      <w:tr w14:paraId="11CA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650" w:type="dxa"/>
          </w:tcPr>
          <w:p w14:paraId="2DDCBC0D">
            <w:pPr>
              <w:pStyle w:val="107"/>
              <w:shd w:val="clear" w:fill="FFFFFF" w:themeFill="background1"/>
              <w:jc w:val="center"/>
              <w:rPr>
                <w:rFonts w:hAnsi="宋体" w:cs="宋体"/>
                <w:color w:val="auto"/>
                <w:sz w:val="18"/>
                <w:highlight w:val="none"/>
              </w:rPr>
            </w:pPr>
          </w:p>
        </w:tc>
        <w:tc>
          <w:tcPr>
            <w:tcW w:w="1590" w:type="dxa"/>
          </w:tcPr>
          <w:p w14:paraId="70CC1B37">
            <w:pPr>
              <w:pStyle w:val="107"/>
              <w:shd w:val="clear" w:fill="FFFFFF" w:themeFill="background1"/>
              <w:jc w:val="center"/>
              <w:rPr>
                <w:rFonts w:hAnsi="宋体" w:cs="宋体"/>
                <w:color w:val="auto"/>
                <w:sz w:val="18"/>
                <w:highlight w:val="none"/>
              </w:rPr>
            </w:pPr>
          </w:p>
        </w:tc>
        <w:tc>
          <w:tcPr>
            <w:tcW w:w="1080" w:type="dxa"/>
          </w:tcPr>
          <w:p w14:paraId="068779B2">
            <w:pPr>
              <w:pStyle w:val="107"/>
              <w:shd w:val="clear" w:fill="FFFFFF" w:themeFill="background1"/>
              <w:jc w:val="center"/>
              <w:rPr>
                <w:rFonts w:hAnsi="宋体" w:cs="宋体"/>
                <w:color w:val="auto"/>
                <w:sz w:val="18"/>
                <w:highlight w:val="none"/>
              </w:rPr>
            </w:pPr>
          </w:p>
        </w:tc>
        <w:tc>
          <w:tcPr>
            <w:tcW w:w="1080" w:type="dxa"/>
          </w:tcPr>
          <w:p w14:paraId="1E5B71C2">
            <w:pPr>
              <w:pStyle w:val="107"/>
              <w:shd w:val="clear" w:fill="FFFFFF" w:themeFill="background1"/>
              <w:jc w:val="center"/>
              <w:rPr>
                <w:rFonts w:hAnsi="宋体" w:cs="宋体"/>
                <w:color w:val="auto"/>
                <w:sz w:val="18"/>
                <w:highlight w:val="none"/>
              </w:rPr>
            </w:pPr>
          </w:p>
        </w:tc>
        <w:tc>
          <w:tcPr>
            <w:tcW w:w="1080" w:type="dxa"/>
          </w:tcPr>
          <w:p w14:paraId="1D3595B5">
            <w:pPr>
              <w:pStyle w:val="107"/>
              <w:shd w:val="clear" w:fill="FFFFFF" w:themeFill="background1"/>
              <w:jc w:val="center"/>
              <w:rPr>
                <w:rFonts w:hAnsi="宋体" w:cs="宋体"/>
                <w:color w:val="auto"/>
                <w:sz w:val="18"/>
                <w:highlight w:val="none"/>
              </w:rPr>
            </w:pPr>
          </w:p>
        </w:tc>
        <w:tc>
          <w:tcPr>
            <w:tcW w:w="1440" w:type="dxa"/>
          </w:tcPr>
          <w:p w14:paraId="4836A6C6">
            <w:pPr>
              <w:pStyle w:val="107"/>
              <w:shd w:val="clear" w:fill="FFFFFF" w:themeFill="background1"/>
              <w:jc w:val="center"/>
              <w:rPr>
                <w:rFonts w:hAnsi="宋体" w:cs="宋体"/>
                <w:color w:val="auto"/>
                <w:sz w:val="18"/>
                <w:highlight w:val="none"/>
              </w:rPr>
            </w:pPr>
          </w:p>
        </w:tc>
        <w:tc>
          <w:tcPr>
            <w:tcW w:w="1440" w:type="dxa"/>
          </w:tcPr>
          <w:p w14:paraId="0A2E1D76">
            <w:pPr>
              <w:pStyle w:val="107"/>
              <w:shd w:val="clear" w:fill="FFFFFF" w:themeFill="background1"/>
              <w:jc w:val="center"/>
              <w:rPr>
                <w:rFonts w:hAnsi="宋体" w:cs="宋体"/>
                <w:color w:val="auto"/>
                <w:sz w:val="18"/>
                <w:highlight w:val="none"/>
              </w:rPr>
            </w:pPr>
          </w:p>
        </w:tc>
      </w:tr>
    </w:tbl>
    <w:p w14:paraId="56723E21">
      <w:pPr>
        <w:pStyle w:val="107"/>
        <w:shd w:val="clear" w:fill="FFFFFF" w:themeFill="background1"/>
        <w:rPr>
          <w:rFonts w:hAnsi="宋体" w:cs="宋体"/>
          <w:color w:val="auto"/>
          <w:szCs w:val="21"/>
          <w:highlight w:val="none"/>
        </w:rPr>
      </w:pPr>
    </w:p>
    <w:p w14:paraId="2FA1E389">
      <w:pPr>
        <w:pStyle w:val="107"/>
        <w:shd w:val="clear" w:fill="FFFFFF" w:themeFill="background1"/>
        <w:jc w:val="center"/>
        <w:rPr>
          <w:rFonts w:hAnsi="宋体" w:cs="宋体"/>
          <w:color w:val="auto"/>
          <w:sz w:val="28"/>
          <w:szCs w:val="28"/>
          <w:highlight w:val="none"/>
        </w:rPr>
      </w:pPr>
      <w:r>
        <w:rPr>
          <w:rFonts w:hint="eastAsia" w:hAnsi="宋体" w:cs="宋体"/>
          <w:b/>
          <w:color w:val="auto"/>
          <w:sz w:val="28"/>
          <w:szCs w:val="28"/>
          <w:highlight w:val="none"/>
        </w:rPr>
        <w:t>附表3：分包专项工程工程量清单</w:t>
      </w:r>
    </w:p>
    <w:p w14:paraId="0BB47311">
      <w:pPr>
        <w:pStyle w:val="107"/>
        <w:shd w:val="clear" w:fill="FFFFFF" w:themeFill="background1"/>
        <w:rPr>
          <w:rFonts w:hAnsi="宋体" w:cs="宋体"/>
          <w:color w:val="auto"/>
          <w:highlight w:val="none"/>
        </w:rPr>
      </w:pPr>
      <w:r>
        <w:rPr>
          <w:rFonts w:hint="eastAsia" w:hAnsi="宋体" w:cs="宋体"/>
          <w:color w:val="auto"/>
          <w:highlight w:val="none"/>
        </w:rPr>
        <w:t>工程项目：                                   合同段：</w:t>
      </w:r>
    </w:p>
    <w:p w14:paraId="5259216B">
      <w:pPr>
        <w:pStyle w:val="107"/>
        <w:shd w:val="clear" w:fill="FFFFFF" w:themeFill="background1"/>
        <w:rPr>
          <w:rFonts w:hAnsi="宋体" w:cs="宋体"/>
          <w:b/>
          <w:bCs/>
          <w:color w:val="auto"/>
          <w:highlight w:val="none"/>
        </w:rPr>
      </w:pPr>
      <w:r>
        <w:rPr>
          <w:rFonts w:hint="eastAsia" w:hAnsi="宋体" w:cs="宋体"/>
          <w:color w:val="auto"/>
          <w:highlight w:val="none"/>
        </w:rPr>
        <w:t xml:space="preserve">分包专项工程：                               分包人：                 </w:t>
      </w:r>
    </w:p>
    <w:tbl>
      <w:tblPr>
        <w:tblStyle w:val="4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752"/>
        <w:gridCol w:w="1122"/>
        <w:gridCol w:w="1122"/>
        <w:gridCol w:w="1140"/>
        <w:gridCol w:w="1140"/>
        <w:gridCol w:w="1123"/>
      </w:tblGrid>
      <w:tr w14:paraId="3C65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vAlign w:val="center"/>
          </w:tcPr>
          <w:p w14:paraId="01DBC20C">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清单编号</w:t>
            </w:r>
          </w:p>
        </w:tc>
        <w:tc>
          <w:tcPr>
            <w:tcW w:w="1752" w:type="dxa"/>
            <w:vAlign w:val="center"/>
          </w:tcPr>
          <w:p w14:paraId="427FD799">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工程名称</w:t>
            </w:r>
          </w:p>
        </w:tc>
        <w:tc>
          <w:tcPr>
            <w:tcW w:w="1122" w:type="dxa"/>
            <w:vAlign w:val="center"/>
          </w:tcPr>
          <w:p w14:paraId="2E5E6F69">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单位</w:t>
            </w:r>
          </w:p>
        </w:tc>
        <w:tc>
          <w:tcPr>
            <w:tcW w:w="1122" w:type="dxa"/>
            <w:vAlign w:val="center"/>
          </w:tcPr>
          <w:p w14:paraId="0BEC2596">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数量</w:t>
            </w:r>
          </w:p>
        </w:tc>
        <w:tc>
          <w:tcPr>
            <w:tcW w:w="1140" w:type="dxa"/>
            <w:vAlign w:val="center"/>
          </w:tcPr>
          <w:p w14:paraId="7E8B110D">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单价</w:t>
            </w:r>
          </w:p>
          <w:p w14:paraId="2DB0161E">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(元)</w:t>
            </w:r>
          </w:p>
        </w:tc>
        <w:tc>
          <w:tcPr>
            <w:tcW w:w="1140" w:type="dxa"/>
            <w:vAlign w:val="center"/>
          </w:tcPr>
          <w:p w14:paraId="35A567DE">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金额</w:t>
            </w:r>
          </w:p>
          <w:p w14:paraId="7E474E90">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(元)</w:t>
            </w:r>
          </w:p>
        </w:tc>
        <w:tc>
          <w:tcPr>
            <w:tcW w:w="1123" w:type="dxa"/>
            <w:vAlign w:val="center"/>
          </w:tcPr>
          <w:p w14:paraId="5BBA95F1">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预定工期</w:t>
            </w:r>
          </w:p>
        </w:tc>
      </w:tr>
      <w:tr w14:paraId="4352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76BF0F98">
            <w:pPr>
              <w:pStyle w:val="107"/>
              <w:shd w:val="clear" w:fill="FFFFFF" w:themeFill="background1"/>
              <w:rPr>
                <w:rFonts w:hAnsi="宋体" w:cs="宋体"/>
                <w:b/>
                <w:color w:val="auto"/>
                <w:sz w:val="28"/>
                <w:szCs w:val="28"/>
                <w:highlight w:val="none"/>
              </w:rPr>
            </w:pPr>
          </w:p>
        </w:tc>
        <w:tc>
          <w:tcPr>
            <w:tcW w:w="1752" w:type="dxa"/>
          </w:tcPr>
          <w:p w14:paraId="58E9C9FC">
            <w:pPr>
              <w:pStyle w:val="107"/>
              <w:shd w:val="clear" w:fill="FFFFFF" w:themeFill="background1"/>
              <w:rPr>
                <w:rFonts w:hAnsi="宋体" w:cs="宋体"/>
                <w:b/>
                <w:color w:val="auto"/>
                <w:sz w:val="28"/>
                <w:szCs w:val="28"/>
                <w:highlight w:val="none"/>
              </w:rPr>
            </w:pPr>
          </w:p>
        </w:tc>
        <w:tc>
          <w:tcPr>
            <w:tcW w:w="1122" w:type="dxa"/>
          </w:tcPr>
          <w:p w14:paraId="3EC9E279">
            <w:pPr>
              <w:pStyle w:val="107"/>
              <w:shd w:val="clear" w:fill="FFFFFF" w:themeFill="background1"/>
              <w:rPr>
                <w:rFonts w:hAnsi="宋体" w:cs="宋体"/>
                <w:b/>
                <w:color w:val="auto"/>
                <w:sz w:val="28"/>
                <w:szCs w:val="28"/>
                <w:highlight w:val="none"/>
              </w:rPr>
            </w:pPr>
          </w:p>
        </w:tc>
        <w:tc>
          <w:tcPr>
            <w:tcW w:w="1122" w:type="dxa"/>
          </w:tcPr>
          <w:p w14:paraId="299141E4">
            <w:pPr>
              <w:pStyle w:val="107"/>
              <w:shd w:val="clear" w:fill="FFFFFF" w:themeFill="background1"/>
              <w:rPr>
                <w:rFonts w:hAnsi="宋体" w:cs="宋体"/>
                <w:b/>
                <w:color w:val="auto"/>
                <w:sz w:val="28"/>
                <w:szCs w:val="28"/>
                <w:highlight w:val="none"/>
              </w:rPr>
            </w:pPr>
          </w:p>
        </w:tc>
        <w:tc>
          <w:tcPr>
            <w:tcW w:w="1140" w:type="dxa"/>
          </w:tcPr>
          <w:p w14:paraId="0E7E7CCB">
            <w:pPr>
              <w:pStyle w:val="107"/>
              <w:shd w:val="clear" w:fill="FFFFFF" w:themeFill="background1"/>
              <w:rPr>
                <w:rFonts w:hAnsi="宋体" w:cs="宋体"/>
                <w:b/>
                <w:color w:val="auto"/>
                <w:sz w:val="28"/>
                <w:szCs w:val="28"/>
                <w:highlight w:val="none"/>
              </w:rPr>
            </w:pPr>
          </w:p>
        </w:tc>
        <w:tc>
          <w:tcPr>
            <w:tcW w:w="1140" w:type="dxa"/>
          </w:tcPr>
          <w:p w14:paraId="744327B9">
            <w:pPr>
              <w:pStyle w:val="107"/>
              <w:shd w:val="clear" w:fill="FFFFFF" w:themeFill="background1"/>
              <w:rPr>
                <w:rFonts w:hAnsi="宋体" w:cs="宋体"/>
                <w:b/>
                <w:color w:val="auto"/>
                <w:sz w:val="28"/>
                <w:szCs w:val="28"/>
                <w:highlight w:val="none"/>
              </w:rPr>
            </w:pPr>
          </w:p>
        </w:tc>
        <w:tc>
          <w:tcPr>
            <w:tcW w:w="1123" w:type="dxa"/>
          </w:tcPr>
          <w:p w14:paraId="371FEC8C">
            <w:pPr>
              <w:pStyle w:val="107"/>
              <w:shd w:val="clear" w:fill="FFFFFF" w:themeFill="background1"/>
              <w:rPr>
                <w:rFonts w:hAnsi="宋体" w:cs="宋体"/>
                <w:b/>
                <w:color w:val="auto"/>
                <w:sz w:val="28"/>
                <w:szCs w:val="28"/>
                <w:highlight w:val="none"/>
              </w:rPr>
            </w:pPr>
          </w:p>
        </w:tc>
      </w:tr>
      <w:tr w14:paraId="251F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71F9631A">
            <w:pPr>
              <w:pStyle w:val="107"/>
              <w:shd w:val="clear" w:fill="FFFFFF" w:themeFill="background1"/>
              <w:rPr>
                <w:rFonts w:hAnsi="宋体" w:cs="宋体"/>
                <w:b/>
                <w:color w:val="auto"/>
                <w:sz w:val="28"/>
                <w:szCs w:val="28"/>
                <w:highlight w:val="none"/>
              </w:rPr>
            </w:pPr>
          </w:p>
        </w:tc>
        <w:tc>
          <w:tcPr>
            <w:tcW w:w="1752" w:type="dxa"/>
          </w:tcPr>
          <w:p w14:paraId="3CC582A8">
            <w:pPr>
              <w:pStyle w:val="107"/>
              <w:shd w:val="clear" w:fill="FFFFFF" w:themeFill="background1"/>
              <w:rPr>
                <w:rFonts w:hAnsi="宋体" w:cs="宋体"/>
                <w:b/>
                <w:color w:val="auto"/>
                <w:sz w:val="28"/>
                <w:szCs w:val="28"/>
                <w:highlight w:val="none"/>
              </w:rPr>
            </w:pPr>
          </w:p>
        </w:tc>
        <w:tc>
          <w:tcPr>
            <w:tcW w:w="1122" w:type="dxa"/>
          </w:tcPr>
          <w:p w14:paraId="2E5D6AB8">
            <w:pPr>
              <w:pStyle w:val="107"/>
              <w:shd w:val="clear" w:fill="FFFFFF" w:themeFill="background1"/>
              <w:rPr>
                <w:rFonts w:hAnsi="宋体" w:cs="宋体"/>
                <w:b/>
                <w:color w:val="auto"/>
                <w:sz w:val="28"/>
                <w:szCs w:val="28"/>
                <w:highlight w:val="none"/>
              </w:rPr>
            </w:pPr>
          </w:p>
        </w:tc>
        <w:tc>
          <w:tcPr>
            <w:tcW w:w="1122" w:type="dxa"/>
          </w:tcPr>
          <w:p w14:paraId="22B83BC4">
            <w:pPr>
              <w:pStyle w:val="107"/>
              <w:shd w:val="clear" w:fill="FFFFFF" w:themeFill="background1"/>
              <w:rPr>
                <w:rFonts w:hAnsi="宋体" w:cs="宋体"/>
                <w:b/>
                <w:color w:val="auto"/>
                <w:sz w:val="28"/>
                <w:szCs w:val="28"/>
                <w:highlight w:val="none"/>
              </w:rPr>
            </w:pPr>
          </w:p>
        </w:tc>
        <w:tc>
          <w:tcPr>
            <w:tcW w:w="1140" w:type="dxa"/>
          </w:tcPr>
          <w:p w14:paraId="45E93072">
            <w:pPr>
              <w:pStyle w:val="107"/>
              <w:shd w:val="clear" w:fill="FFFFFF" w:themeFill="background1"/>
              <w:rPr>
                <w:rFonts w:hAnsi="宋体" w:cs="宋体"/>
                <w:b/>
                <w:color w:val="auto"/>
                <w:sz w:val="28"/>
                <w:szCs w:val="28"/>
                <w:highlight w:val="none"/>
              </w:rPr>
            </w:pPr>
          </w:p>
        </w:tc>
        <w:tc>
          <w:tcPr>
            <w:tcW w:w="1140" w:type="dxa"/>
          </w:tcPr>
          <w:p w14:paraId="1927BE90">
            <w:pPr>
              <w:pStyle w:val="107"/>
              <w:shd w:val="clear" w:fill="FFFFFF" w:themeFill="background1"/>
              <w:rPr>
                <w:rFonts w:hAnsi="宋体" w:cs="宋体"/>
                <w:b/>
                <w:color w:val="auto"/>
                <w:sz w:val="28"/>
                <w:szCs w:val="28"/>
                <w:highlight w:val="none"/>
              </w:rPr>
            </w:pPr>
          </w:p>
        </w:tc>
        <w:tc>
          <w:tcPr>
            <w:tcW w:w="1123" w:type="dxa"/>
          </w:tcPr>
          <w:p w14:paraId="2D876A48">
            <w:pPr>
              <w:pStyle w:val="107"/>
              <w:shd w:val="clear" w:fill="FFFFFF" w:themeFill="background1"/>
              <w:rPr>
                <w:rFonts w:hAnsi="宋体" w:cs="宋体"/>
                <w:b/>
                <w:color w:val="auto"/>
                <w:sz w:val="28"/>
                <w:szCs w:val="28"/>
                <w:highlight w:val="none"/>
              </w:rPr>
            </w:pPr>
          </w:p>
        </w:tc>
      </w:tr>
      <w:tr w14:paraId="7706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0A4BD7BE">
            <w:pPr>
              <w:pStyle w:val="107"/>
              <w:shd w:val="clear" w:fill="FFFFFF" w:themeFill="background1"/>
              <w:rPr>
                <w:rFonts w:hAnsi="宋体" w:cs="宋体"/>
                <w:b/>
                <w:color w:val="auto"/>
                <w:sz w:val="28"/>
                <w:szCs w:val="28"/>
                <w:highlight w:val="none"/>
              </w:rPr>
            </w:pPr>
          </w:p>
        </w:tc>
        <w:tc>
          <w:tcPr>
            <w:tcW w:w="1752" w:type="dxa"/>
          </w:tcPr>
          <w:p w14:paraId="11CDF9FE">
            <w:pPr>
              <w:pStyle w:val="107"/>
              <w:shd w:val="clear" w:fill="FFFFFF" w:themeFill="background1"/>
              <w:rPr>
                <w:rFonts w:hAnsi="宋体" w:cs="宋体"/>
                <w:b/>
                <w:color w:val="auto"/>
                <w:sz w:val="28"/>
                <w:szCs w:val="28"/>
                <w:highlight w:val="none"/>
              </w:rPr>
            </w:pPr>
          </w:p>
        </w:tc>
        <w:tc>
          <w:tcPr>
            <w:tcW w:w="1122" w:type="dxa"/>
          </w:tcPr>
          <w:p w14:paraId="4A06BBD3">
            <w:pPr>
              <w:pStyle w:val="107"/>
              <w:shd w:val="clear" w:fill="FFFFFF" w:themeFill="background1"/>
              <w:rPr>
                <w:rFonts w:hAnsi="宋体" w:cs="宋体"/>
                <w:b/>
                <w:color w:val="auto"/>
                <w:sz w:val="28"/>
                <w:szCs w:val="28"/>
                <w:highlight w:val="none"/>
              </w:rPr>
            </w:pPr>
          </w:p>
        </w:tc>
        <w:tc>
          <w:tcPr>
            <w:tcW w:w="1122" w:type="dxa"/>
          </w:tcPr>
          <w:p w14:paraId="7DCD191D">
            <w:pPr>
              <w:pStyle w:val="107"/>
              <w:shd w:val="clear" w:fill="FFFFFF" w:themeFill="background1"/>
              <w:rPr>
                <w:rFonts w:hAnsi="宋体" w:cs="宋体"/>
                <w:b/>
                <w:color w:val="auto"/>
                <w:sz w:val="28"/>
                <w:szCs w:val="28"/>
                <w:highlight w:val="none"/>
              </w:rPr>
            </w:pPr>
          </w:p>
        </w:tc>
        <w:tc>
          <w:tcPr>
            <w:tcW w:w="1140" w:type="dxa"/>
          </w:tcPr>
          <w:p w14:paraId="0445E29E">
            <w:pPr>
              <w:pStyle w:val="107"/>
              <w:shd w:val="clear" w:fill="FFFFFF" w:themeFill="background1"/>
              <w:rPr>
                <w:rFonts w:hAnsi="宋体" w:cs="宋体"/>
                <w:b/>
                <w:color w:val="auto"/>
                <w:sz w:val="28"/>
                <w:szCs w:val="28"/>
                <w:highlight w:val="none"/>
              </w:rPr>
            </w:pPr>
          </w:p>
        </w:tc>
        <w:tc>
          <w:tcPr>
            <w:tcW w:w="1140" w:type="dxa"/>
          </w:tcPr>
          <w:p w14:paraId="592E4402">
            <w:pPr>
              <w:pStyle w:val="107"/>
              <w:shd w:val="clear" w:fill="FFFFFF" w:themeFill="background1"/>
              <w:rPr>
                <w:rFonts w:hAnsi="宋体" w:cs="宋体"/>
                <w:b/>
                <w:color w:val="auto"/>
                <w:sz w:val="28"/>
                <w:szCs w:val="28"/>
                <w:highlight w:val="none"/>
              </w:rPr>
            </w:pPr>
          </w:p>
        </w:tc>
        <w:tc>
          <w:tcPr>
            <w:tcW w:w="1123" w:type="dxa"/>
          </w:tcPr>
          <w:p w14:paraId="04CD9EFE">
            <w:pPr>
              <w:pStyle w:val="107"/>
              <w:shd w:val="clear" w:fill="FFFFFF" w:themeFill="background1"/>
              <w:rPr>
                <w:rFonts w:hAnsi="宋体" w:cs="宋体"/>
                <w:b/>
                <w:color w:val="auto"/>
                <w:sz w:val="28"/>
                <w:szCs w:val="28"/>
                <w:highlight w:val="none"/>
              </w:rPr>
            </w:pPr>
          </w:p>
        </w:tc>
      </w:tr>
    </w:tbl>
    <w:p w14:paraId="789BA4E8">
      <w:pPr>
        <w:pStyle w:val="107"/>
        <w:shd w:val="clear" w:fill="FFFFFF" w:themeFill="background1"/>
        <w:rPr>
          <w:rFonts w:hAnsi="宋体" w:cs="宋体"/>
          <w:b/>
          <w:color w:val="auto"/>
          <w:sz w:val="28"/>
          <w:szCs w:val="28"/>
          <w:highlight w:val="none"/>
        </w:rPr>
      </w:pPr>
    </w:p>
    <w:p w14:paraId="5BAF5E63">
      <w:pPr>
        <w:pStyle w:val="107"/>
        <w:shd w:val="clear" w:fill="FFFFFF" w:themeFill="background1"/>
        <w:jc w:val="center"/>
        <w:rPr>
          <w:rFonts w:hAnsi="宋体" w:cs="宋体"/>
          <w:b/>
          <w:color w:val="auto"/>
          <w:sz w:val="28"/>
          <w:szCs w:val="28"/>
          <w:highlight w:val="none"/>
        </w:rPr>
      </w:pPr>
      <w:r>
        <w:rPr>
          <w:rFonts w:hint="eastAsia" w:hAnsi="宋体" w:cs="宋体"/>
          <w:b/>
          <w:color w:val="auto"/>
          <w:sz w:val="28"/>
          <w:szCs w:val="28"/>
          <w:highlight w:val="none"/>
        </w:rPr>
        <w:t>附表4：承包人供应材料清单</w:t>
      </w:r>
    </w:p>
    <w:p w14:paraId="24D09E26">
      <w:pPr>
        <w:pStyle w:val="107"/>
        <w:shd w:val="clear" w:fill="FFFFFF" w:themeFill="background1"/>
        <w:rPr>
          <w:rFonts w:hAnsi="宋体" w:cs="宋体"/>
          <w:color w:val="auto"/>
          <w:highlight w:val="none"/>
        </w:rPr>
      </w:pPr>
      <w:r>
        <w:rPr>
          <w:rFonts w:hint="eastAsia" w:hAnsi="宋体" w:cs="宋体"/>
          <w:color w:val="auto"/>
          <w:highlight w:val="none"/>
        </w:rPr>
        <w:t>工程项目：                                   合同段：</w:t>
      </w:r>
    </w:p>
    <w:p w14:paraId="009B194E">
      <w:pPr>
        <w:pStyle w:val="107"/>
        <w:shd w:val="clear" w:fill="FFFFFF" w:themeFill="background1"/>
        <w:rPr>
          <w:rFonts w:hAnsi="宋体" w:cs="宋体"/>
          <w:b/>
          <w:bCs/>
          <w:color w:val="auto"/>
          <w:highlight w:val="none"/>
        </w:rPr>
      </w:pPr>
      <w:r>
        <w:rPr>
          <w:rFonts w:hint="eastAsia" w:hAnsi="宋体" w:cs="宋体"/>
          <w:color w:val="auto"/>
          <w:highlight w:val="none"/>
        </w:rPr>
        <w:t xml:space="preserve">分包专项工程：                               分包人：                 </w:t>
      </w:r>
    </w:p>
    <w:tbl>
      <w:tblPr>
        <w:tblStyle w:val="4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1493"/>
        <w:gridCol w:w="1004"/>
        <w:gridCol w:w="1004"/>
        <w:gridCol w:w="1004"/>
        <w:gridCol w:w="1004"/>
        <w:gridCol w:w="1005"/>
        <w:gridCol w:w="1005"/>
      </w:tblGrid>
      <w:tr w14:paraId="72ED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vAlign w:val="center"/>
          </w:tcPr>
          <w:p w14:paraId="0F26D2A3">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序号</w:t>
            </w:r>
          </w:p>
        </w:tc>
        <w:tc>
          <w:tcPr>
            <w:tcW w:w="1493" w:type="dxa"/>
            <w:vAlign w:val="center"/>
          </w:tcPr>
          <w:p w14:paraId="1E80E826">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材料品种</w:t>
            </w:r>
          </w:p>
        </w:tc>
        <w:tc>
          <w:tcPr>
            <w:tcW w:w="1004" w:type="dxa"/>
            <w:vAlign w:val="center"/>
          </w:tcPr>
          <w:p w14:paraId="3AAFE71E">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规格</w:t>
            </w:r>
          </w:p>
        </w:tc>
        <w:tc>
          <w:tcPr>
            <w:tcW w:w="1004" w:type="dxa"/>
            <w:vAlign w:val="center"/>
          </w:tcPr>
          <w:p w14:paraId="73771ED7">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单位</w:t>
            </w:r>
          </w:p>
        </w:tc>
        <w:tc>
          <w:tcPr>
            <w:tcW w:w="1004" w:type="dxa"/>
            <w:vAlign w:val="center"/>
          </w:tcPr>
          <w:p w14:paraId="668EDA81">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数量</w:t>
            </w:r>
          </w:p>
        </w:tc>
        <w:tc>
          <w:tcPr>
            <w:tcW w:w="1004" w:type="dxa"/>
          </w:tcPr>
          <w:p w14:paraId="57827FBD">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结算</w:t>
            </w:r>
          </w:p>
          <w:p w14:paraId="38680274">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单价</w:t>
            </w:r>
          </w:p>
        </w:tc>
        <w:tc>
          <w:tcPr>
            <w:tcW w:w="1005" w:type="dxa"/>
          </w:tcPr>
          <w:p w14:paraId="39C55033">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交货</w:t>
            </w:r>
          </w:p>
          <w:p w14:paraId="4316557F">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时间</w:t>
            </w:r>
          </w:p>
        </w:tc>
        <w:tc>
          <w:tcPr>
            <w:tcW w:w="1005" w:type="dxa"/>
          </w:tcPr>
          <w:p w14:paraId="4195A92A">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交货</w:t>
            </w:r>
          </w:p>
          <w:p w14:paraId="14705327">
            <w:pPr>
              <w:pStyle w:val="107"/>
              <w:shd w:val="clear" w:fill="FFFFFF" w:themeFill="background1"/>
              <w:jc w:val="center"/>
              <w:rPr>
                <w:rFonts w:hAnsi="宋体" w:cs="宋体"/>
                <w:color w:val="auto"/>
                <w:szCs w:val="21"/>
                <w:highlight w:val="none"/>
              </w:rPr>
            </w:pPr>
            <w:r>
              <w:rPr>
                <w:rFonts w:hint="eastAsia" w:hAnsi="宋体" w:cs="宋体"/>
                <w:color w:val="auto"/>
                <w:szCs w:val="21"/>
                <w:highlight w:val="none"/>
              </w:rPr>
              <w:t>地点</w:t>
            </w:r>
          </w:p>
        </w:tc>
      </w:tr>
      <w:tr w14:paraId="659E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0F5EBDA0">
            <w:pPr>
              <w:pStyle w:val="107"/>
              <w:shd w:val="clear" w:fill="FFFFFF" w:themeFill="background1"/>
              <w:rPr>
                <w:rFonts w:hAnsi="宋体" w:cs="宋体"/>
                <w:b/>
                <w:color w:val="auto"/>
                <w:sz w:val="28"/>
                <w:szCs w:val="28"/>
                <w:highlight w:val="none"/>
              </w:rPr>
            </w:pPr>
          </w:p>
        </w:tc>
        <w:tc>
          <w:tcPr>
            <w:tcW w:w="1493" w:type="dxa"/>
          </w:tcPr>
          <w:p w14:paraId="6EEA8B7E">
            <w:pPr>
              <w:pStyle w:val="107"/>
              <w:shd w:val="clear" w:fill="FFFFFF" w:themeFill="background1"/>
              <w:rPr>
                <w:rFonts w:hAnsi="宋体" w:cs="宋体"/>
                <w:b/>
                <w:color w:val="auto"/>
                <w:sz w:val="28"/>
                <w:szCs w:val="28"/>
                <w:highlight w:val="none"/>
              </w:rPr>
            </w:pPr>
          </w:p>
        </w:tc>
        <w:tc>
          <w:tcPr>
            <w:tcW w:w="1004" w:type="dxa"/>
          </w:tcPr>
          <w:p w14:paraId="56FA1874">
            <w:pPr>
              <w:pStyle w:val="107"/>
              <w:shd w:val="clear" w:fill="FFFFFF" w:themeFill="background1"/>
              <w:rPr>
                <w:rFonts w:hAnsi="宋体" w:cs="宋体"/>
                <w:b/>
                <w:color w:val="auto"/>
                <w:sz w:val="28"/>
                <w:szCs w:val="28"/>
                <w:highlight w:val="none"/>
              </w:rPr>
            </w:pPr>
          </w:p>
        </w:tc>
        <w:tc>
          <w:tcPr>
            <w:tcW w:w="1004" w:type="dxa"/>
          </w:tcPr>
          <w:p w14:paraId="6CC392D5">
            <w:pPr>
              <w:pStyle w:val="107"/>
              <w:shd w:val="clear" w:fill="FFFFFF" w:themeFill="background1"/>
              <w:rPr>
                <w:rFonts w:hAnsi="宋体" w:cs="宋体"/>
                <w:b/>
                <w:color w:val="auto"/>
                <w:sz w:val="28"/>
                <w:szCs w:val="28"/>
                <w:highlight w:val="none"/>
              </w:rPr>
            </w:pPr>
          </w:p>
        </w:tc>
        <w:tc>
          <w:tcPr>
            <w:tcW w:w="1004" w:type="dxa"/>
          </w:tcPr>
          <w:p w14:paraId="5D09CD57">
            <w:pPr>
              <w:pStyle w:val="107"/>
              <w:shd w:val="clear" w:fill="FFFFFF" w:themeFill="background1"/>
              <w:rPr>
                <w:rFonts w:hAnsi="宋体" w:cs="宋体"/>
                <w:b/>
                <w:color w:val="auto"/>
                <w:sz w:val="28"/>
                <w:szCs w:val="28"/>
                <w:highlight w:val="none"/>
              </w:rPr>
            </w:pPr>
          </w:p>
        </w:tc>
        <w:tc>
          <w:tcPr>
            <w:tcW w:w="1004" w:type="dxa"/>
          </w:tcPr>
          <w:p w14:paraId="215FAA70">
            <w:pPr>
              <w:pStyle w:val="107"/>
              <w:shd w:val="clear" w:fill="FFFFFF" w:themeFill="background1"/>
              <w:rPr>
                <w:rFonts w:hAnsi="宋体" w:cs="宋体"/>
                <w:b/>
                <w:color w:val="auto"/>
                <w:sz w:val="28"/>
                <w:szCs w:val="28"/>
                <w:highlight w:val="none"/>
              </w:rPr>
            </w:pPr>
          </w:p>
        </w:tc>
        <w:tc>
          <w:tcPr>
            <w:tcW w:w="1005" w:type="dxa"/>
          </w:tcPr>
          <w:p w14:paraId="25275E6B">
            <w:pPr>
              <w:pStyle w:val="107"/>
              <w:shd w:val="clear" w:fill="FFFFFF" w:themeFill="background1"/>
              <w:rPr>
                <w:rFonts w:hAnsi="宋体" w:cs="宋体"/>
                <w:b/>
                <w:color w:val="auto"/>
                <w:sz w:val="28"/>
                <w:szCs w:val="28"/>
                <w:highlight w:val="none"/>
              </w:rPr>
            </w:pPr>
          </w:p>
        </w:tc>
        <w:tc>
          <w:tcPr>
            <w:tcW w:w="1005" w:type="dxa"/>
          </w:tcPr>
          <w:p w14:paraId="244F2736">
            <w:pPr>
              <w:pStyle w:val="107"/>
              <w:shd w:val="clear" w:fill="FFFFFF" w:themeFill="background1"/>
              <w:rPr>
                <w:rFonts w:hAnsi="宋体" w:cs="宋体"/>
                <w:b/>
                <w:color w:val="auto"/>
                <w:sz w:val="28"/>
                <w:szCs w:val="28"/>
                <w:highlight w:val="none"/>
              </w:rPr>
            </w:pPr>
          </w:p>
        </w:tc>
      </w:tr>
      <w:tr w14:paraId="35E9E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38B73FFF">
            <w:pPr>
              <w:pStyle w:val="107"/>
              <w:shd w:val="clear" w:fill="FFFFFF" w:themeFill="background1"/>
              <w:rPr>
                <w:rFonts w:hAnsi="宋体" w:cs="宋体"/>
                <w:b/>
                <w:color w:val="auto"/>
                <w:sz w:val="28"/>
                <w:szCs w:val="28"/>
                <w:highlight w:val="none"/>
              </w:rPr>
            </w:pPr>
          </w:p>
        </w:tc>
        <w:tc>
          <w:tcPr>
            <w:tcW w:w="1493" w:type="dxa"/>
          </w:tcPr>
          <w:p w14:paraId="2F3D2941">
            <w:pPr>
              <w:pStyle w:val="107"/>
              <w:shd w:val="clear" w:fill="FFFFFF" w:themeFill="background1"/>
              <w:rPr>
                <w:rFonts w:hAnsi="宋体" w:cs="宋体"/>
                <w:b/>
                <w:color w:val="auto"/>
                <w:sz w:val="28"/>
                <w:szCs w:val="28"/>
                <w:highlight w:val="none"/>
              </w:rPr>
            </w:pPr>
          </w:p>
        </w:tc>
        <w:tc>
          <w:tcPr>
            <w:tcW w:w="1004" w:type="dxa"/>
          </w:tcPr>
          <w:p w14:paraId="0B2BD6B1">
            <w:pPr>
              <w:pStyle w:val="107"/>
              <w:shd w:val="clear" w:fill="FFFFFF" w:themeFill="background1"/>
              <w:rPr>
                <w:rFonts w:hAnsi="宋体" w:cs="宋体"/>
                <w:b/>
                <w:color w:val="auto"/>
                <w:sz w:val="28"/>
                <w:szCs w:val="28"/>
                <w:highlight w:val="none"/>
              </w:rPr>
            </w:pPr>
          </w:p>
        </w:tc>
        <w:tc>
          <w:tcPr>
            <w:tcW w:w="1004" w:type="dxa"/>
          </w:tcPr>
          <w:p w14:paraId="20C7857D">
            <w:pPr>
              <w:pStyle w:val="107"/>
              <w:shd w:val="clear" w:fill="FFFFFF" w:themeFill="background1"/>
              <w:rPr>
                <w:rFonts w:hAnsi="宋体" w:cs="宋体"/>
                <w:b/>
                <w:color w:val="auto"/>
                <w:sz w:val="28"/>
                <w:szCs w:val="28"/>
                <w:highlight w:val="none"/>
              </w:rPr>
            </w:pPr>
          </w:p>
        </w:tc>
        <w:tc>
          <w:tcPr>
            <w:tcW w:w="1004" w:type="dxa"/>
          </w:tcPr>
          <w:p w14:paraId="6ACD4641">
            <w:pPr>
              <w:pStyle w:val="107"/>
              <w:shd w:val="clear" w:fill="FFFFFF" w:themeFill="background1"/>
              <w:rPr>
                <w:rFonts w:hAnsi="宋体" w:cs="宋体"/>
                <w:b/>
                <w:color w:val="auto"/>
                <w:sz w:val="28"/>
                <w:szCs w:val="28"/>
                <w:highlight w:val="none"/>
              </w:rPr>
            </w:pPr>
          </w:p>
        </w:tc>
        <w:tc>
          <w:tcPr>
            <w:tcW w:w="1004" w:type="dxa"/>
          </w:tcPr>
          <w:p w14:paraId="7C88757E">
            <w:pPr>
              <w:pStyle w:val="107"/>
              <w:shd w:val="clear" w:fill="FFFFFF" w:themeFill="background1"/>
              <w:rPr>
                <w:rFonts w:hAnsi="宋体" w:cs="宋体"/>
                <w:b/>
                <w:color w:val="auto"/>
                <w:sz w:val="28"/>
                <w:szCs w:val="28"/>
                <w:highlight w:val="none"/>
              </w:rPr>
            </w:pPr>
          </w:p>
        </w:tc>
        <w:tc>
          <w:tcPr>
            <w:tcW w:w="1005" w:type="dxa"/>
          </w:tcPr>
          <w:p w14:paraId="58A99349">
            <w:pPr>
              <w:pStyle w:val="107"/>
              <w:shd w:val="clear" w:fill="FFFFFF" w:themeFill="background1"/>
              <w:rPr>
                <w:rFonts w:hAnsi="宋体" w:cs="宋体"/>
                <w:b/>
                <w:color w:val="auto"/>
                <w:sz w:val="28"/>
                <w:szCs w:val="28"/>
                <w:highlight w:val="none"/>
              </w:rPr>
            </w:pPr>
          </w:p>
        </w:tc>
        <w:tc>
          <w:tcPr>
            <w:tcW w:w="1005" w:type="dxa"/>
          </w:tcPr>
          <w:p w14:paraId="5262600C">
            <w:pPr>
              <w:pStyle w:val="107"/>
              <w:shd w:val="clear" w:fill="FFFFFF" w:themeFill="background1"/>
              <w:rPr>
                <w:rFonts w:hAnsi="宋体" w:cs="宋体"/>
                <w:b/>
                <w:color w:val="auto"/>
                <w:sz w:val="28"/>
                <w:szCs w:val="28"/>
                <w:highlight w:val="none"/>
              </w:rPr>
            </w:pPr>
          </w:p>
        </w:tc>
      </w:tr>
      <w:tr w14:paraId="2646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2A7F1BFC">
            <w:pPr>
              <w:pStyle w:val="107"/>
              <w:shd w:val="clear" w:fill="FFFFFF" w:themeFill="background1"/>
              <w:rPr>
                <w:rFonts w:hAnsi="宋体" w:cs="宋体"/>
                <w:b/>
                <w:color w:val="auto"/>
                <w:sz w:val="28"/>
                <w:szCs w:val="28"/>
                <w:highlight w:val="none"/>
              </w:rPr>
            </w:pPr>
          </w:p>
        </w:tc>
        <w:tc>
          <w:tcPr>
            <w:tcW w:w="1493" w:type="dxa"/>
          </w:tcPr>
          <w:p w14:paraId="1B1BF788">
            <w:pPr>
              <w:pStyle w:val="107"/>
              <w:shd w:val="clear" w:fill="FFFFFF" w:themeFill="background1"/>
              <w:rPr>
                <w:rFonts w:hAnsi="宋体" w:cs="宋体"/>
                <w:b/>
                <w:color w:val="auto"/>
                <w:sz w:val="28"/>
                <w:szCs w:val="28"/>
                <w:highlight w:val="none"/>
              </w:rPr>
            </w:pPr>
          </w:p>
        </w:tc>
        <w:tc>
          <w:tcPr>
            <w:tcW w:w="1004" w:type="dxa"/>
          </w:tcPr>
          <w:p w14:paraId="3D05549F">
            <w:pPr>
              <w:pStyle w:val="107"/>
              <w:shd w:val="clear" w:fill="FFFFFF" w:themeFill="background1"/>
              <w:rPr>
                <w:rFonts w:hAnsi="宋体" w:cs="宋体"/>
                <w:b/>
                <w:color w:val="auto"/>
                <w:sz w:val="28"/>
                <w:szCs w:val="28"/>
                <w:highlight w:val="none"/>
              </w:rPr>
            </w:pPr>
          </w:p>
        </w:tc>
        <w:tc>
          <w:tcPr>
            <w:tcW w:w="1004" w:type="dxa"/>
          </w:tcPr>
          <w:p w14:paraId="05EDE7DA">
            <w:pPr>
              <w:pStyle w:val="107"/>
              <w:shd w:val="clear" w:fill="FFFFFF" w:themeFill="background1"/>
              <w:rPr>
                <w:rFonts w:hAnsi="宋体" w:cs="宋体"/>
                <w:b/>
                <w:color w:val="auto"/>
                <w:sz w:val="28"/>
                <w:szCs w:val="28"/>
                <w:highlight w:val="none"/>
              </w:rPr>
            </w:pPr>
          </w:p>
        </w:tc>
        <w:tc>
          <w:tcPr>
            <w:tcW w:w="1004" w:type="dxa"/>
          </w:tcPr>
          <w:p w14:paraId="4FD0E47D">
            <w:pPr>
              <w:pStyle w:val="107"/>
              <w:shd w:val="clear" w:fill="FFFFFF" w:themeFill="background1"/>
              <w:rPr>
                <w:rFonts w:hAnsi="宋体" w:cs="宋体"/>
                <w:b/>
                <w:color w:val="auto"/>
                <w:sz w:val="28"/>
                <w:szCs w:val="28"/>
                <w:highlight w:val="none"/>
              </w:rPr>
            </w:pPr>
          </w:p>
        </w:tc>
        <w:tc>
          <w:tcPr>
            <w:tcW w:w="1004" w:type="dxa"/>
          </w:tcPr>
          <w:p w14:paraId="26E4D656">
            <w:pPr>
              <w:pStyle w:val="107"/>
              <w:shd w:val="clear" w:fill="FFFFFF" w:themeFill="background1"/>
              <w:rPr>
                <w:rFonts w:hAnsi="宋体" w:cs="宋体"/>
                <w:b/>
                <w:color w:val="auto"/>
                <w:sz w:val="28"/>
                <w:szCs w:val="28"/>
                <w:highlight w:val="none"/>
              </w:rPr>
            </w:pPr>
          </w:p>
        </w:tc>
        <w:tc>
          <w:tcPr>
            <w:tcW w:w="1005" w:type="dxa"/>
          </w:tcPr>
          <w:p w14:paraId="03BEE507">
            <w:pPr>
              <w:pStyle w:val="107"/>
              <w:shd w:val="clear" w:fill="FFFFFF" w:themeFill="background1"/>
              <w:rPr>
                <w:rFonts w:hAnsi="宋体" w:cs="宋体"/>
                <w:b/>
                <w:color w:val="auto"/>
                <w:sz w:val="28"/>
                <w:szCs w:val="28"/>
                <w:highlight w:val="none"/>
              </w:rPr>
            </w:pPr>
          </w:p>
        </w:tc>
        <w:tc>
          <w:tcPr>
            <w:tcW w:w="1005" w:type="dxa"/>
          </w:tcPr>
          <w:p w14:paraId="43215BF4">
            <w:pPr>
              <w:pStyle w:val="107"/>
              <w:shd w:val="clear" w:fill="FFFFFF" w:themeFill="background1"/>
              <w:rPr>
                <w:rFonts w:hAnsi="宋体" w:cs="宋体"/>
                <w:b/>
                <w:color w:val="auto"/>
                <w:sz w:val="28"/>
                <w:szCs w:val="28"/>
                <w:highlight w:val="none"/>
              </w:rPr>
            </w:pPr>
          </w:p>
        </w:tc>
      </w:tr>
      <w:tr w14:paraId="0EF4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4D927187">
            <w:pPr>
              <w:pStyle w:val="107"/>
              <w:shd w:val="clear" w:fill="FFFFFF" w:themeFill="background1"/>
              <w:rPr>
                <w:rFonts w:hAnsi="宋体" w:cs="宋体"/>
                <w:b/>
                <w:color w:val="auto"/>
                <w:sz w:val="28"/>
                <w:szCs w:val="28"/>
                <w:highlight w:val="none"/>
              </w:rPr>
            </w:pPr>
          </w:p>
        </w:tc>
        <w:tc>
          <w:tcPr>
            <w:tcW w:w="1493" w:type="dxa"/>
          </w:tcPr>
          <w:p w14:paraId="136C82B9">
            <w:pPr>
              <w:pStyle w:val="107"/>
              <w:shd w:val="clear" w:fill="FFFFFF" w:themeFill="background1"/>
              <w:rPr>
                <w:rFonts w:hAnsi="宋体" w:cs="宋体"/>
                <w:b/>
                <w:color w:val="auto"/>
                <w:sz w:val="28"/>
                <w:szCs w:val="28"/>
                <w:highlight w:val="none"/>
              </w:rPr>
            </w:pPr>
          </w:p>
        </w:tc>
        <w:tc>
          <w:tcPr>
            <w:tcW w:w="1004" w:type="dxa"/>
          </w:tcPr>
          <w:p w14:paraId="7A7FC53E">
            <w:pPr>
              <w:pStyle w:val="107"/>
              <w:shd w:val="clear" w:fill="FFFFFF" w:themeFill="background1"/>
              <w:rPr>
                <w:rFonts w:hAnsi="宋体" w:cs="宋体"/>
                <w:b/>
                <w:color w:val="auto"/>
                <w:sz w:val="28"/>
                <w:szCs w:val="28"/>
                <w:highlight w:val="none"/>
              </w:rPr>
            </w:pPr>
          </w:p>
        </w:tc>
        <w:tc>
          <w:tcPr>
            <w:tcW w:w="1004" w:type="dxa"/>
          </w:tcPr>
          <w:p w14:paraId="7BF731BF">
            <w:pPr>
              <w:pStyle w:val="107"/>
              <w:shd w:val="clear" w:fill="FFFFFF" w:themeFill="background1"/>
              <w:rPr>
                <w:rFonts w:hAnsi="宋体" w:cs="宋体"/>
                <w:b/>
                <w:color w:val="auto"/>
                <w:sz w:val="28"/>
                <w:szCs w:val="28"/>
                <w:highlight w:val="none"/>
              </w:rPr>
            </w:pPr>
          </w:p>
        </w:tc>
        <w:tc>
          <w:tcPr>
            <w:tcW w:w="1004" w:type="dxa"/>
          </w:tcPr>
          <w:p w14:paraId="5F4E5281">
            <w:pPr>
              <w:pStyle w:val="107"/>
              <w:shd w:val="clear" w:fill="FFFFFF" w:themeFill="background1"/>
              <w:rPr>
                <w:rFonts w:hAnsi="宋体" w:cs="宋体"/>
                <w:b/>
                <w:color w:val="auto"/>
                <w:sz w:val="28"/>
                <w:szCs w:val="28"/>
                <w:highlight w:val="none"/>
              </w:rPr>
            </w:pPr>
          </w:p>
        </w:tc>
        <w:tc>
          <w:tcPr>
            <w:tcW w:w="1004" w:type="dxa"/>
          </w:tcPr>
          <w:p w14:paraId="3F5B25BB">
            <w:pPr>
              <w:pStyle w:val="107"/>
              <w:shd w:val="clear" w:fill="FFFFFF" w:themeFill="background1"/>
              <w:rPr>
                <w:rFonts w:hAnsi="宋体" w:cs="宋体"/>
                <w:b/>
                <w:color w:val="auto"/>
                <w:sz w:val="28"/>
                <w:szCs w:val="28"/>
                <w:highlight w:val="none"/>
              </w:rPr>
            </w:pPr>
          </w:p>
        </w:tc>
        <w:tc>
          <w:tcPr>
            <w:tcW w:w="1005" w:type="dxa"/>
          </w:tcPr>
          <w:p w14:paraId="565B491C">
            <w:pPr>
              <w:pStyle w:val="107"/>
              <w:shd w:val="clear" w:fill="FFFFFF" w:themeFill="background1"/>
              <w:rPr>
                <w:rFonts w:hAnsi="宋体" w:cs="宋体"/>
                <w:b/>
                <w:color w:val="auto"/>
                <w:sz w:val="28"/>
                <w:szCs w:val="28"/>
                <w:highlight w:val="none"/>
              </w:rPr>
            </w:pPr>
          </w:p>
        </w:tc>
        <w:tc>
          <w:tcPr>
            <w:tcW w:w="1005" w:type="dxa"/>
          </w:tcPr>
          <w:p w14:paraId="5F311A18">
            <w:pPr>
              <w:pStyle w:val="107"/>
              <w:shd w:val="clear" w:fill="FFFFFF" w:themeFill="background1"/>
              <w:rPr>
                <w:rFonts w:hAnsi="宋体" w:cs="宋体"/>
                <w:b/>
                <w:color w:val="auto"/>
                <w:sz w:val="28"/>
                <w:szCs w:val="28"/>
                <w:highlight w:val="none"/>
              </w:rPr>
            </w:pPr>
          </w:p>
        </w:tc>
      </w:tr>
      <w:tr w14:paraId="32744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3" w:type="dxa"/>
          </w:tcPr>
          <w:p w14:paraId="68435C27">
            <w:pPr>
              <w:pStyle w:val="107"/>
              <w:shd w:val="clear" w:fill="FFFFFF" w:themeFill="background1"/>
              <w:rPr>
                <w:rFonts w:hAnsi="宋体" w:cs="宋体"/>
                <w:b/>
                <w:color w:val="auto"/>
                <w:sz w:val="28"/>
                <w:szCs w:val="28"/>
                <w:highlight w:val="none"/>
              </w:rPr>
            </w:pPr>
          </w:p>
        </w:tc>
        <w:tc>
          <w:tcPr>
            <w:tcW w:w="1493" w:type="dxa"/>
          </w:tcPr>
          <w:p w14:paraId="6CED4E51">
            <w:pPr>
              <w:pStyle w:val="107"/>
              <w:shd w:val="clear" w:fill="FFFFFF" w:themeFill="background1"/>
              <w:rPr>
                <w:rFonts w:hAnsi="宋体" w:cs="宋体"/>
                <w:b/>
                <w:color w:val="auto"/>
                <w:sz w:val="28"/>
                <w:szCs w:val="28"/>
                <w:highlight w:val="none"/>
              </w:rPr>
            </w:pPr>
          </w:p>
        </w:tc>
        <w:tc>
          <w:tcPr>
            <w:tcW w:w="1004" w:type="dxa"/>
          </w:tcPr>
          <w:p w14:paraId="4D11D358">
            <w:pPr>
              <w:pStyle w:val="107"/>
              <w:shd w:val="clear" w:fill="FFFFFF" w:themeFill="background1"/>
              <w:rPr>
                <w:rFonts w:hAnsi="宋体" w:cs="宋体"/>
                <w:b/>
                <w:color w:val="auto"/>
                <w:sz w:val="28"/>
                <w:szCs w:val="28"/>
                <w:highlight w:val="none"/>
              </w:rPr>
            </w:pPr>
          </w:p>
        </w:tc>
        <w:tc>
          <w:tcPr>
            <w:tcW w:w="1004" w:type="dxa"/>
          </w:tcPr>
          <w:p w14:paraId="635CD3C8">
            <w:pPr>
              <w:pStyle w:val="107"/>
              <w:shd w:val="clear" w:fill="FFFFFF" w:themeFill="background1"/>
              <w:rPr>
                <w:rFonts w:hAnsi="宋体" w:cs="宋体"/>
                <w:b/>
                <w:color w:val="auto"/>
                <w:sz w:val="28"/>
                <w:szCs w:val="28"/>
                <w:highlight w:val="none"/>
              </w:rPr>
            </w:pPr>
          </w:p>
        </w:tc>
        <w:tc>
          <w:tcPr>
            <w:tcW w:w="1004" w:type="dxa"/>
          </w:tcPr>
          <w:p w14:paraId="1C3A4A17">
            <w:pPr>
              <w:pStyle w:val="107"/>
              <w:shd w:val="clear" w:fill="FFFFFF" w:themeFill="background1"/>
              <w:rPr>
                <w:rFonts w:hAnsi="宋体" w:cs="宋体"/>
                <w:b/>
                <w:color w:val="auto"/>
                <w:sz w:val="28"/>
                <w:szCs w:val="28"/>
                <w:highlight w:val="none"/>
              </w:rPr>
            </w:pPr>
          </w:p>
        </w:tc>
        <w:tc>
          <w:tcPr>
            <w:tcW w:w="1004" w:type="dxa"/>
          </w:tcPr>
          <w:p w14:paraId="0BAA8158">
            <w:pPr>
              <w:pStyle w:val="107"/>
              <w:shd w:val="clear" w:fill="FFFFFF" w:themeFill="background1"/>
              <w:rPr>
                <w:rFonts w:hAnsi="宋体" w:cs="宋体"/>
                <w:b/>
                <w:color w:val="auto"/>
                <w:sz w:val="28"/>
                <w:szCs w:val="28"/>
                <w:highlight w:val="none"/>
              </w:rPr>
            </w:pPr>
          </w:p>
        </w:tc>
        <w:tc>
          <w:tcPr>
            <w:tcW w:w="1005" w:type="dxa"/>
          </w:tcPr>
          <w:p w14:paraId="6D29C854">
            <w:pPr>
              <w:pStyle w:val="107"/>
              <w:shd w:val="clear" w:fill="FFFFFF" w:themeFill="background1"/>
              <w:rPr>
                <w:rFonts w:hAnsi="宋体" w:cs="宋体"/>
                <w:b/>
                <w:color w:val="auto"/>
                <w:sz w:val="28"/>
                <w:szCs w:val="28"/>
                <w:highlight w:val="none"/>
              </w:rPr>
            </w:pPr>
          </w:p>
        </w:tc>
        <w:tc>
          <w:tcPr>
            <w:tcW w:w="1005" w:type="dxa"/>
          </w:tcPr>
          <w:p w14:paraId="0C531D3B">
            <w:pPr>
              <w:pStyle w:val="107"/>
              <w:shd w:val="clear" w:fill="FFFFFF" w:themeFill="background1"/>
              <w:rPr>
                <w:rFonts w:hAnsi="宋体" w:cs="宋体"/>
                <w:b/>
                <w:color w:val="auto"/>
                <w:sz w:val="28"/>
                <w:szCs w:val="28"/>
                <w:highlight w:val="none"/>
              </w:rPr>
            </w:pPr>
          </w:p>
        </w:tc>
      </w:tr>
    </w:tbl>
    <w:p w14:paraId="6E1B6838">
      <w:pPr>
        <w:pStyle w:val="107"/>
        <w:shd w:val="clear" w:fill="FFFFFF" w:themeFill="background1"/>
        <w:rPr>
          <w:rFonts w:hAnsi="宋体" w:cs="宋体"/>
          <w:color w:val="auto"/>
          <w:highlight w:val="none"/>
        </w:rPr>
      </w:pPr>
    </w:p>
    <w:p w14:paraId="255BA602">
      <w:pPr>
        <w:pStyle w:val="107"/>
        <w:shd w:val="clear" w:fill="FFFFFF" w:themeFill="background1"/>
        <w:rPr>
          <w:rFonts w:hAnsi="宋体" w:cs="宋体"/>
          <w:color w:val="auto"/>
          <w:highlight w:val="none"/>
        </w:rPr>
      </w:pPr>
    </w:p>
    <w:p w14:paraId="3BAE06DC">
      <w:pPr>
        <w:pStyle w:val="107"/>
        <w:shd w:val="clear" w:fill="FFFFFF" w:themeFill="background1"/>
        <w:rPr>
          <w:rFonts w:hAnsi="宋体" w:cs="宋体"/>
          <w:color w:val="auto"/>
          <w:sz w:val="28"/>
          <w:szCs w:val="28"/>
          <w:highlight w:val="none"/>
        </w:rPr>
      </w:pPr>
    </w:p>
    <w:p w14:paraId="1824EBED">
      <w:pPr>
        <w:shd w:val="clear" w:fill="FFFFFF" w:themeFill="background1"/>
        <w:jc w:val="center"/>
        <w:rPr>
          <w:rFonts w:ascii="宋体" w:hAnsi="宋体"/>
          <w:color w:val="auto"/>
          <w:sz w:val="72"/>
          <w:szCs w:val="72"/>
          <w:highlight w:val="none"/>
          <w:u w:val="single"/>
        </w:rPr>
      </w:pPr>
      <w:r>
        <w:rPr>
          <w:rFonts w:hint="eastAsia" w:hAnsi="宋体" w:cs="宋体"/>
          <w:b/>
          <w:color w:val="auto"/>
          <w:sz w:val="28"/>
          <w:szCs w:val="28"/>
          <w:highlight w:val="none"/>
        </w:rPr>
        <w:br w:type="page"/>
      </w:r>
    </w:p>
    <w:p w14:paraId="64BCCEA0">
      <w:pPr>
        <w:pStyle w:val="107"/>
        <w:shd w:val="clear" w:fill="FFFFFF" w:themeFill="background1"/>
        <w:rPr>
          <w:rFonts w:hAnsi="宋体" w:cs="宋体"/>
          <w:b/>
          <w:color w:val="auto"/>
          <w:sz w:val="32"/>
          <w:szCs w:val="32"/>
          <w:highlight w:val="none"/>
        </w:rPr>
      </w:pPr>
      <w:r>
        <w:rPr>
          <w:rFonts w:hint="eastAsia" w:hAnsi="宋体" w:cs="宋体"/>
          <w:b/>
          <w:color w:val="auto"/>
          <w:sz w:val="28"/>
          <w:szCs w:val="28"/>
          <w:highlight w:val="none"/>
        </w:rPr>
        <w:t>附件十六：施工劳务合作协议</w:t>
      </w:r>
    </w:p>
    <w:p w14:paraId="3C7AF8D0">
      <w:pPr>
        <w:pStyle w:val="107"/>
        <w:shd w:val="clear" w:fill="FFFFFF" w:themeFill="background1"/>
        <w:ind w:left="-2" w:leftChars="-66" w:hanging="137" w:hangingChars="43"/>
        <w:jc w:val="left"/>
        <w:rPr>
          <w:rFonts w:hAnsi="宋体" w:cs="宋体"/>
          <w:color w:val="auto"/>
          <w:sz w:val="32"/>
          <w:highlight w:val="none"/>
        </w:rPr>
      </w:pPr>
    </w:p>
    <w:p w14:paraId="50F3EA42">
      <w:pPr>
        <w:pStyle w:val="107"/>
        <w:shd w:val="clear" w:fill="FFFFFF" w:themeFill="background1"/>
        <w:ind w:left="-2" w:leftChars="-66" w:hanging="137" w:hangingChars="43"/>
        <w:jc w:val="left"/>
        <w:rPr>
          <w:rFonts w:hAnsi="宋体" w:cs="宋体"/>
          <w:color w:val="auto"/>
          <w:sz w:val="32"/>
          <w:highlight w:val="none"/>
        </w:rPr>
      </w:pPr>
    </w:p>
    <w:p w14:paraId="581C57A6">
      <w:pPr>
        <w:pStyle w:val="107"/>
        <w:shd w:val="clear" w:fill="FFFFFF" w:themeFill="background1"/>
        <w:ind w:left="-2" w:leftChars="-66" w:hanging="137" w:hangingChars="43"/>
        <w:jc w:val="left"/>
        <w:rPr>
          <w:rFonts w:hAnsi="宋体" w:cs="宋体"/>
          <w:color w:val="auto"/>
          <w:sz w:val="32"/>
          <w:highlight w:val="none"/>
        </w:rPr>
      </w:pPr>
    </w:p>
    <w:p w14:paraId="37FE037C">
      <w:pPr>
        <w:pStyle w:val="107"/>
        <w:shd w:val="clear" w:fill="FFFFFF" w:themeFill="background1"/>
        <w:ind w:left="-2" w:leftChars="-66" w:hanging="137" w:hangingChars="43"/>
        <w:jc w:val="left"/>
        <w:rPr>
          <w:rFonts w:hAnsi="宋体" w:cs="宋体"/>
          <w:color w:val="auto"/>
          <w:sz w:val="32"/>
          <w:highlight w:val="none"/>
        </w:rPr>
      </w:pPr>
    </w:p>
    <w:p w14:paraId="0E14DDE0">
      <w:pPr>
        <w:pStyle w:val="107"/>
        <w:shd w:val="clear" w:fill="FFFFFF" w:themeFill="background1"/>
        <w:ind w:left="-2" w:leftChars="-66" w:hanging="137" w:hangingChars="43"/>
        <w:jc w:val="left"/>
        <w:rPr>
          <w:rFonts w:hAnsi="宋体" w:cs="宋体"/>
          <w:color w:val="auto"/>
          <w:sz w:val="32"/>
          <w:highlight w:val="none"/>
        </w:rPr>
      </w:pPr>
    </w:p>
    <w:p w14:paraId="02F25A2A">
      <w:pPr>
        <w:pStyle w:val="107"/>
        <w:shd w:val="clear" w:fill="FFFFFF" w:themeFill="background1"/>
        <w:jc w:val="center"/>
        <w:rPr>
          <w:rFonts w:hAnsi="宋体" w:cs="宋体"/>
          <w:color w:val="auto"/>
          <w:sz w:val="32"/>
          <w:szCs w:val="32"/>
          <w:highlight w:val="none"/>
        </w:rPr>
      </w:pPr>
      <w:r>
        <w:rPr>
          <w:rFonts w:hint="eastAsia" w:hAnsi="宋体" w:cs="宋体"/>
          <w:color w:val="auto"/>
          <w:sz w:val="48"/>
          <w:szCs w:val="48"/>
          <w:highlight w:val="none"/>
        </w:rPr>
        <w:t>公路工程施工劳务合作协议</w:t>
      </w:r>
    </w:p>
    <w:p w14:paraId="4F511586">
      <w:pPr>
        <w:pStyle w:val="107"/>
        <w:shd w:val="clear" w:fill="FFFFFF" w:themeFill="background1"/>
        <w:jc w:val="center"/>
        <w:rPr>
          <w:rFonts w:hAnsi="宋体" w:cs="宋体"/>
          <w:color w:val="auto"/>
          <w:sz w:val="44"/>
          <w:szCs w:val="44"/>
          <w:highlight w:val="none"/>
        </w:rPr>
      </w:pPr>
      <w:r>
        <w:rPr>
          <w:rFonts w:hint="eastAsia" w:hAnsi="宋体" w:cs="宋体"/>
          <w:color w:val="auto"/>
          <w:sz w:val="44"/>
          <w:szCs w:val="44"/>
          <w:highlight w:val="none"/>
        </w:rPr>
        <w:t>（示范文本）</w:t>
      </w:r>
    </w:p>
    <w:p w14:paraId="0F088970">
      <w:pPr>
        <w:pStyle w:val="107"/>
        <w:shd w:val="clear" w:fill="FFFFFF" w:themeFill="background1"/>
        <w:jc w:val="center"/>
        <w:rPr>
          <w:rFonts w:hAnsi="宋体" w:cs="宋体"/>
          <w:color w:val="auto"/>
          <w:sz w:val="32"/>
          <w:szCs w:val="32"/>
          <w:highlight w:val="none"/>
        </w:rPr>
      </w:pPr>
    </w:p>
    <w:p w14:paraId="20FB1564">
      <w:pPr>
        <w:pStyle w:val="107"/>
        <w:shd w:val="clear" w:fill="FFFFFF" w:themeFill="background1"/>
        <w:jc w:val="center"/>
        <w:rPr>
          <w:rFonts w:hAnsi="宋体" w:cs="宋体"/>
          <w:color w:val="auto"/>
          <w:sz w:val="32"/>
          <w:szCs w:val="32"/>
          <w:highlight w:val="none"/>
        </w:rPr>
      </w:pPr>
    </w:p>
    <w:p w14:paraId="539C9ACC">
      <w:pPr>
        <w:pStyle w:val="107"/>
        <w:shd w:val="clear" w:fill="FFFFFF" w:themeFill="background1"/>
        <w:jc w:val="center"/>
        <w:rPr>
          <w:rFonts w:hAnsi="宋体" w:cs="宋体"/>
          <w:color w:val="auto"/>
          <w:sz w:val="32"/>
          <w:szCs w:val="32"/>
          <w:highlight w:val="none"/>
        </w:rPr>
      </w:pPr>
    </w:p>
    <w:p w14:paraId="3921903D">
      <w:pPr>
        <w:pStyle w:val="107"/>
        <w:shd w:val="clear" w:fill="FFFFFF" w:themeFill="background1"/>
        <w:jc w:val="center"/>
        <w:rPr>
          <w:rFonts w:hAnsi="宋体" w:cs="宋体"/>
          <w:color w:val="auto"/>
          <w:sz w:val="32"/>
          <w:szCs w:val="32"/>
          <w:highlight w:val="none"/>
        </w:rPr>
      </w:pPr>
    </w:p>
    <w:p w14:paraId="0B8CE2BD">
      <w:pPr>
        <w:pStyle w:val="107"/>
        <w:shd w:val="clear" w:fill="FFFFFF" w:themeFill="background1"/>
        <w:jc w:val="center"/>
        <w:rPr>
          <w:rFonts w:hAnsi="宋体" w:cs="宋体"/>
          <w:color w:val="auto"/>
          <w:sz w:val="32"/>
          <w:szCs w:val="32"/>
          <w:highlight w:val="none"/>
        </w:rPr>
      </w:pPr>
    </w:p>
    <w:p w14:paraId="061B0EFE">
      <w:pPr>
        <w:pStyle w:val="107"/>
        <w:shd w:val="clear" w:fill="FFFFFF" w:themeFill="background1"/>
        <w:jc w:val="center"/>
        <w:rPr>
          <w:rFonts w:hAnsi="宋体" w:cs="宋体"/>
          <w:color w:val="auto"/>
          <w:sz w:val="32"/>
          <w:szCs w:val="32"/>
          <w:highlight w:val="none"/>
        </w:rPr>
      </w:pPr>
    </w:p>
    <w:p w14:paraId="79027292">
      <w:pPr>
        <w:pStyle w:val="107"/>
        <w:shd w:val="clear" w:fill="FFFFFF" w:themeFill="background1"/>
        <w:jc w:val="center"/>
        <w:rPr>
          <w:rFonts w:hAnsi="宋体" w:cs="宋体"/>
          <w:color w:val="auto"/>
          <w:sz w:val="32"/>
          <w:szCs w:val="32"/>
          <w:highlight w:val="none"/>
        </w:rPr>
      </w:pPr>
    </w:p>
    <w:p w14:paraId="650426D3">
      <w:pPr>
        <w:pStyle w:val="107"/>
        <w:shd w:val="clear" w:fill="FFFFFF" w:themeFill="background1"/>
        <w:jc w:val="center"/>
        <w:rPr>
          <w:rFonts w:hAnsi="宋体" w:cs="宋体"/>
          <w:color w:val="auto"/>
          <w:sz w:val="44"/>
          <w:szCs w:val="44"/>
          <w:highlight w:val="none"/>
        </w:rPr>
      </w:pPr>
    </w:p>
    <w:p w14:paraId="2C192826">
      <w:pPr>
        <w:pStyle w:val="107"/>
        <w:shd w:val="clear" w:fill="FFFFFF" w:themeFill="background1"/>
        <w:jc w:val="center"/>
        <w:rPr>
          <w:rFonts w:hAnsi="宋体" w:cs="宋体"/>
          <w:color w:val="auto"/>
          <w:sz w:val="44"/>
          <w:szCs w:val="44"/>
          <w:highlight w:val="none"/>
        </w:rPr>
      </w:pPr>
      <w:r>
        <w:rPr>
          <w:rFonts w:hint="eastAsia" w:hAnsi="宋体" w:cs="宋体"/>
          <w:color w:val="auto"/>
          <w:sz w:val="44"/>
          <w:szCs w:val="44"/>
          <w:highlight w:val="none"/>
        </w:rPr>
        <w:t>20   年  月</w:t>
      </w:r>
    </w:p>
    <w:p w14:paraId="3D5B0A2F">
      <w:pPr>
        <w:pStyle w:val="107"/>
        <w:shd w:val="clear" w:fill="FFFFFF" w:themeFill="background1"/>
        <w:jc w:val="center"/>
        <w:rPr>
          <w:rFonts w:hAnsi="宋体" w:cs="宋体"/>
          <w:color w:val="auto"/>
          <w:sz w:val="28"/>
          <w:szCs w:val="28"/>
          <w:highlight w:val="none"/>
        </w:rPr>
      </w:pPr>
    </w:p>
    <w:p w14:paraId="34848946">
      <w:pPr>
        <w:pStyle w:val="107"/>
        <w:shd w:val="clear" w:fill="FFFFFF" w:themeFill="background1"/>
        <w:jc w:val="left"/>
        <w:rPr>
          <w:rFonts w:hAnsi="宋体" w:cs="宋体"/>
          <w:color w:val="auto"/>
          <w:sz w:val="32"/>
          <w:szCs w:val="32"/>
          <w:highlight w:val="none"/>
        </w:rPr>
      </w:pPr>
    </w:p>
    <w:p w14:paraId="5E6543D5">
      <w:pPr>
        <w:pStyle w:val="107"/>
        <w:shd w:val="clear" w:fill="FFFFFF" w:themeFill="background1"/>
        <w:jc w:val="center"/>
        <w:rPr>
          <w:rFonts w:hAnsi="宋体" w:cs="宋体"/>
          <w:color w:val="auto"/>
          <w:sz w:val="28"/>
          <w:szCs w:val="28"/>
          <w:highlight w:val="none"/>
        </w:rPr>
      </w:pPr>
      <w:r>
        <w:rPr>
          <w:rFonts w:hint="eastAsia" w:hAnsi="宋体" w:cs="宋体"/>
          <w:color w:val="auto"/>
          <w:sz w:val="32"/>
          <w:szCs w:val="32"/>
          <w:highlight w:val="none"/>
        </w:rPr>
        <w:br w:type="page"/>
      </w:r>
      <w:r>
        <w:rPr>
          <w:rFonts w:hint="eastAsia" w:hAnsi="宋体" w:cs="宋体"/>
          <w:color w:val="auto"/>
          <w:sz w:val="32"/>
          <w:szCs w:val="32"/>
          <w:highlight w:val="none"/>
        </w:rPr>
        <w:t>公路工程施工劳务合作合同</w:t>
      </w:r>
    </w:p>
    <w:p w14:paraId="6987E5D3">
      <w:pPr>
        <w:pStyle w:val="107"/>
        <w:shd w:val="clear" w:fill="FFFFFF" w:themeFill="background1"/>
        <w:spacing w:line="280" w:lineRule="exact"/>
        <w:ind w:right="630"/>
        <w:jc w:val="right"/>
        <w:rPr>
          <w:rFonts w:hAnsi="宋体" w:cs="宋体"/>
          <w:color w:val="auto"/>
          <w:szCs w:val="21"/>
          <w:highlight w:val="none"/>
        </w:rPr>
      </w:pPr>
    </w:p>
    <w:p w14:paraId="0638A5C5">
      <w:pPr>
        <w:pStyle w:val="107"/>
        <w:shd w:val="clear" w:fill="FFFFFF" w:themeFill="background1"/>
        <w:ind w:right="-154"/>
        <w:rPr>
          <w:rFonts w:hAnsi="宋体" w:cs="宋体"/>
          <w:color w:val="auto"/>
          <w:highlight w:val="none"/>
        </w:rPr>
      </w:pPr>
      <w:r>
        <w:rPr>
          <w:rFonts w:hint="eastAsia" w:hAnsi="宋体" w:cs="宋体"/>
          <w:color w:val="auto"/>
          <w:highlight w:val="none"/>
        </w:rPr>
        <w:t xml:space="preserve">                                            劳务合同编号：</w:t>
      </w:r>
    </w:p>
    <w:p w14:paraId="2EA3C221">
      <w:pPr>
        <w:pStyle w:val="107"/>
        <w:shd w:val="clear" w:fill="FFFFFF" w:themeFill="background1"/>
        <w:rPr>
          <w:rFonts w:hAnsi="宋体" w:cs="宋体"/>
          <w:color w:val="auto"/>
          <w:highlight w:val="none"/>
        </w:rPr>
      </w:pPr>
      <w:r>
        <w:rPr>
          <w:rFonts w:hint="eastAsia" w:hAnsi="宋体" w:cs="宋体"/>
          <w:color w:val="auto"/>
          <w:highlight w:val="none"/>
        </w:rPr>
        <w:t>工程项目：  合同段：</w:t>
      </w:r>
    </w:p>
    <w:p w14:paraId="0FABE9C6">
      <w:pPr>
        <w:pStyle w:val="107"/>
        <w:shd w:val="clear" w:fill="FFFFFF" w:themeFill="background1"/>
        <w:rPr>
          <w:rFonts w:hAnsi="宋体" w:cs="宋体"/>
          <w:color w:val="auto"/>
          <w:highlight w:val="none"/>
        </w:rPr>
      </w:pPr>
      <w:r>
        <w:rPr>
          <w:rFonts w:hint="eastAsia" w:hAnsi="宋体" w:cs="宋体"/>
          <w:color w:val="auto"/>
          <w:highlight w:val="none"/>
        </w:rPr>
        <w:t>甲方 (承包人或专项工程分包人)：</w:t>
      </w:r>
    </w:p>
    <w:p w14:paraId="1EB24523">
      <w:pPr>
        <w:pStyle w:val="107"/>
        <w:shd w:val="clear" w:fill="FFFFFF" w:themeFill="background1"/>
        <w:rPr>
          <w:rFonts w:hAnsi="宋体" w:cs="宋体"/>
          <w:color w:val="auto"/>
          <w:highlight w:val="none"/>
          <w:u w:val="single"/>
        </w:rPr>
      </w:pPr>
      <w:r>
        <w:rPr>
          <w:rFonts w:hint="eastAsia" w:hAnsi="宋体" w:cs="宋体"/>
          <w:color w:val="auto"/>
          <w:highlight w:val="none"/>
        </w:rPr>
        <w:t>乙方（劳务单位）：</w:t>
      </w:r>
    </w:p>
    <w:p w14:paraId="3AAA5AC6">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依照《</w:t>
      </w:r>
      <w:r>
        <w:rPr>
          <w:rFonts w:hint="eastAsia" w:hAnsi="宋体" w:cs="宋体"/>
          <w:color w:val="auto"/>
          <w:highlight w:val="none"/>
          <w:lang w:eastAsia="zh-CN"/>
        </w:rPr>
        <w:t>中华人民共和国民法典合同编</w:t>
      </w:r>
      <w:r>
        <w:rPr>
          <w:rFonts w:hint="eastAsia" w:hAnsi="宋体" w:cs="宋体"/>
          <w:color w:val="auto"/>
          <w:highlight w:val="none"/>
        </w:rPr>
        <w:t>》、《中华人民共和国公路法》、《中华人民共和国港口法》、《中华人民共和国航道管理条例》、交通运输部《公路工程施工分包管理办法》及其它有关法律、行政法规、规章，遵循平等、自愿、公平和诚实信用的原则，鉴于(以下简称为“发包人”)与工程承包人已经签订施工总承包合同或专业承(分)包合同(以下称为“总(分)包合同”)，双方就劳务合作事项协商达成一致，订立本合同。</w:t>
      </w:r>
    </w:p>
    <w:p w14:paraId="03D6FFD5">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工程名称、地点和劳务内容</w:t>
      </w:r>
    </w:p>
    <w:p w14:paraId="7EF9C40C">
      <w:pPr>
        <w:pStyle w:val="107"/>
        <w:numPr>
          <w:ilvl w:val="1"/>
          <w:numId w:val="25"/>
        </w:numPr>
        <w:shd w:val="clear" w:fill="FFFFFF" w:themeFill="background1"/>
        <w:tabs>
          <w:tab w:val="left" w:pos="0"/>
        </w:tabs>
        <w:ind w:left="0" w:firstLine="425"/>
        <w:rPr>
          <w:rFonts w:hAnsi="宋体" w:cs="宋体"/>
          <w:color w:val="auto"/>
          <w:highlight w:val="none"/>
        </w:rPr>
      </w:pPr>
      <w:r>
        <w:rPr>
          <w:rFonts w:hint="eastAsia" w:hAnsi="宋体" w:cs="宋体"/>
          <w:color w:val="auto"/>
          <w:highlight w:val="none"/>
        </w:rPr>
        <w:t>工程名称</w:t>
      </w:r>
    </w:p>
    <w:p w14:paraId="0CFD0145">
      <w:pPr>
        <w:pStyle w:val="107"/>
        <w:numPr>
          <w:ilvl w:val="1"/>
          <w:numId w:val="25"/>
        </w:numPr>
        <w:shd w:val="clear" w:fill="FFFFFF" w:themeFill="background1"/>
        <w:tabs>
          <w:tab w:val="left" w:pos="0"/>
        </w:tabs>
        <w:ind w:left="0" w:firstLine="425"/>
        <w:rPr>
          <w:rFonts w:hAnsi="宋体" w:cs="宋体"/>
          <w:color w:val="auto"/>
          <w:highlight w:val="none"/>
        </w:rPr>
      </w:pPr>
      <w:r>
        <w:rPr>
          <w:rFonts w:hint="eastAsia" w:hAnsi="宋体" w:cs="宋体"/>
          <w:color w:val="auto"/>
          <w:highlight w:val="none"/>
        </w:rPr>
        <w:t>工程地点和范围</w:t>
      </w:r>
    </w:p>
    <w:p w14:paraId="2DCE8622">
      <w:pPr>
        <w:pStyle w:val="107"/>
        <w:numPr>
          <w:ilvl w:val="1"/>
          <w:numId w:val="25"/>
        </w:numPr>
        <w:shd w:val="clear" w:fill="FFFFFF" w:themeFill="background1"/>
        <w:tabs>
          <w:tab w:val="left" w:pos="0"/>
        </w:tabs>
        <w:ind w:left="0" w:firstLine="425"/>
        <w:rPr>
          <w:rFonts w:hAnsi="宋体" w:cs="宋体"/>
          <w:color w:val="auto"/>
          <w:highlight w:val="none"/>
        </w:rPr>
      </w:pPr>
      <w:r>
        <w:rPr>
          <w:rFonts w:hint="eastAsia" w:hAnsi="宋体" w:cs="宋体"/>
          <w:color w:val="auto"/>
          <w:highlight w:val="none"/>
        </w:rPr>
        <w:t>劳务内容和方式：</w:t>
      </w:r>
    </w:p>
    <w:p w14:paraId="04C36FEA">
      <w:pPr>
        <w:pStyle w:val="107"/>
        <w:numPr>
          <w:ilvl w:val="1"/>
          <w:numId w:val="25"/>
        </w:numPr>
        <w:shd w:val="clear" w:fill="FFFFFF" w:themeFill="background1"/>
        <w:tabs>
          <w:tab w:val="left" w:pos="0"/>
        </w:tabs>
        <w:ind w:left="0" w:firstLine="425"/>
        <w:rPr>
          <w:rFonts w:hAnsi="宋体" w:cs="宋体"/>
          <w:color w:val="auto"/>
          <w:highlight w:val="none"/>
        </w:rPr>
      </w:pPr>
      <w:r>
        <w:rPr>
          <w:rFonts w:hint="eastAsia" w:hAnsi="宋体" w:cs="宋体"/>
          <w:color w:val="auto"/>
          <w:highlight w:val="none"/>
        </w:rPr>
        <w:t>劳务人员数量共计人。其中，技工人，普工人(劳务人员工种及花名册附后)。</w:t>
      </w:r>
    </w:p>
    <w:p w14:paraId="7F1AB0A2">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劳务及管理费的结算支付</w:t>
      </w:r>
    </w:p>
    <w:p w14:paraId="125ADD9B">
      <w:pPr>
        <w:pStyle w:val="107"/>
        <w:shd w:val="clear" w:fill="FFFFFF" w:themeFill="background1"/>
        <w:ind w:firstLine="424" w:firstLineChars="177"/>
        <w:rPr>
          <w:rFonts w:hAnsi="宋体" w:cs="宋体"/>
          <w:color w:val="auto"/>
          <w:highlight w:val="none"/>
        </w:rPr>
      </w:pPr>
      <w:r>
        <w:rPr>
          <w:rFonts w:hint="eastAsia" w:hAnsi="宋体" w:cs="宋体"/>
          <w:color w:val="auto"/>
          <w:highlight w:val="none"/>
        </w:rPr>
        <w:t xml:space="preserve">2.1劳务承包项目实行工序劳务费用单价承包形式，计件单价和暂估数量见《劳务计价清单》（附表1）。劳务费用中的结算工程量按每月得到甲方项目经理部签认计量的工程量为准。 </w:t>
      </w:r>
    </w:p>
    <w:p w14:paraId="05F9CF18">
      <w:pPr>
        <w:pStyle w:val="107"/>
        <w:shd w:val="clear" w:fill="FFFFFF" w:themeFill="background1"/>
        <w:ind w:firstLine="424" w:firstLineChars="177"/>
        <w:rPr>
          <w:rFonts w:hAnsi="宋体" w:cs="宋体"/>
          <w:color w:val="auto"/>
          <w:highlight w:val="none"/>
        </w:rPr>
      </w:pPr>
      <w:r>
        <w:rPr>
          <w:rFonts w:hint="eastAsia" w:hAnsi="宋体" w:cs="宋体"/>
          <w:color w:val="auto"/>
          <w:highlight w:val="none"/>
        </w:rPr>
        <w:t>2.2工序劳务单价系包含为实施该工序所有子项目并缺陷修补中所需的一切劳务（包括劳务管理、劳务社会保障），小型辅助材料，小型施工机具和设备，现场管理，施工调遣，施工措施，生活设施，除营业税、城市建设附加税和教育附加费外的税金，施工结束后现场清理，其他应支付的必要费用，以及合同明示或暗示的一切风险、责任和义务等所有相关费用，成本节约形成的利润。工序劳务单价已得到双方确认。</w:t>
      </w:r>
    </w:p>
    <w:p w14:paraId="499B0CD2">
      <w:pPr>
        <w:pStyle w:val="107"/>
        <w:shd w:val="clear" w:fill="FFFFFF" w:themeFill="background1"/>
        <w:ind w:firstLine="424" w:firstLineChars="177"/>
        <w:rPr>
          <w:rFonts w:hAnsi="宋体" w:cs="宋体"/>
          <w:color w:val="auto"/>
          <w:highlight w:val="none"/>
        </w:rPr>
      </w:pPr>
      <w:r>
        <w:rPr>
          <w:rFonts w:hint="eastAsia" w:hAnsi="宋体" w:cs="宋体"/>
          <w:color w:val="auto"/>
          <w:highlight w:val="none"/>
        </w:rPr>
        <w:t>2.3劳务计价清单未涉及的工程内容，或由于待料、停电、气候恶劣等非乙方的责任而造成的停工按计日工结算。计日工单价根据发生时的市场价由双方商定。</w:t>
      </w:r>
    </w:p>
    <w:p w14:paraId="6688C218">
      <w:pPr>
        <w:pStyle w:val="107"/>
        <w:shd w:val="clear" w:fill="FFFFFF" w:themeFill="background1"/>
        <w:ind w:firstLine="424" w:firstLineChars="177"/>
        <w:rPr>
          <w:rFonts w:hAnsi="宋体" w:cs="宋体"/>
          <w:color w:val="auto"/>
          <w:highlight w:val="none"/>
        </w:rPr>
      </w:pPr>
      <w:r>
        <w:rPr>
          <w:rFonts w:hint="eastAsia" w:hAnsi="宋体" w:cs="宋体"/>
          <w:color w:val="auto"/>
          <w:highlight w:val="none"/>
        </w:rPr>
        <w:t>2.4本合同劳务计价单价不含甲方提供的材料费用和机械设备费用，但含税金，税金由甲方代扣代缴（综合税率为%）。乙方办理劳务费结算支付时应提供符合要求的票据。</w:t>
      </w:r>
    </w:p>
    <w:p w14:paraId="2EA3F16B">
      <w:pPr>
        <w:pStyle w:val="107"/>
        <w:numPr>
          <w:ilvl w:val="1"/>
          <w:numId w:val="26"/>
        </w:numPr>
        <w:shd w:val="clear" w:fill="FFFFFF" w:themeFill="background1"/>
        <w:ind w:left="0" w:firstLine="424" w:firstLineChars="177"/>
        <w:rPr>
          <w:rFonts w:hAnsi="宋体" w:cs="宋体"/>
          <w:color w:val="auto"/>
          <w:highlight w:val="none"/>
        </w:rPr>
      </w:pPr>
      <w:r>
        <w:rPr>
          <w:rFonts w:hint="eastAsia" w:hAnsi="宋体" w:cs="宋体"/>
          <w:color w:val="auto"/>
          <w:highlight w:val="none"/>
        </w:rPr>
        <w:t>有关款项的约定：</w:t>
      </w:r>
    </w:p>
    <w:p w14:paraId="1486629E">
      <w:pPr>
        <w:pStyle w:val="107"/>
        <w:shd w:val="clear" w:fill="FFFFFF" w:themeFill="background1"/>
        <w:ind w:firstLine="600" w:firstLineChars="250"/>
        <w:rPr>
          <w:rFonts w:hAnsi="宋体" w:cs="宋体"/>
          <w:color w:val="auto"/>
          <w:highlight w:val="none"/>
        </w:rPr>
      </w:pPr>
      <w:r>
        <w:rPr>
          <w:rFonts w:hint="eastAsia" w:hAnsi="宋体" w:cs="宋体"/>
          <w:color w:val="auto"/>
          <w:highlight w:val="none"/>
        </w:rPr>
        <w:t>2.5.1农民工工资支付保证金按项目总包合同专用条款或业主规定的比例在计量支付时提取，在乙方劳务作业全部完成并出具无拖欠农民工工资承诺后退还。</w:t>
      </w:r>
    </w:p>
    <w:p w14:paraId="154D0BCC">
      <w:pPr>
        <w:pStyle w:val="107"/>
        <w:shd w:val="clear" w:fill="FFFFFF" w:themeFill="background1"/>
        <w:ind w:firstLine="600" w:firstLineChars="250"/>
        <w:rPr>
          <w:rFonts w:hAnsi="宋体" w:cs="宋体"/>
          <w:color w:val="auto"/>
          <w:highlight w:val="none"/>
        </w:rPr>
      </w:pPr>
      <w:r>
        <w:rPr>
          <w:rFonts w:hint="eastAsia" w:hAnsi="宋体" w:cs="宋体"/>
          <w:color w:val="auto"/>
          <w:highlight w:val="none"/>
        </w:rPr>
        <w:t>2.5.2质量和进度考核基金按项目业主的考核办法的规定比例在中期计量支付时提取，并按考核办法的规定实施考核和奖惩。</w:t>
      </w:r>
    </w:p>
    <w:p w14:paraId="04428017">
      <w:pPr>
        <w:pStyle w:val="107"/>
        <w:shd w:val="clear" w:fill="FFFFFF" w:themeFill="background1"/>
        <w:ind w:firstLine="432" w:firstLineChars="180"/>
        <w:rPr>
          <w:rFonts w:hAnsi="宋体" w:cs="宋体"/>
          <w:b/>
          <w:color w:val="auto"/>
          <w:spacing w:val="-8"/>
          <w:highlight w:val="none"/>
        </w:rPr>
      </w:pPr>
      <w:r>
        <w:rPr>
          <w:rFonts w:hint="eastAsia" w:hAnsi="宋体" w:cs="宋体"/>
          <w:color w:val="auto"/>
          <w:highlight w:val="none"/>
        </w:rPr>
        <w:t>2.6劳务承包合同总价为甲乙双方验工计量支付的各分项价款之和</w:t>
      </w:r>
      <w:r>
        <w:rPr>
          <w:rFonts w:hint="eastAsia" w:hAnsi="宋体" w:cs="宋体"/>
          <w:b/>
          <w:color w:val="auto"/>
          <w:spacing w:val="-8"/>
          <w:highlight w:val="none"/>
        </w:rPr>
        <w:t>。</w:t>
      </w:r>
    </w:p>
    <w:p w14:paraId="1223C7E4">
      <w:pPr>
        <w:pStyle w:val="107"/>
        <w:numPr>
          <w:ilvl w:val="0"/>
          <w:numId w:val="24"/>
        </w:numPr>
        <w:shd w:val="clear" w:fill="FFFFFF" w:themeFill="background1"/>
        <w:rPr>
          <w:rFonts w:hAnsi="宋体" w:cs="宋体"/>
          <w:b/>
          <w:color w:val="auto"/>
          <w:spacing w:val="-8"/>
          <w:highlight w:val="none"/>
        </w:rPr>
      </w:pPr>
      <w:r>
        <w:rPr>
          <w:rFonts w:hint="eastAsia" w:hAnsi="宋体" w:cs="宋体"/>
          <w:b/>
          <w:color w:val="auto"/>
          <w:spacing w:val="-8"/>
          <w:highlight w:val="none"/>
        </w:rPr>
        <w:t>双方责任</w:t>
      </w:r>
    </w:p>
    <w:p w14:paraId="6FFC57BB">
      <w:pPr>
        <w:pStyle w:val="107"/>
        <w:shd w:val="clear" w:fill="FFFFFF" w:themeFill="background1"/>
        <w:ind w:left="425"/>
        <w:rPr>
          <w:rFonts w:hAnsi="宋体" w:cs="宋体"/>
          <w:color w:val="auto"/>
          <w:highlight w:val="none"/>
        </w:rPr>
      </w:pPr>
      <w:r>
        <w:rPr>
          <w:rFonts w:hint="eastAsia" w:hAnsi="宋体" w:cs="宋体"/>
          <w:color w:val="auto"/>
          <w:highlight w:val="none"/>
        </w:rPr>
        <w:t>3.1甲方责任</w:t>
      </w:r>
    </w:p>
    <w:p w14:paraId="63457222">
      <w:pPr>
        <w:pStyle w:val="107"/>
        <w:shd w:val="clear" w:fill="FFFFFF" w:themeFill="background1"/>
        <w:ind w:firstLine="615"/>
        <w:rPr>
          <w:rFonts w:hAnsi="宋体" w:cs="宋体"/>
          <w:color w:val="auto"/>
          <w:highlight w:val="none"/>
        </w:rPr>
      </w:pPr>
      <w:r>
        <w:rPr>
          <w:rFonts w:hint="eastAsia" w:hAnsi="宋体" w:cs="宋体"/>
          <w:color w:val="auto"/>
          <w:highlight w:val="none"/>
        </w:rPr>
        <w:t>3.1.1为加强对乙方劳务人员的组织与管理，甲方成立现场管理机构标段项目经理部，对工程施工全过程实施全面监控管理。</w:t>
      </w:r>
    </w:p>
    <w:p w14:paraId="3F311899">
      <w:pPr>
        <w:pStyle w:val="107"/>
        <w:shd w:val="clear" w:fill="FFFFFF" w:themeFill="background1"/>
        <w:ind w:firstLine="615"/>
        <w:rPr>
          <w:rFonts w:hAnsi="宋体" w:cs="宋体"/>
          <w:color w:val="auto"/>
          <w:highlight w:val="none"/>
        </w:rPr>
      </w:pPr>
      <w:r>
        <w:rPr>
          <w:rFonts w:hint="eastAsia" w:hAnsi="宋体" w:cs="宋体"/>
          <w:color w:val="auto"/>
          <w:highlight w:val="none"/>
        </w:rPr>
        <w:t>3.1.2负责编制实施性施工组织设计，负责施工测量和技术管理。</w:t>
      </w:r>
    </w:p>
    <w:p w14:paraId="367236AB">
      <w:pPr>
        <w:pStyle w:val="107"/>
        <w:shd w:val="clear" w:fill="FFFFFF" w:themeFill="background1"/>
        <w:ind w:firstLine="615"/>
        <w:rPr>
          <w:rFonts w:hAnsi="宋体" w:cs="宋体"/>
          <w:color w:val="auto"/>
          <w:highlight w:val="none"/>
        </w:rPr>
      </w:pPr>
      <w:r>
        <w:rPr>
          <w:rFonts w:hint="eastAsia" w:hAnsi="宋体" w:cs="宋体"/>
          <w:color w:val="auto"/>
          <w:highlight w:val="none"/>
        </w:rPr>
        <w:t>3.1.3按施工组织设计及时供应材料和提供机械设备，满足工程进度的需要。</w:t>
      </w:r>
    </w:p>
    <w:p w14:paraId="59802913">
      <w:pPr>
        <w:pStyle w:val="107"/>
        <w:shd w:val="clear" w:fill="FFFFFF" w:themeFill="background1"/>
        <w:ind w:firstLine="615"/>
        <w:rPr>
          <w:rFonts w:hAnsi="宋体" w:cs="宋体"/>
          <w:color w:val="auto"/>
          <w:highlight w:val="none"/>
        </w:rPr>
      </w:pPr>
      <w:r>
        <w:rPr>
          <w:rFonts w:hint="eastAsia" w:hAnsi="宋体" w:cs="宋体"/>
          <w:color w:val="auto"/>
          <w:highlight w:val="none"/>
        </w:rPr>
        <w:t>3.1.4负责在施工前对乙方劳务人员进行技术交底，让乙方劳务人员熟练掌握有关操作规程和操作技术。</w:t>
      </w:r>
    </w:p>
    <w:p w14:paraId="611F0B3D">
      <w:pPr>
        <w:pStyle w:val="107"/>
        <w:shd w:val="clear" w:fill="FFFFFF" w:themeFill="background1"/>
        <w:ind w:firstLine="615"/>
        <w:rPr>
          <w:rFonts w:hAnsi="宋体" w:cs="宋体"/>
          <w:color w:val="auto"/>
          <w:highlight w:val="none"/>
        </w:rPr>
      </w:pPr>
      <w:r>
        <w:rPr>
          <w:rFonts w:hint="eastAsia" w:hAnsi="宋体" w:cs="宋体"/>
          <w:color w:val="auto"/>
          <w:highlight w:val="none"/>
        </w:rPr>
        <w:t>3.1.5编制施工进度计划，人员、材料、设备等进场计划，并组织乙方劳务人员按规定程序进行劳务作业。</w:t>
      </w:r>
    </w:p>
    <w:p w14:paraId="69EFD33D">
      <w:pPr>
        <w:pStyle w:val="107"/>
        <w:shd w:val="clear" w:fill="FFFFFF" w:themeFill="background1"/>
        <w:ind w:firstLine="615"/>
        <w:rPr>
          <w:rFonts w:hAnsi="宋体" w:cs="宋体"/>
          <w:color w:val="auto"/>
          <w:highlight w:val="none"/>
        </w:rPr>
      </w:pPr>
      <w:r>
        <w:rPr>
          <w:rFonts w:hint="eastAsia" w:hAnsi="宋体" w:cs="宋体"/>
          <w:color w:val="auto"/>
          <w:highlight w:val="none"/>
        </w:rPr>
        <w:t>3.1.6负责原材料、设备、构配件、半成品的检验和试验。</w:t>
      </w:r>
    </w:p>
    <w:p w14:paraId="3C91C20A">
      <w:pPr>
        <w:pStyle w:val="107"/>
        <w:shd w:val="clear" w:fill="FFFFFF" w:themeFill="background1"/>
        <w:ind w:firstLine="615"/>
        <w:rPr>
          <w:rFonts w:hAnsi="宋体" w:cs="宋体"/>
          <w:color w:val="auto"/>
          <w:highlight w:val="none"/>
        </w:rPr>
      </w:pPr>
      <w:r>
        <w:rPr>
          <w:rFonts w:hint="eastAsia" w:hAnsi="宋体" w:cs="宋体"/>
          <w:color w:val="auto"/>
          <w:highlight w:val="none"/>
        </w:rPr>
        <w:t>3.1.7对乙方安排的劳务人员进行岗前专业培训，并记录教育培训档案。</w:t>
      </w:r>
    </w:p>
    <w:p w14:paraId="0232B5D7">
      <w:pPr>
        <w:pStyle w:val="107"/>
        <w:shd w:val="clear" w:fill="FFFFFF" w:themeFill="background1"/>
        <w:ind w:firstLine="615"/>
        <w:rPr>
          <w:rFonts w:hAnsi="宋体" w:cs="宋体"/>
          <w:color w:val="auto"/>
          <w:highlight w:val="none"/>
        </w:rPr>
      </w:pPr>
      <w:r>
        <w:rPr>
          <w:rFonts w:hint="eastAsia" w:hAnsi="宋体" w:cs="宋体"/>
          <w:color w:val="auto"/>
          <w:highlight w:val="none"/>
        </w:rPr>
        <w:t>3.1.8监督乙方劳务人员进行文明施工、安全生产，保证作业现场施工安全。</w:t>
      </w:r>
    </w:p>
    <w:p w14:paraId="6E732C32">
      <w:pPr>
        <w:pStyle w:val="107"/>
        <w:shd w:val="clear" w:fill="FFFFFF" w:themeFill="background1"/>
        <w:ind w:firstLine="615"/>
        <w:rPr>
          <w:rFonts w:hAnsi="宋体" w:cs="宋体"/>
          <w:color w:val="auto"/>
          <w:highlight w:val="none"/>
        </w:rPr>
      </w:pPr>
      <w:r>
        <w:rPr>
          <w:rFonts w:hint="eastAsia" w:hAnsi="宋体" w:cs="宋体"/>
          <w:color w:val="auto"/>
          <w:highlight w:val="none"/>
        </w:rPr>
        <w:t>3.1.9负责办理征地拆迁以及本协议作业项目的道路、用电、用水，以满足施工需要。</w:t>
      </w:r>
    </w:p>
    <w:p w14:paraId="4D0732FC">
      <w:pPr>
        <w:pStyle w:val="107"/>
        <w:shd w:val="clear" w:fill="FFFFFF" w:themeFill="background1"/>
        <w:ind w:firstLine="615"/>
        <w:rPr>
          <w:rFonts w:hAnsi="宋体" w:cs="宋体"/>
          <w:color w:val="auto"/>
          <w:highlight w:val="none"/>
        </w:rPr>
      </w:pPr>
      <w:r>
        <w:rPr>
          <w:rFonts w:hint="eastAsia" w:hAnsi="宋体" w:cs="宋体"/>
          <w:color w:val="auto"/>
          <w:highlight w:val="none"/>
        </w:rPr>
        <w:t>3.1.10、甲方负责对每道工序的质量进行检验，乙方完成每道工序须由甲方工程技术人员检验认可，否则乙方不能进入下一道工序的劳务作业。</w:t>
      </w:r>
    </w:p>
    <w:p w14:paraId="4FB2661E">
      <w:pPr>
        <w:pStyle w:val="107"/>
        <w:shd w:val="clear" w:fill="FFFFFF" w:themeFill="background1"/>
        <w:ind w:firstLine="615"/>
        <w:rPr>
          <w:rFonts w:hAnsi="宋体" w:cs="宋体"/>
          <w:color w:val="auto"/>
          <w:highlight w:val="none"/>
        </w:rPr>
      </w:pPr>
      <w:r>
        <w:rPr>
          <w:rFonts w:hint="eastAsia" w:hAnsi="宋体" w:cs="宋体"/>
          <w:color w:val="auto"/>
          <w:highlight w:val="none"/>
        </w:rPr>
        <w:t>3.1.11对已完劳务作业项目组织验收，负责工程资料的收集和汇总并按协议规定办理劳务费用结算。</w:t>
      </w:r>
    </w:p>
    <w:p w14:paraId="5D53652A">
      <w:pPr>
        <w:pStyle w:val="107"/>
        <w:shd w:val="clear" w:fill="FFFFFF" w:themeFill="background1"/>
        <w:ind w:firstLine="360"/>
        <w:rPr>
          <w:rFonts w:hAnsi="宋体" w:cs="宋体"/>
          <w:color w:val="auto"/>
          <w:highlight w:val="none"/>
        </w:rPr>
      </w:pPr>
      <w:r>
        <w:rPr>
          <w:rFonts w:hint="eastAsia" w:hAnsi="宋体" w:cs="宋体"/>
          <w:color w:val="auto"/>
          <w:highlight w:val="none"/>
        </w:rPr>
        <w:t>3.2乙方责任</w:t>
      </w:r>
    </w:p>
    <w:p w14:paraId="68205D20">
      <w:pPr>
        <w:pStyle w:val="107"/>
        <w:shd w:val="clear" w:fill="FFFFFF" w:themeFill="background1"/>
        <w:ind w:firstLine="615"/>
        <w:rPr>
          <w:rFonts w:hAnsi="宋体" w:cs="宋体"/>
          <w:color w:val="auto"/>
          <w:highlight w:val="none"/>
        </w:rPr>
      </w:pPr>
      <w:r>
        <w:rPr>
          <w:rFonts w:hint="eastAsia" w:hAnsi="宋体" w:cs="宋体"/>
          <w:color w:val="auto"/>
          <w:highlight w:val="none"/>
        </w:rPr>
        <w:t>3.2.1按甲方要求安排符合施工需要的劳务作业人员。乙方必须安排与之有劳动合同关系的劳务作业人员，未签订劳动合同的不得进入施工现场从事劳务作业活动。</w:t>
      </w:r>
    </w:p>
    <w:p w14:paraId="09D0BBFD">
      <w:pPr>
        <w:pStyle w:val="107"/>
        <w:shd w:val="clear" w:fill="FFFFFF" w:themeFill="background1"/>
        <w:ind w:firstLine="615"/>
        <w:rPr>
          <w:rFonts w:hAnsi="宋体" w:cs="宋体"/>
          <w:color w:val="auto"/>
          <w:highlight w:val="none"/>
        </w:rPr>
      </w:pPr>
      <w:r>
        <w:rPr>
          <w:rFonts w:hint="eastAsia" w:hAnsi="宋体" w:cs="宋体"/>
          <w:color w:val="auto"/>
          <w:highlight w:val="none"/>
        </w:rPr>
        <w:t>3.2.2乙方应派出现场负责人协助甲方对劳务人员进行劳务作业管理。</w:t>
      </w:r>
    </w:p>
    <w:p w14:paraId="40E3A1D4">
      <w:pPr>
        <w:pStyle w:val="107"/>
        <w:shd w:val="clear" w:fill="FFFFFF" w:themeFill="background1"/>
        <w:ind w:firstLine="612"/>
        <w:rPr>
          <w:rFonts w:hAnsi="宋体" w:cs="宋体"/>
          <w:color w:val="auto"/>
          <w:highlight w:val="none"/>
        </w:rPr>
      </w:pPr>
      <w:r>
        <w:rPr>
          <w:rFonts w:hint="eastAsia" w:hAnsi="宋体" w:cs="宋体"/>
          <w:color w:val="auto"/>
          <w:highlight w:val="none"/>
        </w:rPr>
        <w:t>3.2.3乙方劳务人员应按甲方劳务培训计划参加相关工法、操作规程的学习，严格按规定程序进行劳务作业。</w:t>
      </w:r>
    </w:p>
    <w:p w14:paraId="7BC03D08">
      <w:pPr>
        <w:pStyle w:val="107"/>
        <w:shd w:val="clear" w:fill="FFFFFF" w:themeFill="background1"/>
        <w:ind w:firstLine="612"/>
        <w:rPr>
          <w:rFonts w:hAnsi="宋体" w:cs="宋体"/>
          <w:color w:val="auto"/>
          <w:highlight w:val="none"/>
        </w:rPr>
      </w:pPr>
      <w:r>
        <w:rPr>
          <w:rFonts w:hint="eastAsia" w:hAnsi="宋体" w:cs="宋体"/>
          <w:color w:val="auto"/>
          <w:highlight w:val="none"/>
        </w:rPr>
        <w:t>3.2.4乙方应当建立、健全职业病防治责任制，加强对职业病防治的管理，对产生的职业病危害承担责任。</w:t>
      </w:r>
    </w:p>
    <w:p w14:paraId="1B5CBFC5">
      <w:pPr>
        <w:pStyle w:val="107"/>
        <w:shd w:val="clear" w:fill="FFFFFF" w:themeFill="background1"/>
        <w:ind w:firstLine="615"/>
        <w:rPr>
          <w:rFonts w:hAnsi="宋体" w:cs="宋体"/>
          <w:color w:val="auto"/>
          <w:highlight w:val="none"/>
        </w:rPr>
      </w:pPr>
      <w:r>
        <w:rPr>
          <w:rFonts w:hint="eastAsia" w:hAnsi="宋体" w:cs="宋体"/>
          <w:color w:val="auto"/>
          <w:highlight w:val="none"/>
        </w:rPr>
        <w:t>3.2.5遵守当地政府和有关管理部门对环境保护及施工现场的管理规定，坚持文明施工作业，材料机具堆放整齐，建筑垃圾及时清运，并承担因违反有关规定造成的损失和罚款，施工造成的水土流失污染林地、河流以及因施工车辆造成的道路、农作物污染，均由乙方负责处理解决并承担费用。</w:t>
      </w:r>
    </w:p>
    <w:p w14:paraId="66EC5BC9">
      <w:pPr>
        <w:pStyle w:val="107"/>
        <w:shd w:val="clear" w:fill="FFFFFF" w:themeFill="background1"/>
        <w:ind w:firstLine="615"/>
        <w:rPr>
          <w:rFonts w:hAnsi="宋体" w:cs="宋体"/>
          <w:color w:val="auto"/>
          <w:highlight w:val="none"/>
        </w:rPr>
      </w:pPr>
      <w:r>
        <w:rPr>
          <w:rFonts w:hint="eastAsia" w:hAnsi="宋体" w:cs="宋体"/>
          <w:color w:val="auto"/>
          <w:highlight w:val="none"/>
        </w:rPr>
        <w:t>3.2.6乙方劳务人员在劳务作业中发生质量、安全责任事故，应及时报告甲方管理人员，不得擅自处理或隐瞒。</w:t>
      </w:r>
    </w:p>
    <w:p w14:paraId="24FD4E7E">
      <w:pPr>
        <w:pStyle w:val="107"/>
        <w:shd w:val="clear" w:fill="FFFFFF" w:themeFill="background1"/>
        <w:ind w:firstLine="615"/>
        <w:rPr>
          <w:rFonts w:hAnsi="宋体" w:cs="宋体"/>
          <w:color w:val="auto"/>
          <w:highlight w:val="none"/>
        </w:rPr>
      </w:pPr>
      <w:r>
        <w:rPr>
          <w:rFonts w:hint="eastAsia" w:hAnsi="宋体" w:cs="宋体"/>
          <w:color w:val="auto"/>
          <w:highlight w:val="none"/>
        </w:rPr>
        <w:t>3.2.7劳务作业过程中，乙方劳务人员与当地发生的债权债务及治安等问题由乙方负责处理，并承担相应责任和费用。</w:t>
      </w:r>
    </w:p>
    <w:p w14:paraId="720B5681">
      <w:pPr>
        <w:pStyle w:val="107"/>
        <w:shd w:val="clear" w:fill="FFFFFF" w:themeFill="background1"/>
        <w:ind w:firstLine="615"/>
        <w:rPr>
          <w:rFonts w:hAnsi="宋体" w:cs="宋体"/>
          <w:color w:val="auto"/>
          <w:highlight w:val="none"/>
        </w:rPr>
      </w:pPr>
      <w:r>
        <w:rPr>
          <w:rFonts w:hint="eastAsia" w:hAnsi="宋体" w:cs="宋体"/>
          <w:color w:val="auto"/>
          <w:highlight w:val="none"/>
        </w:rPr>
        <w:t>3.2.8乙方劳务人员须认真按照行业技术规范和设计要求以及甲方的管理进行劳务作业，随时接受甲方管理人员的监督检查。</w:t>
      </w:r>
    </w:p>
    <w:p w14:paraId="0974179C">
      <w:pPr>
        <w:pStyle w:val="107"/>
        <w:shd w:val="clear" w:fill="FFFFFF" w:themeFill="background1"/>
        <w:ind w:firstLine="615"/>
        <w:rPr>
          <w:rFonts w:hAnsi="宋体" w:cs="宋体"/>
          <w:color w:val="auto"/>
          <w:highlight w:val="none"/>
        </w:rPr>
      </w:pPr>
      <w:r>
        <w:rPr>
          <w:rFonts w:hint="eastAsia" w:hAnsi="宋体" w:cs="宋体"/>
          <w:color w:val="auto"/>
          <w:highlight w:val="none"/>
        </w:rPr>
        <w:t>3.2.9乙方不得将本工程转包或者分包给其他单位或个人施工，须自行完成本协议规定的施工作业项目；在施工过程中，不得偷工减料，不得倒卖或挪用甲方供应的材料、设备、构配件、成品、半成品。</w:t>
      </w:r>
    </w:p>
    <w:p w14:paraId="222BBC71">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工期</w:t>
      </w:r>
    </w:p>
    <w:p w14:paraId="74E72F0F">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3.1  本劳务协议工期______日历天，自______年_______月______日开始至______年____月______日结束。乙方应按甲方安排的工作计划进场和退场，进、退场费用由______方承担。</w:t>
      </w:r>
    </w:p>
    <w:p w14:paraId="78DBAA8D">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3.2  在乙方工作期限期满之前，如需终止雇佣，甲方应在期满前_____天书面通知乙方。</w:t>
      </w:r>
    </w:p>
    <w:p w14:paraId="64AA7F3E">
      <w:pPr>
        <w:pStyle w:val="107"/>
        <w:shd w:val="clear" w:fill="FFFFFF" w:themeFill="background1"/>
        <w:ind w:firstLine="480"/>
        <w:rPr>
          <w:rFonts w:hAnsi="宋体" w:cs="宋体"/>
          <w:color w:val="auto"/>
          <w:highlight w:val="none"/>
        </w:rPr>
      </w:pPr>
      <w:r>
        <w:rPr>
          <w:rFonts w:hint="eastAsia" w:hAnsi="宋体" w:cs="宋体"/>
          <w:color w:val="auto"/>
          <w:highlight w:val="none"/>
        </w:rPr>
        <w:t>3.3 如需延长乙方工作期限，甲方应在期满前______天书面通知乙方。</w:t>
      </w:r>
    </w:p>
    <w:p w14:paraId="19F3204C">
      <w:pPr>
        <w:pStyle w:val="107"/>
        <w:shd w:val="clear" w:fill="FFFFFF" w:themeFill="background1"/>
        <w:ind w:firstLine="480"/>
        <w:rPr>
          <w:rFonts w:hAnsi="宋体" w:cs="宋体"/>
          <w:color w:val="auto"/>
          <w:highlight w:val="none"/>
        </w:rPr>
      </w:pPr>
      <w:r>
        <w:rPr>
          <w:rFonts w:hint="eastAsia" w:hAnsi="宋体" w:cs="宋体"/>
          <w:color w:val="auto"/>
          <w:highlight w:val="none"/>
        </w:rPr>
        <w:t>3.4 乙方未能按合同进度计划及时完成合同约定的工作，已造成或预期造成工期延误，甲方有权终止合同，也有权将本合同工程中的一部分工作交由他人完成或自行完成。在不免除本合同规定的乙方责任和义务的同时，乙方应承担由此所增加的一切费用。由于乙方原因造成工期延误，乙方应支付逾期交工违约金，逾期交工违约金为万元。乙方支付逾期交工违约金，不免除乙方完成工程及修补缺陷的义务。</w:t>
      </w:r>
    </w:p>
    <w:p w14:paraId="3BEA15F2">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材料物资和机械设备</w:t>
      </w:r>
    </w:p>
    <w:p w14:paraId="228447E0">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4.1 本工程所需材料由甲方提供。甲方提供的材料名称及允许损耗系数等见《甲方提供材料清单》（附表2）。乙方应授权专人领用甲供材料，若累计领用量超出理论用量加允许损耗用量的材料款在乙方当月劳务费结算时按上述材料的市场价加%的费用扣回。</w:t>
      </w:r>
    </w:p>
    <w:p w14:paraId="2C99F672">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 xml:space="preserve"> 4.2 甲方提供的机械设备见《甲方提供机械设备清单》（附表3），乙方应自带除甲供机械设备外的其他全部小型工具和专用工具，提供必要的辅助材料。甲方提供的机械设备乙方应妥善使用和保管，用好后及时归还，损坏或丢失由乙方按重置价赔偿。</w:t>
      </w:r>
    </w:p>
    <w:p w14:paraId="25A4C15C">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4.3 甲方提供的材料和机械设备到达工地或指定地点之后，发生的搬运、装卸、整理、清除等所有劳务工作均由方负责并承担费用。</w:t>
      </w:r>
    </w:p>
    <w:p w14:paraId="61A1504A">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劳务作业人员管理</w:t>
      </w:r>
    </w:p>
    <w:p w14:paraId="26892FFA">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5.1 乙方人员的劳动合同由乙方与其签订，建立员工花名册并及时报送给甲方备案。各类社会保险等均由乙方统一建立，并交纳费用。发现未订立劳动合同，查到一次即要求该人员停工办理上岗手续（签订劳动合同、上岗三级安全教育等），2天内未按规定办理上岗手续，即予以退场。</w:t>
      </w:r>
    </w:p>
    <w:p w14:paraId="110829FD">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5.2 乙方提供的特种作业人员，应取得特种作业上岗操作证书。乙方应对劳务人员进行岗前的业务培训和安全生产教育。</w:t>
      </w:r>
    </w:p>
    <w:p w14:paraId="0B282AB6">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 xml:space="preserve">5.3  乙方法定代表人应书面授权一名委托代理人实际履行合同义务并作为有效签字人，并配备相应的管理人员，加强对劳务人员的管理。 </w:t>
      </w:r>
    </w:p>
    <w:p w14:paraId="1BCB29F0">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5.5 乙方应及时足额发放工资，发放清单经本人签字后交甲方留存备案，需由甲方统一代为发放的，乙方需出具书面委托，并在每月底报送员工考勤表及分包人签认的工资发放表给甲方，费用在月结算款中抵扣。</w:t>
      </w:r>
    </w:p>
    <w:p w14:paraId="7B70C819">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5.6 乙方不得以任何理由和形式克扣员工工资，更不得发生员工到甲方追讨工资或有举报拖欠工资情况发生，若乙方无理克扣或拖欠工资情况属实，视为乙方违约，甲方在垫付其应得工资后，有权要求乙方支付违约金，违约金数额为每次</w:t>
      </w:r>
      <w:r>
        <w:rPr>
          <w:rFonts w:hint="eastAsia" w:hAnsi="宋体" w:cs="宋体"/>
          <w:color w:val="auto"/>
          <w:highlight w:val="none"/>
          <w:u w:val="single"/>
        </w:rPr>
        <w:t xml:space="preserve">       . </w:t>
      </w:r>
      <w:r>
        <w:rPr>
          <w:rFonts w:hint="eastAsia" w:hAnsi="宋体" w:cs="宋体"/>
          <w:color w:val="auto"/>
          <w:highlight w:val="none"/>
        </w:rPr>
        <w:t>元。</w:t>
      </w:r>
    </w:p>
    <w:p w14:paraId="097BAC2F">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劳务作业管理</w:t>
      </w:r>
    </w:p>
    <w:p w14:paraId="7F327C42">
      <w:pPr>
        <w:pStyle w:val="107"/>
        <w:shd w:val="clear" w:fill="FFFFFF" w:themeFill="background1"/>
        <w:ind w:firstLine="484" w:firstLineChars="202"/>
        <w:rPr>
          <w:rFonts w:hAnsi="宋体" w:cs="宋体"/>
          <w:color w:val="auto"/>
          <w:highlight w:val="none"/>
        </w:rPr>
      </w:pPr>
      <w:r>
        <w:rPr>
          <w:rFonts w:hint="eastAsia" w:hAnsi="宋体" w:cs="宋体"/>
          <w:color w:val="auto"/>
          <w:highlight w:val="none"/>
        </w:rPr>
        <w:t>6.1乙方承担的工程内容，不得再行转包或分包，否则视为乙方违约，由此引起的一切责任和损失均由乙方负责。</w:t>
      </w:r>
    </w:p>
    <w:p w14:paraId="4536FFD3">
      <w:pPr>
        <w:pStyle w:val="107"/>
        <w:shd w:val="clear" w:fill="FFFFFF" w:themeFill="background1"/>
        <w:ind w:firstLine="490"/>
        <w:rPr>
          <w:rFonts w:hAnsi="宋体" w:cs="宋体"/>
          <w:color w:val="auto"/>
          <w:highlight w:val="none"/>
        </w:rPr>
      </w:pPr>
      <w:r>
        <w:rPr>
          <w:rFonts w:hint="eastAsia" w:hAnsi="宋体" w:cs="宋体"/>
          <w:color w:val="auto"/>
          <w:highlight w:val="none"/>
        </w:rPr>
        <w:t>6.2 乙方违反合同约定，工程质量未达到合同约定要求的，甲方有权终止合同，并处以万元的违约金，并且由此引起的一切损失由乙方负责并赔偿甲方的损失。</w:t>
      </w:r>
    </w:p>
    <w:p w14:paraId="7E30FCAE">
      <w:pPr>
        <w:pStyle w:val="107"/>
        <w:shd w:val="clear" w:fill="FFFFFF" w:themeFill="background1"/>
        <w:ind w:firstLine="420"/>
        <w:rPr>
          <w:rFonts w:hAnsi="宋体" w:cs="宋体"/>
          <w:color w:val="auto"/>
          <w:highlight w:val="none"/>
        </w:rPr>
      </w:pPr>
      <w:r>
        <w:rPr>
          <w:rFonts w:hint="eastAsia" w:hAnsi="宋体" w:cs="宋体"/>
          <w:color w:val="auto"/>
          <w:highlight w:val="none"/>
        </w:rPr>
        <w:t>6.3乙方应按甲方规定格式和要求及时报送完整的资料给甲方，配合甲方办理中期计量支付及交工验收。</w:t>
      </w:r>
    </w:p>
    <w:p w14:paraId="69024501">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安全管理</w:t>
      </w:r>
    </w:p>
    <w:p w14:paraId="48E2EA33">
      <w:pPr>
        <w:pStyle w:val="107"/>
        <w:shd w:val="clear" w:fill="FFFFFF" w:themeFill="background1"/>
        <w:tabs>
          <w:tab w:val="left" w:pos="0"/>
        </w:tabs>
        <w:ind w:firstLine="480" w:firstLineChars="200"/>
        <w:rPr>
          <w:rFonts w:hAnsi="宋体" w:cs="宋体"/>
          <w:color w:val="auto"/>
          <w:highlight w:val="none"/>
        </w:rPr>
      </w:pPr>
      <w:r>
        <w:rPr>
          <w:rFonts w:hint="eastAsia" w:hAnsi="宋体" w:cs="宋体"/>
          <w:color w:val="auto"/>
          <w:highlight w:val="none"/>
        </w:rPr>
        <w:t>7.1 乙方应严格按施工方案和操作规程施工，因乙方原因导致的安全事故，由乙方承担主要责任，甲方承担连带责任。</w:t>
      </w:r>
    </w:p>
    <w:p w14:paraId="39B8E650">
      <w:pPr>
        <w:pStyle w:val="107"/>
        <w:shd w:val="clear" w:fill="FFFFFF" w:themeFill="background1"/>
        <w:tabs>
          <w:tab w:val="left" w:pos="0"/>
        </w:tabs>
        <w:ind w:firstLine="480" w:firstLineChars="200"/>
        <w:rPr>
          <w:rFonts w:hAnsi="宋体" w:cs="宋体"/>
          <w:color w:val="auto"/>
          <w:highlight w:val="none"/>
        </w:rPr>
      </w:pPr>
      <w:r>
        <w:rPr>
          <w:rFonts w:hint="eastAsia" w:hAnsi="宋体" w:cs="宋体"/>
          <w:color w:val="auto"/>
          <w:highlight w:val="none"/>
        </w:rPr>
        <w:t>7.2 甲方的施工方案和现场指挥应符合安全施工要求，因甲方原因导致的安全事故，其责任与损失由甲方承担。</w:t>
      </w:r>
    </w:p>
    <w:p w14:paraId="5CC512A4">
      <w:pPr>
        <w:pStyle w:val="107"/>
        <w:shd w:val="clear" w:fill="FFFFFF" w:themeFill="background1"/>
        <w:tabs>
          <w:tab w:val="left" w:pos="0"/>
        </w:tabs>
        <w:ind w:firstLine="480" w:firstLineChars="200"/>
        <w:rPr>
          <w:rFonts w:hAnsi="宋体" w:cs="宋体"/>
          <w:color w:val="auto"/>
          <w:highlight w:val="none"/>
        </w:rPr>
      </w:pPr>
      <w:r>
        <w:rPr>
          <w:rFonts w:hint="eastAsia" w:hAnsi="宋体" w:cs="宋体"/>
          <w:color w:val="auto"/>
          <w:highlight w:val="none"/>
        </w:rPr>
        <w:t>7.3 乙方应配备专职安全员，协助并服从甲方进行安全管理。</w:t>
      </w:r>
    </w:p>
    <w:p w14:paraId="12F044A4">
      <w:pPr>
        <w:pStyle w:val="107"/>
        <w:shd w:val="clear" w:fill="FFFFFF" w:themeFill="background1"/>
        <w:tabs>
          <w:tab w:val="left" w:pos="0"/>
        </w:tabs>
        <w:ind w:firstLine="480" w:firstLineChars="200"/>
        <w:rPr>
          <w:rFonts w:hAnsi="宋体" w:cs="宋体"/>
          <w:color w:val="auto"/>
          <w:highlight w:val="none"/>
        </w:rPr>
      </w:pPr>
      <w:r>
        <w:rPr>
          <w:rFonts w:hint="eastAsia" w:hAnsi="宋体" w:cs="宋体"/>
          <w:color w:val="auto"/>
          <w:highlight w:val="none"/>
        </w:rPr>
        <w:t>7.4乙方应按规范标准设置安全防护设施和配备劳动保护设施，对投入的安全生产费用按照实用实报原则向甲方计取；若安全防护设施和劳动保护设施投入不足的，甲方有权先行投入，其费用由乙方按照实用实报原则向甲方计取。如乙方施工内容存在一定的危险性，乙方应购买意外伤害保险，甲方认为有必要的，有权先行代购，费用由乙方承担。</w:t>
      </w:r>
    </w:p>
    <w:p w14:paraId="0CC8DD3B">
      <w:pPr>
        <w:pStyle w:val="107"/>
        <w:shd w:val="clear" w:fill="FFFFFF" w:themeFill="background1"/>
        <w:tabs>
          <w:tab w:val="left" w:pos="0"/>
        </w:tabs>
        <w:ind w:firstLine="480" w:firstLineChars="200"/>
        <w:rPr>
          <w:rFonts w:hAnsi="宋体" w:cs="宋体"/>
          <w:color w:val="auto"/>
          <w:highlight w:val="none"/>
        </w:rPr>
      </w:pPr>
      <w:r>
        <w:rPr>
          <w:rFonts w:hint="eastAsia" w:hAnsi="宋体" w:cs="宋体"/>
          <w:color w:val="auto"/>
          <w:highlight w:val="none"/>
        </w:rPr>
        <w:t>7.5 乙方的特种作业人员应持证上岗，证件复印件留甲方备查。</w:t>
      </w:r>
    </w:p>
    <w:p w14:paraId="14098E42">
      <w:pPr>
        <w:pStyle w:val="107"/>
        <w:shd w:val="clear" w:fill="FFFFFF" w:themeFill="background1"/>
        <w:tabs>
          <w:tab w:val="left" w:pos="0"/>
        </w:tabs>
        <w:ind w:firstLine="480" w:firstLineChars="200"/>
        <w:rPr>
          <w:rFonts w:hAnsi="宋体" w:cs="宋体"/>
          <w:color w:val="auto"/>
          <w:highlight w:val="none"/>
        </w:rPr>
      </w:pPr>
      <w:r>
        <w:rPr>
          <w:rFonts w:hint="eastAsia" w:hAnsi="宋体" w:cs="宋体"/>
          <w:color w:val="auto"/>
          <w:highlight w:val="none"/>
        </w:rPr>
        <w:t>7.6 因乙方原因，导致发生安全事故和治安事件等，整改不力的，甲方有权终止本合同，并追偿损失。</w:t>
      </w:r>
    </w:p>
    <w:p w14:paraId="6D5811F5">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结算支付</w:t>
      </w:r>
    </w:p>
    <w:p w14:paraId="67D2AEB0">
      <w:pPr>
        <w:pStyle w:val="107"/>
        <w:shd w:val="clear" w:fill="FFFFFF" w:themeFill="background1"/>
        <w:ind w:firstLine="600" w:firstLineChars="250"/>
        <w:rPr>
          <w:rFonts w:hAnsi="宋体" w:cs="宋体"/>
          <w:color w:val="auto"/>
          <w:highlight w:val="none"/>
        </w:rPr>
      </w:pPr>
      <w:r>
        <w:rPr>
          <w:rFonts w:hint="eastAsia" w:hAnsi="宋体" w:cs="宋体"/>
          <w:color w:val="auto"/>
          <w:highlight w:val="none"/>
        </w:rPr>
        <w:t>8.1甲方每月在得到业主支付的计量款后按合同约定进行劳务费的结算和支付。</w:t>
      </w:r>
    </w:p>
    <w:p w14:paraId="0C9B5C87">
      <w:pPr>
        <w:pStyle w:val="107"/>
        <w:shd w:val="clear" w:fill="FFFFFF" w:themeFill="background1"/>
        <w:ind w:firstLine="600" w:firstLineChars="250"/>
        <w:rPr>
          <w:rFonts w:hAnsi="宋体" w:cs="宋体"/>
          <w:color w:val="auto"/>
          <w:highlight w:val="none"/>
        </w:rPr>
      </w:pPr>
      <w:r>
        <w:rPr>
          <w:rFonts w:hint="eastAsia" w:hAnsi="宋体" w:cs="宋体"/>
          <w:color w:val="auto"/>
          <w:highlight w:val="none"/>
        </w:rPr>
        <w:t>8.2甲方无故未按时支付劳务款的，按同期中国人民银行贷款利率偿付给乙方逾期付款违约金。</w:t>
      </w:r>
    </w:p>
    <w:p w14:paraId="2DD4A001">
      <w:pPr>
        <w:pStyle w:val="107"/>
        <w:numPr>
          <w:ilvl w:val="0"/>
          <w:numId w:val="24"/>
        </w:numPr>
        <w:shd w:val="clear" w:fill="FFFFFF" w:themeFill="background1"/>
        <w:jc w:val="left"/>
        <w:rPr>
          <w:rFonts w:hAnsi="宋体" w:cs="宋体"/>
          <w:b/>
          <w:color w:val="auto"/>
          <w:highlight w:val="none"/>
        </w:rPr>
      </w:pPr>
      <w:r>
        <w:rPr>
          <w:rFonts w:hint="eastAsia" w:hAnsi="宋体" w:cs="宋体"/>
          <w:b/>
          <w:color w:val="auto"/>
          <w:highlight w:val="none"/>
        </w:rPr>
        <w:t xml:space="preserve"> 附则</w:t>
      </w:r>
    </w:p>
    <w:p w14:paraId="160B5EFD">
      <w:pPr>
        <w:pStyle w:val="107"/>
        <w:shd w:val="clear" w:fill="FFFFFF" w:themeFill="background1"/>
        <w:ind w:firstLine="420"/>
        <w:rPr>
          <w:rFonts w:hAnsi="宋体" w:cs="宋体"/>
          <w:color w:val="auto"/>
          <w:highlight w:val="none"/>
        </w:rPr>
      </w:pPr>
      <w:r>
        <w:rPr>
          <w:rFonts w:hint="eastAsia" w:hAnsi="宋体" w:cs="宋体"/>
          <w:color w:val="auto"/>
          <w:highlight w:val="none"/>
        </w:rPr>
        <w:t>9.1本协议发生纠纷时，当事人双方应及时协商解决。若协商不成时，应按以下第(  )项解决：(a)向工程所在地的仲裁委员会申请仲裁，(b)向人民法院起诉。</w:t>
      </w:r>
    </w:p>
    <w:p w14:paraId="07C2CE86">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9.2本协议一式份，甲乙双方各执正本一份，副本份，其余副本报驻地监理办和发包人。合同经发包人备案后生效。</w:t>
      </w:r>
    </w:p>
    <w:p w14:paraId="6DB061AC">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合同订立时间：年   月   日；签订合同地点：。</w:t>
      </w:r>
    </w:p>
    <w:p w14:paraId="5443BD28">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9.3双方商定的补充条款：</w:t>
      </w:r>
    </w:p>
    <w:p w14:paraId="50CE1416">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1.</w:t>
      </w:r>
    </w:p>
    <w:p w14:paraId="468FCE5C">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2.</w:t>
      </w:r>
    </w:p>
    <w:p w14:paraId="39B94ED6">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w:t>
      </w:r>
    </w:p>
    <w:p w14:paraId="2B8A089F">
      <w:pPr>
        <w:pStyle w:val="107"/>
        <w:shd w:val="clear" w:fill="FFFFFF" w:themeFill="background1"/>
        <w:ind w:firstLine="480" w:firstLineChars="200"/>
        <w:rPr>
          <w:rFonts w:hAnsi="宋体" w:cs="宋体"/>
          <w:color w:val="auto"/>
          <w:highlight w:val="none"/>
        </w:rPr>
      </w:pPr>
    </w:p>
    <w:p w14:paraId="7DA55E97">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四、本合同未尽事宜，业主与甲方签订的相关条款已有的，按其办理，未涉及的，双方协商解决。</w:t>
      </w:r>
    </w:p>
    <w:p w14:paraId="497E5621">
      <w:pPr>
        <w:pStyle w:val="107"/>
        <w:shd w:val="clear" w:fill="FFFFFF" w:themeFill="background1"/>
        <w:ind w:firstLine="480" w:firstLineChars="200"/>
        <w:rPr>
          <w:rFonts w:hAnsi="宋体" w:cs="宋体"/>
          <w:color w:val="auto"/>
          <w:highlight w:val="none"/>
        </w:rPr>
      </w:pPr>
      <w:r>
        <w:rPr>
          <w:rFonts w:hint="eastAsia" w:hAnsi="宋体" w:cs="宋体"/>
          <w:color w:val="auto"/>
          <w:highlight w:val="none"/>
        </w:rPr>
        <w:t>合同附件：</w:t>
      </w:r>
    </w:p>
    <w:p w14:paraId="686717F6">
      <w:pPr>
        <w:pStyle w:val="107"/>
        <w:numPr>
          <w:ilvl w:val="0"/>
          <w:numId w:val="27"/>
        </w:numPr>
        <w:shd w:val="clear" w:fill="FFFFFF" w:themeFill="background1"/>
        <w:ind w:left="782" w:firstLine="74"/>
        <w:rPr>
          <w:rFonts w:hAnsi="宋体" w:cs="宋体"/>
          <w:color w:val="auto"/>
          <w:highlight w:val="none"/>
        </w:rPr>
      </w:pPr>
      <w:r>
        <w:rPr>
          <w:rFonts w:hint="eastAsia" w:hAnsi="宋体" w:cs="宋体"/>
          <w:color w:val="auto"/>
          <w:highlight w:val="none"/>
        </w:rPr>
        <w:t>劳务计价清单</w:t>
      </w:r>
    </w:p>
    <w:p w14:paraId="2A06A782">
      <w:pPr>
        <w:pStyle w:val="107"/>
        <w:numPr>
          <w:ilvl w:val="0"/>
          <w:numId w:val="27"/>
        </w:numPr>
        <w:shd w:val="clear" w:fill="FFFFFF" w:themeFill="background1"/>
        <w:ind w:left="782" w:firstLine="74"/>
        <w:rPr>
          <w:rFonts w:hAnsi="宋体" w:cs="宋体"/>
          <w:color w:val="auto"/>
          <w:highlight w:val="none"/>
        </w:rPr>
      </w:pPr>
      <w:r>
        <w:rPr>
          <w:rFonts w:hint="eastAsia" w:hAnsi="宋体" w:cs="宋体"/>
          <w:color w:val="auto"/>
          <w:highlight w:val="none"/>
        </w:rPr>
        <w:t>甲方提供材料清单</w:t>
      </w:r>
    </w:p>
    <w:p w14:paraId="3B92B485">
      <w:pPr>
        <w:pStyle w:val="107"/>
        <w:numPr>
          <w:ilvl w:val="0"/>
          <w:numId w:val="27"/>
        </w:numPr>
        <w:shd w:val="clear" w:fill="FFFFFF" w:themeFill="background1"/>
        <w:ind w:left="782" w:firstLine="74"/>
        <w:rPr>
          <w:rFonts w:hAnsi="宋体" w:cs="宋体"/>
          <w:color w:val="auto"/>
          <w:highlight w:val="none"/>
        </w:rPr>
      </w:pPr>
      <w:r>
        <w:rPr>
          <w:rFonts w:hint="eastAsia" w:hAnsi="宋体" w:cs="宋体"/>
          <w:color w:val="auto"/>
          <w:highlight w:val="none"/>
        </w:rPr>
        <w:t>甲方提供机械设备清单</w:t>
      </w:r>
    </w:p>
    <w:p w14:paraId="53E8C459">
      <w:pPr>
        <w:pStyle w:val="107"/>
        <w:numPr>
          <w:ilvl w:val="0"/>
          <w:numId w:val="27"/>
        </w:numPr>
        <w:shd w:val="clear" w:fill="FFFFFF" w:themeFill="background1"/>
        <w:ind w:left="782" w:firstLine="74"/>
        <w:rPr>
          <w:rFonts w:hAnsi="宋体" w:cs="宋体"/>
          <w:color w:val="auto"/>
          <w:highlight w:val="none"/>
        </w:rPr>
      </w:pPr>
      <w:r>
        <w:rPr>
          <w:rFonts w:hint="eastAsia" w:hAnsi="宋体" w:cs="宋体"/>
          <w:color w:val="auto"/>
          <w:highlight w:val="none"/>
        </w:rPr>
        <w:t>乙方投入关键人员表</w:t>
      </w:r>
    </w:p>
    <w:p w14:paraId="72C350EF">
      <w:pPr>
        <w:pStyle w:val="107"/>
        <w:shd w:val="clear" w:fill="FFFFFF" w:themeFill="background1"/>
        <w:rPr>
          <w:rFonts w:hAnsi="宋体" w:cs="宋体"/>
          <w:color w:val="auto"/>
          <w:highlight w:val="none"/>
        </w:rPr>
      </w:pPr>
      <w:r>
        <w:rPr>
          <w:rFonts w:hint="eastAsia" w:hAnsi="宋体" w:cs="宋体"/>
          <w:color w:val="auto"/>
          <w:highlight w:val="none"/>
        </w:rPr>
        <w:t>甲  方： (盖章)                            乙  方：(盖章)</w:t>
      </w:r>
    </w:p>
    <w:p w14:paraId="7C4B5A25">
      <w:pPr>
        <w:pStyle w:val="107"/>
        <w:shd w:val="clear" w:fill="FFFFFF" w:themeFill="background1"/>
        <w:rPr>
          <w:rFonts w:hAnsi="宋体" w:cs="宋体"/>
          <w:color w:val="auto"/>
          <w:highlight w:val="none"/>
        </w:rPr>
      </w:pPr>
      <w:r>
        <w:rPr>
          <w:rFonts w:hint="eastAsia" w:hAnsi="宋体" w:cs="宋体"/>
          <w:color w:val="auto"/>
          <w:highlight w:val="none"/>
        </w:rPr>
        <w:t>法定代表人：(签字)                         法定代表人：(签字)</w:t>
      </w:r>
    </w:p>
    <w:p w14:paraId="06685A78">
      <w:pPr>
        <w:pStyle w:val="107"/>
        <w:shd w:val="clear" w:fill="FFFFFF" w:themeFill="background1"/>
        <w:rPr>
          <w:rFonts w:hAnsi="宋体" w:cs="宋体"/>
          <w:color w:val="auto"/>
          <w:highlight w:val="none"/>
        </w:rPr>
      </w:pPr>
      <w:r>
        <w:rPr>
          <w:rFonts w:hint="eastAsia" w:hAnsi="宋体" w:cs="宋体"/>
          <w:color w:val="auto"/>
          <w:highlight w:val="none"/>
        </w:rPr>
        <w:t>委托代理人：(签字)                         委托代理人：(签字)</w:t>
      </w:r>
    </w:p>
    <w:p w14:paraId="7B6D3510">
      <w:pPr>
        <w:pStyle w:val="107"/>
        <w:shd w:val="clear" w:fill="FFFFFF" w:themeFill="background1"/>
        <w:rPr>
          <w:rFonts w:hAnsi="宋体" w:cs="宋体"/>
          <w:color w:val="auto"/>
          <w:highlight w:val="none"/>
        </w:rPr>
      </w:pPr>
      <w:r>
        <w:rPr>
          <w:rFonts w:hint="eastAsia" w:hAnsi="宋体" w:cs="宋体"/>
          <w:color w:val="auto"/>
          <w:highlight w:val="none"/>
        </w:rPr>
        <w:t>地    址：                                地    址：</w:t>
      </w:r>
    </w:p>
    <w:p w14:paraId="22263111">
      <w:pPr>
        <w:pStyle w:val="107"/>
        <w:shd w:val="clear" w:fill="FFFFFF" w:themeFill="background1"/>
        <w:rPr>
          <w:rFonts w:hAnsi="宋体" w:cs="宋体"/>
          <w:color w:val="auto"/>
          <w:highlight w:val="none"/>
        </w:rPr>
      </w:pPr>
      <w:r>
        <w:rPr>
          <w:rFonts w:hint="eastAsia" w:hAnsi="宋体" w:cs="宋体"/>
          <w:color w:val="auto"/>
          <w:highlight w:val="none"/>
        </w:rPr>
        <w:t>邮政编码：                                邮政编码：</w:t>
      </w:r>
    </w:p>
    <w:p w14:paraId="229EA7CC">
      <w:pPr>
        <w:pStyle w:val="107"/>
        <w:shd w:val="clear" w:fill="FFFFFF" w:themeFill="background1"/>
        <w:rPr>
          <w:rFonts w:hAnsi="宋体" w:cs="宋体"/>
          <w:color w:val="auto"/>
          <w:highlight w:val="none"/>
        </w:rPr>
      </w:pPr>
      <w:r>
        <w:rPr>
          <w:rFonts w:hint="eastAsia" w:hAnsi="宋体" w:cs="宋体"/>
          <w:color w:val="auto"/>
          <w:highlight w:val="none"/>
        </w:rPr>
        <w:t>电    话：                                 电    话：</w:t>
      </w:r>
    </w:p>
    <w:p w14:paraId="48E83F77">
      <w:pPr>
        <w:pStyle w:val="107"/>
        <w:shd w:val="clear" w:fill="FFFFFF" w:themeFill="background1"/>
        <w:rPr>
          <w:rFonts w:hAnsi="宋体" w:cs="宋体"/>
          <w:color w:val="auto"/>
          <w:highlight w:val="none"/>
        </w:rPr>
      </w:pPr>
      <w:r>
        <w:rPr>
          <w:rFonts w:hint="eastAsia" w:hAnsi="宋体" w:cs="宋体"/>
          <w:color w:val="auto"/>
          <w:highlight w:val="none"/>
        </w:rPr>
        <w:t>传  真：                                   传  真：</w:t>
      </w:r>
    </w:p>
    <w:p w14:paraId="2D72258F">
      <w:pPr>
        <w:pStyle w:val="107"/>
        <w:shd w:val="clear" w:fill="FFFFFF" w:themeFill="background1"/>
        <w:rPr>
          <w:rFonts w:hAnsi="宋体" w:cs="宋体"/>
          <w:color w:val="auto"/>
          <w:highlight w:val="none"/>
        </w:rPr>
      </w:pPr>
      <w:r>
        <w:rPr>
          <w:rFonts w:hint="eastAsia" w:hAnsi="宋体" w:cs="宋体"/>
          <w:color w:val="auto"/>
          <w:highlight w:val="none"/>
        </w:rPr>
        <w:t>开户银行：                                 开户银行：</w:t>
      </w:r>
    </w:p>
    <w:p w14:paraId="47EC1159">
      <w:pPr>
        <w:pStyle w:val="107"/>
        <w:shd w:val="clear" w:fill="FFFFFF" w:themeFill="background1"/>
        <w:rPr>
          <w:rFonts w:hAnsi="宋体" w:cs="宋体"/>
          <w:color w:val="auto"/>
          <w:highlight w:val="none"/>
        </w:rPr>
      </w:pPr>
      <w:r>
        <w:rPr>
          <w:rFonts w:hint="eastAsia" w:hAnsi="宋体" w:cs="宋体"/>
          <w:color w:val="auto"/>
          <w:highlight w:val="none"/>
        </w:rPr>
        <w:t>银行帐号：                                 银行帐号：</w:t>
      </w:r>
    </w:p>
    <w:p w14:paraId="11AE2710">
      <w:pPr>
        <w:pStyle w:val="107"/>
        <w:shd w:val="clear" w:fill="FFFFFF" w:themeFill="background1"/>
        <w:rPr>
          <w:rFonts w:hAnsi="宋体" w:cs="宋体"/>
          <w:color w:val="auto"/>
          <w:highlight w:val="none"/>
        </w:rPr>
      </w:pPr>
      <w:r>
        <w:rPr>
          <w:rFonts w:hint="eastAsia" w:hAnsi="宋体" w:cs="宋体"/>
          <w:color w:val="auto"/>
          <w:highlight w:val="none"/>
        </w:rPr>
        <w:t>签订时间：                                 签订时间：</w:t>
      </w:r>
    </w:p>
    <w:p w14:paraId="126D4C80">
      <w:pPr>
        <w:pStyle w:val="107"/>
        <w:shd w:val="clear" w:fill="FFFFFF" w:themeFill="background1"/>
        <w:rPr>
          <w:rFonts w:hAnsi="宋体" w:cs="宋体"/>
          <w:color w:val="auto"/>
          <w:highlight w:val="none"/>
        </w:rPr>
      </w:pPr>
    </w:p>
    <w:p w14:paraId="7B572765">
      <w:pPr>
        <w:pStyle w:val="107"/>
        <w:shd w:val="clear" w:fill="FFFFFF" w:themeFill="background1"/>
        <w:jc w:val="center"/>
        <w:rPr>
          <w:rFonts w:hAnsi="宋体" w:cs="宋体"/>
          <w:b/>
          <w:color w:val="auto"/>
          <w:sz w:val="28"/>
          <w:szCs w:val="28"/>
          <w:highlight w:val="none"/>
        </w:rPr>
      </w:pPr>
      <w:r>
        <w:rPr>
          <w:rFonts w:hint="eastAsia" w:hAnsi="宋体" w:cs="宋体"/>
          <w:color w:val="auto"/>
          <w:highlight w:val="none"/>
        </w:rPr>
        <w:br w:type="page"/>
      </w:r>
      <w:r>
        <w:rPr>
          <w:rFonts w:hint="eastAsia" w:hAnsi="宋体" w:cs="宋体"/>
          <w:b/>
          <w:color w:val="auto"/>
          <w:sz w:val="28"/>
          <w:szCs w:val="28"/>
          <w:highlight w:val="none"/>
        </w:rPr>
        <w:t>附表1：劳务计价清单</w:t>
      </w:r>
    </w:p>
    <w:p w14:paraId="699A61F0">
      <w:pPr>
        <w:pStyle w:val="107"/>
        <w:shd w:val="clear" w:fill="FFFFFF" w:themeFill="background1"/>
        <w:rPr>
          <w:rFonts w:hAnsi="宋体" w:cs="宋体"/>
          <w:b/>
          <w:bCs/>
          <w:color w:val="auto"/>
          <w:highlight w:val="none"/>
        </w:rPr>
      </w:pPr>
      <w:r>
        <w:rPr>
          <w:rFonts w:hint="eastAsia" w:hAnsi="宋体" w:cs="宋体"/>
          <w:color w:val="auto"/>
          <w:highlight w:val="none"/>
        </w:rPr>
        <w:t xml:space="preserve">工程名称及合同段：                               劳务单位：        </w:t>
      </w:r>
    </w:p>
    <w:tbl>
      <w:tblPr>
        <w:tblStyle w:val="4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1752"/>
        <w:gridCol w:w="1122"/>
        <w:gridCol w:w="791"/>
        <w:gridCol w:w="1471"/>
        <w:gridCol w:w="1140"/>
        <w:gridCol w:w="1123"/>
      </w:tblGrid>
      <w:tr w14:paraId="388B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tcPr>
          <w:p w14:paraId="15EA26EF">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编号</w:t>
            </w:r>
          </w:p>
        </w:tc>
        <w:tc>
          <w:tcPr>
            <w:tcW w:w="1752" w:type="dxa"/>
          </w:tcPr>
          <w:p w14:paraId="39419700">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工程项目名称</w:t>
            </w:r>
          </w:p>
        </w:tc>
        <w:tc>
          <w:tcPr>
            <w:tcW w:w="1122" w:type="dxa"/>
          </w:tcPr>
          <w:p w14:paraId="1A6348F4">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单位</w:t>
            </w:r>
          </w:p>
        </w:tc>
        <w:tc>
          <w:tcPr>
            <w:tcW w:w="791" w:type="dxa"/>
          </w:tcPr>
          <w:p w14:paraId="3B3ECAA7">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数量</w:t>
            </w:r>
          </w:p>
        </w:tc>
        <w:tc>
          <w:tcPr>
            <w:tcW w:w="1471" w:type="dxa"/>
          </w:tcPr>
          <w:p w14:paraId="73FDF724">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单价 (元)</w:t>
            </w:r>
          </w:p>
        </w:tc>
        <w:tc>
          <w:tcPr>
            <w:tcW w:w="1140" w:type="dxa"/>
          </w:tcPr>
          <w:p w14:paraId="07E3B196">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金额 (元)</w:t>
            </w:r>
          </w:p>
        </w:tc>
        <w:tc>
          <w:tcPr>
            <w:tcW w:w="1123" w:type="dxa"/>
          </w:tcPr>
          <w:p w14:paraId="391049EB">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预定工期</w:t>
            </w:r>
          </w:p>
        </w:tc>
      </w:tr>
      <w:tr w14:paraId="2DE8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23" w:type="dxa"/>
          </w:tcPr>
          <w:p w14:paraId="555FFDE2">
            <w:pPr>
              <w:pStyle w:val="107"/>
              <w:shd w:val="clear" w:fill="FFFFFF" w:themeFill="background1"/>
              <w:rPr>
                <w:rFonts w:hAnsi="宋体" w:cs="宋体"/>
                <w:b/>
                <w:color w:val="auto"/>
                <w:szCs w:val="21"/>
                <w:highlight w:val="none"/>
              </w:rPr>
            </w:pPr>
          </w:p>
        </w:tc>
        <w:tc>
          <w:tcPr>
            <w:tcW w:w="1752" w:type="dxa"/>
          </w:tcPr>
          <w:p w14:paraId="344DD10E">
            <w:pPr>
              <w:pStyle w:val="107"/>
              <w:shd w:val="clear" w:fill="FFFFFF" w:themeFill="background1"/>
              <w:rPr>
                <w:rFonts w:hAnsi="宋体" w:cs="宋体"/>
                <w:b/>
                <w:color w:val="auto"/>
                <w:szCs w:val="21"/>
                <w:highlight w:val="none"/>
              </w:rPr>
            </w:pPr>
          </w:p>
        </w:tc>
        <w:tc>
          <w:tcPr>
            <w:tcW w:w="1122" w:type="dxa"/>
          </w:tcPr>
          <w:p w14:paraId="260D0C33">
            <w:pPr>
              <w:pStyle w:val="107"/>
              <w:shd w:val="clear" w:fill="FFFFFF" w:themeFill="background1"/>
              <w:rPr>
                <w:rFonts w:hAnsi="宋体" w:cs="宋体"/>
                <w:b/>
                <w:color w:val="auto"/>
                <w:szCs w:val="21"/>
                <w:highlight w:val="none"/>
              </w:rPr>
            </w:pPr>
          </w:p>
        </w:tc>
        <w:tc>
          <w:tcPr>
            <w:tcW w:w="791" w:type="dxa"/>
          </w:tcPr>
          <w:p w14:paraId="736A9558">
            <w:pPr>
              <w:pStyle w:val="107"/>
              <w:shd w:val="clear" w:fill="FFFFFF" w:themeFill="background1"/>
              <w:rPr>
                <w:rFonts w:hAnsi="宋体" w:cs="宋体"/>
                <w:b/>
                <w:color w:val="auto"/>
                <w:szCs w:val="21"/>
                <w:highlight w:val="none"/>
              </w:rPr>
            </w:pPr>
          </w:p>
        </w:tc>
        <w:tc>
          <w:tcPr>
            <w:tcW w:w="1471" w:type="dxa"/>
          </w:tcPr>
          <w:p w14:paraId="285F3D28">
            <w:pPr>
              <w:pStyle w:val="107"/>
              <w:shd w:val="clear" w:fill="FFFFFF" w:themeFill="background1"/>
              <w:rPr>
                <w:rFonts w:hAnsi="宋体" w:cs="宋体"/>
                <w:b/>
                <w:color w:val="auto"/>
                <w:szCs w:val="21"/>
                <w:highlight w:val="none"/>
              </w:rPr>
            </w:pPr>
          </w:p>
        </w:tc>
        <w:tc>
          <w:tcPr>
            <w:tcW w:w="1140" w:type="dxa"/>
          </w:tcPr>
          <w:p w14:paraId="4B0196B7">
            <w:pPr>
              <w:pStyle w:val="107"/>
              <w:shd w:val="clear" w:fill="FFFFFF" w:themeFill="background1"/>
              <w:rPr>
                <w:rFonts w:hAnsi="宋体" w:cs="宋体"/>
                <w:b/>
                <w:color w:val="auto"/>
                <w:szCs w:val="21"/>
                <w:highlight w:val="none"/>
              </w:rPr>
            </w:pPr>
          </w:p>
        </w:tc>
        <w:tc>
          <w:tcPr>
            <w:tcW w:w="1123" w:type="dxa"/>
          </w:tcPr>
          <w:p w14:paraId="6AAF09C4">
            <w:pPr>
              <w:pStyle w:val="107"/>
              <w:shd w:val="clear" w:fill="FFFFFF" w:themeFill="background1"/>
              <w:rPr>
                <w:rFonts w:hAnsi="宋体" w:cs="宋体"/>
                <w:b/>
                <w:color w:val="auto"/>
                <w:szCs w:val="21"/>
                <w:highlight w:val="none"/>
              </w:rPr>
            </w:pPr>
          </w:p>
        </w:tc>
      </w:tr>
      <w:tr w14:paraId="6979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123" w:type="dxa"/>
          </w:tcPr>
          <w:p w14:paraId="3AE39587">
            <w:pPr>
              <w:pStyle w:val="107"/>
              <w:shd w:val="clear" w:fill="FFFFFF" w:themeFill="background1"/>
              <w:rPr>
                <w:rFonts w:hAnsi="宋体" w:cs="宋体"/>
                <w:b/>
                <w:color w:val="auto"/>
                <w:szCs w:val="21"/>
                <w:highlight w:val="none"/>
              </w:rPr>
            </w:pPr>
          </w:p>
        </w:tc>
        <w:tc>
          <w:tcPr>
            <w:tcW w:w="1752" w:type="dxa"/>
          </w:tcPr>
          <w:p w14:paraId="0ED4C16C">
            <w:pPr>
              <w:pStyle w:val="107"/>
              <w:shd w:val="clear" w:fill="FFFFFF" w:themeFill="background1"/>
              <w:rPr>
                <w:rFonts w:hAnsi="宋体" w:cs="宋体"/>
                <w:b/>
                <w:color w:val="auto"/>
                <w:szCs w:val="21"/>
                <w:highlight w:val="none"/>
              </w:rPr>
            </w:pPr>
          </w:p>
        </w:tc>
        <w:tc>
          <w:tcPr>
            <w:tcW w:w="1122" w:type="dxa"/>
          </w:tcPr>
          <w:p w14:paraId="5C655149">
            <w:pPr>
              <w:pStyle w:val="107"/>
              <w:shd w:val="clear" w:fill="FFFFFF" w:themeFill="background1"/>
              <w:rPr>
                <w:rFonts w:hAnsi="宋体" w:cs="宋体"/>
                <w:b/>
                <w:color w:val="auto"/>
                <w:szCs w:val="21"/>
                <w:highlight w:val="none"/>
              </w:rPr>
            </w:pPr>
          </w:p>
        </w:tc>
        <w:tc>
          <w:tcPr>
            <w:tcW w:w="791" w:type="dxa"/>
          </w:tcPr>
          <w:p w14:paraId="6E73F237">
            <w:pPr>
              <w:pStyle w:val="107"/>
              <w:shd w:val="clear" w:fill="FFFFFF" w:themeFill="background1"/>
              <w:rPr>
                <w:rFonts w:hAnsi="宋体" w:cs="宋体"/>
                <w:b/>
                <w:color w:val="auto"/>
                <w:szCs w:val="21"/>
                <w:highlight w:val="none"/>
              </w:rPr>
            </w:pPr>
          </w:p>
        </w:tc>
        <w:tc>
          <w:tcPr>
            <w:tcW w:w="1471" w:type="dxa"/>
          </w:tcPr>
          <w:p w14:paraId="470CE66B">
            <w:pPr>
              <w:pStyle w:val="107"/>
              <w:shd w:val="clear" w:fill="FFFFFF" w:themeFill="background1"/>
              <w:rPr>
                <w:rFonts w:hAnsi="宋体" w:cs="宋体"/>
                <w:b/>
                <w:color w:val="auto"/>
                <w:szCs w:val="21"/>
                <w:highlight w:val="none"/>
              </w:rPr>
            </w:pPr>
          </w:p>
        </w:tc>
        <w:tc>
          <w:tcPr>
            <w:tcW w:w="1140" w:type="dxa"/>
          </w:tcPr>
          <w:p w14:paraId="67054F93">
            <w:pPr>
              <w:pStyle w:val="107"/>
              <w:shd w:val="clear" w:fill="FFFFFF" w:themeFill="background1"/>
              <w:rPr>
                <w:rFonts w:hAnsi="宋体" w:cs="宋体"/>
                <w:b/>
                <w:color w:val="auto"/>
                <w:szCs w:val="21"/>
                <w:highlight w:val="none"/>
              </w:rPr>
            </w:pPr>
          </w:p>
        </w:tc>
        <w:tc>
          <w:tcPr>
            <w:tcW w:w="1123" w:type="dxa"/>
          </w:tcPr>
          <w:p w14:paraId="5F9BD1B5">
            <w:pPr>
              <w:pStyle w:val="107"/>
              <w:shd w:val="clear" w:fill="FFFFFF" w:themeFill="background1"/>
              <w:rPr>
                <w:rFonts w:hAnsi="宋体" w:cs="宋体"/>
                <w:b/>
                <w:color w:val="auto"/>
                <w:szCs w:val="21"/>
                <w:highlight w:val="none"/>
              </w:rPr>
            </w:pPr>
          </w:p>
        </w:tc>
      </w:tr>
    </w:tbl>
    <w:p w14:paraId="39902515">
      <w:pPr>
        <w:pStyle w:val="107"/>
        <w:shd w:val="clear" w:fill="FFFFFF" w:themeFill="background1"/>
        <w:jc w:val="center"/>
        <w:rPr>
          <w:rFonts w:hAnsi="宋体" w:cs="宋体"/>
          <w:b/>
          <w:color w:val="auto"/>
          <w:sz w:val="28"/>
          <w:szCs w:val="28"/>
          <w:highlight w:val="none"/>
        </w:rPr>
      </w:pPr>
      <w:r>
        <w:rPr>
          <w:rFonts w:hint="eastAsia" w:hAnsi="宋体" w:cs="宋体"/>
          <w:b/>
          <w:color w:val="auto"/>
          <w:sz w:val="28"/>
          <w:szCs w:val="28"/>
          <w:highlight w:val="none"/>
        </w:rPr>
        <w:t>附表2：甲方提供材料清单</w:t>
      </w:r>
    </w:p>
    <w:p w14:paraId="4C9CBFEC">
      <w:pPr>
        <w:pStyle w:val="107"/>
        <w:shd w:val="clear" w:fill="FFFFFF" w:themeFill="background1"/>
        <w:rPr>
          <w:rFonts w:hAnsi="宋体" w:cs="宋体"/>
          <w:b/>
          <w:bCs/>
          <w:color w:val="auto"/>
          <w:highlight w:val="none"/>
        </w:rPr>
      </w:pPr>
      <w:r>
        <w:rPr>
          <w:rFonts w:hint="eastAsia" w:hAnsi="宋体" w:cs="宋体"/>
          <w:color w:val="auto"/>
          <w:highlight w:val="none"/>
        </w:rPr>
        <w:t xml:space="preserve">工程名称及合同段：                           劳务单位：        </w:t>
      </w:r>
    </w:p>
    <w:tbl>
      <w:tblPr>
        <w:tblStyle w:val="45"/>
        <w:tblW w:w="90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1382"/>
        <w:gridCol w:w="1242"/>
        <w:gridCol w:w="684"/>
        <w:gridCol w:w="1206"/>
        <w:gridCol w:w="640"/>
        <w:gridCol w:w="1601"/>
        <w:gridCol w:w="720"/>
        <w:gridCol w:w="743"/>
      </w:tblGrid>
      <w:tr w14:paraId="1F9C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803" w:type="dxa"/>
            <w:vAlign w:val="center"/>
          </w:tcPr>
          <w:p w14:paraId="609D0AD4">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序号</w:t>
            </w:r>
          </w:p>
        </w:tc>
        <w:tc>
          <w:tcPr>
            <w:tcW w:w="1382" w:type="dxa"/>
            <w:vAlign w:val="center"/>
          </w:tcPr>
          <w:p w14:paraId="36220325">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品种</w:t>
            </w:r>
          </w:p>
        </w:tc>
        <w:tc>
          <w:tcPr>
            <w:tcW w:w="1242" w:type="dxa"/>
            <w:vAlign w:val="center"/>
          </w:tcPr>
          <w:p w14:paraId="6509362B">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规格型号</w:t>
            </w:r>
          </w:p>
        </w:tc>
        <w:tc>
          <w:tcPr>
            <w:tcW w:w="684" w:type="dxa"/>
            <w:vAlign w:val="center"/>
          </w:tcPr>
          <w:p w14:paraId="29B05C59">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单位</w:t>
            </w:r>
          </w:p>
        </w:tc>
        <w:tc>
          <w:tcPr>
            <w:tcW w:w="1206" w:type="dxa"/>
            <w:vAlign w:val="center"/>
          </w:tcPr>
          <w:p w14:paraId="4D0B6813">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图纸数量</w:t>
            </w:r>
          </w:p>
        </w:tc>
        <w:tc>
          <w:tcPr>
            <w:tcW w:w="640" w:type="dxa"/>
            <w:vAlign w:val="center"/>
          </w:tcPr>
          <w:p w14:paraId="49C40120">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单价</w:t>
            </w:r>
          </w:p>
        </w:tc>
        <w:tc>
          <w:tcPr>
            <w:tcW w:w="1601" w:type="dxa"/>
            <w:vAlign w:val="center"/>
          </w:tcPr>
          <w:p w14:paraId="644C58E9">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损耗系数%</w:t>
            </w:r>
          </w:p>
        </w:tc>
        <w:tc>
          <w:tcPr>
            <w:tcW w:w="720" w:type="dxa"/>
            <w:vAlign w:val="center"/>
          </w:tcPr>
          <w:p w14:paraId="5FD08F6E">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交货</w:t>
            </w:r>
          </w:p>
          <w:p w14:paraId="6F9A4F0C">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时间</w:t>
            </w:r>
          </w:p>
        </w:tc>
        <w:tc>
          <w:tcPr>
            <w:tcW w:w="743" w:type="dxa"/>
            <w:vAlign w:val="center"/>
          </w:tcPr>
          <w:p w14:paraId="3B31C473">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备注</w:t>
            </w:r>
          </w:p>
        </w:tc>
      </w:tr>
      <w:tr w14:paraId="3183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03" w:type="dxa"/>
            <w:vAlign w:val="center"/>
          </w:tcPr>
          <w:p w14:paraId="6120B1FF">
            <w:pPr>
              <w:pStyle w:val="107"/>
              <w:shd w:val="clear" w:fill="FFFFFF" w:themeFill="background1"/>
              <w:autoSpaceDE w:val="0"/>
              <w:autoSpaceDN w:val="0"/>
              <w:jc w:val="center"/>
              <w:rPr>
                <w:rFonts w:hAnsi="宋体" w:cs="宋体"/>
                <w:color w:val="auto"/>
                <w:kern w:val="0"/>
                <w:szCs w:val="21"/>
                <w:highlight w:val="none"/>
              </w:rPr>
            </w:pPr>
          </w:p>
        </w:tc>
        <w:tc>
          <w:tcPr>
            <w:tcW w:w="1382" w:type="dxa"/>
            <w:vAlign w:val="center"/>
          </w:tcPr>
          <w:p w14:paraId="4E9F6503">
            <w:pPr>
              <w:pStyle w:val="107"/>
              <w:shd w:val="clear" w:fill="FFFFFF" w:themeFill="background1"/>
              <w:autoSpaceDE w:val="0"/>
              <w:autoSpaceDN w:val="0"/>
              <w:jc w:val="center"/>
              <w:rPr>
                <w:rFonts w:hAnsi="宋体" w:cs="宋体"/>
                <w:color w:val="auto"/>
                <w:kern w:val="0"/>
                <w:szCs w:val="21"/>
                <w:highlight w:val="none"/>
              </w:rPr>
            </w:pPr>
          </w:p>
        </w:tc>
        <w:tc>
          <w:tcPr>
            <w:tcW w:w="1242" w:type="dxa"/>
            <w:vAlign w:val="center"/>
          </w:tcPr>
          <w:p w14:paraId="4CD9778E">
            <w:pPr>
              <w:pStyle w:val="107"/>
              <w:shd w:val="clear" w:fill="FFFFFF" w:themeFill="background1"/>
              <w:autoSpaceDE w:val="0"/>
              <w:autoSpaceDN w:val="0"/>
              <w:jc w:val="center"/>
              <w:rPr>
                <w:rFonts w:hAnsi="宋体" w:cs="宋体"/>
                <w:color w:val="auto"/>
                <w:kern w:val="0"/>
                <w:szCs w:val="21"/>
                <w:highlight w:val="none"/>
              </w:rPr>
            </w:pPr>
          </w:p>
        </w:tc>
        <w:tc>
          <w:tcPr>
            <w:tcW w:w="684" w:type="dxa"/>
            <w:vAlign w:val="center"/>
          </w:tcPr>
          <w:p w14:paraId="2C2B4495">
            <w:pPr>
              <w:pStyle w:val="107"/>
              <w:shd w:val="clear" w:fill="FFFFFF" w:themeFill="background1"/>
              <w:autoSpaceDE w:val="0"/>
              <w:autoSpaceDN w:val="0"/>
              <w:jc w:val="center"/>
              <w:rPr>
                <w:rFonts w:hAnsi="宋体" w:cs="宋体"/>
                <w:color w:val="auto"/>
                <w:kern w:val="0"/>
                <w:szCs w:val="21"/>
                <w:highlight w:val="none"/>
              </w:rPr>
            </w:pPr>
          </w:p>
        </w:tc>
        <w:tc>
          <w:tcPr>
            <w:tcW w:w="1206" w:type="dxa"/>
            <w:vAlign w:val="center"/>
          </w:tcPr>
          <w:p w14:paraId="4575ED5E">
            <w:pPr>
              <w:pStyle w:val="107"/>
              <w:shd w:val="clear" w:fill="FFFFFF" w:themeFill="background1"/>
              <w:autoSpaceDE w:val="0"/>
              <w:autoSpaceDN w:val="0"/>
              <w:jc w:val="center"/>
              <w:rPr>
                <w:rFonts w:hAnsi="宋体" w:cs="宋体"/>
                <w:color w:val="auto"/>
                <w:kern w:val="0"/>
                <w:szCs w:val="21"/>
                <w:highlight w:val="none"/>
              </w:rPr>
            </w:pPr>
          </w:p>
        </w:tc>
        <w:tc>
          <w:tcPr>
            <w:tcW w:w="640" w:type="dxa"/>
            <w:vAlign w:val="center"/>
          </w:tcPr>
          <w:p w14:paraId="34E6BCDF">
            <w:pPr>
              <w:pStyle w:val="107"/>
              <w:shd w:val="clear" w:fill="FFFFFF" w:themeFill="background1"/>
              <w:autoSpaceDE w:val="0"/>
              <w:autoSpaceDN w:val="0"/>
              <w:jc w:val="center"/>
              <w:rPr>
                <w:rFonts w:hAnsi="宋体" w:cs="宋体"/>
                <w:color w:val="auto"/>
                <w:kern w:val="0"/>
                <w:szCs w:val="21"/>
                <w:highlight w:val="none"/>
              </w:rPr>
            </w:pPr>
          </w:p>
        </w:tc>
        <w:tc>
          <w:tcPr>
            <w:tcW w:w="1601" w:type="dxa"/>
            <w:vAlign w:val="center"/>
          </w:tcPr>
          <w:p w14:paraId="6645D913">
            <w:pPr>
              <w:pStyle w:val="107"/>
              <w:shd w:val="clear" w:fill="FFFFFF" w:themeFill="background1"/>
              <w:autoSpaceDE w:val="0"/>
              <w:autoSpaceDN w:val="0"/>
              <w:jc w:val="center"/>
              <w:rPr>
                <w:rFonts w:hAnsi="宋体" w:cs="宋体"/>
                <w:color w:val="auto"/>
                <w:kern w:val="0"/>
                <w:szCs w:val="21"/>
                <w:highlight w:val="none"/>
              </w:rPr>
            </w:pPr>
          </w:p>
        </w:tc>
        <w:tc>
          <w:tcPr>
            <w:tcW w:w="720" w:type="dxa"/>
            <w:vAlign w:val="center"/>
          </w:tcPr>
          <w:p w14:paraId="2DE524A5">
            <w:pPr>
              <w:pStyle w:val="107"/>
              <w:shd w:val="clear" w:fill="FFFFFF" w:themeFill="background1"/>
              <w:autoSpaceDE w:val="0"/>
              <w:autoSpaceDN w:val="0"/>
              <w:jc w:val="center"/>
              <w:rPr>
                <w:rFonts w:hAnsi="宋体" w:cs="宋体"/>
                <w:color w:val="auto"/>
                <w:kern w:val="0"/>
                <w:szCs w:val="21"/>
                <w:highlight w:val="none"/>
              </w:rPr>
            </w:pPr>
          </w:p>
        </w:tc>
        <w:tc>
          <w:tcPr>
            <w:tcW w:w="743" w:type="dxa"/>
            <w:vAlign w:val="center"/>
          </w:tcPr>
          <w:p w14:paraId="316C18C8">
            <w:pPr>
              <w:pStyle w:val="107"/>
              <w:shd w:val="clear" w:fill="FFFFFF" w:themeFill="background1"/>
              <w:autoSpaceDE w:val="0"/>
              <w:autoSpaceDN w:val="0"/>
              <w:jc w:val="center"/>
              <w:rPr>
                <w:rFonts w:hAnsi="宋体" w:cs="宋体"/>
                <w:color w:val="auto"/>
                <w:kern w:val="0"/>
                <w:szCs w:val="21"/>
                <w:highlight w:val="none"/>
              </w:rPr>
            </w:pPr>
          </w:p>
        </w:tc>
      </w:tr>
      <w:tr w14:paraId="696C9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03" w:type="dxa"/>
            <w:vAlign w:val="center"/>
          </w:tcPr>
          <w:p w14:paraId="3662B99D">
            <w:pPr>
              <w:pStyle w:val="107"/>
              <w:shd w:val="clear" w:fill="FFFFFF" w:themeFill="background1"/>
              <w:autoSpaceDE w:val="0"/>
              <w:autoSpaceDN w:val="0"/>
              <w:jc w:val="center"/>
              <w:rPr>
                <w:rFonts w:hAnsi="宋体" w:cs="宋体"/>
                <w:color w:val="auto"/>
                <w:kern w:val="0"/>
                <w:szCs w:val="21"/>
                <w:highlight w:val="none"/>
              </w:rPr>
            </w:pPr>
          </w:p>
        </w:tc>
        <w:tc>
          <w:tcPr>
            <w:tcW w:w="1382" w:type="dxa"/>
            <w:vAlign w:val="center"/>
          </w:tcPr>
          <w:p w14:paraId="03D66991">
            <w:pPr>
              <w:pStyle w:val="107"/>
              <w:shd w:val="clear" w:fill="FFFFFF" w:themeFill="background1"/>
              <w:autoSpaceDE w:val="0"/>
              <w:autoSpaceDN w:val="0"/>
              <w:jc w:val="center"/>
              <w:rPr>
                <w:rFonts w:hAnsi="宋体" w:cs="宋体"/>
                <w:color w:val="auto"/>
                <w:kern w:val="0"/>
                <w:szCs w:val="21"/>
                <w:highlight w:val="none"/>
              </w:rPr>
            </w:pPr>
          </w:p>
        </w:tc>
        <w:tc>
          <w:tcPr>
            <w:tcW w:w="1242" w:type="dxa"/>
            <w:vAlign w:val="center"/>
          </w:tcPr>
          <w:p w14:paraId="4F23F1BB">
            <w:pPr>
              <w:pStyle w:val="107"/>
              <w:shd w:val="clear" w:fill="FFFFFF" w:themeFill="background1"/>
              <w:autoSpaceDE w:val="0"/>
              <w:autoSpaceDN w:val="0"/>
              <w:jc w:val="center"/>
              <w:rPr>
                <w:rFonts w:hAnsi="宋体" w:cs="宋体"/>
                <w:color w:val="auto"/>
                <w:kern w:val="0"/>
                <w:szCs w:val="21"/>
                <w:highlight w:val="none"/>
              </w:rPr>
            </w:pPr>
          </w:p>
        </w:tc>
        <w:tc>
          <w:tcPr>
            <w:tcW w:w="684" w:type="dxa"/>
            <w:vAlign w:val="center"/>
          </w:tcPr>
          <w:p w14:paraId="506BBF5A">
            <w:pPr>
              <w:pStyle w:val="107"/>
              <w:shd w:val="clear" w:fill="FFFFFF" w:themeFill="background1"/>
              <w:autoSpaceDE w:val="0"/>
              <w:autoSpaceDN w:val="0"/>
              <w:jc w:val="center"/>
              <w:rPr>
                <w:rFonts w:hAnsi="宋体" w:cs="宋体"/>
                <w:color w:val="auto"/>
                <w:kern w:val="0"/>
                <w:szCs w:val="21"/>
                <w:highlight w:val="none"/>
              </w:rPr>
            </w:pPr>
          </w:p>
        </w:tc>
        <w:tc>
          <w:tcPr>
            <w:tcW w:w="1206" w:type="dxa"/>
            <w:vAlign w:val="center"/>
          </w:tcPr>
          <w:p w14:paraId="0E515D0C">
            <w:pPr>
              <w:pStyle w:val="107"/>
              <w:shd w:val="clear" w:fill="FFFFFF" w:themeFill="background1"/>
              <w:autoSpaceDE w:val="0"/>
              <w:autoSpaceDN w:val="0"/>
              <w:jc w:val="center"/>
              <w:rPr>
                <w:rFonts w:hAnsi="宋体" w:cs="宋体"/>
                <w:color w:val="auto"/>
                <w:kern w:val="0"/>
                <w:szCs w:val="21"/>
                <w:highlight w:val="none"/>
              </w:rPr>
            </w:pPr>
          </w:p>
        </w:tc>
        <w:tc>
          <w:tcPr>
            <w:tcW w:w="640" w:type="dxa"/>
            <w:vAlign w:val="center"/>
          </w:tcPr>
          <w:p w14:paraId="49D865B0">
            <w:pPr>
              <w:pStyle w:val="107"/>
              <w:shd w:val="clear" w:fill="FFFFFF" w:themeFill="background1"/>
              <w:autoSpaceDE w:val="0"/>
              <w:autoSpaceDN w:val="0"/>
              <w:jc w:val="center"/>
              <w:rPr>
                <w:rFonts w:hAnsi="宋体" w:cs="宋体"/>
                <w:color w:val="auto"/>
                <w:kern w:val="0"/>
                <w:szCs w:val="21"/>
                <w:highlight w:val="none"/>
              </w:rPr>
            </w:pPr>
          </w:p>
        </w:tc>
        <w:tc>
          <w:tcPr>
            <w:tcW w:w="1601" w:type="dxa"/>
            <w:vAlign w:val="center"/>
          </w:tcPr>
          <w:p w14:paraId="1D0CAD10">
            <w:pPr>
              <w:pStyle w:val="107"/>
              <w:shd w:val="clear" w:fill="FFFFFF" w:themeFill="background1"/>
              <w:autoSpaceDE w:val="0"/>
              <w:autoSpaceDN w:val="0"/>
              <w:jc w:val="center"/>
              <w:rPr>
                <w:rFonts w:hAnsi="宋体" w:cs="宋体"/>
                <w:color w:val="auto"/>
                <w:kern w:val="0"/>
                <w:szCs w:val="21"/>
                <w:highlight w:val="none"/>
              </w:rPr>
            </w:pPr>
          </w:p>
        </w:tc>
        <w:tc>
          <w:tcPr>
            <w:tcW w:w="720" w:type="dxa"/>
            <w:vAlign w:val="center"/>
          </w:tcPr>
          <w:p w14:paraId="3AC2F38A">
            <w:pPr>
              <w:pStyle w:val="107"/>
              <w:shd w:val="clear" w:fill="FFFFFF" w:themeFill="background1"/>
              <w:autoSpaceDE w:val="0"/>
              <w:autoSpaceDN w:val="0"/>
              <w:jc w:val="center"/>
              <w:rPr>
                <w:rFonts w:hAnsi="宋体" w:cs="宋体"/>
                <w:color w:val="auto"/>
                <w:kern w:val="0"/>
                <w:szCs w:val="21"/>
                <w:highlight w:val="none"/>
              </w:rPr>
            </w:pPr>
          </w:p>
        </w:tc>
        <w:tc>
          <w:tcPr>
            <w:tcW w:w="743" w:type="dxa"/>
            <w:vAlign w:val="center"/>
          </w:tcPr>
          <w:p w14:paraId="08ADD455">
            <w:pPr>
              <w:pStyle w:val="107"/>
              <w:shd w:val="clear" w:fill="FFFFFF" w:themeFill="background1"/>
              <w:autoSpaceDE w:val="0"/>
              <w:autoSpaceDN w:val="0"/>
              <w:jc w:val="center"/>
              <w:rPr>
                <w:rFonts w:hAnsi="宋体" w:cs="宋体"/>
                <w:color w:val="auto"/>
                <w:kern w:val="0"/>
                <w:szCs w:val="21"/>
                <w:highlight w:val="none"/>
              </w:rPr>
            </w:pPr>
          </w:p>
        </w:tc>
      </w:tr>
    </w:tbl>
    <w:p w14:paraId="4ED92921">
      <w:pPr>
        <w:pStyle w:val="107"/>
        <w:shd w:val="clear" w:fill="FFFFFF" w:themeFill="background1"/>
        <w:jc w:val="center"/>
        <w:rPr>
          <w:rFonts w:hAnsi="宋体" w:cs="宋体"/>
          <w:color w:val="auto"/>
          <w:sz w:val="28"/>
          <w:szCs w:val="28"/>
          <w:highlight w:val="none"/>
        </w:rPr>
      </w:pPr>
      <w:r>
        <w:rPr>
          <w:rFonts w:hint="eastAsia" w:hAnsi="宋体" w:cs="宋体"/>
          <w:b/>
          <w:color w:val="auto"/>
          <w:sz w:val="28"/>
          <w:szCs w:val="28"/>
          <w:highlight w:val="none"/>
        </w:rPr>
        <w:t>附表3：甲方提供机械设备清单</w:t>
      </w:r>
    </w:p>
    <w:p w14:paraId="7D1630F1">
      <w:pPr>
        <w:pStyle w:val="107"/>
        <w:shd w:val="clear" w:fill="FFFFFF" w:themeFill="background1"/>
        <w:rPr>
          <w:rFonts w:hAnsi="宋体" w:cs="宋体"/>
          <w:b/>
          <w:bCs/>
          <w:color w:val="auto"/>
          <w:highlight w:val="none"/>
        </w:rPr>
      </w:pPr>
      <w:r>
        <w:rPr>
          <w:rFonts w:hint="eastAsia" w:hAnsi="宋体" w:cs="宋体"/>
          <w:color w:val="auto"/>
          <w:highlight w:val="none"/>
        </w:rPr>
        <w:t xml:space="preserve">工程及合同段名称：                               劳务单位：        </w:t>
      </w:r>
    </w:p>
    <w:tbl>
      <w:tblPr>
        <w:tblStyle w:val="45"/>
        <w:tblW w:w="88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905"/>
        <w:gridCol w:w="1656"/>
        <w:gridCol w:w="725"/>
        <w:gridCol w:w="895"/>
        <w:gridCol w:w="2114"/>
        <w:gridCol w:w="849"/>
      </w:tblGrid>
      <w:tr w14:paraId="40D6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9" w:type="dxa"/>
            <w:vAlign w:val="center"/>
          </w:tcPr>
          <w:p w14:paraId="4197100F">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序号</w:t>
            </w:r>
          </w:p>
        </w:tc>
        <w:tc>
          <w:tcPr>
            <w:tcW w:w="1905" w:type="dxa"/>
            <w:vAlign w:val="center"/>
          </w:tcPr>
          <w:p w14:paraId="6813DB83">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设备名称</w:t>
            </w:r>
          </w:p>
        </w:tc>
        <w:tc>
          <w:tcPr>
            <w:tcW w:w="1656" w:type="dxa"/>
            <w:vAlign w:val="center"/>
          </w:tcPr>
          <w:p w14:paraId="348B78ED">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规格型号</w:t>
            </w:r>
          </w:p>
        </w:tc>
        <w:tc>
          <w:tcPr>
            <w:tcW w:w="725" w:type="dxa"/>
            <w:vAlign w:val="center"/>
          </w:tcPr>
          <w:p w14:paraId="44C3E989">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单位</w:t>
            </w:r>
          </w:p>
        </w:tc>
        <w:tc>
          <w:tcPr>
            <w:tcW w:w="895" w:type="dxa"/>
            <w:vAlign w:val="center"/>
          </w:tcPr>
          <w:p w14:paraId="1C58A808">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数量</w:t>
            </w:r>
          </w:p>
        </w:tc>
        <w:tc>
          <w:tcPr>
            <w:tcW w:w="2114" w:type="dxa"/>
            <w:vAlign w:val="center"/>
          </w:tcPr>
          <w:p w14:paraId="6CCEAB8D">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到场时间</w:t>
            </w:r>
          </w:p>
        </w:tc>
        <w:tc>
          <w:tcPr>
            <w:tcW w:w="849" w:type="dxa"/>
            <w:vAlign w:val="center"/>
          </w:tcPr>
          <w:p w14:paraId="3D4E4FF0">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备注</w:t>
            </w:r>
          </w:p>
        </w:tc>
      </w:tr>
      <w:tr w14:paraId="2357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9" w:type="dxa"/>
            <w:vAlign w:val="center"/>
          </w:tcPr>
          <w:p w14:paraId="041CA78E">
            <w:pPr>
              <w:pStyle w:val="107"/>
              <w:shd w:val="clear" w:fill="FFFFFF" w:themeFill="background1"/>
              <w:jc w:val="center"/>
              <w:rPr>
                <w:rFonts w:hAnsi="宋体" w:cs="宋体"/>
                <w:b/>
                <w:bCs/>
                <w:color w:val="auto"/>
                <w:szCs w:val="21"/>
                <w:highlight w:val="none"/>
              </w:rPr>
            </w:pPr>
          </w:p>
        </w:tc>
        <w:tc>
          <w:tcPr>
            <w:tcW w:w="1905" w:type="dxa"/>
            <w:vAlign w:val="center"/>
          </w:tcPr>
          <w:p w14:paraId="0B1D4E2F">
            <w:pPr>
              <w:pStyle w:val="107"/>
              <w:shd w:val="clear" w:fill="FFFFFF" w:themeFill="background1"/>
              <w:jc w:val="center"/>
              <w:rPr>
                <w:rFonts w:hAnsi="宋体" w:cs="宋体"/>
                <w:b/>
                <w:bCs/>
                <w:color w:val="auto"/>
                <w:szCs w:val="21"/>
                <w:highlight w:val="none"/>
              </w:rPr>
            </w:pPr>
          </w:p>
        </w:tc>
        <w:tc>
          <w:tcPr>
            <w:tcW w:w="1656" w:type="dxa"/>
            <w:vAlign w:val="center"/>
          </w:tcPr>
          <w:p w14:paraId="28EC4969">
            <w:pPr>
              <w:pStyle w:val="107"/>
              <w:shd w:val="clear" w:fill="FFFFFF" w:themeFill="background1"/>
              <w:jc w:val="center"/>
              <w:rPr>
                <w:rFonts w:hAnsi="宋体" w:cs="宋体"/>
                <w:b/>
                <w:bCs/>
                <w:color w:val="auto"/>
                <w:szCs w:val="21"/>
                <w:highlight w:val="none"/>
              </w:rPr>
            </w:pPr>
          </w:p>
        </w:tc>
        <w:tc>
          <w:tcPr>
            <w:tcW w:w="725" w:type="dxa"/>
            <w:vAlign w:val="center"/>
          </w:tcPr>
          <w:p w14:paraId="3B06C0B8">
            <w:pPr>
              <w:pStyle w:val="107"/>
              <w:shd w:val="clear" w:fill="FFFFFF" w:themeFill="background1"/>
              <w:jc w:val="center"/>
              <w:rPr>
                <w:rFonts w:hAnsi="宋体" w:cs="宋体"/>
                <w:b/>
                <w:bCs/>
                <w:color w:val="auto"/>
                <w:szCs w:val="21"/>
                <w:highlight w:val="none"/>
              </w:rPr>
            </w:pPr>
          </w:p>
        </w:tc>
        <w:tc>
          <w:tcPr>
            <w:tcW w:w="895" w:type="dxa"/>
            <w:vAlign w:val="center"/>
          </w:tcPr>
          <w:p w14:paraId="5BC9C474">
            <w:pPr>
              <w:pStyle w:val="107"/>
              <w:shd w:val="clear" w:fill="FFFFFF" w:themeFill="background1"/>
              <w:jc w:val="center"/>
              <w:rPr>
                <w:rFonts w:hAnsi="宋体" w:cs="宋体"/>
                <w:b/>
                <w:bCs/>
                <w:color w:val="auto"/>
                <w:szCs w:val="21"/>
                <w:highlight w:val="none"/>
              </w:rPr>
            </w:pPr>
          </w:p>
        </w:tc>
        <w:tc>
          <w:tcPr>
            <w:tcW w:w="2114" w:type="dxa"/>
            <w:vAlign w:val="center"/>
          </w:tcPr>
          <w:p w14:paraId="72DAF767">
            <w:pPr>
              <w:pStyle w:val="107"/>
              <w:shd w:val="clear" w:fill="FFFFFF" w:themeFill="background1"/>
              <w:jc w:val="center"/>
              <w:rPr>
                <w:rFonts w:hAnsi="宋体" w:cs="宋体"/>
                <w:b/>
                <w:bCs/>
                <w:color w:val="auto"/>
                <w:szCs w:val="21"/>
                <w:highlight w:val="none"/>
              </w:rPr>
            </w:pPr>
          </w:p>
        </w:tc>
        <w:tc>
          <w:tcPr>
            <w:tcW w:w="849" w:type="dxa"/>
            <w:vAlign w:val="center"/>
          </w:tcPr>
          <w:p w14:paraId="50453B38">
            <w:pPr>
              <w:pStyle w:val="107"/>
              <w:shd w:val="clear" w:fill="FFFFFF" w:themeFill="background1"/>
              <w:jc w:val="center"/>
              <w:rPr>
                <w:rFonts w:hAnsi="宋体" w:cs="宋体"/>
                <w:b/>
                <w:bCs/>
                <w:color w:val="auto"/>
                <w:szCs w:val="21"/>
                <w:highlight w:val="none"/>
              </w:rPr>
            </w:pPr>
          </w:p>
        </w:tc>
      </w:tr>
      <w:tr w14:paraId="450C4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29" w:type="dxa"/>
            <w:vAlign w:val="center"/>
          </w:tcPr>
          <w:p w14:paraId="73332ED5">
            <w:pPr>
              <w:pStyle w:val="107"/>
              <w:shd w:val="clear" w:fill="FFFFFF" w:themeFill="background1"/>
              <w:jc w:val="center"/>
              <w:rPr>
                <w:rFonts w:hAnsi="宋体" w:cs="宋体"/>
                <w:b/>
                <w:bCs/>
                <w:color w:val="auto"/>
                <w:szCs w:val="21"/>
                <w:highlight w:val="none"/>
              </w:rPr>
            </w:pPr>
          </w:p>
        </w:tc>
        <w:tc>
          <w:tcPr>
            <w:tcW w:w="1905" w:type="dxa"/>
            <w:vAlign w:val="center"/>
          </w:tcPr>
          <w:p w14:paraId="39BFA1B9">
            <w:pPr>
              <w:pStyle w:val="107"/>
              <w:shd w:val="clear" w:fill="FFFFFF" w:themeFill="background1"/>
              <w:jc w:val="center"/>
              <w:rPr>
                <w:rFonts w:hAnsi="宋体" w:cs="宋体"/>
                <w:b/>
                <w:bCs/>
                <w:color w:val="auto"/>
                <w:szCs w:val="21"/>
                <w:highlight w:val="none"/>
              </w:rPr>
            </w:pPr>
          </w:p>
        </w:tc>
        <w:tc>
          <w:tcPr>
            <w:tcW w:w="1656" w:type="dxa"/>
            <w:vAlign w:val="center"/>
          </w:tcPr>
          <w:p w14:paraId="7361ABBC">
            <w:pPr>
              <w:pStyle w:val="107"/>
              <w:shd w:val="clear" w:fill="FFFFFF" w:themeFill="background1"/>
              <w:jc w:val="center"/>
              <w:rPr>
                <w:rFonts w:hAnsi="宋体" w:cs="宋体"/>
                <w:b/>
                <w:bCs/>
                <w:color w:val="auto"/>
                <w:szCs w:val="21"/>
                <w:highlight w:val="none"/>
              </w:rPr>
            </w:pPr>
          </w:p>
        </w:tc>
        <w:tc>
          <w:tcPr>
            <w:tcW w:w="725" w:type="dxa"/>
            <w:vAlign w:val="center"/>
          </w:tcPr>
          <w:p w14:paraId="6ACB75D2">
            <w:pPr>
              <w:pStyle w:val="107"/>
              <w:shd w:val="clear" w:fill="FFFFFF" w:themeFill="background1"/>
              <w:jc w:val="center"/>
              <w:rPr>
                <w:rFonts w:hAnsi="宋体" w:cs="宋体"/>
                <w:b/>
                <w:bCs/>
                <w:color w:val="auto"/>
                <w:szCs w:val="21"/>
                <w:highlight w:val="none"/>
              </w:rPr>
            </w:pPr>
          </w:p>
        </w:tc>
        <w:tc>
          <w:tcPr>
            <w:tcW w:w="895" w:type="dxa"/>
            <w:vAlign w:val="center"/>
          </w:tcPr>
          <w:p w14:paraId="0AB8D019">
            <w:pPr>
              <w:pStyle w:val="107"/>
              <w:shd w:val="clear" w:fill="FFFFFF" w:themeFill="background1"/>
              <w:jc w:val="center"/>
              <w:rPr>
                <w:rFonts w:hAnsi="宋体" w:cs="宋体"/>
                <w:b/>
                <w:bCs/>
                <w:color w:val="auto"/>
                <w:szCs w:val="21"/>
                <w:highlight w:val="none"/>
              </w:rPr>
            </w:pPr>
          </w:p>
        </w:tc>
        <w:tc>
          <w:tcPr>
            <w:tcW w:w="2114" w:type="dxa"/>
            <w:vAlign w:val="center"/>
          </w:tcPr>
          <w:p w14:paraId="3BD9F95C">
            <w:pPr>
              <w:pStyle w:val="107"/>
              <w:shd w:val="clear" w:fill="FFFFFF" w:themeFill="background1"/>
              <w:jc w:val="center"/>
              <w:rPr>
                <w:rFonts w:hAnsi="宋体" w:cs="宋体"/>
                <w:b/>
                <w:bCs/>
                <w:color w:val="auto"/>
                <w:szCs w:val="21"/>
                <w:highlight w:val="none"/>
              </w:rPr>
            </w:pPr>
          </w:p>
        </w:tc>
        <w:tc>
          <w:tcPr>
            <w:tcW w:w="849" w:type="dxa"/>
            <w:vAlign w:val="center"/>
          </w:tcPr>
          <w:p w14:paraId="0319E4A8">
            <w:pPr>
              <w:pStyle w:val="107"/>
              <w:shd w:val="clear" w:fill="FFFFFF" w:themeFill="background1"/>
              <w:jc w:val="center"/>
              <w:rPr>
                <w:rFonts w:hAnsi="宋体" w:cs="宋体"/>
                <w:b/>
                <w:bCs/>
                <w:color w:val="auto"/>
                <w:szCs w:val="21"/>
                <w:highlight w:val="none"/>
              </w:rPr>
            </w:pPr>
          </w:p>
        </w:tc>
      </w:tr>
    </w:tbl>
    <w:p w14:paraId="7F3D7EB5">
      <w:pPr>
        <w:pStyle w:val="107"/>
        <w:shd w:val="clear" w:fill="FFFFFF" w:themeFill="background1"/>
        <w:jc w:val="center"/>
        <w:rPr>
          <w:rFonts w:hAnsi="宋体" w:cs="宋体"/>
          <w:b/>
          <w:color w:val="auto"/>
          <w:sz w:val="28"/>
          <w:szCs w:val="28"/>
          <w:highlight w:val="none"/>
        </w:rPr>
      </w:pPr>
      <w:r>
        <w:rPr>
          <w:rFonts w:hint="eastAsia" w:hAnsi="宋体" w:cs="宋体"/>
          <w:b/>
          <w:color w:val="auto"/>
          <w:sz w:val="28"/>
          <w:szCs w:val="28"/>
          <w:highlight w:val="none"/>
        </w:rPr>
        <w:t>附表4：乙方投入关键人员表</w:t>
      </w:r>
    </w:p>
    <w:p w14:paraId="2BDD5E39">
      <w:pPr>
        <w:pStyle w:val="107"/>
        <w:shd w:val="clear" w:fill="FFFFFF" w:themeFill="background1"/>
        <w:rPr>
          <w:rFonts w:hAnsi="宋体" w:cs="宋体"/>
          <w:b/>
          <w:bCs/>
          <w:color w:val="auto"/>
          <w:highlight w:val="none"/>
        </w:rPr>
      </w:pPr>
      <w:r>
        <w:rPr>
          <w:rFonts w:hint="eastAsia" w:hAnsi="宋体" w:cs="宋体"/>
          <w:color w:val="auto"/>
          <w:highlight w:val="none"/>
        </w:rPr>
        <w:t xml:space="preserve">工程名称及合同段：                               劳务单位：        </w:t>
      </w:r>
    </w:p>
    <w:tbl>
      <w:tblPr>
        <w:tblStyle w:val="45"/>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454"/>
        <w:gridCol w:w="1028"/>
        <w:gridCol w:w="1883"/>
        <w:gridCol w:w="1348"/>
        <w:gridCol w:w="1409"/>
        <w:gridCol w:w="679"/>
      </w:tblGrid>
      <w:tr w14:paraId="4900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31" w:type="dxa"/>
            <w:vAlign w:val="center"/>
          </w:tcPr>
          <w:p w14:paraId="65465A1B">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序号</w:t>
            </w:r>
          </w:p>
        </w:tc>
        <w:tc>
          <w:tcPr>
            <w:tcW w:w="1454" w:type="dxa"/>
            <w:vAlign w:val="center"/>
          </w:tcPr>
          <w:p w14:paraId="1A5CBF63">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岗位或工种</w:t>
            </w:r>
          </w:p>
        </w:tc>
        <w:tc>
          <w:tcPr>
            <w:tcW w:w="1028" w:type="dxa"/>
            <w:vAlign w:val="center"/>
          </w:tcPr>
          <w:p w14:paraId="598D331F">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姓名</w:t>
            </w:r>
          </w:p>
        </w:tc>
        <w:tc>
          <w:tcPr>
            <w:tcW w:w="1883" w:type="dxa"/>
            <w:vAlign w:val="center"/>
          </w:tcPr>
          <w:p w14:paraId="18B3C161">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身份证号</w:t>
            </w:r>
          </w:p>
        </w:tc>
        <w:tc>
          <w:tcPr>
            <w:tcW w:w="1348" w:type="dxa"/>
            <w:vAlign w:val="center"/>
          </w:tcPr>
          <w:p w14:paraId="19D88425">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劳动合同号</w:t>
            </w:r>
          </w:p>
        </w:tc>
        <w:tc>
          <w:tcPr>
            <w:tcW w:w="1409" w:type="dxa"/>
            <w:vAlign w:val="center"/>
          </w:tcPr>
          <w:p w14:paraId="39A60A40">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到场时间</w:t>
            </w:r>
          </w:p>
        </w:tc>
        <w:tc>
          <w:tcPr>
            <w:tcW w:w="679" w:type="dxa"/>
            <w:vAlign w:val="center"/>
          </w:tcPr>
          <w:p w14:paraId="06196A73">
            <w:pPr>
              <w:pStyle w:val="107"/>
              <w:shd w:val="clear" w:fill="FFFFFF" w:themeFill="background1"/>
              <w:autoSpaceDE w:val="0"/>
              <w:autoSpaceDN w:val="0"/>
              <w:jc w:val="center"/>
              <w:rPr>
                <w:rFonts w:hAnsi="宋体" w:cs="宋体"/>
                <w:color w:val="auto"/>
                <w:kern w:val="0"/>
                <w:szCs w:val="21"/>
                <w:highlight w:val="none"/>
              </w:rPr>
            </w:pPr>
            <w:r>
              <w:rPr>
                <w:rFonts w:hint="eastAsia" w:hAnsi="宋体" w:cs="宋体"/>
                <w:color w:val="auto"/>
                <w:kern w:val="0"/>
                <w:szCs w:val="21"/>
                <w:highlight w:val="none"/>
              </w:rPr>
              <w:t>备注</w:t>
            </w:r>
          </w:p>
        </w:tc>
      </w:tr>
      <w:tr w14:paraId="4670D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31" w:type="dxa"/>
            <w:vAlign w:val="center"/>
          </w:tcPr>
          <w:p w14:paraId="489A9B25">
            <w:pPr>
              <w:pStyle w:val="107"/>
              <w:shd w:val="clear" w:fill="FFFFFF" w:themeFill="background1"/>
              <w:jc w:val="center"/>
              <w:rPr>
                <w:rFonts w:hAnsi="宋体" w:cs="宋体"/>
                <w:color w:val="auto"/>
                <w:szCs w:val="21"/>
                <w:highlight w:val="none"/>
              </w:rPr>
            </w:pPr>
          </w:p>
        </w:tc>
        <w:tc>
          <w:tcPr>
            <w:tcW w:w="1454" w:type="dxa"/>
            <w:vAlign w:val="center"/>
          </w:tcPr>
          <w:p w14:paraId="3A7447B8">
            <w:pPr>
              <w:pStyle w:val="107"/>
              <w:shd w:val="clear" w:fill="FFFFFF" w:themeFill="background1"/>
              <w:jc w:val="center"/>
              <w:rPr>
                <w:rFonts w:hAnsi="宋体" w:cs="宋体"/>
                <w:color w:val="auto"/>
                <w:szCs w:val="21"/>
                <w:highlight w:val="none"/>
              </w:rPr>
            </w:pPr>
          </w:p>
        </w:tc>
        <w:tc>
          <w:tcPr>
            <w:tcW w:w="1028" w:type="dxa"/>
            <w:vAlign w:val="center"/>
          </w:tcPr>
          <w:p w14:paraId="5D45E4FB">
            <w:pPr>
              <w:pStyle w:val="107"/>
              <w:shd w:val="clear" w:fill="FFFFFF" w:themeFill="background1"/>
              <w:jc w:val="center"/>
              <w:rPr>
                <w:rFonts w:hAnsi="宋体" w:cs="宋体"/>
                <w:color w:val="auto"/>
                <w:szCs w:val="21"/>
                <w:highlight w:val="none"/>
              </w:rPr>
            </w:pPr>
          </w:p>
        </w:tc>
        <w:tc>
          <w:tcPr>
            <w:tcW w:w="1883" w:type="dxa"/>
            <w:vAlign w:val="center"/>
          </w:tcPr>
          <w:p w14:paraId="0135141A">
            <w:pPr>
              <w:pStyle w:val="107"/>
              <w:shd w:val="clear" w:fill="FFFFFF" w:themeFill="background1"/>
              <w:jc w:val="center"/>
              <w:rPr>
                <w:rFonts w:hAnsi="宋体" w:cs="宋体"/>
                <w:color w:val="auto"/>
                <w:szCs w:val="21"/>
                <w:highlight w:val="none"/>
              </w:rPr>
            </w:pPr>
          </w:p>
        </w:tc>
        <w:tc>
          <w:tcPr>
            <w:tcW w:w="1348" w:type="dxa"/>
            <w:vAlign w:val="center"/>
          </w:tcPr>
          <w:p w14:paraId="71D9FA96">
            <w:pPr>
              <w:pStyle w:val="107"/>
              <w:shd w:val="clear" w:fill="FFFFFF" w:themeFill="background1"/>
              <w:jc w:val="center"/>
              <w:rPr>
                <w:rFonts w:hAnsi="宋体" w:cs="宋体"/>
                <w:color w:val="auto"/>
                <w:szCs w:val="21"/>
                <w:highlight w:val="none"/>
              </w:rPr>
            </w:pPr>
          </w:p>
        </w:tc>
        <w:tc>
          <w:tcPr>
            <w:tcW w:w="1409" w:type="dxa"/>
          </w:tcPr>
          <w:p w14:paraId="3FC7299F">
            <w:pPr>
              <w:pStyle w:val="107"/>
              <w:shd w:val="clear" w:fill="FFFFFF" w:themeFill="background1"/>
              <w:jc w:val="center"/>
              <w:rPr>
                <w:rFonts w:hAnsi="宋体" w:cs="宋体"/>
                <w:color w:val="auto"/>
                <w:szCs w:val="21"/>
                <w:highlight w:val="none"/>
              </w:rPr>
            </w:pPr>
          </w:p>
        </w:tc>
        <w:tc>
          <w:tcPr>
            <w:tcW w:w="679" w:type="dxa"/>
            <w:vAlign w:val="center"/>
          </w:tcPr>
          <w:p w14:paraId="4239A4C6">
            <w:pPr>
              <w:pStyle w:val="107"/>
              <w:shd w:val="clear" w:fill="FFFFFF" w:themeFill="background1"/>
              <w:jc w:val="center"/>
              <w:rPr>
                <w:rFonts w:hAnsi="宋体" w:cs="宋体"/>
                <w:color w:val="auto"/>
                <w:szCs w:val="21"/>
                <w:highlight w:val="none"/>
              </w:rPr>
            </w:pPr>
          </w:p>
        </w:tc>
      </w:tr>
      <w:tr w14:paraId="2680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731" w:type="dxa"/>
            <w:vAlign w:val="center"/>
          </w:tcPr>
          <w:p w14:paraId="6FAD6980">
            <w:pPr>
              <w:pStyle w:val="107"/>
              <w:shd w:val="clear" w:fill="FFFFFF" w:themeFill="background1"/>
              <w:jc w:val="center"/>
              <w:rPr>
                <w:rFonts w:hAnsi="宋体" w:cs="宋体"/>
                <w:color w:val="auto"/>
                <w:szCs w:val="21"/>
                <w:highlight w:val="none"/>
              </w:rPr>
            </w:pPr>
          </w:p>
        </w:tc>
        <w:tc>
          <w:tcPr>
            <w:tcW w:w="1454" w:type="dxa"/>
            <w:vAlign w:val="center"/>
          </w:tcPr>
          <w:p w14:paraId="1C12DF7E">
            <w:pPr>
              <w:pStyle w:val="107"/>
              <w:shd w:val="clear" w:fill="FFFFFF" w:themeFill="background1"/>
              <w:jc w:val="center"/>
              <w:rPr>
                <w:rFonts w:hAnsi="宋体" w:cs="宋体"/>
                <w:color w:val="auto"/>
                <w:szCs w:val="21"/>
                <w:highlight w:val="none"/>
              </w:rPr>
            </w:pPr>
          </w:p>
        </w:tc>
        <w:tc>
          <w:tcPr>
            <w:tcW w:w="1028" w:type="dxa"/>
            <w:vAlign w:val="center"/>
          </w:tcPr>
          <w:p w14:paraId="1EF09315">
            <w:pPr>
              <w:pStyle w:val="107"/>
              <w:shd w:val="clear" w:fill="FFFFFF" w:themeFill="background1"/>
              <w:jc w:val="center"/>
              <w:rPr>
                <w:rFonts w:hAnsi="宋体" w:cs="宋体"/>
                <w:color w:val="auto"/>
                <w:szCs w:val="21"/>
                <w:highlight w:val="none"/>
              </w:rPr>
            </w:pPr>
          </w:p>
        </w:tc>
        <w:tc>
          <w:tcPr>
            <w:tcW w:w="1883" w:type="dxa"/>
            <w:vAlign w:val="center"/>
          </w:tcPr>
          <w:p w14:paraId="2931F8DA">
            <w:pPr>
              <w:pStyle w:val="107"/>
              <w:shd w:val="clear" w:fill="FFFFFF" w:themeFill="background1"/>
              <w:jc w:val="center"/>
              <w:rPr>
                <w:rFonts w:hAnsi="宋体" w:cs="宋体"/>
                <w:color w:val="auto"/>
                <w:szCs w:val="21"/>
                <w:highlight w:val="none"/>
              </w:rPr>
            </w:pPr>
          </w:p>
        </w:tc>
        <w:tc>
          <w:tcPr>
            <w:tcW w:w="1348" w:type="dxa"/>
            <w:vAlign w:val="center"/>
          </w:tcPr>
          <w:p w14:paraId="72007DE2">
            <w:pPr>
              <w:pStyle w:val="107"/>
              <w:shd w:val="clear" w:fill="FFFFFF" w:themeFill="background1"/>
              <w:jc w:val="center"/>
              <w:rPr>
                <w:rFonts w:hAnsi="宋体" w:cs="宋体"/>
                <w:color w:val="auto"/>
                <w:szCs w:val="21"/>
                <w:highlight w:val="none"/>
              </w:rPr>
            </w:pPr>
          </w:p>
        </w:tc>
        <w:tc>
          <w:tcPr>
            <w:tcW w:w="1409" w:type="dxa"/>
          </w:tcPr>
          <w:p w14:paraId="7FDAF615">
            <w:pPr>
              <w:pStyle w:val="107"/>
              <w:shd w:val="clear" w:fill="FFFFFF" w:themeFill="background1"/>
              <w:jc w:val="center"/>
              <w:rPr>
                <w:rFonts w:hAnsi="宋体" w:cs="宋体"/>
                <w:color w:val="auto"/>
                <w:szCs w:val="21"/>
                <w:highlight w:val="none"/>
              </w:rPr>
            </w:pPr>
          </w:p>
        </w:tc>
        <w:tc>
          <w:tcPr>
            <w:tcW w:w="679" w:type="dxa"/>
            <w:vAlign w:val="center"/>
          </w:tcPr>
          <w:p w14:paraId="302768D8">
            <w:pPr>
              <w:pStyle w:val="107"/>
              <w:shd w:val="clear" w:fill="FFFFFF" w:themeFill="background1"/>
              <w:jc w:val="center"/>
              <w:rPr>
                <w:rFonts w:hAnsi="宋体" w:cs="宋体"/>
                <w:color w:val="auto"/>
                <w:szCs w:val="21"/>
                <w:highlight w:val="none"/>
              </w:rPr>
            </w:pPr>
          </w:p>
        </w:tc>
      </w:tr>
    </w:tbl>
    <w:p w14:paraId="4CBA0156">
      <w:pPr>
        <w:shd w:val="clear" w:fill="FFFFFF" w:themeFill="background1"/>
        <w:jc w:val="center"/>
        <w:rPr>
          <w:rFonts w:ascii="宋体" w:hAnsi="宋体"/>
          <w:color w:val="auto"/>
          <w:sz w:val="72"/>
          <w:szCs w:val="72"/>
          <w:highlight w:val="none"/>
          <w:u w:val="single"/>
        </w:rPr>
      </w:pPr>
    </w:p>
    <w:p w14:paraId="3A018138">
      <w:pPr>
        <w:pStyle w:val="55"/>
        <w:shd w:val="clear" w:fill="FFFFFF" w:themeFill="background1"/>
        <w:rPr>
          <w:rFonts w:ascii="宋体" w:hAnsi="宋体"/>
          <w:color w:val="auto"/>
          <w:sz w:val="72"/>
          <w:szCs w:val="72"/>
          <w:highlight w:val="none"/>
          <w:u w:val="single"/>
        </w:rPr>
      </w:pPr>
    </w:p>
    <w:p w14:paraId="7228AF3F">
      <w:pPr>
        <w:pStyle w:val="55"/>
        <w:shd w:val="clear" w:fill="FFFFFF" w:themeFill="background1"/>
        <w:rPr>
          <w:rFonts w:ascii="宋体" w:hAnsi="宋体"/>
          <w:color w:val="auto"/>
          <w:sz w:val="72"/>
          <w:szCs w:val="72"/>
          <w:highlight w:val="none"/>
          <w:u w:val="single"/>
        </w:rPr>
      </w:pPr>
    </w:p>
    <w:p w14:paraId="0D577646">
      <w:pPr>
        <w:pStyle w:val="55"/>
        <w:shd w:val="clear" w:fill="FFFFFF" w:themeFill="background1"/>
        <w:rPr>
          <w:rFonts w:ascii="宋体" w:hAnsi="宋体"/>
          <w:color w:val="auto"/>
          <w:sz w:val="72"/>
          <w:szCs w:val="72"/>
          <w:highlight w:val="none"/>
          <w:u w:val="single"/>
        </w:rPr>
      </w:pPr>
    </w:p>
    <w:p w14:paraId="4ACA1141">
      <w:pPr>
        <w:shd w:val="clear" w:fill="FFFFFF" w:themeFill="background1"/>
        <w:jc w:val="center"/>
        <w:rPr>
          <w:rFonts w:ascii="宋体" w:hAnsi="宋体"/>
          <w:color w:val="auto"/>
          <w:sz w:val="72"/>
          <w:szCs w:val="72"/>
          <w:highlight w:val="none"/>
          <w:u w:val="single"/>
        </w:rPr>
      </w:pPr>
    </w:p>
    <w:p w14:paraId="46711571">
      <w:pPr>
        <w:pStyle w:val="55"/>
        <w:shd w:val="clear" w:fill="FFFFFF" w:themeFill="background1"/>
        <w:rPr>
          <w:rFonts w:ascii="宋体" w:hAnsi="宋体"/>
          <w:color w:val="auto"/>
          <w:sz w:val="72"/>
          <w:szCs w:val="72"/>
          <w:highlight w:val="none"/>
          <w:u w:val="single"/>
        </w:rPr>
      </w:pPr>
    </w:p>
    <w:p w14:paraId="20A5EBE2">
      <w:pPr>
        <w:pStyle w:val="55"/>
        <w:shd w:val="clear" w:fill="FFFFFF" w:themeFill="background1"/>
        <w:rPr>
          <w:rFonts w:ascii="宋体" w:hAnsi="宋体"/>
          <w:color w:val="auto"/>
          <w:sz w:val="72"/>
          <w:szCs w:val="72"/>
          <w:highlight w:val="none"/>
          <w:u w:val="single"/>
        </w:rPr>
      </w:pPr>
    </w:p>
    <w:p w14:paraId="33941FD2">
      <w:pPr>
        <w:pStyle w:val="55"/>
        <w:shd w:val="clear" w:fill="FFFFFF" w:themeFill="background1"/>
        <w:rPr>
          <w:rFonts w:ascii="宋体" w:hAnsi="宋体"/>
          <w:color w:val="auto"/>
          <w:sz w:val="72"/>
          <w:szCs w:val="72"/>
          <w:highlight w:val="none"/>
          <w:u w:val="single"/>
        </w:rPr>
      </w:pPr>
    </w:p>
    <w:p w14:paraId="1C0C6698">
      <w:pPr>
        <w:pStyle w:val="55"/>
        <w:shd w:val="clear" w:fill="FFFFFF" w:themeFill="background1"/>
        <w:rPr>
          <w:rFonts w:ascii="宋体" w:hAnsi="宋体"/>
          <w:color w:val="auto"/>
          <w:sz w:val="72"/>
          <w:szCs w:val="72"/>
          <w:highlight w:val="none"/>
          <w:u w:val="single"/>
        </w:rPr>
      </w:pPr>
    </w:p>
    <w:p w14:paraId="0028D4E1">
      <w:pPr>
        <w:pStyle w:val="55"/>
        <w:shd w:val="clear" w:fill="FFFFFF" w:themeFill="background1"/>
        <w:rPr>
          <w:rFonts w:ascii="宋体" w:hAnsi="宋体"/>
          <w:color w:val="auto"/>
          <w:sz w:val="72"/>
          <w:szCs w:val="72"/>
          <w:highlight w:val="none"/>
          <w:u w:val="single"/>
        </w:rPr>
      </w:pPr>
    </w:p>
    <w:p w14:paraId="2C6B21DA">
      <w:pPr>
        <w:shd w:val="clear" w:fill="FFFFFF" w:themeFill="background1"/>
        <w:jc w:val="center"/>
        <w:rPr>
          <w:rFonts w:ascii="宋体" w:hAnsi="宋体"/>
          <w:color w:val="auto"/>
          <w:sz w:val="72"/>
          <w:szCs w:val="72"/>
          <w:highlight w:val="none"/>
          <w:u w:val="single"/>
        </w:rPr>
      </w:pPr>
    </w:p>
    <w:p w14:paraId="0551E37E">
      <w:pPr>
        <w:shd w:val="clear" w:fill="FFFFFF" w:themeFill="background1"/>
        <w:jc w:val="center"/>
        <w:rPr>
          <w:rFonts w:ascii="宋体" w:hAnsi="宋体"/>
          <w:color w:val="auto"/>
          <w:sz w:val="52"/>
          <w:szCs w:val="52"/>
          <w:highlight w:val="none"/>
        </w:rPr>
      </w:pPr>
      <w:r>
        <w:rPr>
          <w:rFonts w:hint="eastAsia" w:ascii="宋体" w:hAnsi="宋体"/>
          <w:color w:val="auto"/>
          <w:sz w:val="52"/>
          <w:szCs w:val="52"/>
          <w:highlight w:val="none"/>
        </w:rPr>
        <w:t>第五章  工程量清单</w:t>
      </w:r>
    </w:p>
    <w:p w14:paraId="601BDDD6">
      <w:pPr>
        <w:pStyle w:val="4"/>
        <w:shd w:val="clear" w:fill="FFFFFF" w:themeFill="background1"/>
        <w:spacing w:after="600" w:line="240" w:lineRule="auto"/>
        <w:jc w:val="center"/>
        <w:rPr>
          <w:rFonts w:ascii="宋体" w:hAnsi="宋体"/>
          <w:color w:val="auto"/>
          <w:sz w:val="36"/>
          <w:szCs w:val="36"/>
          <w:highlight w:val="none"/>
        </w:rPr>
      </w:pPr>
      <w:bookmarkStart w:id="1741" w:name="_Toc18365"/>
      <w:bookmarkEnd w:id="1741"/>
      <w:bookmarkStart w:id="1742" w:name="_Toc234382953"/>
      <w:bookmarkEnd w:id="1742"/>
      <w:bookmarkStart w:id="1743" w:name="_Toc43476023"/>
      <w:bookmarkEnd w:id="1743"/>
      <w:r>
        <w:rPr>
          <w:rFonts w:ascii="宋体" w:hAnsi="宋体"/>
          <w:color w:val="auto"/>
          <w:sz w:val="36"/>
          <w:szCs w:val="36"/>
          <w:highlight w:val="none"/>
        </w:rPr>
        <w:br w:type="page"/>
      </w:r>
      <w:r>
        <w:rPr>
          <w:rFonts w:ascii="宋体" w:hAnsi="宋体"/>
          <w:color w:val="auto"/>
          <w:sz w:val="36"/>
          <w:szCs w:val="36"/>
          <w:highlight w:val="none"/>
        </w:rPr>
        <w:t>第五章  工程量清单</w:t>
      </w:r>
    </w:p>
    <w:p w14:paraId="1AA59DEF">
      <w:pPr>
        <w:pStyle w:val="5"/>
        <w:shd w:val="clear" w:fill="FFFFFF" w:themeFill="background1"/>
        <w:rPr>
          <w:color w:val="auto"/>
          <w:highlight w:val="none"/>
        </w:rPr>
      </w:pPr>
      <w:bookmarkStart w:id="1744" w:name="_Toc43476024"/>
      <w:bookmarkEnd w:id="1744"/>
      <w:r>
        <w:rPr>
          <w:rFonts w:hint="eastAsia"/>
          <w:color w:val="auto"/>
          <w:highlight w:val="none"/>
        </w:rPr>
        <w:t>工程量清单（另册）</w:t>
      </w:r>
    </w:p>
    <w:p w14:paraId="1B1D2921">
      <w:pPr>
        <w:shd w:val="clear" w:fill="FFFFFF" w:themeFill="background1"/>
        <w:spacing w:line="400" w:lineRule="exact"/>
        <w:rPr>
          <w:rFonts w:ascii="宋体" w:hAnsi="宋体"/>
          <w:b/>
          <w:color w:val="auto"/>
          <w:sz w:val="28"/>
          <w:szCs w:val="28"/>
          <w:highlight w:val="none"/>
        </w:rPr>
        <w:sectPr>
          <w:pgSz w:w="11906" w:h="16838"/>
          <w:pgMar w:top="1276" w:right="924" w:bottom="935" w:left="1418" w:header="624" w:footer="590" w:gutter="0"/>
          <w:cols w:space="720" w:num="1"/>
          <w:docGrid w:type="lines" w:linePitch="312" w:charSpace="0"/>
        </w:sectPr>
      </w:pPr>
    </w:p>
    <w:p w14:paraId="08B256FD">
      <w:pPr>
        <w:pStyle w:val="55"/>
        <w:shd w:val="clear" w:fill="FFFFFF" w:themeFill="background1"/>
        <w:rPr>
          <w:color w:val="auto"/>
          <w:highlight w:val="none"/>
        </w:rPr>
      </w:pPr>
    </w:p>
    <w:p w14:paraId="0F872A2A">
      <w:pPr>
        <w:shd w:val="clear" w:fill="FFFFFF" w:themeFill="background1"/>
        <w:jc w:val="center"/>
        <w:rPr>
          <w:rFonts w:ascii="宋体" w:hAnsi="宋体"/>
          <w:color w:val="auto"/>
          <w:sz w:val="72"/>
          <w:szCs w:val="72"/>
          <w:highlight w:val="none"/>
          <w:u w:val="single"/>
        </w:rPr>
      </w:pPr>
    </w:p>
    <w:p w14:paraId="2ADC7A0E">
      <w:pPr>
        <w:shd w:val="clear" w:fill="FFFFFF" w:themeFill="background1"/>
        <w:jc w:val="center"/>
        <w:rPr>
          <w:rFonts w:ascii="宋体" w:hAnsi="宋体"/>
          <w:color w:val="auto"/>
          <w:sz w:val="72"/>
          <w:szCs w:val="72"/>
          <w:highlight w:val="none"/>
          <w:u w:val="single"/>
        </w:rPr>
      </w:pPr>
    </w:p>
    <w:p w14:paraId="6DE4DAA2">
      <w:pPr>
        <w:shd w:val="clear" w:fill="FFFFFF" w:themeFill="background1"/>
        <w:jc w:val="center"/>
        <w:rPr>
          <w:rFonts w:ascii="宋体" w:hAnsi="宋体"/>
          <w:color w:val="auto"/>
          <w:sz w:val="72"/>
          <w:szCs w:val="72"/>
          <w:highlight w:val="none"/>
          <w:u w:val="single"/>
        </w:rPr>
      </w:pPr>
    </w:p>
    <w:p w14:paraId="01AF285A">
      <w:pPr>
        <w:pStyle w:val="4"/>
        <w:shd w:val="clear" w:fill="FFFFFF" w:themeFill="background1"/>
        <w:jc w:val="center"/>
        <w:rPr>
          <w:rFonts w:ascii="宋体" w:hAnsi="宋体"/>
          <w:color w:val="auto"/>
          <w:sz w:val="84"/>
          <w:szCs w:val="84"/>
          <w:highlight w:val="none"/>
        </w:rPr>
      </w:pPr>
      <w:bookmarkStart w:id="1745" w:name="_Toc43476025"/>
      <w:bookmarkEnd w:id="1745"/>
      <w:r>
        <w:rPr>
          <w:rFonts w:hint="eastAsia"/>
          <w:color w:val="auto"/>
          <w:sz w:val="84"/>
          <w:szCs w:val="84"/>
          <w:highlight w:val="none"/>
        </w:rPr>
        <w:t>第二卷</w:t>
      </w:r>
    </w:p>
    <w:p w14:paraId="2A2D11A8">
      <w:pPr>
        <w:shd w:val="clear" w:fill="FFFFFF" w:themeFill="background1"/>
        <w:jc w:val="center"/>
        <w:rPr>
          <w:rFonts w:ascii="宋体" w:hAnsi="宋体"/>
          <w:color w:val="auto"/>
          <w:sz w:val="72"/>
          <w:szCs w:val="72"/>
          <w:highlight w:val="none"/>
          <w:u w:val="single"/>
        </w:rPr>
      </w:pPr>
      <w:r>
        <w:rPr>
          <w:rFonts w:hint="eastAsia" w:ascii="宋体" w:hAnsi="宋体"/>
          <w:color w:val="auto"/>
          <w:sz w:val="72"/>
          <w:szCs w:val="72"/>
          <w:highlight w:val="none"/>
          <w:u w:val="single"/>
        </w:rPr>
        <w:br w:type="page"/>
      </w:r>
    </w:p>
    <w:p w14:paraId="4DBD7BD6">
      <w:pPr>
        <w:shd w:val="clear" w:fill="FFFFFF" w:themeFill="background1"/>
        <w:jc w:val="center"/>
        <w:rPr>
          <w:rFonts w:ascii="宋体" w:hAnsi="宋体"/>
          <w:color w:val="auto"/>
          <w:sz w:val="72"/>
          <w:szCs w:val="72"/>
          <w:highlight w:val="none"/>
          <w:u w:val="single"/>
        </w:rPr>
      </w:pPr>
    </w:p>
    <w:p w14:paraId="66397F50">
      <w:pPr>
        <w:shd w:val="clear" w:fill="FFFFFF" w:themeFill="background1"/>
        <w:jc w:val="center"/>
        <w:rPr>
          <w:rFonts w:ascii="宋体" w:hAnsi="宋体"/>
          <w:color w:val="auto"/>
          <w:sz w:val="72"/>
          <w:szCs w:val="72"/>
          <w:highlight w:val="none"/>
          <w:u w:val="single"/>
        </w:rPr>
      </w:pPr>
    </w:p>
    <w:p w14:paraId="270647DC">
      <w:pPr>
        <w:shd w:val="clear" w:fill="FFFFFF" w:themeFill="background1"/>
        <w:jc w:val="center"/>
        <w:rPr>
          <w:rFonts w:ascii="宋体" w:hAnsi="宋体"/>
          <w:color w:val="auto"/>
          <w:sz w:val="72"/>
          <w:szCs w:val="72"/>
          <w:highlight w:val="none"/>
          <w:u w:val="single"/>
        </w:rPr>
      </w:pPr>
    </w:p>
    <w:p w14:paraId="6773BCEB">
      <w:pPr>
        <w:shd w:val="clear" w:fill="FFFFFF" w:themeFill="background1"/>
        <w:jc w:val="center"/>
        <w:rPr>
          <w:rFonts w:ascii="宋体" w:hAnsi="宋体"/>
          <w:color w:val="auto"/>
          <w:sz w:val="72"/>
          <w:szCs w:val="72"/>
          <w:highlight w:val="none"/>
          <w:u w:val="single"/>
        </w:rPr>
      </w:pPr>
    </w:p>
    <w:p w14:paraId="0100A34E">
      <w:pPr>
        <w:pStyle w:val="4"/>
        <w:shd w:val="clear" w:fill="FFFFFF" w:themeFill="background1"/>
        <w:jc w:val="center"/>
        <w:rPr>
          <w:color w:val="auto"/>
          <w:highlight w:val="none"/>
        </w:rPr>
      </w:pPr>
      <w:bookmarkStart w:id="1746" w:name="_Toc43476026"/>
      <w:bookmarkEnd w:id="1746"/>
      <w:r>
        <w:rPr>
          <w:rFonts w:hint="eastAsia"/>
          <w:color w:val="auto"/>
          <w:highlight w:val="none"/>
        </w:rPr>
        <w:t>第六章图纸（另册）</w:t>
      </w:r>
    </w:p>
    <w:p w14:paraId="60BF0F04">
      <w:pPr>
        <w:shd w:val="clear" w:fill="FFFFFF" w:themeFill="background1"/>
        <w:jc w:val="center"/>
        <w:rPr>
          <w:rFonts w:ascii="宋体" w:hAnsi="宋体"/>
          <w:color w:val="auto"/>
          <w:sz w:val="72"/>
          <w:szCs w:val="72"/>
          <w:highlight w:val="none"/>
          <w:u w:val="single"/>
        </w:rPr>
      </w:pPr>
      <w:r>
        <w:rPr>
          <w:rFonts w:hint="eastAsia" w:ascii="宋体" w:hAnsi="宋体"/>
          <w:color w:val="auto"/>
          <w:sz w:val="72"/>
          <w:szCs w:val="72"/>
          <w:highlight w:val="none"/>
          <w:u w:val="single"/>
        </w:rPr>
        <w:br w:type="page"/>
      </w:r>
    </w:p>
    <w:p w14:paraId="39F70085">
      <w:pPr>
        <w:shd w:val="clear" w:fill="FFFFFF" w:themeFill="background1"/>
        <w:jc w:val="center"/>
        <w:rPr>
          <w:rFonts w:ascii="宋体" w:hAnsi="宋体"/>
          <w:color w:val="auto"/>
          <w:sz w:val="72"/>
          <w:szCs w:val="72"/>
          <w:highlight w:val="none"/>
          <w:u w:val="single"/>
        </w:rPr>
      </w:pPr>
    </w:p>
    <w:p w14:paraId="33C3649D">
      <w:pPr>
        <w:shd w:val="clear" w:fill="FFFFFF" w:themeFill="background1"/>
        <w:jc w:val="center"/>
        <w:rPr>
          <w:rFonts w:ascii="宋体" w:hAnsi="宋体"/>
          <w:color w:val="auto"/>
          <w:sz w:val="72"/>
          <w:szCs w:val="72"/>
          <w:highlight w:val="none"/>
          <w:u w:val="single"/>
        </w:rPr>
      </w:pPr>
    </w:p>
    <w:p w14:paraId="23A854F8">
      <w:pPr>
        <w:shd w:val="clear" w:fill="FFFFFF" w:themeFill="background1"/>
        <w:jc w:val="center"/>
        <w:rPr>
          <w:rFonts w:ascii="宋体" w:hAnsi="宋体"/>
          <w:color w:val="auto"/>
          <w:sz w:val="72"/>
          <w:szCs w:val="72"/>
          <w:highlight w:val="none"/>
          <w:u w:val="single"/>
        </w:rPr>
      </w:pPr>
    </w:p>
    <w:p w14:paraId="0ED86C66">
      <w:pPr>
        <w:shd w:val="clear" w:fill="FFFFFF" w:themeFill="background1"/>
        <w:jc w:val="center"/>
        <w:rPr>
          <w:rFonts w:ascii="宋体" w:hAnsi="宋体"/>
          <w:color w:val="auto"/>
          <w:sz w:val="72"/>
          <w:szCs w:val="72"/>
          <w:highlight w:val="none"/>
          <w:u w:val="single"/>
        </w:rPr>
      </w:pPr>
    </w:p>
    <w:p w14:paraId="2A5D8042">
      <w:pPr>
        <w:pStyle w:val="4"/>
        <w:shd w:val="clear" w:fill="FFFFFF" w:themeFill="background1"/>
        <w:jc w:val="center"/>
        <w:rPr>
          <w:color w:val="auto"/>
          <w:sz w:val="84"/>
          <w:szCs w:val="84"/>
          <w:highlight w:val="none"/>
        </w:rPr>
      </w:pPr>
      <w:bookmarkStart w:id="1747" w:name="_Toc43476027"/>
      <w:bookmarkEnd w:id="1747"/>
      <w:r>
        <w:rPr>
          <w:rFonts w:hint="eastAsia"/>
          <w:color w:val="auto"/>
          <w:sz w:val="84"/>
          <w:szCs w:val="84"/>
          <w:highlight w:val="none"/>
        </w:rPr>
        <w:t>第三卷</w:t>
      </w:r>
    </w:p>
    <w:p w14:paraId="17BCF2E1">
      <w:pPr>
        <w:shd w:val="clear" w:fill="FFFFFF" w:themeFill="background1"/>
        <w:jc w:val="center"/>
        <w:rPr>
          <w:rFonts w:ascii="宋体" w:hAnsi="宋体"/>
          <w:color w:val="auto"/>
          <w:sz w:val="72"/>
          <w:szCs w:val="72"/>
          <w:highlight w:val="none"/>
          <w:u w:val="single"/>
        </w:rPr>
      </w:pPr>
      <w:r>
        <w:rPr>
          <w:rFonts w:hint="eastAsia" w:ascii="宋体" w:hAnsi="宋体"/>
          <w:color w:val="auto"/>
          <w:sz w:val="72"/>
          <w:szCs w:val="72"/>
          <w:highlight w:val="none"/>
          <w:u w:val="single"/>
        </w:rPr>
        <w:br w:type="page"/>
      </w:r>
    </w:p>
    <w:p w14:paraId="1290D0CA">
      <w:pPr>
        <w:shd w:val="clear" w:fill="FFFFFF" w:themeFill="background1"/>
        <w:jc w:val="center"/>
        <w:rPr>
          <w:rFonts w:ascii="宋体" w:hAnsi="宋体"/>
          <w:color w:val="auto"/>
          <w:sz w:val="72"/>
          <w:szCs w:val="72"/>
          <w:highlight w:val="none"/>
          <w:u w:val="single"/>
        </w:rPr>
      </w:pPr>
    </w:p>
    <w:p w14:paraId="6942C1FE">
      <w:pPr>
        <w:shd w:val="clear" w:fill="FFFFFF" w:themeFill="background1"/>
        <w:jc w:val="center"/>
        <w:rPr>
          <w:rFonts w:ascii="宋体" w:hAnsi="宋体"/>
          <w:color w:val="auto"/>
          <w:sz w:val="72"/>
          <w:szCs w:val="72"/>
          <w:highlight w:val="none"/>
          <w:u w:val="single"/>
        </w:rPr>
      </w:pPr>
    </w:p>
    <w:p w14:paraId="07ABB1E7">
      <w:pPr>
        <w:shd w:val="clear" w:fill="FFFFFF" w:themeFill="background1"/>
        <w:jc w:val="center"/>
        <w:rPr>
          <w:rFonts w:ascii="宋体" w:hAnsi="宋体"/>
          <w:color w:val="auto"/>
          <w:sz w:val="72"/>
          <w:szCs w:val="72"/>
          <w:highlight w:val="none"/>
          <w:u w:val="single"/>
        </w:rPr>
      </w:pPr>
    </w:p>
    <w:p w14:paraId="350A0783">
      <w:pPr>
        <w:shd w:val="clear" w:fill="FFFFFF" w:themeFill="background1"/>
        <w:jc w:val="center"/>
        <w:rPr>
          <w:rFonts w:ascii="宋体" w:hAnsi="宋体"/>
          <w:color w:val="auto"/>
          <w:sz w:val="72"/>
          <w:szCs w:val="72"/>
          <w:highlight w:val="none"/>
          <w:u w:val="single"/>
        </w:rPr>
      </w:pPr>
    </w:p>
    <w:p w14:paraId="5F25A5C6">
      <w:pPr>
        <w:pStyle w:val="4"/>
        <w:shd w:val="clear" w:fill="FFFFFF" w:themeFill="background1"/>
        <w:jc w:val="center"/>
        <w:rPr>
          <w:color w:val="auto"/>
          <w:highlight w:val="none"/>
        </w:rPr>
      </w:pPr>
      <w:bookmarkStart w:id="1748" w:name="_Toc43476028"/>
      <w:bookmarkEnd w:id="1748"/>
      <w:r>
        <w:rPr>
          <w:rFonts w:hint="eastAsia"/>
          <w:color w:val="auto"/>
          <w:highlight w:val="none"/>
        </w:rPr>
        <w:t>第七章技术规范（自行收集）</w:t>
      </w:r>
    </w:p>
    <w:p w14:paraId="73F27509">
      <w:pPr>
        <w:shd w:val="clear" w:fill="FFFFFF" w:themeFill="background1"/>
        <w:jc w:val="center"/>
        <w:rPr>
          <w:rFonts w:ascii="宋体" w:hAnsi="宋体"/>
          <w:color w:val="auto"/>
          <w:sz w:val="72"/>
          <w:szCs w:val="72"/>
          <w:highlight w:val="none"/>
          <w:u w:val="single"/>
        </w:rPr>
      </w:pPr>
      <w:r>
        <w:rPr>
          <w:rFonts w:hint="eastAsia" w:ascii="宋体" w:hAnsi="宋体"/>
          <w:color w:val="auto"/>
          <w:sz w:val="72"/>
          <w:szCs w:val="72"/>
          <w:highlight w:val="none"/>
          <w:u w:val="single"/>
        </w:rPr>
        <w:br w:type="page"/>
      </w:r>
    </w:p>
    <w:p w14:paraId="74CF39D2">
      <w:pPr>
        <w:shd w:val="clear" w:fill="FFFFFF" w:themeFill="background1"/>
        <w:jc w:val="center"/>
        <w:rPr>
          <w:rFonts w:ascii="宋体" w:hAnsi="宋体"/>
          <w:color w:val="auto"/>
          <w:sz w:val="72"/>
          <w:szCs w:val="72"/>
          <w:highlight w:val="none"/>
          <w:u w:val="single"/>
        </w:rPr>
      </w:pPr>
    </w:p>
    <w:p w14:paraId="72C96267">
      <w:pPr>
        <w:shd w:val="clear" w:fill="FFFFFF" w:themeFill="background1"/>
        <w:jc w:val="center"/>
        <w:rPr>
          <w:rFonts w:ascii="宋体" w:hAnsi="宋体"/>
          <w:color w:val="auto"/>
          <w:sz w:val="72"/>
          <w:szCs w:val="72"/>
          <w:highlight w:val="none"/>
          <w:u w:val="single"/>
        </w:rPr>
      </w:pPr>
    </w:p>
    <w:p w14:paraId="56845EA4">
      <w:pPr>
        <w:shd w:val="clear" w:fill="FFFFFF" w:themeFill="background1"/>
        <w:jc w:val="center"/>
        <w:rPr>
          <w:rFonts w:ascii="宋体" w:hAnsi="宋体"/>
          <w:color w:val="auto"/>
          <w:sz w:val="72"/>
          <w:szCs w:val="72"/>
          <w:highlight w:val="none"/>
          <w:u w:val="single"/>
        </w:rPr>
      </w:pPr>
    </w:p>
    <w:p w14:paraId="122C7428">
      <w:pPr>
        <w:shd w:val="clear" w:fill="FFFFFF" w:themeFill="background1"/>
        <w:jc w:val="center"/>
        <w:rPr>
          <w:rFonts w:ascii="宋体" w:hAnsi="宋体"/>
          <w:color w:val="auto"/>
          <w:sz w:val="72"/>
          <w:szCs w:val="72"/>
          <w:highlight w:val="none"/>
          <w:u w:val="single"/>
        </w:rPr>
      </w:pPr>
    </w:p>
    <w:p w14:paraId="2828EA18">
      <w:pPr>
        <w:pStyle w:val="4"/>
        <w:shd w:val="clear" w:fill="FFFFFF" w:themeFill="background1"/>
        <w:jc w:val="center"/>
        <w:rPr>
          <w:color w:val="auto"/>
          <w:highlight w:val="none"/>
        </w:rPr>
      </w:pPr>
      <w:bookmarkStart w:id="1749" w:name="_Toc43476029"/>
      <w:bookmarkEnd w:id="1749"/>
      <w:r>
        <w:rPr>
          <w:rFonts w:hint="eastAsia"/>
          <w:color w:val="auto"/>
          <w:highlight w:val="none"/>
        </w:rPr>
        <w:t>第八章  工程量清单计量规则</w:t>
      </w:r>
    </w:p>
    <w:p w14:paraId="3F51D5E2">
      <w:pPr>
        <w:shd w:val="clear" w:fill="FFFFFF" w:themeFill="background1"/>
        <w:jc w:val="center"/>
        <w:rPr>
          <w:color w:val="auto"/>
          <w:sz w:val="24"/>
          <w:highlight w:val="none"/>
        </w:rPr>
      </w:pPr>
      <w:r>
        <w:rPr>
          <w:color w:val="auto"/>
          <w:sz w:val="24"/>
          <w:highlight w:val="none"/>
        </w:rPr>
        <w:t>（</w:t>
      </w:r>
      <w:r>
        <w:rPr>
          <w:rFonts w:hint="eastAsia"/>
          <w:color w:val="auto"/>
          <w:sz w:val="24"/>
          <w:highlight w:val="none"/>
        </w:rPr>
        <w:t>工程量清单计量规则具体应执行《广东省公路工程造价标准化管理指</w:t>
      </w:r>
    </w:p>
    <w:p w14:paraId="1FFAF1C0">
      <w:pPr>
        <w:shd w:val="clear" w:fill="FFFFFF" w:themeFill="background1"/>
        <w:jc w:val="center"/>
        <w:rPr>
          <w:rFonts w:ascii="宋体" w:hAnsi="宋体"/>
          <w:color w:val="auto"/>
          <w:sz w:val="24"/>
          <w:highlight w:val="none"/>
        </w:rPr>
      </w:pPr>
      <w:r>
        <w:rPr>
          <w:rFonts w:hint="eastAsia"/>
          <w:color w:val="auto"/>
          <w:sz w:val="24"/>
          <w:highlight w:val="none"/>
        </w:rPr>
        <w:t>南》（粤交基〔2022〕483 号）及现行的相关补充规定</w:t>
      </w:r>
      <w:r>
        <w:rPr>
          <w:color w:val="auto"/>
          <w:sz w:val="24"/>
          <w:highlight w:val="none"/>
        </w:rPr>
        <w:t>）</w:t>
      </w:r>
    </w:p>
    <w:p w14:paraId="707DA26A">
      <w:pPr>
        <w:shd w:val="clear" w:fill="FFFFFF" w:themeFill="background1"/>
        <w:rPr>
          <w:color w:val="auto"/>
          <w:highlight w:val="none"/>
        </w:rPr>
      </w:pPr>
    </w:p>
    <w:p w14:paraId="30B77CF7">
      <w:pPr>
        <w:shd w:val="clear" w:fill="FFFFFF" w:themeFill="background1"/>
        <w:jc w:val="center"/>
        <w:rPr>
          <w:rFonts w:ascii="宋体" w:hAnsi="宋体"/>
          <w:color w:val="auto"/>
          <w:sz w:val="72"/>
          <w:szCs w:val="72"/>
          <w:highlight w:val="none"/>
          <w:u w:val="single"/>
        </w:rPr>
      </w:pPr>
      <w:r>
        <w:rPr>
          <w:rFonts w:hint="eastAsia" w:ascii="宋体" w:hAnsi="宋体"/>
          <w:color w:val="auto"/>
          <w:sz w:val="72"/>
          <w:szCs w:val="72"/>
          <w:highlight w:val="none"/>
          <w:u w:val="single"/>
        </w:rPr>
        <w:br w:type="page"/>
      </w:r>
    </w:p>
    <w:p w14:paraId="02CBC9A5">
      <w:pPr>
        <w:shd w:val="clear" w:fill="FFFFFF" w:themeFill="background1"/>
        <w:jc w:val="center"/>
        <w:rPr>
          <w:rFonts w:ascii="宋体" w:hAnsi="宋体"/>
          <w:color w:val="auto"/>
          <w:sz w:val="72"/>
          <w:szCs w:val="72"/>
          <w:highlight w:val="none"/>
          <w:u w:val="single"/>
        </w:rPr>
      </w:pPr>
    </w:p>
    <w:p w14:paraId="096CDEE2">
      <w:pPr>
        <w:shd w:val="clear" w:fill="FFFFFF" w:themeFill="background1"/>
        <w:jc w:val="center"/>
        <w:rPr>
          <w:rFonts w:ascii="宋体" w:hAnsi="宋体"/>
          <w:color w:val="auto"/>
          <w:sz w:val="72"/>
          <w:szCs w:val="72"/>
          <w:highlight w:val="none"/>
          <w:u w:val="single"/>
        </w:rPr>
      </w:pPr>
    </w:p>
    <w:p w14:paraId="36D14B71">
      <w:pPr>
        <w:shd w:val="clear" w:fill="FFFFFF" w:themeFill="background1"/>
        <w:jc w:val="center"/>
        <w:rPr>
          <w:rFonts w:ascii="宋体" w:hAnsi="宋体"/>
          <w:color w:val="auto"/>
          <w:sz w:val="72"/>
          <w:szCs w:val="72"/>
          <w:highlight w:val="none"/>
          <w:u w:val="single"/>
        </w:rPr>
      </w:pPr>
    </w:p>
    <w:p w14:paraId="3FBD9867">
      <w:pPr>
        <w:shd w:val="clear" w:fill="FFFFFF" w:themeFill="background1"/>
        <w:jc w:val="center"/>
        <w:rPr>
          <w:rFonts w:ascii="宋体" w:hAnsi="宋体"/>
          <w:color w:val="auto"/>
          <w:sz w:val="72"/>
          <w:szCs w:val="72"/>
          <w:highlight w:val="none"/>
          <w:u w:val="single"/>
        </w:rPr>
      </w:pPr>
    </w:p>
    <w:p w14:paraId="3FC67F0C">
      <w:pPr>
        <w:pStyle w:val="4"/>
        <w:shd w:val="clear" w:fill="FFFFFF" w:themeFill="background1"/>
        <w:jc w:val="center"/>
        <w:rPr>
          <w:color w:val="auto"/>
          <w:sz w:val="84"/>
          <w:szCs w:val="84"/>
          <w:highlight w:val="none"/>
        </w:rPr>
      </w:pPr>
      <w:bookmarkStart w:id="1750" w:name="_Toc43476030"/>
      <w:bookmarkEnd w:id="1750"/>
      <w:r>
        <w:rPr>
          <w:rFonts w:hint="eastAsia"/>
          <w:color w:val="auto"/>
          <w:sz w:val="84"/>
          <w:szCs w:val="84"/>
          <w:highlight w:val="none"/>
        </w:rPr>
        <w:t>第四卷</w:t>
      </w:r>
    </w:p>
    <w:p w14:paraId="547325AB">
      <w:pPr>
        <w:shd w:val="clear" w:fill="FFFFFF" w:themeFill="background1"/>
        <w:jc w:val="center"/>
        <w:rPr>
          <w:rFonts w:ascii="宋体" w:hAnsi="宋体"/>
          <w:color w:val="auto"/>
          <w:sz w:val="72"/>
          <w:szCs w:val="72"/>
          <w:highlight w:val="none"/>
          <w:u w:val="single"/>
        </w:rPr>
      </w:pPr>
      <w:r>
        <w:rPr>
          <w:rFonts w:hint="eastAsia" w:ascii="宋体" w:hAnsi="宋体"/>
          <w:color w:val="auto"/>
          <w:sz w:val="72"/>
          <w:szCs w:val="72"/>
          <w:highlight w:val="none"/>
          <w:u w:val="single"/>
        </w:rPr>
        <w:br w:type="page"/>
      </w:r>
    </w:p>
    <w:p w14:paraId="05A32282">
      <w:pPr>
        <w:shd w:val="clear" w:fill="FFFFFF" w:themeFill="background1"/>
        <w:jc w:val="center"/>
        <w:rPr>
          <w:rFonts w:ascii="宋体" w:hAnsi="宋体"/>
          <w:color w:val="auto"/>
          <w:sz w:val="72"/>
          <w:szCs w:val="72"/>
          <w:highlight w:val="none"/>
          <w:u w:val="single"/>
        </w:rPr>
      </w:pPr>
    </w:p>
    <w:p w14:paraId="1D80D2C7">
      <w:pPr>
        <w:shd w:val="clear" w:fill="FFFFFF" w:themeFill="background1"/>
        <w:jc w:val="center"/>
        <w:rPr>
          <w:rFonts w:ascii="宋体" w:hAnsi="宋体"/>
          <w:color w:val="auto"/>
          <w:sz w:val="72"/>
          <w:szCs w:val="72"/>
          <w:highlight w:val="none"/>
          <w:u w:val="single"/>
        </w:rPr>
      </w:pPr>
    </w:p>
    <w:p w14:paraId="3206C890">
      <w:pPr>
        <w:shd w:val="clear" w:fill="FFFFFF" w:themeFill="background1"/>
        <w:jc w:val="center"/>
        <w:rPr>
          <w:rFonts w:ascii="宋体" w:hAnsi="宋体"/>
          <w:color w:val="auto"/>
          <w:sz w:val="72"/>
          <w:szCs w:val="72"/>
          <w:highlight w:val="none"/>
          <w:u w:val="single"/>
        </w:rPr>
      </w:pPr>
    </w:p>
    <w:p w14:paraId="081B8D53">
      <w:pPr>
        <w:shd w:val="clear" w:fill="FFFFFF" w:themeFill="background1"/>
        <w:jc w:val="center"/>
        <w:rPr>
          <w:rFonts w:ascii="宋体" w:hAnsi="宋体"/>
          <w:color w:val="auto"/>
          <w:sz w:val="72"/>
          <w:szCs w:val="72"/>
          <w:highlight w:val="none"/>
          <w:u w:val="single"/>
        </w:rPr>
      </w:pPr>
    </w:p>
    <w:p w14:paraId="5B4225C8">
      <w:pPr>
        <w:pStyle w:val="4"/>
        <w:shd w:val="clear" w:fill="FFFFFF" w:themeFill="background1"/>
        <w:jc w:val="center"/>
        <w:rPr>
          <w:color w:val="auto"/>
          <w:highlight w:val="none"/>
        </w:rPr>
      </w:pPr>
      <w:bookmarkStart w:id="1751" w:name="_Toc43476031"/>
      <w:bookmarkEnd w:id="1751"/>
      <w:r>
        <w:rPr>
          <w:rFonts w:hint="eastAsia"/>
          <w:color w:val="auto"/>
          <w:highlight w:val="none"/>
        </w:rPr>
        <w:t>第九章投标文件格式</w:t>
      </w:r>
    </w:p>
    <w:p w14:paraId="6F267AAA">
      <w:pPr>
        <w:shd w:val="clear" w:fill="FFFFFF" w:themeFill="background1"/>
        <w:adjustRightInd w:val="0"/>
        <w:snapToGrid w:val="0"/>
        <w:spacing w:line="360" w:lineRule="auto"/>
        <w:rPr>
          <w:rFonts w:ascii="宋体" w:hAnsi="宋体"/>
          <w:color w:val="auto"/>
          <w:sz w:val="24"/>
          <w:highlight w:val="none"/>
        </w:rPr>
      </w:pPr>
      <w:r>
        <w:rPr>
          <w:rFonts w:hint="eastAsia" w:ascii="宋体" w:hAnsi="宋体"/>
          <w:color w:val="auto"/>
          <w:sz w:val="24"/>
          <w:highlight w:val="none"/>
        </w:rPr>
        <w:br w:type="page"/>
      </w:r>
    </w:p>
    <w:p w14:paraId="400D9ABD">
      <w:pPr>
        <w:shd w:val="clear" w:fill="FFFFFF" w:themeFill="background1"/>
        <w:spacing w:line="360" w:lineRule="auto"/>
        <w:ind w:firstLine="643" w:firstLineChars="200"/>
        <w:jc w:val="center"/>
        <w:rPr>
          <w:rFonts w:ascii="宋体" w:hAnsi="宋体"/>
          <w:b/>
          <w:color w:val="auto"/>
          <w:sz w:val="32"/>
          <w:szCs w:val="32"/>
          <w:highlight w:val="none"/>
          <w:u w:val="single"/>
        </w:rPr>
      </w:pPr>
    </w:p>
    <w:p w14:paraId="0B8638B6">
      <w:pPr>
        <w:shd w:val="clear" w:fill="FFFFFF" w:themeFill="background1"/>
        <w:spacing w:line="360" w:lineRule="auto"/>
        <w:ind w:firstLine="883" w:firstLineChars="200"/>
        <w:jc w:val="center"/>
        <w:rPr>
          <w:rFonts w:ascii="宋体" w:hAnsi="宋体"/>
          <w:b/>
          <w:color w:val="auto"/>
          <w:sz w:val="44"/>
          <w:szCs w:val="44"/>
          <w:highlight w:val="none"/>
          <w:u w:val="single"/>
        </w:rPr>
      </w:pPr>
      <w:r>
        <w:rPr>
          <w:rFonts w:hint="eastAsia" w:ascii="宋体" w:hAnsi="宋体"/>
          <w:b/>
          <w:color w:val="auto"/>
          <w:sz w:val="44"/>
          <w:szCs w:val="44"/>
          <w:highlight w:val="none"/>
          <w:u w:val="single"/>
        </w:rPr>
        <w:t>广东省</w:t>
      </w:r>
    </w:p>
    <w:p w14:paraId="50C4975C">
      <w:pPr>
        <w:shd w:val="clear" w:fill="FFFFFF" w:themeFill="background1"/>
        <w:spacing w:line="360" w:lineRule="auto"/>
        <w:ind w:firstLine="883" w:firstLineChars="200"/>
        <w:jc w:val="center"/>
        <w:rPr>
          <w:rFonts w:ascii="宋体" w:hAnsi="宋体"/>
          <w:b/>
          <w:color w:val="auto"/>
          <w:sz w:val="44"/>
          <w:szCs w:val="44"/>
          <w:highlight w:val="none"/>
          <w:u w:val="single"/>
        </w:rPr>
      </w:pPr>
    </w:p>
    <w:p w14:paraId="20FC9675">
      <w:pPr>
        <w:shd w:val="clear" w:fill="FFFFFF" w:themeFill="background1"/>
        <w:spacing w:line="360" w:lineRule="auto"/>
        <w:ind w:firstLine="883" w:firstLineChars="200"/>
        <w:jc w:val="center"/>
        <w:rPr>
          <w:rFonts w:ascii="宋体" w:hAnsi="宋体"/>
          <w:b/>
          <w:color w:val="auto"/>
          <w:sz w:val="32"/>
          <w:szCs w:val="32"/>
          <w:highlight w:val="none"/>
        </w:rPr>
      </w:pPr>
      <w:r>
        <w:rPr>
          <w:rFonts w:hint="eastAsia" w:ascii="宋体" w:hAnsi="宋体"/>
          <w:b/>
          <w:color w:val="auto"/>
          <w:sz w:val="44"/>
          <w:szCs w:val="44"/>
          <w:highlight w:val="none"/>
          <w:u w:val="single"/>
        </w:rPr>
        <w:t xml:space="preserve">     </w:t>
      </w:r>
      <w:r>
        <w:rPr>
          <w:rFonts w:ascii="宋体" w:hAnsi="宋体"/>
          <w:b/>
          <w:color w:val="auto"/>
          <w:sz w:val="44"/>
          <w:szCs w:val="44"/>
          <w:highlight w:val="none"/>
          <w:u w:val="single"/>
        </w:rPr>
        <w:t>（项目名称）</w:t>
      </w:r>
      <w:r>
        <w:rPr>
          <w:rFonts w:hint="eastAsia" w:ascii="宋体" w:hAnsi="宋体"/>
          <w:b/>
          <w:color w:val="auto"/>
          <w:sz w:val="44"/>
          <w:szCs w:val="44"/>
          <w:highlight w:val="none"/>
          <w:u w:val="single"/>
        </w:rPr>
        <w:t xml:space="preserve">    </w:t>
      </w:r>
      <w:r>
        <w:rPr>
          <w:rFonts w:hint="eastAsia" w:ascii="宋体" w:hAnsi="宋体"/>
          <w:b/>
          <w:color w:val="auto"/>
          <w:sz w:val="44"/>
          <w:szCs w:val="44"/>
          <w:highlight w:val="none"/>
        </w:rPr>
        <w:t>施工招标</w:t>
      </w:r>
    </w:p>
    <w:p w14:paraId="0040A4E3">
      <w:pPr>
        <w:shd w:val="clear" w:fill="FFFFFF" w:themeFill="background1"/>
        <w:spacing w:line="360" w:lineRule="auto"/>
        <w:ind w:firstLine="420" w:firstLineChars="200"/>
        <w:rPr>
          <w:rFonts w:ascii="宋体" w:hAnsi="宋体"/>
          <w:color w:val="auto"/>
          <w:szCs w:val="21"/>
          <w:highlight w:val="none"/>
        </w:rPr>
      </w:pPr>
    </w:p>
    <w:p w14:paraId="24F5A9C8">
      <w:pPr>
        <w:shd w:val="clear" w:fill="FFFFFF" w:themeFill="background1"/>
        <w:spacing w:line="360" w:lineRule="auto"/>
        <w:ind w:firstLine="420" w:firstLineChars="200"/>
        <w:rPr>
          <w:rFonts w:ascii="宋体" w:hAnsi="宋体"/>
          <w:color w:val="auto"/>
          <w:szCs w:val="21"/>
          <w:highlight w:val="none"/>
        </w:rPr>
      </w:pPr>
    </w:p>
    <w:p w14:paraId="7AEE8F66">
      <w:pPr>
        <w:shd w:val="clear" w:fill="FFFFFF" w:themeFill="background1"/>
        <w:spacing w:line="360" w:lineRule="auto"/>
        <w:jc w:val="center"/>
        <w:rPr>
          <w:rFonts w:ascii="宋体" w:hAnsi="宋体"/>
          <w:b/>
          <w:color w:val="auto"/>
          <w:sz w:val="52"/>
          <w:szCs w:val="52"/>
          <w:highlight w:val="none"/>
        </w:rPr>
      </w:pPr>
    </w:p>
    <w:p w14:paraId="5140B1FF">
      <w:pPr>
        <w:shd w:val="clear" w:fill="FFFFFF" w:themeFill="background1"/>
        <w:spacing w:line="360" w:lineRule="auto"/>
        <w:jc w:val="center"/>
        <w:rPr>
          <w:rFonts w:ascii="宋体" w:hAnsi="宋体"/>
          <w:b/>
          <w:color w:val="auto"/>
          <w:sz w:val="52"/>
          <w:szCs w:val="52"/>
          <w:highlight w:val="none"/>
        </w:rPr>
      </w:pPr>
    </w:p>
    <w:p w14:paraId="6FD95B24">
      <w:pPr>
        <w:shd w:val="clear" w:fill="FFFFFF" w:themeFill="background1"/>
        <w:jc w:val="center"/>
        <w:rPr>
          <w:rFonts w:ascii="宋体" w:hAnsi="宋体"/>
          <w:b/>
          <w:bCs/>
          <w:color w:val="auto"/>
          <w:sz w:val="48"/>
          <w:szCs w:val="48"/>
          <w:highlight w:val="none"/>
        </w:rPr>
      </w:pPr>
      <w:r>
        <w:rPr>
          <w:rFonts w:hint="eastAsia" w:ascii="宋体" w:hAnsi="宋体"/>
          <w:b/>
          <w:bCs/>
          <w:color w:val="auto"/>
          <w:sz w:val="48"/>
          <w:szCs w:val="48"/>
          <w:highlight w:val="none"/>
        </w:rPr>
        <w:t>投 标 文 件</w:t>
      </w:r>
    </w:p>
    <w:p w14:paraId="1CFFD7DC">
      <w:pPr>
        <w:pStyle w:val="55"/>
        <w:shd w:val="clear" w:fill="FFFFFF" w:themeFill="background1"/>
        <w:rPr>
          <w:color w:val="auto"/>
          <w:highlight w:val="none"/>
        </w:rPr>
      </w:pPr>
    </w:p>
    <w:p w14:paraId="51EF50B6">
      <w:pPr>
        <w:shd w:val="clear" w:fill="FFFFFF" w:themeFill="background1"/>
        <w:jc w:val="center"/>
        <w:rPr>
          <w:rFonts w:ascii="宋体" w:hAnsi="宋体"/>
          <w:b/>
          <w:bCs/>
          <w:color w:val="auto"/>
          <w:sz w:val="32"/>
          <w:szCs w:val="32"/>
          <w:highlight w:val="none"/>
        </w:rPr>
      </w:pPr>
      <w:r>
        <w:rPr>
          <w:rFonts w:hint="eastAsia" w:ascii="宋体" w:hAnsi="宋体"/>
          <w:b/>
          <w:bCs/>
          <w:color w:val="auto"/>
          <w:sz w:val="32"/>
          <w:szCs w:val="32"/>
          <w:highlight w:val="none"/>
        </w:rPr>
        <w:t>（第一信封：商务及技术文件）</w:t>
      </w:r>
    </w:p>
    <w:p w14:paraId="26571110">
      <w:pPr>
        <w:shd w:val="clear" w:fill="FFFFFF" w:themeFill="background1"/>
        <w:spacing w:line="360" w:lineRule="auto"/>
        <w:rPr>
          <w:rFonts w:ascii="宋体" w:hAnsi="宋体"/>
          <w:b/>
          <w:color w:val="auto"/>
          <w:sz w:val="32"/>
          <w:szCs w:val="32"/>
          <w:highlight w:val="none"/>
        </w:rPr>
      </w:pPr>
    </w:p>
    <w:p w14:paraId="247A3689">
      <w:pPr>
        <w:shd w:val="clear" w:fill="FFFFFF" w:themeFill="background1"/>
        <w:spacing w:line="360" w:lineRule="auto"/>
        <w:rPr>
          <w:rFonts w:ascii="宋体" w:hAnsi="宋体"/>
          <w:b/>
          <w:color w:val="auto"/>
          <w:sz w:val="32"/>
          <w:szCs w:val="32"/>
          <w:highlight w:val="none"/>
        </w:rPr>
      </w:pPr>
    </w:p>
    <w:p w14:paraId="7629252E">
      <w:pPr>
        <w:shd w:val="clear" w:fill="FFFFFF" w:themeFill="background1"/>
        <w:spacing w:line="360" w:lineRule="auto"/>
        <w:rPr>
          <w:rFonts w:ascii="宋体" w:hAnsi="宋体"/>
          <w:b/>
          <w:color w:val="auto"/>
          <w:sz w:val="32"/>
          <w:szCs w:val="32"/>
          <w:highlight w:val="none"/>
        </w:rPr>
      </w:pPr>
    </w:p>
    <w:p w14:paraId="126B5C35">
      <w:pPr>
        <w:shd w:val="clear" w:fill="FFFFFF" w:themeFill="background1"/>
        <w:spacing w:line="360" w:lineRule="auto"/>
        <w:rPr>
          <w:rFonts w:ascii="宋体" w:hAnsi="宋体"/>
          <w:b/>
          <w:color w:val="auto"/>
          <w:sz w:val="32"/>
          <w:szCs w:val="32"/>
          <w:highlight w:val="none"/>
        </w:rPr>
      </w:pPr>
    </w:p>
    <w:p w14:paraId="27A50F92">
      <w:pPr>
        <w:shd w:val="clear" w:fill="FFFFFF" w:themeFill="background1"/>
        <w:spacing w:line="360" w:lineRule="auto"/>
        <w:rPr>
          <w:rFonts w:ascii="宋体" w:hAnsi="宋体"/>
          <w:b/>
          <w:color w:val="auto"/>
          <w:sz w:val="32"/>
          <w:szCs w:val="32"/>
          <w:highlight w:val="none"/>
        </w:rPr>
      </w:pPr>
    </w:p>
    <w:p w14:paraId="187DCC3F">
      <w:pPr>
        <w:shd w:val="clear" w:fill="FFFFFF" w:themeFill="background1"/>
        <w:spacing w:line="360" w:lineRule="auto"/>
        <w:rPr>
          <w:rFonts w:ascii="宋体" w:hAnsi="宋体"/>
          <w:b/>
          <w:color w:val="auto"/>
          <w:sz w:val="32"/>
          <w:szCs w:val="32"/>
          <w:highlight w:val="none"/>
        </w:rPr>
      </w:pPr>
    </w:p>
    <w:p w14:paraId="41743954">
      <w:pPr>
        <w:shd w:val="clear" w:fill="FFFFFF" w:themeFill="background1"/>
        <w:spacing w:line="360" w:lineRule="auto"/>
        <w:rPr>
          <w:rFonts w:ascii="宋体" w:hAnsi="宋体"/>
          <w:b/>
          <w:color w:val="auto"/>
          <w:sz w:val="32"/>
          <w:szCs w:val="32"/>
          <w:highlight w:val="none"/>
        </w:rPr>
      </w:pPr>
    </w:p>
    <w:p w14:paraId="5F99AAFC">
      <w:pPr>
        <w:shd w:val="clear" w:fill="FFFFFF" w:themeFill="background1"/>
        <w:tabs>
          <w:tab w:val="left" w:pos="3848"/>
        </w:tabs>
        <w:spacing w:before="101" w:line="380" w:lineRule="auto"/>
        <w:ind w:left="2555" w:right="776" w:hanging="1614"/>
        <w:rPr>
          <w:rFonts w:ascii="宋体" w:hAnsi="宋体" w:cs="宋体"/>
          <w:b/>
          <w:bCs/>
          <w:color w:val="auto"/>
          <w:sz w:val="31"/>
          <w:szCs w:val="31"/>
          <w:highlight w:val="none"/>
        </w:rPr>
      </w:pPr>
      <w:r>
        <w:rPr>
          <w:rFonts w:ascii="宋体" w:hAnsi="宋体" w:cs="宋体"/>
          <w:b/>
          <w:bCs/>
          <w:color w:val="auto"/>
          <w:spacing w:val="-4"/>
          <w:sz w:val="31"/>
          <w:szCs w:val="31"/>
          <w:highlight w:val="none"/>
        </w:rPr>
        <w:t>投标人：</w:t>
      </w:r>
      <w:r>
        <w:rPr>
          <w:rFonts w:ascii="宋体" w:hAnsi="宋体" w:cs="宋体"/>
          <w:b/>
          <w:bCs/>
          <w:color w:val="auto"/>
          <w:spacing w:val="-4"/>
          <w:sz w:val="31"/>
          <w:szCs w:val="31"/>
          <w:highlight w:val="none"/>
          <w:u w:val="single"/>
        </w:rPr>
        <w:t xml:space="preserve">           </w:t>
      </w:r>
      <w:r>
        <w:rPr>
          <w:rFonts w:ascii="宋体" w:hAnsi="宋体" w:cs="宋体"/>
          <w:b/>
          <w:bCs/>
          <w:color w:val="auto"/>
          <w:spacing w:val="-3"/>
          <w:sz w:val="31"/>
          <w:szCs w:val="31"/>
          <w:highlight w:val="none"/>
          <w:u w:val="single"/>
        </w:rPr>
        <w:t xml:space="preserve"> </w:t>
      </w:r>
      <w:r>
        <w:rPr>
          <w:rFonts w:ascii="宋体" w:hAnsi="宋体" w:cs="宋体"/>
          <w:b/>
          <w:bCs/>
          <w:color w:val="auto"/>
          <w:spacing w:val="-2"/>
          <w:sz w:val="31"/>
          <w:szCs w:val="31"/>
          <w:highlight w:val="none"/>
          <w:u w:val="single"/>
        </w:rPr>
        <w:t xml:space="preserve">              </w:t>
      </w:r>
      <w:r>
        <w:rPr>
          <w:rFonts w:ascii="宋体" w:hAnsi="宋体" w:cs="宋体"/>
          <w:b/>
          <w:bCs/>
          <w:color w:val="auto"/>
          <w:spacing w:val="-2"/>
          <w:sz w:val="31"/>
          <w:szCs w:val="31"/>
          <w:highlight w:val="none"/>
        </w:rPr>
        <w:t>(盖单位章)</w:t>
      </w:r>
      <w:r>
        <w:rPr>
          <w:rFonts w:ascii="宋体" w:hAnsi="宋体" w:cs="宋体"/>
          <w:b/>
          <w:bCs/>
          <w:color w:val="auto"/>
          <w:sz w:val="31"/>
          <w:szCs w:val="31"/>
          <w:highlight w:val="none"/>
        </w:rPr>
        <w:t xml:space="preserve"> </w:t>
      </w:r>
    </w:p>
    <w:p w14:paraId="3A8D732B">
      <w:pPr>
        <w:shd w:val="clear" w:fill="FFFFFF" w:themeFill="background1"/>
        <w:tabs>
          <w:tab w:val="left" w:pos="3848"/>
        </w:tabs>
        <w:spacing w:before="101" w:line="380" w:lineRule="auto"/>
        <w:ind w:left="2587" w:leftChars="1232" w:right="776" w:firstLine="103" w:firstLineChars="33"/>
        <w:rPr>
          <w:rFonts w:ascii="宋体" w:hAnsi="宋体" w:cs="宋体"/>
          <w:b/>
          <w:bCs/>
          <w:color w:val="auto"/>
          <w:sz w:val="31"/>
          <w:szCs w:val="31"/>
          <w:highlight w:val="none"/>
        </w:rPr>
      </w:pPr>
      <w:r>
        <w:rPr>
          <w:rFonts w:ascii="宋体" w:hAnsi="宋体" w:cs="宋体"/>
          <w:b/>
          <w:bCs/>
          <w:color w:val="auto"/>
          <w:sz w:val="31"/>
          <w:szCs w:val="31"/>
          <w:highlight w:val="none"/>
          <w:u w:val="single"/>
        </w:rPr>
        <w:tab/>
      </w:r>
      <w:r>
        <w:rPr>
          <w:rFonts w:ascii="宋体" w:hAnsi="宋体" w:cs="宋体"/>
          <w:b/>
          <w:bCs/>
          <w:color w:val="auto"/>
          <w:spacing w:val="-2"/>
          <w:sz w:val="31"/>
          <w:szCs w:val="31"/>
          <w:highlight w:val="none"/>
        </w:rPr>
        <w:t>年</w:t>
      </w:r>
      <w:r>
        <w:rPr>
          <w:rFonts w:ascii="宋体" w:hAnsi="宋体" w:cs="宋体"/>
          <w:b/>
          <w:bCs/>
          <w:color w:val="auto"/>
          <w:spacing w:val="-2"/>
          <w:sz w:val="31"/>
          <w:szCs w:val="31"/>
          <w:highlight w:val="none"/>
          <w:u w:val="single"/>
        </w:rPr>
        <w:t xml:space="preserve">   </w:t>
      </w:r>
      <w:r>
        <w:rPr>
          <w:rFonts w:ascii="宋体" w:hAnsi="宋体" w:cs="宋体"/>
          <w:b/>
          <w:bCs/>
          <w:color w:val="auto"/>
          <w:spacing w:val="-1"/>
          <w:sz w:val="31"/>
          <w:szCs w:val="31"/>
          <w:highlight w:val="none"/>
          <w:u w:val="single"/>
        </w:rPr>
        <w:t xml:space="preserve">   </w:t>
      </w:r>
      <w:r>
        <w:rPr>
          <w:rFonts w:ascii="宋体" w:hAnsi="宋体" w:cs="宋体"/>
          <w:b/>
          <w:bCs/>
          <w:color w:val="auto"/>
          <w:spacing w:val="-1"/>
          <w:sz w:val="31"/>
          <w:szCs w:val="31"/>
          <w:highlight w:val="none"/>
        </w:rPr>
        <w:t>月</w:t>
      </w:r>
      <w:r>
        <w:rPr>
          <w:rFonts w:ascii="宋体" w:hAnsi="宋体" w:cs="宋体"/>
          <w:b/>
          <w:bCs/>
          <w:color w:val="auto"/>
          <w:spacing w:val="-1"/>
          <w:sz w:val="31"/>
          <w:szCs w:val="31"/>
          <w:highlight w:val="none"/>
          <w:u w:val="single"/>
        </w:rPr>
        <w:t xml:space="preserve">      </w:t>
      </w:r>
      <w:r>
        <w:rPr>
          <w:rFonts w:ascii="宋体" w:hAnsi="宋体" w:cs="宋体"/>
          <w:b/>
          <w:bCs/>
          <w:color w:val="auto"/>
          <w:spacing w:val="-1"/>
          <w:sz w:val="31"/>
          <w:szCs w:val="31"/>
          <w:highlight w:val="none"/>
        </w:rPr>
        <w:t xml:space="preserve"> 日</w:t>
      </w:r>
    </w:p>
    <w:p w14:paraId="53BA02A5">
      <w:pPr>
        <w:shd w:val="clear" w:fill="FFFFFF" w:themeFill="background1"/>
        <w:rPr>
          <w:b/>
          <w:bCs/>
          <w:color w:val="auto"/>
          <w:highlight w:val="none"/>
        </w:rPr>
        <w:sectPr>
          <w:headerReference r:id="rId11" w:type="default"/>
          <w:footerReference r:id="rId12" w:type="default"/>
          <w:pgSz w:w="11900" w:h="16839"/>
          <w:pgMar w:top="947" w:right="1125" w:bottom="1134" w:left="1420" w:header="707" w:footer="974" w:gutter="0"/>
          <w:cols w:space="720" w:num="1"/>
        </w:sectPr>
      </w:pPr>
    </w:p>
    <w:p w14:paraId="2AB00176">
      <w:pPr>
        <w:shd w:val="clear" w:fill="FFFFFF" w:themeFill="background1"/>
        <w:spacing w:line="360" w:lineRule="auto"/>
        <w:ind w:firstLine="4498" w:firstLineChars="1400"/>
        <w:rPr>
          <w:rFonts w:ascii="宋体" w:hAnsi="宋体"/>
          <w:b/>
          <w:color w:val="auto"/>
          <w:sz w:val="32"/>
          <w:szCs w:val="32"/>
          <w:highlight w:val="none"/>
        </w:rPr>
      </w:pPr>
    </w:p>
    <w:p w14:paraId="79211724">
      <w:pPr>
        <w:shd w:val="clear" w:fill="FFFFFF" w:themeFill="background1"/>
        <w:spacing w:line="360" w:lineRule="auto"/>
        <w:jc w:val="center"/>
        <w:rPr>
          <w:rFonts w:ascii="宋体" w:hAnsi="宋体"/>
          <w:b/>
          <w:color w:val="auto"/>
          <w:sz w:val="36"/>
          <w:szCs w:val="36"/>
          <w:highlight w:val="none"/>
        </w:rPr>
      </w:pPr>
      <w:r>
        <w:rPr>
          <w:rFonts w:ascii="宋体" w:hAnsi="宋体"/>
          <w:b/>
          <w:color w:val="auto"/>
          <w:sz w:val="32"/>
          <w:szCs w:val="32"/>
          <w:highlight w:val="none"/>
        </w:rPr>
        <w:br w:type="page"/>
      </w:r>
      <w:r>
        <w:rPr>
          <w:rFonts w:hint="eastAsia" w:ascii="宋体" w:hAnsi="宋体"/>
          <w:b/>
          <w:color w:val="auto"/>
          <w:sz w:val="36"/>
          <w:szCs w:val="36"/>
          <w:highlight w:val="none"/>
        </w:rPr>
        <w:t xml:space="preserve">目  </w:t>
      </w:r>
      <w:r>
        <w:rPr>
          <w:rFonts w:hint="eastAsia" w:ascii="宋体" w:hAnsi="宋体"/>
          <w:b/>
          <w:color w:val="auto"/>
          <w:sz w:val="36"/>
          <w:szCs w:val="36"/>
          <w:highlight w:val="none"/>
        </w:rPr>
        <w:tab/>
      </w:r>
      <w:r>
        <w:rPr>
          <w:rFonts w:hint="eastAsia" w:ascii="宋体" w:hAnsi="宋体"/>
          <w:b/>
          <w:color w:val="auto"/>
          <w:sz w:val="36"/>
          <w:szCs w:val="36"/>
          <w:highlight w:val="none"/>
        </w:rPr>
        <w:t>录</w:t>
      </w:r>
    </w:p>
    <w:p w14:paraId="57CA88D2">
      <w:pPr>
        <w:pStyle w:val="55"/>
        <w:shd w:val="clear" w:fill="FFFFFF" w:themeFill="background1"/>
        <w:rPr>
          <w:color w:val="auto"/>
          <w:highlight w:val="none"/>
        </w:rPr>
      </w:pPr>
    </w:p>
    <w:p w14:paraId="794EF662">
      <w:pPr>
        <w:shd w:val="clear" w:fill="FFFFFF" w:themeFill="background1"/>
        <w:spacing w:line="480" w:lineRule="auto"/>
        <w:rPr>
          <w:color w:val="auto"/>
          <w:sz w:val="24"/>
          <w:highlight w:val="none"/>
        </w:rPr>
      </w:pPr>
      <w:r>
        <w:rPr>
          <w:color w:val="auto"/>
          <w:sz w:val="24"/>
          <w:highlight w:val="none"/>
        </w:rPr>
        <w:t>第一信封</w:t>
      </w:r>
      <w:r>
        <w:rPr>
          <w:rFonts w:hint="eastAsia"/>
          <w:color w:val="auto"/>
          <w:sz w:val="24"/>
          <w:highlight w:val="none"/>
        </w:rPr>
        <w:t>（</w:t>
      </w:r>
      <w:r>
        <w:rPr>
          <w:color w:val="auto"/>
          <w:sz w:val="24"/>
          <w:highlight w:val="none"/>
        </w:rPr>
        <w:t>商务及技术文件</w:t>
      </w:r>
      <w:r>
        <w:rPr>
          <w:rFonts w:hint="eastAsia"/>
          <w:color w:val="auto"/>
          <w:sz w:val="24"/>
          <w:highlight w:val="none"/>
        </w:rPr>
        <w:t>）</w:t>
      </w:r>
    </w:p>
    <w:p w14:paraId="2941C0CC">
      <w:pPr>
        <w:shd w:val="clear" w:fill="FFFFFF" w:themeFill="background1"/>
        <w:spacing w:line="480" w:lineRule="auto"/>
        <w:rPr>
          <w:rFonts w:ascii="宋体" w:hAnsi="宋体" w:cs="宋体"/>
          <w:color w:val="auto"/>
          <w:sz w:val="24"/>
          <w:highlight w:val="none"/>
        </w:rPr>
      </w:pPr>
      <w:r>
        <w:rPr>
          <w:rFonts w:hint="eastAsia" w:ascii="宋体" w:hAnsi="宋体" w:cs="宋体"/>
          <w:color w:val="auto"/>
          <w:sz w:val="24"/>
          <w:highlight w:val="none"/>
        </w:rPr>
        <w:t>一、投标函及投标函附录</w:t>
      </w:r>
    </w:p>
    <w:p w14:paraId="6754BACD">
      <w:pPr>
        <w:shd w:val="clear" w:fill="FFFFFF" w:themeFill="background1"/>
        <w:spacing w:line="480" w:lineRule="auto"/>
        <w:rPr>
          <w:rFonts w:ascii="宋体" w:hAnsi="宋体" w:cs="宋体"/>
          <w:color w:val="auto"/>
          <w:sz w:val="24"/>
          <w:highlight w:val="none"/>
        </w:rPr>
      </w:pPr>
      <w:r>
        <w:rPr>
          <w:rFonts w:hint="eastAsia" w:ascii="宋体" w:hAnsi="宋体" w:cs="宋体"/>
          <w:color w:val="auto"/>
          <w:sz w:val="24"/>
          <w:highlight w:val="none"/>
        </w:rPr>
        <w:t>二、授权委托书或法定代表人身份证明</w:t>
      </w:r>
    </w:p>
    <w:p w14:paraId="35724AF4">
      <w:pPr>
        <w:shd w:val="clear" w:fill="FFFFFF" w:themeFill="background1"/>
        <w:spacing w:line="480" w:lineRule="auto"/>
        <w:rPr>
          <w:rFonts w:ascii="宋体" w:hAnsi="宋体" w:cs="宋体"/>
          <w:color w:val="auto"/>
          <w:sz w:val="24"/>
          <w:highlight w:val="none"/>
        </w:rPr>
      </w:pPr>
      <w:r>
        <w:rPr>
          <w:rFonts w:hint="eastAsia" w:ascii="宋体" w:hAnsi="宋体" w:cs="宋体"/>
          <w:color w:val="auto"/>
          <w:sz w:val="24"/>
          <w:highlight w:val="none"/>
        </w:rPr>
        <w:t>三、投标保证金</w:t>
      </w:r>
    </w:p>
    <w:p w14:paraId="462D0C02">
      <w:pPr>
        <w:shd w:val="clear" w:fill="FFFFFF" w:themeFill="background1"/>
        <w:spacing w:line="480" w:lineRule="auto"/>
        <w:rPr>
          <w:rFonts w:ascii="宋体" w:hAnsi="宋体" w:cs="宋体"/>
          <w:color w:val="auto"/>
          <w:sz w:val="24"/>
          <w:highlight w:val="none"/>
        </w:rPr>
      </w:pPr>
      <w:r>
        <w:rPr>
          <w:rFonts w:hint="eastAsia" w:ascii="宋体" w:hAnsi="宋体" w:cs="宋体"/>
          <w:color w:val="auto"/>
          <w:sz w:val="24"/>
          <w:highlight w:val="none"/>
        </w:rPr>
        <w:t>四、施工组织设计</w:t>
      </w:r>
    </w:p>
    <w:p w14:paraId="31E8A715">
      <w:pPr>
        <w:shd w:val="clear" w:fill="FFFFFF" w:themeFill="background1"/>
        <w:spacing w:line="480" w:lineRule="auto"/>
        <w:rPr>
          <w:rFonts w:ascii="宋体" w:hAnsi="宋体" w:cs="宋体"/>
          <w:color w:val="auto"/>
          <w:sz w:val="24"/>
          <w:highlight w:val="none"/>
        </w:rPr>
      </w:pPr>
      <w:r>
        <w:rPr>
          <w:rFonts w:hint="eastAsia" w:ascii="宋体" w:hAnsi="宋体" w:cs="宋体"/>
          <w:color w:val="auto"/>
          <w:sz w:val="24"/>
          <w:highlight w:val="none"/>
        </w:rPr>
        <w:t>五、项目管理机构</w:t>
      </w:r>
    </w:p>
    <w:p w14:paraId="3C360CFA">
      <w:pPr>
        <w:shd w:val="clear" w:fill="FFFFFF" w:themeFill="background1"/>
        <w:spacing w:line="480" w:lineRule="auto"/>
        <w:rPr>
          <w:rFonts w:ascii="宋体" w:hAnsi="宋体" w:cs="宋体"/>
          <w:color w:val="auto"/>
          <w:sz w:val="24"/>
          <w:highlight w:val="none"/>
        </w:rPr>
      </w:pPr>
      <w:r>
        <w:rPr>
          <w:rFonts w:hint="eastAsia" w:ascii="宋体" w:hAnsi="宋体" w:cs="宋体"/>
          <w:color w:val="auto"/>
          <w:sz w:val="24"/>
          <w:highlight w:val="none"/>
        </w:rPr>
        <w:t>六、拟分包项目情况表</w:t>
      </w:r>
    </w:p>
    <w:p w14:paraId="03788CAF">
      <w:pPr>
        <w:shd w:val="clear" w:fill="FFFFFF" w:themeFill="background1"/>
        <w:spacing w:line="480" w:lineRule="auto"/>
        <w:rPr>
          <w:rFonts w:ascii="宋体" w:hAnsi="宋体" w:cs="宋体"/>
          <w:color w:val="auto"/>
          <w:sz w:val="24"/>
          <w:highlight w:val="none"/>
        </w:rPr>
      </w:pPr>
      <w:r>
        <w:rPr>
          <w:rFonts w:hint="eastAsia" w:ascii="宋体" w:hAnsi="宋体" w:cs="宋体"/>
          <w:color w:val="auto"/>
          <w:sz w:val="24"/>
          <w:highlight w:val="none"/>
        </w:rPr>
        <w:t>七、资格审查资料</w:t>
      </w:r>
    </w:p>
    <w:p w14:paraId="3074F645">
      <w:pPr>
        <w:shd w:val="clear" w:fill="FFFFFF" w:themeFill="background1"/>
        <w:spacing w:line="480" w:lineRule="auto"/>
        <w:rPr>
          <w:rFonts w:cs="Calibri"/>
          <w:color w:val="auto"/>
          <w:sz w:val="24"/>
          <w:highlight w:val="none"/>
        </w:rPr>
      </w:pPr>
      <w:r>
        <w:rPr>
          <w:rFonts w:hint="eastAsia" w:ascii="宋体" w:hAnsi="宋体" w:cs="宋体"/>
          <w:color w:val="auto"/>
          <w:sz w:val="24"/>
          <w:highlight w:val="none"/>
        </w:rPr>
        <w:t>八、其他资料</w:t>
      </w:r>
    </w:p>
    <w:p w14:paraId="5BFBC89A">
      <w:pPr>
        <w:shd w:val="clear" w:fill="FFFFFF" w:themeFill="background1"/>
        <w:adjustRightInd w:val="0"/>
        <w:snapToGrid w:val="0"/>
        <w:spacing w:line="360" w:lineRule="auto"/>
        <w:jc w:val="center"/>
        <w:rPr>
          <w:rFonts w:ascii="宋体" w:hAnsi="宋体"/>
          <w:b/>
          <w:color w:val="auto"/>
          <w:sz w:val="28"/>
          <w:szCs w:val="28"/>
          <w:highlight w:val="none"/>
        </w:rPr>
      </w:pPr>
      <w:bookmarkStart w:id="1752" w:name="_Toc234382957"/>
      <w:bookmarkEnd w:id="1752"/>
      <w:r>
        <w:rPr>
          <w:rFonts w:hint="eastAsia" w:ascii="宋体" w:hAnsi="宋体"/>
          <w:color w:val="auto"/>
          <w:sz w:val="24"/>
          <w:highlight w:val="none"/>
        </w:rPr>
        <w:br w:type="page"/>
      </w:r>
      <w:r>
        <w:rPr>
          <w:rFonts w:ascii="宋体" w:hAnsi="宋体"/>
          <w:b/>
          <w:color w:val="auto"/>
          <w:sz w:val="28"/>
          <w:szCs w:val="28"/>
          <w:highlight w:val="none"/>
        </w:rPr>
        <w:t>一、投标函及投标函附录</w:t>
      </w:r>
    </w:p>
    <w:p w14:paraId="7DAD6C8D">
      <w:pPr>
        <w:shd w:val="clear" w:fill="FFFFFF" w:themeFill="background1"/>
        <w:jc w:val="center"/>
        <w:rPr>
          <w:rFonts w:ascii="宋体" w:hAnsi="宋体"/>
          <w:b/>
          <w:color w:val="auto"/>
          <w:sz w:val="28"/>
          <w:szCs w:val="28"/>
          <w:highlight w:val="none"/>
        </w:rPr>
      </w:pPr>
      <w:bookmarkStart w:id="1753" w:name="_Toc234382958"/>
      <w:bookmarkEnd w:id="1753"/>
      <w:r>
        <w:rPr>
          <w:rFonts w:ascii="宋体" w:hAnsi="宋体"/>
          <w:b/>
          <w:color w:val="auto"/>
          <w:sz w:val="28"/>
          <w:szCs w:val="28"/>
          <w:highlight w:val="none"/>
        </w:rPr>
        <w:t>（一）投  标  函</w:t>
      </w:r>
    </w:p>
    <w:p w14:paraId="0C5A3BE4">
      <w:pPr>
        <w:shd w:val="clear" w:fill="FFFFFF" w:themeFill="background1"/>
        <w:spacing w:line="360" w:lineRule="exact"/>
        <w:rPr>
          <w:rFonts w:ascii="宋体" w:hAnsi="宋体"/>
          <w:color w:val="auto"/>
          <w:sz w:val="24"/>
          <w:highlight w:val="none"/>
        </w:rPr>
      </w:pPr>
    </w:p>
    <w:p w14:paraId="7610EC17">
      <w:pPr>
        <w:shd w:val="clear" w:fill="FFFFFF" w:themeFill="background1"/>
        <w:spacing w:line="360" w:lineRule="exact"/>
        <w:rPr>
          <w:rFonts w:ascii="宋体" w:hAnsi="宋体"/>
          <w:color w:val="auto"/>
          <w:szCs w:val="21"/>
          <w:highlight w:val="none"/>
          <w:u w:val="single"/>
        </w:rPr>
      </w:pPr>
      <w:r>
        <w:rPr>
          <w:rFonts w:ascii="宋体" w:hAnsi="宋体"/>
          <w:color w:val="auto"/>
          <w:szCs w:val="21"/>
          <w:highlight w:val="none"/>
          <w:u w:val="single"/>
        </w:rPr>
        <w:t>（招标人名称）：</w:t>
      </w:r>
    </w:p>
    <w:p w14:paraId="66C126CD">
      <w:pPr>
        <w:shd w:val="clear" w:fill="FFFFFF" w:themeFill="background1"/>
        <w:spacing w:line="360" w:lineRule="exact"/>
        <w:rPr>
          <w:rFonts w:ascii="宋体" w:hAnsi="宋体"/>
          <w:color w:val="auto"/>
          <w:szCs w:val="21"/>
          <w:highlight w:val="none"/>
        </w:rPr>
      </w:pPr>
    </w:p>
    <w:p w14:paraId="2DF060DD">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1.我方已仔细研究了</w:t>
      </w:r>
      <w:r>
        <w:rPr>
          <w:rFonts w:ascii="宋体" w:hAnsi="宋体"/>
          <w:color w:val="auto"/>
          <w:szCs w:val="21"/>
          <w:highlight w:val="none"/>
          <w:u w:val="single"/>
        </w:rPr>
        <w:t xml:space="preserve">        （项目名称）    </w:t>
      </w:r>
      <w:r>
        <w:rPr>
          <w:rFonts w:hint="eastAsia" w:ascii="宋体" w:hAnsi="宋体"/>
          <w:color w:val="auto"/>
          <w:szCs w:val="21"/>
          <w:highlight w:val="none"/>
        </w:rPr>
        <w:t>施工招标</w:t>
      </w:r>
      <w:r>
        <w:rPr>
          <w:rFonts w:ascii="宋体" w:hAnsi="宋体"/>
          <w:color w:val="auto"/>
          <w:szCs w:val="21"/>
          <w:highlight w:val="none"/>
        </w:rPr>
        <w:t>文件的全部内容（含补遗书第</w:t>
      </w:r>
      <w:r>
        <w:rPr>
          <w:rFonts w:hint="eastAsia" w:ascii="宋体" w:hAnsi="宋体"/>
          <w:color w:val="auto"/>
          <w:szCs w:val="21"/>
          <w:highlight w:val="none"/>
          <w:u w:val="single"/>
        </w:rPr>
        <w:t xml:space="preserve">  </w:t>
      </w:r>
      <w:r>
        <w:rPr>
          <w:rFonts w:ascii="宋体" w:hAnsi="宋体"/>
          <w:color w:val="auto"/>
          <w:szCs w:val="21"/>
          <w:highlight w:val="none"/>
        </w:rPr>
        <w:t>号至第</w:t>
      </w:r>
      <w:r>
        <w:rPr>
          <w:rFonts w:hint="eastAsia" w:ascii="宋体" w:hAnsi="宋体"/>
          <w:color w:val="auto"/>
          <w:szCs w:val="21"/>
          <w:highlight w:val="none"/>
          <w:u w:val="single"/>
        </w:rPr>
        <w:t xml:space="preserve">  </w:t>
      </w:r>
      <w:r>
        <w:rPr>
          <w:rFonts w:ascii="宋体" w:hAnsi="宋体"/>
          <w:color w:val="auto"/>
          <w:szCs w:val="21"/>
          <w:highlight w:val="none"/>
        </w:rPr>
        <w:t>号），在考察工程现场后，</w:t>
      </w:r>
      <w:r>
        <w:rPr>
          <w:rFonts w:hint="eastAsia" w:ascii="宋体" w:hAnsi="宋体"/>
          <w:color w:val="auto"/>
          <w:szCs w:val="21"/>
          <w:highlight w:val="none"/>
        </w:rPr>
        <w:t>愿意以第二个信封</w:t>
      </w:r>
      <w:r>
        <w:rPr>
          <w:rFonts w:ascii="宋体" w:hAnsi="宋体"/>
          <w:color w:val="auto"/>
          <w:szCs w:val="21"/>
          <w:highlight w:val="none"/>
        </w:rPr>
        <w:t xml:space="preserve"> (</w:t>
      </w:r>
      <w:r>
        <w:rPr>
          <w:rFonts w:hint="eastAsia" w:ascii="宋体" w:hAnsi="宋体"/>
          <w:color w:val="auto"/>
          <w:szCs w:val="21"/>
          <w:highlight w:val="none"/>
        </w:rPr>
        <w:t>报价文件</w:t>
      </w:r>
      <w:r>
        <w:rPr>
          <w:rFonts w:ascii="宋体" w:hAnsi="宋体"/>
          <w:color w:val="auto"/>
          <w:szCs w:val="21"/>
          <w:highlight w:val="none"/>
        </w:rPr>
        <w:t xml:space="preserve">) </w:t>
      </w:r>
      <w:r>
        <w:rPr>
          <w:rFonts w:hint="eastAsia" w:ascii="宋体" w:hAnsi="宋体"/>
          <w:color w:val="auto"/>
          <w:szCs w:val="21"/>
          <w:highlight w:val="none"/>
        </w:rPr>
        <w:t>中的投标总报价</w:t>
      </w:r>
      <w:r>
        <w:rPr>
          <w:rFonts w:ascii="宋体" w:hAnsi="宋体"/>
          <w:color w:val="auto"/>
          <w:szCs w:val="21"/>
          <w:highlight w:val="none"/>
        </w:rPr>
        <w:t xml:space="preserve"> (</w:t>
      </w:r>
      <w:r>
        <w:rPr>
          <w:rFonts w:hint="eastAsia" w:ascii="宋体" w:hAnsi="宋体"/>
          <w:color w:val="auto"/>
          <w:szCs w:val="21"/>
          <w:highlight w:val="none"/>
        </w:rPr>
        <w:t>或根据招标文件规定修正核实后确定的另一金额</w:t>
      </w:r>
      <w:r>
        <w:rPr>
          <w:rFonts w:ascii="宋体" w:hAnsi="宋体"/>
          <w:color w:val="auto"/>
          <w:szCs w:val="21"/>
          <w:highlight w:val="none"/>
        </w:rPr>
        <w:t xml:space="preserve">)， </w:t>
      </w:r>
      <w:r>
        <w:rPr>
          <w:rFonts w:hint="eastAsia" w:ascii="宋体" w:hAnsi="宋体"/>
          <w:color w:val="auto"/>
          <w:szCs w:val="21"/>
          <w:highlight w:val="none"/>
        </w:rPr>
        <w:t>按合同约定实施和完成承包工程</w:t>
      </w:r>
      <w:r>
        <w:rPr>
          <w:rFonts w:ascii="宋体" w:hAnsi="宋体"/>
          <w:color w:val="auto"/>
          <w:szCs w:val="21"/>
          <w:highlight w:val="none"/>
        </w:rPr>
        <w:t xml:space="preserve">， </w:t>
      </w:r>
      <w:r>
        <w:rPr>
          <w:rFonts w:hint="eastAsia" w:ascii="宋体" w:hAnsi="宋体"/>
          <w:color w:val="auto"/>
          <w:szCs w:val="21"/>
          <w:highlight w:val="none"/>
        </w:rPr>
        <w:t>修补工程中的任何缺陷。</w:t>
      </w:r>
    </w:p>
    <w:p w14:paraId="1E49CE87">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我方承诺在招标文件规定的投标有效期内不撤销投标文件。</w:t>
      </w:r>
    </w:p>
    <w:p w14:paraId="3CA28C81">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工程质量</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，安全目标：</w:t>
      </w:r>
      <w:r>
        <w:rPr>
          <w:rFonts w:ascii="宋体" w:hAnsi="宋体"/>
          <w:color w:val="auto"/>
          <w:szCs w:val="21"/>
          <w:highlight w:val="none"/>
          <w:u w:val="single"/>
        </w:rPr>
        <w:t xml:space="preserve">       </w:t>
      </w:r>
      <w:r>
        <w:rPr>
          <w:rFonts w:hint="eastAsia" w:ascii="宋体" w:hAnsi="宋体"/>
          <w:color w:val="auto"/>
          <w:szCs w:val="21"/>
          <w:highlight w:val="none"/>
        </w:rPr>
        <w:t>，工期</w:t>
      </w:r>
      <w:r>
        <w:rPr>
          <w:rFonts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rPr>
        <w:t>日历天。</w:t>
      </w:r>
    </w:p>
    <w:p w14:paraId="6965E8D5">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如我方中标，我方承诺</w:t>
      </w:r>
      <w:r>
        <w:rPr>
          <w:rFonts w:ascii="宋体" w:hAnsi="宋体"/>
          <w:color w:val="auto"/>
          <w:szCs w:val="21"/>
          <w:highlight w:val="none"/>
        </w:rPr>
        <w:t>：</w:t>
      </w:r>
    </w:p>
    <w:p w14:paraId="216D1831">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在收到中标通知书后</w:t>
      </w:r>
      <w:r>
        <w:rPr>
          <w:rFonts w:ascii="宋体" w:hAnsi="宋体"/>
          <w:color w:val="auto"/>
          <w:szCs w:val="21"/>
          <w:highlight w:val="none"/>
        </w:rPr>
        <w:t>，</w:t>
      </w:r>
      <w:r>
        <w:rPr>
          <w:rFonts w:hint="eastAsia" w:ascii="宋体" w:hAnsi="宋体"/>
          <w:color w:val="auto"/>
          <w:szCs w:val="21"/>
          <w:highlight w:val="none"/>
        </w:rPr>
        <w:t>在规定的期限内与你方签订合同；</w:t>
      </w:r>
    </w:p>
    <w:p w14:paraId="26C5507E">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在签订合同时不向你方提出附加条件；</w:t>
      </w:r>
    </w:p>
    <w:p w14:paraId="6DBCB169">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按照招标文件要求提交履约保证金；</w:t>
      </w:r>
    </w:p>
    <w:p w14:paraId="30CD41EC">
      <w:pPr>
        <w:shd w:val="clear" w:fill="FFFFFF" w:themeFill="background1"/>
        <w:spacing w:line="360" w:lineRule="exact"/>
        <w:ind w:firstLine="420" w:firstLineChars="200"/>
        <w:rPr>
          <w:rFonts w:ascii="宋体" w:hAnsi="宋体"/>
          <w:color w:val="auto"/>
          <w:szCs w:val="21"/>
          <w:highlight w:val="none"/>
        </w:rPr>
      </w:pPr>
      <w:r>
        <w:rPr>
          <w:rFonts w:ascii="宋体" w:hAnsi="宋体"/>
          <w:color w:val="auto"/>
          <w:szCs w:val="21"/>
          <w:highlight w:val="none"/>
        </w:rPr>
        <w:t>（4）</w:t>
      </w:r>
      <w:r>
        <w:rPr>
          <w:rFonts w:hint="eastAsia" w:ascii="宋体" w:hAnsi="宋体"/>
          <w:color w:val="auto"/>
          <w:szCs w:val="21"/>
          <w:highlight w:val="none"/>
        </w:rPr>
        <w:t>在合同约定的期限内完成合同规定的全部义务；</w:t>
      </w:r>
    </w:p>
    <w:p w14:paraId="5EE0E610">
      <w:pPr>
        <w:shd w:val="clear" w:fill="FFFFFF" w:themeFill="background1"/>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在你方和我方进行合同谈判之前，我方将按照合同附件提出的最低要求填报派驻本标段的其他管理和技术人员及主要设备，经你方审批后作为派驻本标段的项目管理机构主要人员和主要设备且不进行更换。如我方拟派的人员和设备不满足合同附件要求，你方有权取消我方中标资格。</w:t>
      </w:r>
    </w:p>
    <w:p w14:paraId="56D73FFB">
      <w:pPr>
        <w:shd w:val="clear" w:fill="FFFFFF" w:themeFill="background1"/>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5.我方在此声明，所递交的投标文件及有关资料内容完整、真实和准确，且不存在招标文件第二章“投标人须知”第 1.4.3 项和第 1.4.4 项规定的任何一种情形。</w:t>
      </w:r>
    </w:p>
    <w:p w14:paraId="319C242C">
      <w:pPr>
        <w:shd w:val="clear" w:fill="FFFFFF" w:themeFill="background1"/>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我方在此承诺：拟投入本项目的项目经理（包括备选人，如有）及项目总工（包括备选人，如有）无在岗项目（指目前未在其他项目上任职，或虽在其他项目上任职但本项目中标后能够从该项目撤离），否则自愿按照招标人的有关规定接受处理。</w:t>
      </w:r>
    </w:p>
    <w:p w14:paraId="2D6A5B16">
      <w:pPr>
        <w:shd w:val="clear" w:fill="FFFFFF" w:themeFill="background1"/>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7.我方在此承诺：权利义务满足招标文件规定。</w:t>
      </w:r>
    </w:p>
    <w:p w14:paraId="67A5AF78">
      <w:pPr>
        <w:shd w:val="clear" w:fill="FFFFFF" w:themeFill="background1"/>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8.在合同协议书正式签署生效之前，本投标函连同你方的中标通知书将构成我们双方之间共同遵守的文件，对双方具有约束力。</w:t>
      </w:r>
    </w:p>
    <w:p w14:paraId="60B95928">
      <w:pPr>
        <w:shd w:val="clear" w:fill="FFFFFF" w:themeFill="background1"/>
        <w:spacing w:line="360" w:lineRule="exact"/>
        <w:rPr>
          <w:rFonts w:ascii="宋体" w:hAnsi="宋体"/>
          <w:color w:val="auto"/>
          <w:szCs w:val="21"/>
          <w:highlight w:val="none"/>
        </w:rPr>
      </w:pPr>
      <w:r>
        <w:rPr>
          <w:rFonts w:hint="eastAsia" w:ascii="宋体" w:hAnsi="宋体"/>
          <w:color w:val="auto"/>
          <w:szCs w:val="21"/>
          <w:highlight w:val="none"/>
        </w:rPr>
        <w:t xml:space="preserve">    9.（其他补充说明）。</w:t>
      </w:r>
    </w:p>
    <w:p w14:paraId="7CC1CFCF">
      <w:pPr>
        <w:pStyle w:val="18"/>
        <w:shd w:val="clear" w:fill="FFFFFF" w:themeFill="background1"/>
        <w:rPr>
          <w:rFonts w:ascii="宋体" w:hAnsi="宋体"/>
          <w:color w:val="auto"/>
          <w:szCs w:val="21"/>
          <w:highlight w:val="none"/>
        </w:rPr>
      </w:pPr>
    </w:p>
    <w:p w14:paraId="70012AE4">
      <w:pPr>
        <w:pStyle w:val="18"/>
        <w:shd w:val="clear" w:fill="FFFFFF" w:themeFill="background1"/>
        <w:rPr>
          <w:rFonts w:ascii="宋体" w:hAnsi="宋体"/>
          <w:color w:val="auto"/>
          <w:szCs w:val="21"/>
          <w:highlight w:val="none"/>
        </w:rPr>
      </w:pPr>
    </w:p>
    <w:p w14:paraId="3AA8D9EF">
      <w:pPr>
        <w:shd w:val="clear" w:fill="FFFFFF" w:themeFill="background1"/>
        <w:tabs>
          <w:tab w:val="left" w:pos="2977"/>
          <w:tab w:val="left" w:pos="3261"/>
        </w:tabs>
        <w:spacing w:line="360" w:lineRule="exact"/>
        <w:rPr>
          <w:rFonts w:ascii="宋体" w:hAnsi="宋体"/>
          <w:color w:val="auto"/>
          <w:szCs w:val="21"/>
          <w:highlight w:val="none"/>
        </w:rPr>
      </w:pPr>
      <w:r>
        <w:rPr>
          <w:rFonts w:ascii="宋体" w:hAnsi="宋体"/>
          <w:color w:val="auto"/>
          <w:szCs w:val="21"/>
          <w:highlight w:val="none"/>
        </w:rPr>
        <w:t>投 标 人：（盖单位章）</w:t>
      </w:r>
    </w:p>
    <w:p w14:paraId="1C7BD3B4">
      <w:pPr>
        <w:shd w:val="clear" w:fill="FFFFFF" w:themeFill="background1"/>
        <w:spacing w:line="360" w:lineRule="atLeast"/>
        <w:rPr>
          <w:rFonts w:ascii="宋体" w:hAnsi="宋体"/>
          <w:color w:val="auto"/>
          <w:szCs w:val="21"/>
          <w:highlight w:val="none"/>
        </w:rPr>
      </w:pPr>
      <w:r>
        <w:rPr>
          <w:rFonts w:ascii="宋体" w:hAnsi="宋体"/>
          <w:color w:val="auto"/>
          <w:szCs w:val="21"/>
          <w:highlight w:val="none"/>
        </w:rPr>
        <w:t>法定代表人或其委托代理人：（签字）</w:t>
      </w:r>
    </w:p>
    <w:p w14:paraId="4CFAA8ED">
      <w:pPr>
        <w:shd w:val="clear" w:fill="FFFFFF" w:themeFill="background1"/>
        <w:spacing w:line="360" w:lineRule="atLeast"/>
        <w:rPr>
          <w:rFonts w:ascii="宋体" w:hAnsi="宋体"/>
          <w:color w:val="auto"/>
          <w:szCs w:val="21"/>
          <w:highlight w:val="none"/>
        </w:rPr>
      </w:pPr>
      <w:r>
        <w:rPr>
          <w:rFonts w:ascii="宋体" w:hAnsi="宋体"/>
          <w:color w:val="auto"/>
          <w:szCs w:val="21"/>
          <w:highlight w:val="none"/>
        </w:rPr>
        <w:t>地址：</w:t>
      </w:r>
    </w:p>
    <w:p w14:paraId="24D86C59">
      <w:pPr>
        <w:shd w:val="clear" w:fill="FFFFFF" w:themeFill="background1"/>
        <w:spacing w:line="360" w:lineRule="atLeast"/>
        <w:rPr>
          <w:rFonts w:ascii="宋体" w:hAnsi="宋体"/>
          <w:color w:val="auto"/>
          <w:szCs w:val="21"/>
          <w:highlight w:val="none"/>
        </w:rPr>
      </w:pPr>
      <w:r>
        <w:rPr>
          <w:rFonts w:ascii="宋体" w:hAnsi="宋体"/>
          <w:color w:val="auto"/>
          <w:szCs w:val="21"/>
          <w:highlight w:val="none"/>
        </w:rPr>
        <w:t>网址：</w:t>
      </w:r>
    </w:p>
    <w:p w14:paraId="6AFB62C1">
      <w:pPr>
        <w:shd w:val="clear" w:fill="FFFFFF" w:themeFill="background1"/>
        <w:spacing w:line="360" w:lineRule="atLeast"/>
        <w:rPr>
          <w:rFonts w:ascii="宋体" w:hAnsi="宋体"/>
          <w:color w:val="auto"/>
          <w:szCs w:val="21"/>
          <w:highlight w:val="none"/>
        </w:rPr>
      </w:pPr>
      <w:r>
        <w:rPr>
          <w:rFonts w:ascii="宋体" w:hAnsi="宋体"/>
          <w:color w:val="auto"/>
          <w:szCs w:val="21"/>
          <w:highlight w:val="none"/>
        </w:rPr>
        <w:t>电话：</w:t>
      </w:r>
    </w:p>
    <w:p w14:paraId="3992B9EE">
      <w:pPr>
        <w:shd w:val="clear" w:fill="FFFFFF" w:themeFill="background1"/>
        <w:spacing w:line="360" w:lineRule="exact"/>
        <w:rPr>
          <w:rFonts w:ascii="宋体" w:hAnsi="宋体"/>
          <w:color w:val="auto"/>
          <w:szCs w:val="21"/>
          <w:highlight w:val="none"/>
        </w:rPr>
      </w:pPr>
      <w:r>
        <w:rPr>
          <w:rFonts w:ascii="宋体" w:hAnsi="宋体"/>
          <w:color w:val="auto"/>
          <w:szCs w:val="21"/>
          <w:highlight w:val="none"/>
        </w:rPr>
        <w:t>传真：</w:t>
      </w:r>
    </w:p>
    <w:p w14:paraId="4FCB1C72">
      <w:pPr>
        <w:shd w:val="clear" w:fill="FFFFFF" w:themeFill="background1"/>
        <w:spacing w:line="360" w:lineRule="exact"/>
        <w:rPr>
          <w:rFonts w:ascii="宋体" w:hAnsi="宋体"/>
          <w:color w:val="auto"/>
          <w:szCs w:val="21"/>
          <w:highlight w:val="none"/>
        </w:rPr>
      </w:pPr>
      <w:r>
        <w:rPr>
          <w:rFonts w:ascii="宋体" w:hAnsi="宋体"/>
          <w:color w:val="auto"/>
          <w:szCs w:val="21"/>
          <w:highlight w:val="none"/>
        </w:rPr>
        <w:t>邮政编码：</w:t>
      </w:r>
    </w:p>
    <w:p w14:paraId="78D2EDA7">
      <w:pPr>
        <w:shd w:val="clear" w:fill="FFFFFF" w:themeFill="background1"/>
        <w:spacing w:line="360" w:lineRule="exact"/>
        <w:rPr>
          <w:rFonts w:ascii="宋体" w:hAnsi="宋体"/>
          <w:color w:val="auto"/>
          <w:szCs w:val="21"/>
          <w:highlight w:val="none"/>
        </w:rPr>
      </w:pPr>
    </w:p>
    <w:p w14:paraId="1557DE5F">
      <w:pPr>
        <w:shd w:val="clear" w:fill="FFFFFF" w:themeFill="background1"/>
        <w:spacing w:line="360" w:lineRule="exact"/>
        <w:ind w:firstLine="3780" w:firstLineChars="1800"/>
        <w:rPr>
          <w:rFonts w:ascii="宋体" w:hAnsi="宋体"/>
          <w:color w:val="auto"/>
          <w:sz w:val="24"/>
          <w:highlight w:val="none"/>
        </w:rPr>
      </w:pPr>
      <w:r>
        <w:rPr>
          <w:rFonts w:ascii="宋体" w:hAnsi="宋体"/>
          <w:color w:val="auto"/>
          <w:szCs w:val="21"/>
          <w:highlight w:val="none"/>
        </w:rPr>
        <w:t>年</w:t>
      </w:r>
      <w:r>
        <w:rPr>
          <w:rFonts w:hint="eastAsia" w:ascii="宋体" w:hAnsi="宋体"/>
          <w:color w:val="auto"/>
          <w:szCs w:val="21"/>
          <w:highlight w:val="none"/>
        </w:rPr>
        <w:t xml:space="preserve">   </w:t>
      </w:r>
      <w:r>
        <w:rPr>
          <w:rFonts w:ascii="宋体" w:hAnsi="宋体"/>
          <w:color w:val="auto"/>
          <w:szCs w:val="21"/>
          <w:highlight w:val="none"/>
        </w:rPr>
        <w:t>月</w:t>
      </w:r>
      <w:r>
        <w:rPr>
          <w:rFonts w:hint="eastAsia" w:ascii="宋体" w:hAnsi="宋体"/>
          <w:color w:val="auto"/>
          <w:szCs w:val="21"/>
          <w:highlight w:val="none"/>
        </w:rPr>
        <w:t xml:space="preserve">   </w:t>
      </w:r>
      <w:r>
        <w:rPr>
          <w:rFonts w:ascii="宋体" w:hAnsi="宋体"/>
          <w:color w:val="auto"/>
          <w:szCs w:val="21"/>
          <w:highlight w:val="none"/>
        </w:rPr>
        <w:t>日</w:t>
      </w:r>
    </w:p>
    <w:p w14:paraId="0701190F">
      <w:pPr>
        <w:shd w:val="clear" w:fill="FFFFFF" w:themeFill="background1"/>
        <w:jc w:val="center"/>
        <w:rPr>
          <w:rFonts w:ascii="宋体" w:hAnsi="宋体"/>
          <w:color w:val="auto"/>
          <w:sz w:val="24"/>
          <w:highlight w:val="none"/>
        </w:rPr>
      </w:pPr>
      <w:bookmarkStart w:id="1754" w:name="_Toc234382959"/>
      <w:bookmarkEnd w:id="1754"/>
      <w:r>
        <w:rPr>
          <w:rFonts w:ascii="宋体" w:hAnsi="宋体"/>
          <w:b/>
          <w:color w:val="auto"/>
          <w:sz w:val="28"/>
          <w:szCs w:val="28"/>
          <w:highlight w:val="none"/>
        </w:rPr>
        <w:br w:type="page"/>
      </w:r>
      <w:r>
        <w:rPr>
          <w:rFonts w:ascii="宋体" w:hAnsi="宋体"/>
          <w:b/>
          <w:color w:val="auto"/>
          <w:sz w:val="28"/>
          <w:szCs w:val="28"/>
          <w:highlight w:val="none"/>
        </w:rPr>
        <w:t>（二）投标函附录</w:t>
      </w:r>
    </w:p>
    <w:tbl>
      <w:tblPr>
        <w:tblStyle w:val="45"/>
        <w:tblW w:w="96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3"/>
        <w:gridCol w:w="2693"/>
        <w:gridCol w:w="1417"/>
        <w:gridCol w:w="3686"/>
        <w:gridCol w:w="1190"/>
      </w:tblGrid>
      <w:tr w14:paraId="3DAE0F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3DDF3AAC">
            <w:pPr>
              <w:shd w:val="clear" w:fill="FFFFFF" w:themeFill="background1"/>
              <w:jc w:val="center"/>
              <w:rPr>
                <w:rFonts w:ascii="Calibri" w:hAnsi="Calibri"/>
                <w:b/>
                <w:color w:val="auto"/>
                <w:szCs w:val="21"/>
                <w:highlight w:val="none"/>
              </w:rPr>
            </w:pPr>
            <w:r>
              <w:rPr>
                <w:rFonts w:ascii="宋体" w:hAnsi="宋体"/>
                <w:b/>
                <w:color w:val="auto"/>
                <w:szCs w:val="21"/>
                <w:highlight w:val="none"/>
              </w:rPr>
              <w:t>序号</w:t>
            </w:r>
          </w:p>
        </w:tc>
        <w:tc>
          <w:tcPr>
            <w:tcW w:w="2693" w:type="dxa"/>
            <w:vAlign w:val="center"/>
          </w:tcPr>
          <w:p w14:paraId="71575A5E">
            <w:pPr>
              <w:shd w:val="clear" w:fill="FFFFFF" w:themeFill="background1"/>
              <w:jc w:val="center"/>
              <w:rPr>
                <w:rFonts w:ascii="Calibri" w:hAnsi="Calibri"/>
                <w:b/>
                <w:color w:val="auto"/>
                <w:szCs w:val="21"/>
                <w:highlight w:val="none"/>
              </w:rPr>
            </w:pPr>
            <w:r>
              <w:rPr>
                <w:rFonts w:ascii="宋体" w:hAnsi="宋体"/>
                <w:b/>
                <w:color w:val="auto"/>
                <w:szCs w:val="21"/>
                <w:highlight w:val="none"/>
              </w:rPr>
              <w:t>条款名称</w:t>
            </w:r>
          </w:p>
        </w:tc>
        <w:tc>
          <w:tcPr>
            <w:tcW w:w="1417" w:type="dxa"/>
            <w:vAlign w:val="center"/>
          </w:tcPr>
          <w:p w14:paraId="438042B3">
            <w:pPr>
              <w:shd w:val="clear" w:fill="FFFFFF" w:themeFill="background1"/>
              <w:jc w:val="center"/>
              <w:rPr>
                <w:rFonts w:ascii="Calibri" w:hAnsi="Calibri"/>
                <w:b/>
                <w:color w:val="auto"/>
                <w:szCs w:val="21"/>
                <w:highlight w:val="none"/>
              </w:rPr>
            </w:pPr>
            <w:r>
              <w:rPr>
                <w:rFonts w:ascii="宋体" w:hAnsi="宋体"/>
                <w:b/>
                <w:color w:val="auto"/>
                <w:szCs w:val="21"/>
                <w:highlight w:val="none"/>
              </w:rPr>
              <w:t>合同条目号</w:t>
            </w:r>
          </w:p>
        </w:tc>
        <w:tc>
          <w:tcPr>
            <w:tcW w:w="3686" w:type="dxa"/>
            <w:vAlign w:val="center"/>
          </w:tcPr>
          <w:p w14:paraId="3ADEBCE1">
            <w:pPr>
              <w:shd w:val="clear" w:fill="FFFFFF" w:themeFill="background1"/>
              <w:jc w:val="center"/>
              <w:rPr>
                <w:rFonts w:ascii="Calibri" w:hAnsi="Calibri"/>
                <w:b/>
                <w:color w:val="auto"/>
                <w:szCs w:val="21"/>
                <w:highlight w:val="none"/>
              </w:rPr>
            </w:pPr>
            <w:r>
              <w:rPr>
                <w:rFonts w:ascii="宋体" w:hAnsi="宋体"/>
                <w:b/>
                <w:color w:val="auto"/>
                <w:szCs w:val="21"/>
                <w:highlight w:val="none"/>
              </w:rPr>
              <w:t>约定内容</w:t>
            </w:r>
          </w:p>
        </w:tc>
        <w:tc>
          <w:tcPr>
            <w:tcW w:w="1190" w:type="dxa"/>
            <w:vAlign w:val="center"/>
          </w:tcPr>
          <w:p w14:paraId="21C1E1EC">
            <w:pPr>
              <w:shd w:val="clear" w:fill="FFFFFF" w:themeFill="background1"/>
              <w:jc w:val="center"/>
              <w:rPr>
                <w:rFonts w:ascii="Calibri" w:hAnsi="Calibri"/>
                <w:b/>
                <w:color w:val="auto"/>
                <w:szCs w:val="21"/>
                <w:highlight w:val="none"/>
              </w:rPr>
            </w:pPr>
            <w:r>
              <w:rPr>
                <w:rFonts w:ascii="宋体" w:hAnsi="宋体"/>
                <w:b/>
                <w:color w:val="auto"/>
                <w:szCs w:val="21"/>
                <w:highlight w:val="none"/>
              </w:rPr>
              <w:t>备注</w:t>
            </w:r>
          </w:p>
        </w:tc>
      </w:tr>
      <w:tr w14:paraId="360281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752812A6">
            <w:pPr>
              <w:shd w:val="clear" w:fill="FFFFFF" w:themeFill="background1"/>
              <w:jc w:val="center"/>
              <w:rPr>
                <w:rFonts w:ascii="Calibri" w:hAnsi="Calibri"/>
                <w:color w:val="auto"/>
                <w:szCs w:val="21"/>
                <w:highlight w:val="none"/>
              </w:rPr>
            </w:pPr>
            <w:r>
              <w:rPr>
                <w:rFonts w:ascii="宋体" w:hAnsi="宋体"/>
                <w:color w:val="auto"/>
                <w:szCs w:val="21"/>
                <w:highlight w:val="none"/>
              </w:rPr>
              <w:t>1</w:t>
            </w:r>
          </w:p>
        </w:tc>
        <w:tc>
          <w:tcPr>
            <w:tcW w:w="2693" w:type="dxa"/>
            <w:vAlign w:val="center"/>
          </w:tcPr>
          <w:p w14:paraId="40BC6145">
            <w:pPr>
              <w:shd w:val="clear" w:fill="FFFFFF" w:themeFill="background1"/>
              <w:jc w:val="center"/>
              <w:rPr>
                <w:rFonts w:ascii="Calibri" w:hAnsi="Calibri"/>
                <w:color w:val="auto"/>
                <w:szCs w:val="21"/>
                <w:highlight w:val="none"/>
              </w:rPr>
            </w:pPr>
            <w:r>
              <w:rPr>
                <w:rFonts w:ascii="宋体" w:hAnsi="宋体"/>
                <w:color w:val="auto"/>
                <w:szCs w:val="21"/>
                <w:highlight w:val="none"/>
              </w:rPr>
              <w:t>缺陷责任期</w:t>
            </w:r>
          </w:p>
        </w:tc>
        <w:tc>
          <w:tcPr>
            <w:tcW w:w="1417" w:type="dxa"/>
            <w:vAlign w:val="center"/>
          </w:tcPr>
          <w:p w14:paraId="48B9EBAE">
            <w:pPr>
              <w:shd w:val="clear" w:fill="FFFFFF" w:themeFill="background1"/>
              <w:jc w:val="center"/>
              <w:rPr>
                <w:rFonts w:ascii="Calibri" w:hAnsi="Calibri"/>
                <w:color w:val="auto"/>
                <w:szCs w:val="21"/>
                <w:highlight w:val="none"/>
              </w:rPr>
            </w:pPr>
            <w:r>
              <w:rPr>
                <w:rFonts w:ascii="宋体" w:hAnsi="宋体"/>
                <w:color w:val="auto"/>
                <w:szCs w:val="21"/>
                <w:highlight w:val="none"/>
              </w:rPr>
              <w:t>1.1.4.5</w:t>
            </w:r>
          </w:p>
        </w:tc>
        <w:tc>
          <w:tcPr>
            <w:tcW w:w="3686" w:type="dxa"/>
            <w:vAlign w:val="center"/>
          </w:tcPr>
          <w:p w14:paraId="73DD2DFE">
            <w:pPr>
              <w:shd w:val="clear" w:fill="FFFFFF" w:themeFill="background1"/>
              <w:rPr>
                <w:rFonts w:ascii="Calibri" w:hAnsi="Calibri"/>
                <w:color w:val="auto"/>
                <w:szCs w:val="21"/>
                <w:highlight w:val="none"/>
              </w:rPr>
            </w:pPr>
            <w:r>
              <w:rPr>
                <w:rFonts w:ascii="宋体" w:hAnsi="宋体"/>
                <w:color w:val="auto"/>
                <w:szCs w:val="21"/>
                <w:highlight w:val="none"/>
              </w:rPr>
              <w:t>自实际</w:t>
            </w:r>
            <w:r>
              <w:rPr>
                <w:rFonts w:hint="eastAsia" w:ascii="宋体" w:hAnsi="宋体"/>
                <w:color w:val="auto"/>
                <w:szCs w:val="21"/>
                <w:highlight w:val="none"/>
              </w:rPr>
              <w:t>交工</w:t>
            </w:r>
            <w:r>
              <w:rPr>
                <w:rFonts w:ascii="宋体" w:hAnsi="宋体"/>
                <w:color w:val="auto"/>
                <w:szCs w:val="21"/>
                <w:highlight w:val="none"/>
              </w:rPr>
              <w:t>日期起计算</w:t>
            </w:r>
            <w:r>
              <w:rPr>
                <w:rFonts w:hint="eastAsia" w:ascii="宋体" w:hAnsi="宋体"/>
                <w:color w:val="auto"/>
                <w:szCs w:val="21"/>
                <w:highlight w:val="none"/>
                <w:u w:val="single"/>
              </w:rPr>
              <w:t>12</w:t>
            </w:r>
            <w:r>
              <w:rPr>
                <w:rFonts w:hint="eastAsia" w:ascii="宋体" w:hAnsi="宋体"/>
                <w:color w:val="auto"/>
                <w:szCs w:val="21"/>
                <w:highlight w:val="none"/>
              </w:rPr>
              <w:t>个月</w:t>
            </w:r>
          </w:p>
        </w:tc>
        <w:tc>
          <w:tcPr>
            <w:tcW w:w="1190" w:type="dxa"/>
            <w:vAlign w:val="center"/>
          </w:tcPr>
          <w:p w14:paraId="3FCBA0D5">
            <w:pPr>
              <w:shd w:val="clear" w:fill="FFFFFF" w:themeFill="background1"/>
              <w:jc w:val="center"/>
              <w:rPr>
                <w:rFonts w:ascii="Calibri" w:hAnsi="Calibri"/>
                <w:color w:val="auto"/>
                <w:szCs w:val="21"/>
                <w:highlight w:val="none"/>
              </w:rPr>
            </w:pPr>
          </w:p>
        </w:tc>
      </w:tr>
      <w:tr w14:paraId="631384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15C141DA">
            <w:pPr>
              <w:shd w:val="clear" w:fill="FFFFFF" w:themeFill="background1"/>
              <w:jc w:val="center"/>
              <w:rPr>
                <w:rFonts w:ascii="Calibri" w:hAnsi="Calibri"/>
                <w:color w:val="auto"/>
                <w:szCs w:val="21"/>
                <w:highlight w:val="none"/>
              </w:rPr>
            </w:pPr>
            <w:r>
              <w:rPr>
                <w:rFonts w:ascii="宋体" w:hAnsi="宋体"/>
                <w:color w:val="auto"/>
                <w:szCs w:val="21"/>
                <w:highlight w:val="none"/>
              </w:rPr>
              <w:t>2</w:t>
            </w:r>
          </w:p>
        </w:tc>
        <w:tc>
          <w:tcPr>
            <w:tcW w:w="2693" w:type="dxa"/>
            <w:vAlign w:val="center"/>
          </w:tcPr>
          <w:p w14:paraId="65DCF0E2">
            <w:pPr>
              <w:shd w:val="clear" w:fill="FFFFFF" w:themeFill="background1"/>
              <w:jc w:val="center"/>
              <w:rPr>
                <w:rFonts w:ascii="Calibri" w:hAnsi="Calibri"/>
                <w:color w:val="auto"/>
                <w:szCs w:val="21"/>
                <w:highlight w:val="none"/>
              </w:rPr>
            </w:pPr>
            <w:r>
              <w:rPr>
                <w:rFonts w:ascii="宋体" w:hAnsi="宋体"/>
                <w:color w:val="auto"/>
                <w:szCs w:val="21"/>
                <w:highlight w:val="none"/>
              </w:rPr>
              <w:t>逾期交工违约金</w:t>
            </w:r>
          </w:p>
        </w:tc>
        <w:tc>
          <w:tcPr>
            <w:tcW w:w="1417" w:type="dxa"/>
            <w:vAlign w:val="center"/>
          </w:tcPr>
          <w:p w14:paraId="75891E86">
            <w:pPr>
              <w:shd w:val="clear" w:fill="FFFFFF" w:themeFill="background1"/>
              <w:jc w:val="center"/>
              <w:rPr>
                <w:rFonts w:ascii="Calibri" w:hAnsi="Calibri"/>
                <w:color w:val="auto"/>
                <w:szCs w:val="21"/>
                <w:highlight w:val="none"/>
              </w:rPr>
            </w:pPr>
            <w:r>
              <w:rPr>
                <w:rFonts w:ascii="宋体" w:hAnsi="宋体"/>
                <w:color w:val="auto"/>
                <w:szCs w:val="21"/>
                <w:highlight w:val="none"/>
              </w:rPr>
              <w:t>11.5</w:t>
            </w:r>
            <w:r>
              <w:rPr>
                <w:rFonts w:hint="eastAsia" w:ascii="宋体" w:hAnsi="宋体"/>
                <w:color w:val="auto"/>
                <w:szCs w:val="21"/>
                <w:highlight w:val="none"/>
              </w:rPr>
              <w:t>（3）</w:t>
            </w:r>
          </w:p>
        </w:tc>
        <w:tc>
          <w:tcPr>
            <w:tcW w:w="3686" w:type="dxa"/>
            <w:vAlign w:val="center"/>
          </w:tcPr>
          <w:p w14:paraId="237185F9">
            <w:pPr>
              <w:shd w:val="clear" w:fill="FFFFFF" w:themeFill="background1"/>
              <w:jc w:val="left"/>
              <w:rPr>
                <w:rFonts w:ascii="Calibri" w:hAnsi="Calibri"/>
                <w:color w:val="auto"/>
                <w:szCs w:val="21"/>
                <w:highlight w:val="none"/>
              </w:rPr>
            </w:pPr>
            <w:r>
              <w:rPr>
                <w:rFonts w:hint="eastAsia" w:ascii="宋体" w:hAnsi="宋体"/>
                <w:color w:val="auto"/>
                <w:szCs w:val="21"/>
                <w:highlight w:val="none"/>
                <w:u w:val="single"/>
              </w:rPr>
              <w:t>1000元/天</w:t>
            </w:r>
          </w:p>
        </w:tc>
        <w:tc>
          <w:tcPr>
            <w:tcW w:w="1190" w:type="dxa"/>
            <w:vAlign w:val="center"/>
          </w:tcPr>
          <w:p w14:paraId="79CC6D17">
            <w:pPr>
              <w:shd w:val="clear" w:fill="FFFFFF" w:themeFill="background1"/>
              <w:jc w:val="center"/>
              <w:rPr>
                <w:rFonts w:ascii="Calibri" w:hAnsi="Calibri"/>
                <w:color w:val="auto"/>
                <w:szCs w:val="21"/>
                <w:highlight w:val="none"/>
              </w:rPr>
            </w:pPr>
          </w:p>
        </w:tc>
      </w:tr>
      <w:tr w14:paraId="3A60A6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6D88AAE9">
            <w:pPr>
              <w:shd w:val="clear" w:fill="FFFFFF" w:themeFill="background1"/>
              <w:jc w:val="center"/>
              <w:rPr>
                <w:rFonts w:ascii="Calibri" w:hAnsi="Calibri"/>
                <w:color w:val="auto"/>
                <w:szCs w:val="21"/>
                <w:highlight w:val="none"/>
              </w:rPr>
            </w:pPr>
            <w:r>
              <w:rPr>
                <w:rFonts w:ascii="宋体" w:hAnsi="宋体"/>
                <w:color w:val="auto"/>
                <w:szCs w:val="21"/>
                <w:highlight w:val="none"/>
              </w:rPr>
              <w:t>3</w:t>
            </w:r>
          </w:p>
        </w:tc>
        <w:tc>
          <w:tcPr>
            <w:tcW w:w="2693" w:type="dxa"/>
            <w:vAlign w:val="center"/>
          </w:tcPr>
          <w:p w14:paraId="6DD844A3">
            <w:pPr>
              <w:shd w:val="clear" w:fill="FFFFFF" w:themeFill="background1"/>
              <w:jc w:val="center"/>
              <w:rPr>
                <w:rFonts w:ascii="Calibri" w:hAnsi="Calibri"/>
                <w:color w:val="auto"/>
                <w:szCs w:val="21"/>
                <w:highlight w:val="none"/>
              </w:rPr>
            </w:pPr>
            <w:r>
              <w:rPr>
                <w:rFonts w:ascii="宋体" w:hAnsi="宋体"/>
                <w:color w:val="auto"/>
                <w:szCs w:val="21"/>
                <w:highlight w:val="none"/>
              </w:rPr>
              <w:t>逾期交工违约金限额</w:t>
            </w:r>
          </w:p>
        </w:tc>
        <w:tc>
          <w:tcPr>
            <w:tcW w:w="1417" w:type="dxa"/>
            <w:vAlign w:val="center"/>
          </w:tcPr>
          <w:p w14:paraId="763ACEC1">
            <w:pPr>
              <w:shd w:val="clear" w:fill="FFFFFF" w:themeFill="background1"/>
              <w:jc w:val="center"/>
              <w:rPr>
                <w:rFonts w:ascii="Calibri" w:hAnsi="Calibri"/>
                <w:color w:val="auto"/>
                <w:szCs w:val="21"/>
                <w:highlight w:val="none"/>
              </w:rPr>
            </w:pPr>
            <w:r>
              <w:rPr>
                <w:rFonts w:ascii="宋体" w:hAnsi="宋体"/>
                <w:color w:val="auto"/>
                <w:szCs w:val="21"/>
                <w:highlight w:val="none"/>
              </w:rPr>
              <w:t>11.5</w:t>
            </w:r>
            <w:r>
              <w:rPr>
                <w:rFonts w:hint="eastAsia" w:ascii="宋体" w:hAnsi="宋体"/>
                <w:color w:val="auto"/>
                <w:szCs w:val="21"/>
                <w:highlight w:val="none"/>
              </w:rPr>
              <w:t>（3）</w:t>
            </w:r>
          </w:p>
        </w:tc>
        <w:tc>
          <w:tcPr>
            <w:tcW w:w="3686" w:type="dxa"/>
            <w:vAlign w:val="center"/>
          </w:tcPr>
          <w:p w14:paraId="770B7E0C">
            <w:pPr>
              <w:shd w:val="clear" w:fill="FFFFFF" w:themeFill="background1"/>
              <w:rPr>
                <w:rFonts w:ascii="Calibri" w:hAnsi="Calibri"/>
                <w:color w:val="auto"/>
                <w:szCs w:val="21"/>
                <w:highlight w:val="none"/>
              </w:rPr>
            </w:pPr>
            <w:r>
              <w:rPr>
                <w:rFonts w:ascii="宋体" w:hAnsi="宋体"/>
                <w:color w:val="auto"/>
                <w:szCs w:val="21"/>
                <w:highlight w:val="none"/>
                <w:u w:val="single"/>
              </w:rPr>
              <w:t xml:space="preserve"> 10 </w:t>
            </w:r>
            <w:r>
              <w:rPr>
                <w:rFonts w:ascii="宋体" w:hAnsi="宋体"/>
                <w:color w:val="auto"/>
                <w:szCs w:val="21"/>
                <w:highlight w:val="none"/>
              </w:rPr>
              <w:t>%签约合同价</w:t>
            </w:r>
          </w:p>
        </w:tc>
        <w:tc>
          <w:tcPr>
            <w:tcW w:w="1190" w:type="dxa"/>
            <w:vAlign w:val="center"/>
          </w:tcPr>
          <w:p w14:paraId="238860F0">
            <w:pPr>
              <w:shd w:val="clear" w:fill="FFFFFF" w:themeFill="background1"/>
              <w:jc w:val="center"/>
              <w:rPr>
                <w:rFonts w:ascii="Calibri" w:hAnsi="Calibri"/>
                <w:color w:val="auto"/>
                <w:szCs w:val="21"/>
                <w:highlight w:val="none"/>
              </w:rPr>
            </w:pPr>
          </w:p>
        </w:tc>
      </w:tr>
      <w:tr w14:paraId="261AA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5EE0EED9">
            <w:pPr>
              <w:shd w:val="clear" w:fill="FFFFFF" w:themeFill="background1"/>
              <w:jc w:val="center"/>
              <w:rPr>
                <w:rFonts w:ascii="Calibri" w:hAnsi="Calibri"/>
                <w:color w:val="auto"/>
                <w:szCs w:val="21"/>
                <w:highlight w:val="none"/>
              </w:rPr>
            </w:pPr>
            <w:r>
              <w:rPr>
                <w:rFonts w:ascii="宋体" w:hAnsi="宋体"/>
                <w:color w:val="auto"/>
                <w:szCs w:val="21"/>
                <w:highlight w:val="none"/>
              </w:rPr>
              <w:t>4</w:t>
            </w:r>
          </w:p>
        </w:tc>
        <w:tc>
          <w:tcPr>
            <w:tcW w:w="2693" w:type="dxa"/>
            <w:vAlign w:val="center"/>
          </w:tcPr>
          <w:p w14:paraId="31BFC3E1">
            <w:pPr>
              <w:shd w:val="clear" w:fill="FFFFFF" w:themeFill="background1"/>
              <w:jc w:val="center"/>
              <w:rPr>
                <w:rFonts w:ascii="Calibri" w:hAnsi="Calibri"/>
                <w:color w:val="auto"/>
                <w:szCs w:val="21"/>
                <w:highlight w:val="none"/>
              </w:rPr>
            </w:pPr>
            <w:r>
              <w:rPr>
                <w:rFonts w:ascii="宋体" w:hAnsi="宋体"/>
                <w:color w:val="auto"/>
                <w:szCs w:val="21"/>
                <w:highlight w:val="none"/>
              </w:rPr>
              <w:t>提前交工的奖金</w:t>
            </w:r>
          </w:p>
        </w:tc>
        <w:tc>
          <w:tcPr>
            <w:tcW w:w="1417" w:type="dxa"/>
            <w:vAlign w:val="center"/>
          </w:tcPr>
          <w:p w14:paraId="407F4389">
            <w:pPr>
              <w:shd w:val="clear" w:fill="FFFFFF" w:themeFill="background1"/>
              <w:jc w:val="center"/>
              <w:rPr>
                <w:rFonts w:ascii="Calibri" w:hAnsi="Calibri"/>
                <w:color w:val="auto"/>
                <w:szCs w:val="21"/>
                <w:highlight w:val="none"/>
              </w:rPr>
            </w:pPr>
            <w:r>
              <w:rPr>
                <w:rFonts w:ascii="宋体" w:hAnsi="宋体"/>
                <w:color w:val="auto"/>
                <w:szCs w:val="21"/>
                <w:highlight w:val="none"/>
              </w:rPr>
              <w:t>11.6</w:t>
            </w:r>
          </w:p>
        </w:tc>
        <w:tc>
          <w:tcPr>
            <w:tcW w:w="3686" w:type="dxa"/>
            <w:vAlign w:val="center"/>
          </w:tcPr>
          <w:p w14:paraId="03F379AF">
            <w:pPr>
              <w:shd w:val="clear" w:fill="FFFFFF" w:themeFill="background1"/>
              <w:rPr>
                <w:rFonts w:ascii="Calibri" w:hAnsi="Calibri"/>
                <w:color w:val="auto"/>
                <w:szCs w:val="21"/>
                <w:highlight w:val="none"/>
              </w:rPr>
            </w:pPr>
            <w:r>
              <w:rPr>
                <w:rFonts w:hint="eastAsia" w:ascii="宋体" w:hAnsi="宋体"/>
                <w:color w:val="auto"/>
                <w:szCs w:val="21"/>
                <w:highlight w:val="none"/>
                <w:u w:val="single"/>
              </w:rPr>
              <w:t>0</w:t>
            </w:r>
            <w:r>
              <w:rPr>
                <w:rFonts w:hint="eastAsia" w:ascii="宋体" w:hAnsi="宋体"/>
                <w:color w:val="auto"/>
                <w:szCs w:val="21"/>
                <w:highlight w:val="none"/>
              </w:rPr>
              <w:t>元/天</w:t>
            </w:r>
          </w:p>
        </w:tc>
        <w:tc>
          <w:tcPr>
            <w:tcW w:w="1190" w:type="dxa"/>
            <w:vAlign w:val="center"/>
          </w:tcPr>
          <w:p w14:paraId="6040349E">
            <w:pPr>
              <w:shd w:val="clear" w:fill="FFFFFF" w:themeFill="background1"/>
              <w:jc w:val="center"/>
              <w:rPr>
                <w:rFonts w:ascii="Calibri" w:hAnsi="Calibri"/>
                <w:color w:val="auto"/>
                <w:szCs w:val="21"/>
                <w:highlight w:val="none"/>
              </w:rPr>
            </w:pPr>
          </w:p>
        </w:tc>
      </w:tr>
      <w:tr w14:paraId="2849BE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7FFDD0D9">
            <w:pPr>
              <w:shd w:val="clear" w:fill="FFFFFF" w:themeFill="background1"/>
              <w:jc w:val="center"/>
              <w:rPr>
                <w:rFonts w:ascii="Calibri" w:hAnsi="Calibri"/>
                <w:color w:val="auto"/>
                <w:szCs w:val="21"/>
                <w:highlight w:val="none"/>
              </w:rPr>
            </w:pPr>
            <w:r>
              <w:rPr>
                <w:rFonts w:ascii="宋体" w:hAnsi="宋体"/>
                <w:color w:val="auto"/>
                <w:szCs w:val="21"/>
                <w:highlight w:val="none"/>
              </w:rPr>
              <w:t>5</w:t>
            </w:r>
          </w:p>
        </w:tc>
        <w:tc>
          <w:tcPr>
            <w:tcW w:w="2693" w:type="dxa"/>
            <w:vAlign w:val="center"/>
          </w:tcPr>
          <w:p w14:paraId="121187AB">
            <w:pPr>
              <w:shd w:val="clear" w:fill="FFFFFF" w:themeFill="background1"/>
              <w:jc w:val="center"/>
              <w:rPr>
                <w:rFonts w:ascii="Calibri" w:hAnsi="Calibri"/>
                <w:color w:val="auto"/>
                <w:szCs w:val="21"/>
                <w:highlight w:val="none"/>
              </w:rPr>
            </w:pPr>
            <w:r>
              <w:rPr>
                <w:rFonts w:ascii="宋体" w:hAnsi="宋体"/>
                <w:color w:val="auto"/>
                <w:szCs w:val="21"/>
                <w:highlight w:val="none"/>
              </w:rPr>
              <w:t>提前交工的奖金限额</w:t>
            </w:r>
          </w:p>
        </w:tc>
        <w:tc>
          <w:tcPr>
            <w:tcW w:w="1417" w:type="dxa"/>
            <w:vAlign w:val="center"/>
          </w:tcPr>
          <w:p w14:paraId="68CF7A08">
            <w:pPr>
              <w:shd w:val="clear" w:fill="FFFFFF" w:themeFill="background1"/>
              <w:jc w:val="center"/>
              <w:rPr>
                <w:rFonts w:ascii="Calibri" w:hAnsi="Calibri"/>
                <w:color w:val="auto"/>
                <w:szCs w:val="21"/>
                <w:highlight w:val="none"/>
              </w:rPr>
            </w:pPr>
            <w:r>
              <w:rPr>
                <w:rFonts w:ascii="宋体" w:hAnsi="宋体"/>
                <w:color w:val="auto"/>
                <w:szCs w:val="21"/>
                <w:highlight w:val="none"/>
              </w:rPr>
              <w:t>11.6</w:t>
            </w:r>
          </w:p>
        </w:tc>
        <w:tc>
          <w:tcPr>
            <w:tcW w:w="3686" w:type="dxa"/>
            <w:vAlign w:val="center"/>
          </w:tcPr>
          <w:p w14:paraId="562DE2F3">
            <w:pPr>
              <w:shd w:val="clear" w:fill="FFFFFF" w:themeFill="background1"/>
              <w:ind w:firstLine="25" w:firstLineChars="12"/>
              <w:rPr>
                <w:rFonts w:ascii="Calibri" w:hAnsi="Calibri"/>
                <w:color w:val="auto"/>
                <w:szCs w:val="21"/>
                <w:highlight w:val="none"/>
              </w:rPr>
            </w:pPr>
            <w:r>
              <w:rPr>
                <w:rFonts w:hint="eastAsia" w:ascii="宋体" w:hAnsi="宋体"/>
                <w:color w:val="auto"/>
                <w:szCs w:val="21"/>
                <w:highlight w:val="none"/>
                <w:u w:val="single"/>
              </w:rPr>
              <w:t>0</w:t>
            </w:r>
            <w:r>
              <w:rPr>
                <w:rFonts w:hint="eastAsia" w:ascii="宋体" w:hAnsi="宋体"/>
                <w:color w:val="auto"/>
                <w:szCs w:val="21"/>
                <w:highlight w:val="none"/>
              </w:rPr>
              <w:t>%签约合同价</w:t>
            </w:r>
          </w:p>
        </w:tc>
        <w:tc>
          <w:tcPr>
            <w:tcW w:w="1190" w:type="dxa"/>
            <w:vAlign w:val="center"/>
          </w:tcPr>
          <w:p w14:paraId="015D2B5F">
            <w:pPr>
              <w:shd w:val="clear" w:fill="FFFFFF" w:themeFill="background1"/>
              <w:jc w:val="center"/>
              <w:rPr>
                <w:rFonts w:ascii="Calibri" w:hAnsi="Calibri"/>
                <w:color w:val="auto"/>
                <w:szCs w:val="21"/>
                <w:highlight w:val="none"/>
              </w:rPr>
            </w:pPr>
          </w:p>
        </w:tc>
      </w:tr>
      <w:tr w14:paraId="5B0ACD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1F1EC9AA">
            <w:pPr>
              <w:shd w:val="clear" w:fill="FFFFFF" w:themeFill="background1"/>
              <w:jc w:val="center"/>
              <w:rPr>
                <w:rFonts w:ascii="宋体" w:hAnsi="宋体"/>
                <w:color w:val="auto"/>
                <w:szCs w:val="21"/>
                <w:highlight w:val="none"/>
              </w:rPr>
            </w:pPr>
            <w:r>
              <w:rPr>
                <w:rFonts w:hint="eastAsia" w:ascii="宋体" w:hAnsi="宋体"/>
                <w:color w:val="auto"/>
                <w:szCs w:val="21"/>
                <w:highlight w:val="none"/>
              </w:rPr>
              <w:t>6</w:t>
            </w:r>
          </w:p>
        </w:tc>
        <w:tc>
          <w:tcPr>
            <w:tcW w:w="2693" w:type="dxa"/>
            <w:vAlign w:val="center"/>
          </w:tcPr>
          <w:p w14:paraId="2B48B76E">
            <w:pPr>
              <w:shd w:val="clear" w:fill="FFFFFF" w:themeFill="background1"/>
              <w:jc w:val="center"/>
              <w:rPr>
                <w:rFonts w:ascii="Calibri" w:hAnsi="Calibri"/>
                <w:color w:val="auto"/>
                <w:szCs w:val="21"/>
                <w:highlight w:val="none"/>
              </w:rPr>
            </w:pPr>
            <w:r>
              <w:rPr>
                <w:rFonts w:ascii="宋体" w:hAnsi="宋体"/>
                <w:color w:val="auto"/>
                <w:szCs w:val="21"/>
                <w:highlight w:val="none"/>
              </w:rPr>
              <w:t>因物价波动引起的价格调整</w:t>
            </w:r>
          </w:p>
        </w:tc>
        <w:tc>
          <w:tcPr>
            <w:tcW w:w="1417" w:type="dxa"/>
            <w:vAlign w:val="center"/>
          </w:tcPr>
          <w:p w14:paraId="761E42E5">
            <w:pPr>
              <w:shd w:val="clear" w:fill="FFFFFF" w:themeFill="background1"/>
              <w:jc w:val="center"/>
              <w:rPr>
                <w:rFonts w:ascii="宋体" w:hAnsi="宋体"/>
                <w:color w:val="auto"/>
                <w:szCs w:val="21"/>
                <w:highlight w:val="none"/>
              </w:rPr>
            </w:pPr>
            <w:r>
              <w:rPr>
                <w:rFonts w:ascii="宋体" w:hAnsi="宋体"/>
                <w:color w:val="auto"/>
                <w:szCs w:val="21"/>
                <w:highlight w:val="none"/>
              </w:rPr>
              <w:t>16.1</w:t>
            </w:r>
          </w:p>
        </w:tc>
        <w:tc>
          <w:tcPr>
            <w:tcW w:w="3686" w:type="dxa"/>
            <w:vAlign w:val="center"/>
          </w:tcPr>
          <w:p w14:paraId="6632576F">
            <w:pPr>
              <w:shd w:val="clear" w:fill="FFFFFF" w:themeFill="background1"/>
              <w:spacing w:line="320" w:lineRule="exact"/>
              <w:rPr>
                <w:rFonts w:ascii="宋体" w:hAnsi="宋体"/>
                <w:color w:val="auto"/>
                <w:szCs w:val="21"/>
                <w:highlight w:val="none"/>
              </w:rPr>
            </w:pPr>
            <w:r>
              <w:rPr>
                <w:rFonts w:ascii="宋体" w:hAnsi="宋体"/>
                <w:color w:val="auto"/>
                <w:sz w:val="24"/>
                <w:highlight w:val="none"/>
              </w:rPr>
              <w:t>□</w:t>
            </w:r>
            <w:r>
              <w:rPr>
                <w:rFonts w:hint="eastAsia" w:ascii="宋体" w:hAnsi="宋体"/>
                <w:color w:val="auto"/>
                <w:szCs w:val="21"/>
                <w:highlight w:val="none"/>
              </w:rPr>
              <w:t>因物价波动引起的价格调整按照第16.1项约定的原则处理</w:t>
            </w:r>
          </w:p>
          <w:p w14:paraId="3DF2B1D4">
            <w:pPr>
              <w:shd w:val="clear" w:fill="FFFFFF" w:themeFill="background1"/>
              <w:rPr>
                <w:rFonts w:ascii="宋体" w:hAnsi="宋体"/>
                <w:color w:val="auto"/>
                <w:szCs w:val="21"/>
                <w:highlight w:val="none"/>
              </w:rPr>
            </w:pPr>
            <w:r>
              <w:rPr>
                <w:rFonts w:ascii="宋体" w:hAnsi="宋体"/>
                <w:color w:val="auto"/>
                <w:sz w:val="24"/>
                <w:highlight w:val="none"/>
              </w:rPr>
              <w:fldChar w:fldCharType="begin"/>
            </w:r>
            <w:r>
              <w:rPr>
                <w:rFonts w:hint="eastAsia" w:ascii="宋体" w:hAnsi="宋体"/>
                <w:color w:val="auto"/>
                <w:sz w:val="24"/>
                <w:highlight w:val="none"/>
              </w:rPr>
              <w:instrText xml:space="preserve">eq \o\ac(□,√)</w:instrText>
            </w:r>
            <w:r>
              <w:rPr>
                <w:rFonts w:ascii="宋体" w:hAnsi="宋体"/>
                <w:color w:val="auto"/>
                <w:sz w:val="24"/>
                <w:highlight w:val="none"/>
              </w:rPr>
              <w:fldChar w:fldCharType="end"/>
            </w:r>
            <w:r>
              <w:rPr>
                <w:rFonts w:hint="eastAsia" w:ascii="宋体" w:hAnsi="宋体"/>
                <w:color w:val="auto"/>
                <w:szCs w:val="21"/>
                <w:highlight w:val="none"/>
              </w:rPr>
              <w:t>合同期内不调价</w:t>
            </w:r>
          </w:p>
        </w:tc>
        <w:tc>
          <w:tcPr>
            <w:tcW w:w="1190" w:type="dxa"/>
            <w:vAlign w:val="center"/>
          </w:tcPr>
          <w:p w14:paraId="6CC269EA">
            <w:pPr>
              <w:shd w:val="clear" w:fill="FFFFFF" w:themeFill="background1"/>
              <w:jc w:val="center"/>
              <w:rPr>
                <w:rFonts w:ascii="宋体" w:hAnsi="宋体"/>
                <w:color w:val="auto"/>
                <w:szCs w:val="21"/>
                <w:highlight w:val="none"/>
              </w:rPr>
            </w:pPr>
          </w:p>
        </w:tc>
      </w:tr>
      <w:tr w14:paraId="4B697D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3D2B53C0">
            <w:pPr>
              <w:shd w:val="clear" w:fill="FFFFFF" w:themeFill="background1"/>
              <w:jc w:val="center"/>
              <w:rPr>
                <w:rFonts w:ascii="Calibri" w:hAnsi="Calibri"/>
                <w:color w:val="auto"/>
                <w:szCs w:val="21"/>
                <w:highlight w:val="none"/>
              </w:rPr>
            </w:pPr>
            <w:r>
              <w:rPr>
                <w:rFonts w:ascii="宋体" w:hAnsi="宋体"/>
                <w:color w:val="auto"/>
                <w:szCs w:val="21"/>
                <w:highlight w:val="none"/>
              </w:rPr>
              <w:t>7</w:t>
            </w:r>
          </w:p>
        </w:tc>
        <w:tc>
          <w:tcPr>
            <w:tcW w:w="2693" w:type="dxa"/>
            <w:vAlign w:val="center"/>
          </w:tcPr>
          <w:p w14:paraId="1FBAB88D">
            <w:pPr>
              <w:shd w:val="clear" w:fill="FFFFFF" w:themeFill="background1"/>
              <w:jc w:val="center"/>
              <w:rPr>
                <w:rFonts w:ascii="Calibri" w:hAnsi="Calibri"/>
                <w:color w:val="auto"/>
                <w:szCs w:val="21"/>
                <w:highlight w:val="none"/>
              </w:rPr>
            </w:pPr>
            <w:r>
              <w:rPr>
                <w:rFonts w:ascii="宋体" w:hAnsi="宋体"/>
                <w:color w:val="auto"/>
                <w:szCs w:val="21"/>
                <w:highlight w:val="none"/>
              </w:rPr>
              <w:t>开工预付款金额</w:t>
            </w:r>
          </w:p>
        </w:tc>
        <w:tc>
          <w:tcPr>
            <w:tcW w:w="1417" w:type="dxa"/>
            <w:vAlign w:val="center"/>
          </w:tcPr>
          <w:p w14:paraId="48C95455">
            <w:pPr>
              <w:shd w:val="clear" w:fill="FFFFFF" w:themeFill="background1"/>
              <w:jc w:val="center"/>
              <w:rPr>
                <w:rFonts w:ascii="Calibri" w:hAnsi="Calibri"/>
                <w:color w:val="auto"/>
                <w:szCs w:val="21"/>
                <w:highlight w:val="none"/>
              </w:rPr>
            </w:pPr>
            <w:r>
              <w:rPr>
                <w:rFonts w:ascii="宋体" w:hAnsi="宋体"/>
                <w:color w:val="auto"/>
                <w:szCs w:val="21"/>
                <w:highlight w:val="none"/>
              </w:rPr>
              <w:t>17.2.1</w:t>
            </w:r>
            <w:r>
              <w:rPr>
                <w:rFonts w:hint="eastAsia" w:ascii="宋体" w:hAnsi="宋体"/>
                <w:color w:val="auto"/>
                <w:szCs w:val="21"/>
                <w:highlight w:val="none"/>
              </w:rPr>
              <w:t>（1）</w:t>
            </w:r>
          </w:p>
        </w:tc>
        <w:tc>
          <w:tcPr>
            <w:tcW w:w="3686" w:type="dxa"/>
            <w:vAlign w:val="center"/>
          </w:tcPr>
          <w:p w14:paraId="15700534">
            <w:pPr>
              <w:shd w:val="clear" w:fill="FFFFFF" w:themeFill="background1"/>
              <w:ind w:firstLine="25" w:firstLineChars="12"/>
              <w:rPr>
                <w:rFonts w:ascii="宋体" w:hAnsi="宋体"/>
                <w:color w:val="auto"/>
                <w:szCs w:val="21"/>
                <w:highlight w:val="none"/>
              </w:rPr>
            </w:pPr>
            <w:r>
              <w:rPr>
                <w:rFonts w:hint="eastAsia" w:ascii="宋体" w:hAnsi="宋体"/>
                <w:color w:val="auto"/>
                <w:szCs w:val="21"/>
                <w:highlight w:val="none"/>
                <w:u w:val="single"/>
              </w:rPr>
              <w:t>30</w:t>
            </w:r>
            <w:r>
              <w:rPr>
                <w:rFonts w:hint="eastAsia" w:ascii="宋体" w:hAnsi="宋体"/>
                <w:color w:val="auto"/>
                <w:szCs w:val="21"/>
                <w:highlight w:val="none"/>
              </w:rPr>
              <w:t>%签约合同价</w:t>
            </w:r>
          </w:p>
        </w:tc>
        <w:tc>
          <w:tcPr>
            <w:tcW w:w="1190" w:type="dxa"/>
            <w:vAlign w:val="center"/>
          </w:tcPr>
          <w:p w14:paraId="2CCBA016">
            <w:pPr>
              <w:shd w:val="clear" w:fill="FFFFFF" w:themeFill="background1"/>
              <w:jc w:val="center"/>
              <w:rPr>
                <w:rFonts w:ascii="Calibri" w:hAnsi="Calibri"/>
                <w:color w:val="auto"/>
                <w:szCs w:val="21"/>
                <w:highlight w:val="none"/>
              </w:rPr>
            </w:pPr>
          </w:p>
        </w:tc>
      </w:tr>
      <w:tr w14:paraId="3AF378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588869A8">
            <w:pPr>
              <w:shd w:val="clear" w:fill="FFFFFF" w:themeFill="background1"/>
              <w:jc w:val="center"/>
              <w:rPr>
                <w:rFonts w:ascii="Calibri" w:hAnsi="Calibri"/>
                <w:color w:val="auto"/>
                <w:szCs w:val="21"/>
                <w:highlight w:val="none"/>
              </w:rPr>
            </w:pPr>
            <w:r>
              <w:rPr>
                <w:rFonts w:ascii="宋体" w:hAnsi="宋体"/>
                <w:color w:val="auto"/>
                <w:szCs w:val="21"/>
                <w:highlight w:val="none"/>
              </w:rPr>
              <w:t>8</w:t>
            </w:r>
          </w:p>
        </w:tc>
        <w:tc>
          <w:tcPr>
            <w:tcW w:w="2693" w:type="dxa"/>
            <w:vAlign w:val="center"/>
          </w:tcPr>
          <w:p w14:paraId="7B65E395">
            <w:pPr>
              <w:shd w:val="clear" w:fill="FFFFFF" w:themeFill="background1"/>
              <w:jc w:val="center"/>
              <w:rPr>
                <w:rFonts w:ascii="Calibri" w:hAnsi="Calibri"/>
                <w:color w:val="auto"/>
                <w:szCs w:val="21"/>
                <w:highlight w:val="none"/>
              </w:rPr>
            </w:pPr>
            <w:r>
              <w:rPr>
                <w:rFonts w:ascii="宋体" w:hAnsi="宋体"/>
                <w:color w:val="auto"/>
                <w:szCs w:val="21"/>
                <w:highlight w:val="none"/>
              </w:rPr>
              <w:t>材料、设备预付款比例</w:t>
            </w:r>
          </w:p>
        </w:tc>
        <w:tc>
          <w:tcPr>
            <w:tcW w:w="1417" w:type="dxa"/>
            <w:vAlign w:val="center"/>
          </w:tcPr>
          <w:p w14:paraId="1118D92F">
            <w:pPr>
              <w:shd w:val="clear" w:fill="FFFFFF" w:themeFill="background1"/>
              <w:jc w:val="center"/>
              <w:rPr>
                <w:rFonts w:ascii="Calibri" w:hAnsi="Calibri"/>
                <w:color w:val="auto"/>
                <w:szCs w:val="21"/>
                <w:highlight w:val="none"/>
              </w:rPr>
            </w:pPr>
            <w:r>
              <w:rPr>
                <w:rFonts w:ascii="宋体" w:hAnsi="宋体"/>
                <w:color w:val="auto"/>
                <w:szCs w:val="21"/>
                <w:highlight w:val="none"/>
              </w:rPr>
              <w:t>17.2.1</w:t>
            </w:r>
            <w:r>
              <w:rPr>
                <w:rFonts w:hint="eastAsia" w:ascii="宋体" w:hAnsi="宋体"/>
                <w:color w:val="auto"/>
                <w:szCs w:val="21"/>
                <w:highlight w:val="none"/>
              </w:rPr>
              <w:t>（2）</w:t>
            </w:r>
          </w:p>
        </w:tc>
        <w:tc>
          <w:tcPr>
            <w:tcW w:w="3686" w:type="dxa"/>
            <w:vAlign w:val="center"/>
          </w:tcPr>
          <w:p w14:paraId="7DDC7214">
            <w:pPr>
              <w:shd w:val="clear" w:fill="FFFFFF" w:themeFill="background1"/>
              <w:ind w:firstLine="25" w:firstLineChars="12"/>
              <w:rPr>
                <w:rFonts w:ascii="Calibri" w:hAnsi="Calibri"/>
                <w:color w:val="auto"/>
                <w:szCs w:val="21"/>
                <w:highlight w:val="none"/>
              </w:rPr>
            </w:pPr>
            <w:r>
              <w:rPr>
                <w:rFonts w:hint="eastAsia" w:ascii="宋体" w:hAnsi="宋体"/>
                <w:color w:val="auto"/>
                <w:szCs w:val="21"/>
                <w:highlight w:val="none"/>
                <w:u w:val="single"/>
              </w:rPr>
              <w:t xml:space="preserve">  / </w:t>
            </w:r>
            <w:r>
              <w:rPr>
                <w:rFonts w:hint="eastAsia" w:ascii="宋体" w:hAnsi="宋体"/>
                <w:color w:val="auto"/>
                <w:szCs w:val="21"/>
                <w:highlight w:val="none"/>
              </w:rPr>
              <w:t>等主要材料、设备单据所列费用的</w:t>
            </w:r>
            <w:r>
              <w:rPr>
                <w:rFonts w:hint="eastAsia" w:ascii="宋体" w:hAnsi="宋体"/>
                <w:color w:val="auto"/>
                <w:szCs w:val="21"/>
                <w:highlight w:val="none"/>
                <w:u w:val="single"/>
              </w:rPr>
              <w:t>0</w:t>
            </w:r>
            <w:r>
              <w:rPr>
                <w:rFonts w:hint="eastAsia" w:ascii="宋体" w:hAnsi="宋体"/>
                <w:color w:val="auto"/>
                <w:szCs w:val="21"/>
                <w:highlight w:val="none"/>
              </w:rPr>
              <w:t xml:space="preserve"> %</w:t>
            </w:r>
          </w:p>
        </w:tc>
        <w:tc>
          <w:tcPr>
            <w:tcW w:w="1190" w:type="dxa"/>
            <w:vAlign w:val="center"/>
          </w:tcPr>
          <w:p w14:paraId="366CAFBF">
            <w:pPr>
              <w:shd w:val="clear" w:fill="FFFFFF" w:themeFill="background1"/>
              <w:jc w:val="center"/>
              <w:rPr>
                <w:rFonts w:ascii="Calibri" w:hAnsi="Calibri"/>
                <w:color w:val="auto"/>
                <w:szCs w:val="21"/>
                <w:highlight w:val="none"/>
              </w:rPr>
            </w:pPr>
          </w:p>
        </w:tc>
      </w:tr>
      <w:tr w14:paraId="70F606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54037A1B">
            <w:pPr>
              <w:shd w:val="clear" w:fill="FFFFFF" w:themeFill="background1"/>
              <w:jc w:val="center"/>
              <w:rPr>
                <w:rFonts w:ascii="Calibri" w:hAnsi="Calibri"/>
                <w:color w:val="auto"/>
                <w:szCs w:val="21"/>
                <w:highlight w:val="none"/>
              </w:rPr>
            </w:pPr>
            <w:r>
              <w:rPr>
                <w:rFonts w:ascii="宋体" w:hAnsi="宋体"/>
                <w:color w:val="auto"/>
                <w:szCs w:val="21"/>
                <w:highlight w:val="none"/>
              </w:rPr>
              <w:t>9</w:t>
            </w:r>
          </w:p>
        </w:tc>
        <w:tc>
          <w:tcPr>
            <w:tcW w:w="2693" w:type="dxa"/>
            <w:vAlign w:val="center"/>
          </w:tcPr>
          <w:p w14:paraId="6C892A94">
            <w:pPr>
              <w:shd w:val="clear" w:fill="FFFFFF" w:themeFill="background1"/>
              <w:jc w:val="center"/>
              <w:rPr>
                <w:rFonts w:ascii="Calibri" w:hAnsi="Calibri"/>
                <w:color w:val="auto"/>
                <w:szCs w:val="21"/>
                <w:highlight w:val="none"/>
              </w:rPr>
            </w:pPr>
            <w:r>
              <w:rPr>
                <w:rFonts w:ascii="宋体" w:hAnsi="宋体"/>
                <w:color w:val="auto"/>
                <w:szCs w:val="21"/>
                <w:highlight w:val="none"/>
              </w:rPr>
              <w:t>进度付款证书最低限额</w:t>
            </w:r>
          </w:p>
        </w:tc>
        <w:tc>
          <w:tcPr>
            <w:tcW w:w="1417" w:type="dxa"/>
            <w:vAlign w:val="center"/>
          </w:tcPr>
          <w:p w14:paraId="5F11545E">
            <w:pPr>
              <w:shd w:val="clear" w:fill="FFFFFF" w:themeFill="background1"/>
              <w:jc w:val="center"/>
              <w:rPr>
                <w:rFonts w:ascii="Calibri" w:hAnsi="Calibri"/>
                <w:color w:val="auto"/>
                <w:szCs w:val="21"/>
                <w:highlight w:val="none"/>
              </w:rPr>
            </w:pPr>
            <w:r>
              <w:rPr>
                <w:rFonts w:ascii="宋体" w:hAnsi="宋体"/>
                <w:color w:val="auto"/>
                <w:szCs w:val="21"/>
                <w:highlight w:val="none"/>
              </w:rPr>
              <w:t>17.3.3(1)</w:t>
            </w:r>
          </w:p>
        </w:tc>
        <w:tc>
          <w:tcPr>
            <w:tcW w:w="3686" w:type="dxa"/>
            <w:vAlign w:val="center"/>
          </w:tcPr>
          <w:p w14:paraId="2E080241">
            <w:pPr>
              <w:shd w:val="clear" w:fill="FFFFFF" w:themeFill="background1"/>
              <w:rPr>
                <w:rFonts w:ascii="Calibri" w:hAnsi="Calibri"/>
                <w:color w:val="auto"/>
                <w:szCs w:val="21"/>
                <w:highlight w:val="none"/>
              </w:rPr>
            </w:pPr>
            <w:r>
              <w:rPr>
                <w:rFonts w:hint="eastAsia" w:ascii="宋体" w:hAnsi="宋体"/>
                <w:color w:val="auto"/>
                <w:szCs w:val="21"/>
                <w:highlight w:val="none"/>
                <w:u w:val="single"/>
              </w:rPr>
              <w:t>50</w:t>
            </w:r>
            <w:r>
              <w:rPr>
                <w:rFonts w:ascii="宋体" w:hAnsi="宋体"/>
                <w:color w:val="auto"/>
                <w:szCs w:val="21"/>
                <w:highlight w:val="none"/>
              </w:rPr>
              <w:t>万元</w:t>
            </w:r>
          </w:p>
        </w:tc>
        <w:tc>
          <w:tcPr>
            <w:tcW w:w="1190" w:type="dxa"/>
            <w:vAlign w:val="center"/>
          </w:tcPr>
          <w:p w14:paraId="53BDCD6D">
            <w:pPr>
              <w:shd w:val="clear" w:fill="FFFFFF" w:themeFill="background1"/>
              <w:jc w:val="center"/>
              <w:rPr>
                <w:rFonts w:ascii="Calibri" w:hAnsi="Calibri"/>
                <w:color w:val="auto"/>
                <w:szCs w:val="21"/>
                <w:highlight w:val="none"/>
              </w:rPr>
            </w:pPr>
          </w:p>
        </w:tc>
      </w:tr>
      <w:tr w14:paraId="08455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43113518">
            <w:pPr>
              <w:shd w:val="clear" w:fill="FFFFFF" w:themeFill="background1"/>
              <w:jc w:val="center"/>
              <w:rPr>
                <w:rFonts w:ascii="Calibri" w:hAnsi="Calibri"/>
                <w:color w:val="auto"/>
                <w:szCs w:val="21"/>
                <w:highlight w:val="none"/>
              </w:rPr>
            </w:pPr>
            <w:r>
              <w:rPr>
                <w:rFonts w:ascii="宋体" w:hAnsi="宋体"/>
                <w:color w:val="auto"/>
                <w:szCs w:val="21"/>
                <w:highlight w:val="none"/>
              </w:rPr>
              <w:t>10</w:t>
            </w:r>
          </w:p>
        </w:tc>
        <w:tc>
          <w:tcPr>
            <w:tcW w:w="2693" w:type="dxa"/>
            <w:vAlign w:val="center"/>
          </w:tcPr>
          <w:p w14:paraId="0E327D6B">
            <w:pPr>
              <w:shd w:val="clear" w:fill="FFFFFF" w:themeFill="background1"/>
              <w:jc w:val="center"/>
              <w:rPr>
                <w:rFonts w:ascii="Calibri" w:hAnsi="Calibri"/>
                <w:color w:val="auto"/>
                <w:szCs w:val="21"/>
                <w:highlight w:val="none"/>
              </w:rPr>
            </w:pPr>
            <w:r>
              <w:rPr>
                <w:rFonts w:ascii="宋体" w:hAnsi="宋体"/>
                <w:color w:val="auto"/>
                <w:szCs w:val="21"/>
                <w:highlight w:val="none"/>
              </w:rPr>
              <w:t>逾期付款违约金的利率</w:t>
            </w:r>
          </w:p>
        </w:tc>
        <w:tc>
          <w:tcPr>
            <w:tcW w:w="1417" w:type="dxa"/>
            <w:vAlign w:val="center"/>
          </w:tcPr>
          <w:p w14:paraId="343C0823">
            <w:pPr>
              <w:shd w:val="clear" w:fill="FFFFFF" w:themeFill="background1"/>
              <w:jc w:val="center"/>
              <w:rPr>
                <w:rFonts w:ascii="Calibri" w:hAnsi="Calibri"/>
                <w:color w:val="auto"/>
                <w:szCs w:val="21"/>
                <w:highlight w:val="none"/>
              </w:rPr>
            </w:pPr>
            <w:r>
              <w:rPr>
                <w:rFonts w:ascii="宋体" w:hAnsi="宋体"/>
                <w:color w:val="auto"/>
                <w:szCs w:val="21"/>
                <w:highlight w:val="none"/>
              </w:rPr>
              <w:t>17.3.3(2)</w:t>
            </w:r>
          </w:p>
        </w:tc>
        <w:tc>
          <w:tcPr>
            <w:tcW w:w="3686" w:type="dxa"/>
            <w:vAlign w:val="center"/>
          </w:tcPr>
          <w:p w14:paraId="5C6006C5">
            <w:pPr>
              <w:shd w:val="clear" w:fill="FFFFFF" w:themeFill="background1"/>
              <w:rPr>
                <w:rFonts w:ascii="Calibri" w:hAnsi="Calibri"/>
                <w:color w:val="auto"/>
                <w:szCs w:val="21"/>
                <w:highlight w:val="none"/>
              </w:rPr>
            </w:pPr>
            <w:r>
              <w:rPr>
                <w:rFonts w:hint="eastAsia" w:ascii="宋体" w:hAnsi="宋体"/>
                <w:color w:val="auto"/>
                <w:szCs w:val="21"/>
                <w:highlight w:val="none"/>
                <w:u w:val="single"/>
              </w:rPr>
              <w:t xml:space="preserve">  / ‰/天 </w:t>
            </w:r>
          </w:p>
        </w:tc>
        <w:tc>
          <w:tcPr>
            <w:tcW w:w="1190" w:type="dxa"/>
            <w:vAlign w:val="center"/>
          </w:tcPr>
          <w:p w14:paraId="15893EDD">
            <w:pPr>
              <w:shd w:val="clear" w:fill="FFFFFF" w:themeFill="background1"/>
              <w:jc w:val="center"/>
              <w:rPr>
                <w:rFonts w:ascii="Calibri" w:hAnsi="Calibri"/>
                <w:color w:val="auto"/>
                <w:szCs w:val="21"/>
                <w:highlight w:val="none"/>
              </w:rPr>
            </w:pPr>
          </w:p>
        </w:tc>
      </w:tr>
      <w:tr w14:paraId="38F3ED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653" w:type="dxa"/>
            <w:vAlign w:val="center"/>
          </w:tcPr>
          <w:p w14:paraId="623A7C73">
            <w:pPr>
              <w:shd w:val="clear" w:fill="FFFFFF" w:themeFill="background1"/>
              <w:jc w:val="center"/>
              <w:rPr>
                <w:rFonts w:ascii="宋体" w:hAnsi="宋体"/>
                <w:color w:val="auto"/>
                <w:szCs w:val="21"/>
                <w:highlight w:val="none"/>
              </w:rPr>
            </w:pPr>
            <w:r>
              <w:rPr>
                <w:rFonts w:hint="eastAsia" w:ascii="宋体" w:hAnsi="宋体"/>
                <w:color w:val="auto"/>
                <w:szCs w:val="21"/>
                <w:highlight w:val="none"/>
              </w:rPr>
              <w:t>11</w:t>
            </w:r>
          </w:p>
        </w:tc>
        <w:tc>
          <w:tcPr>
            <w:tcW w:w="2693" w:type="dxa"/>
            <w:vAlign w:val="center"/>
          </w:tcPr>
          <w:p w14:paraId="169F430F">
            <w:pPr>
              <w:shd w:val="clear" w:fill="FFFFFF" w:themeFill="background1"/>
              <w:jc w:val="center"/>
              <w:rPr>
                <w:rFonts w:ascii="宋体" w:hAnsi="宋体"/>
                <w:color w:val="auto"/>
                <w:szCs w:val="21"/>
                <w:highlight w:val="none"/>
              </w:rPr>
            </w:pPr>
            <w:r>
              <w:rPr>
                <w:rFonts w:ascii="宋体" w:hAnsi="宋体"/>
                <w:color w:val="auto"/>
                <w:szCs w:val="21"/>
                <w:highlight w:val="none"/>
              </w:rPr>
              <w:t>质量保证金</w:t>
            </w:r>
            <w:r>
              <w:rPr>
                <w:rFonts w:hint="eastAsia" w:ascii="宋体" w:hAnsi="宋体"/>
                <w:color w:val="auto"/>
                <w:szCs w:val="21"/>
                <w:highlight w:val="none"/>
              </w:rPr>
              <w:t>限额</w:t>
            </w:r>
          </w:p>
        </w:tc>
        <w:tc>
          <w:tcPr>
            <w:tcW w:w="1417" w:type="dxa"/>
            <w:vAlign w:val="center"/>
          </w:tcPr>
          <w:p w14:paraId="516A6866">
            <w:pPr>
              <w:shd w:val="clear" w:fill="FFFFFF" w:themeFill="background1"/>
              <w:jc w:val="center"/>
              <w:rPr>
                <w:rFonts w:ascii="Calibri" w:hAnsi="Calibri"/>
                <w:color w:val="auto"/>
                <w:szCs w:val="21"/>
                <w:highlight w:val="none"/>
              </w:rPr>
            </w:pPr>
            <w:r>
              <w:rPr>
                <w:rFonts w:ascii="宋体" w:hAnsi="宋体"/>
                <w:color w:val="auto"/>
                <w:szCs w:val="21"/>
                <w:highlight w:val="none"/>
              </w:rPr>
              <w:t>17.4.1</w:t>
            </w:r>
          </w:p>
        </w:tc>
        <w:tc>
          <w:tcPr>
            <w:tcW w:w="3686" w:type="dxa"/>
            <w:vAlign w:val="center"/>
          </w:tcPr>
          <w:p w14:paraId="21D8E2D2">
            <w:pPr>
              <w:shd w:val="clear" w:fill="FFFFFF" w:themeFill="background1"/>
              <w:rPr>
                <w:rFonts w:ascii="Calibri" w:hAnsi="Calibri"/>
                <w:color w:val="auto"/>
                <w:szCs w:val="21"/>
                <w:highlight w:val="none"/>
              </w:rPr>
            </w:pPr>
            <w:r>
              <w:rPr>
                <w:rFonts w:hint="eastAsia" w:ascii="宋体" w:hAnsi="宋体"/>
                <w:color w:val="auto"/>
                <w:szCs w:val="21"/>
                <w:highlight w:val="none"/>
                <w:u w:val="single"/>
              </w:rPr>
              <w:t xml:space="preserve"> 3 </w:t>
            </w:r>
            <w:r>
              <w:rPr>
                <w:rFonts w:hint="eastAsia" w:ascii="宋体" w:hAnsi="宋体"/>
                <w:color w:val="auto"/>
                <w:szCs w:val="21"/>
                <w:highlight w:val="none"/>
              </w:rPr>
              <w:t>%合同价格</w:t>
            </w:r>
          </w:p>
        </w:tc>
        <w:tc>
          <w:tcPr>
            <w:tcW w:w="1190" w:type="dxa"/>
            <w:vAlign w:val="center"/>
          </w:tcPr>
          <w:p w14:paraId="2318E853">
            <w:pPr>
              <w:shd w:val="clear" w:fill="FFFFFF" w:themeFill="background1"/>
              <w:jc w:val="center"/>
              <w:rPr>
                <w:rFonts w:ascii="Calibri" w:hAnsi="Calibri"/>
                <w:color w:val="auto"/>
                <w:szCs w:val="21"/>
                <w:highlight w:val="none"/>
              </w:rPr>
            </w:pPr>
          </w:p>
        </w:tc>
      </w:tr>
      <w:tr w14:paraId="4FA8DB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653" w:type="dxa"/>
            <w:vAlign w:val="center"/>
          </w:tcPr>
          <w:p w14:paraId="61E25A21">
            <w:pPr>
              <w:shd w:val="clear" w:fill="FFFFFF" w:themeFill="background1"/>
              <w:jc w:val="center"/>
              <w:rPr>
                <w:rFonts w:ascii="Calibri" w:hAnsi="Calibri"/>
                <w:color w:val="auto"/>
                <w:szCs w:val="21"/>
                <w:highlight w:val="none"/>
              </w:rPr>
            </w:pPr>
            <w:r>
              <w:rPr>
                <w:rFonts w:ascii="宋体" w:hAnsi="宋体"/>
                <w:color w:val="auto"/>
                <w:szCs w:val="21"/>
                <w:highlight w:val="none"/>
              </w:rPr>
              <w:t>12</w:t>
            </w:r>
          </w:p>
        </w:tc>
        <w:tc>
          <w:tcPr>
            <w:tcW w:w="2693" w:type="dxa"/>
            <w:vAlign w:val="center"/>
          </w:tcPr>
          <w:p w14:paraId="4AC030C7">
            <w:pPr>
              <w:shd w:val="clear" w:fill="FFFFFF" w:themeFill="background1"/>
              <w:jc w:val="center"/>
              <w:rPr>
                <w:rFonts w:ascii="Calibri" w:hAnsi="Calibri"/>
                <w:color w:val="auto"/>
                <w:szCs w:val="21"/>
                <w:highlight w:val="none"/>
              </w:rPr>
            </w:pPr>
            <w:r>
              <w:rPr>
                <w:rFonts w:ascii="宋体" w:hAnsi="宋体"/>
                <w:color w:val="auto"/>
                <w:szCs w:val="21"/>
                <w:highlight w:val="none"/>
              </w:rPr>
              <w:t>保修期</w:t>
            </w:r>
          </w:p>
        </w:tc>
        <w:tc>
          <w:tcPr>
            <w:tcW w:w="1417" w:type="dxa"/>
            <w:vAlign w:val="center"/>
          </w:tcPr>
          <w:p w14:paraId="4E47C22E">
            <w:pPr>
              <w:shd w:val="clear" w:fill="FFFFFF" w:themeFill="background1"/>
              <w:jc w:val="center"/>
              <w:rPr>
                <w:rFonts w:ascii="Calibri" w:hAnsi="Calibri"/>
                <w:color w:val="auto"/>
                <w:szCs w:val="21"/>
                <w:highlight w:val="none"/>
              </w:rPr>
            </w:pPr>
            <w:r>
              <w:rPr>
                <w:rFonts w:ascii="宋体" w:hAnsi="宋体"/>
                <w:color w:val="auto"/>
                <w:szCs w:val="21"/>
                <w:highlight w:val="none"/>
              </w:rPr>
              <w:t>19.7</w:t>
            </w:r>
          </w:p>
        </w:tc>
        <w:tc>
          <w:tcPr>
            <w:tcW w:w="3686" w:type="dxa"/>
            <w:vAlign w:val="center"/>
          </w:tcPr>
          <w:p w14:paraId="7AABB00D">
            <w:pPr>
              <w:shd w:val="clear" w:fill="FFFFFF" w:themeFill="background1"/>
              <w:rPr>
                <w:rFonts w:ascii="Calibri" w:hAnsi="Calibri"/>
                <w:color w:val="auto"/>
                <w:szCs w:val="21"/>
                <w:highlight w:val="none"/>
              </w:rPr>
            </w:pPr>
            <w:r>
              <w:rPr>
                <w:rFonts w:hint="eastAsia" w:ascii="宋体" w:hAnsi="宋体"/>
                <w:color w:val="auto"/>
                <w:szCs w:val="21"/>
                <w:highlight w:val="none"/>
              </w:rPr>
              <w:t>自本项目实际交工日期之日起计算</w:t>
            </w:r>
            <w:r>
              <w:rPr>
                <w:rFonts w:hint="eastAsia" w:ascii="宋体" w:hAnsi="宋体"/>
                <w:color w:val="auto"/>
                <w:szCs w:val="21"/>
                <w:highlight w:val="none"/>
                <w:u w:val="single"/>
              </w:rPr>
              <w:t>1年</w:t>
            </w:r>
            <w:r>
              <w:rPr>
                <w:rFonts w:hint="eastAsia" w:ascii="宋体" w:hAnsi="宋体"/>
                <w:color w:val="auto"/>
                <w:szCs w:val="21"/>
                <w:highlight w:val="none"/>
              </w:rPr>
              <w:t>。</w:t>
            </w:r>
          </w:p>
        </w:tc>
        <w:tc>
          <w:tcPr>
            <w:tcW w:w="1190" w:type="dxa"/>
            <w:vAlign w:val="center"/>
          </w:tcPr>
          <w:p w14:paraId="45616A5E">
            <w:pPr>
              <w:shd w:val="clear" w:fill="FFFFFF" w:themeFill="background1"/>
              <w:jc w:val="center"/>
              <w:rPr>
                <w:rFonts w:ascii="Calibri" w:hAnsi="Calibri"/>
                <w:color w:val="auto"/>
                <w:szCs w:val="21"/>
                <w:highlight w:val="none"/>
              </w:rPr>
            </w:pPr>
          </w:p>
        </w:tc>
      </w:tr>
    </w:tbl>
    <w:p w14:paraId="391B8796">
      <w:pPr>
        <w:shd w:val="clear" w:fill="FFFFFF" w:themeFill="background1"/>
        <w:spacing w:line="500" w:lineRule="exact"/>
        <w:ind w:right="480" w:firstLine="3480" w:firstLineChars="1450"/>
        <w:rPr>
          <w:rFonts w:ascii="宋体" w:hAnsi="宋体"/>
          <w:color w:val="auto"/>
          <w:sz w:val="24"/>
          <w:highlight w:val="none"/>
        </w:rPr>
      </w:pPr>
    </w:p>
    <w:p w14:paraId="04D309E1">
      <w:pPr>
        <w:shd w:val="clear" w:fill="FFFFFF" w:themeFill="background1"/>
        <w:spacing w:line="500" w:lineRule="exact"/>
        <w:ind w:right="480" w:firstLine="3480" w:firstLineChars="1450"/>
        <w:rPr>
          <w:rFonts w:ascii="宋体" w:hAnsi="宋体"/>
          <w:color w:val="auto"/>
          <w:sz w:val="24"/>
          <w:highlight w:val="none"/>
        </w:rPr>
      </w:pPr>
    </w:p>
    <w:p w14:paraId="146BFD23">
      <w:pPr>
        <w:shd w:val="clear" w:fill="FFFFFF" w:themeFill="background1"/>
        <w:spacing w:line="500" w:lineRule="exact"/>
        <w:ind w:right="480" w:firstLine="3480" w:firstLineChars="1450"/>
        <w:rPr>
          <w:rFonts w:ascii="宋体" w:hAnsi="宋体"/>
          <w:color w:val="auto"/>
          <w:sz w:val="24"/>
          <w:highlight w:val="none"/>
        </w:rPr>
      </w:pPr>
    </w:p>
    <w:p w14:paraId="352FB0F6">
      <w:pPr>
        <w:shd w:val="clear" w:fill="FFFFFF" w:themeFill="background1"/>
        <w:spacing w:line="500" w:lineRule="exact"/>
        <w:ind w:right="480"/>
        <w:rPr>
          <w:rFonts w:ascii="宋体" w:hAnsi="宋体"/>
          <w:color w:val="auto"/>
          <w:sz w:val="24"/>
          <w:highlight w:val="none"/>
        </w:rPr>
      </w:pPr>
    </w:p>
    <w:p w14:paraId="3F326193">
      <w:pPr>
        <w:shd w:val="clear" w:fill="FFFFFF" w:themeFill="background1"/>
        <w:jc w:val="center"/>
        <w:rPr>
          <w:rFonts w:ascii="宋体" w:hAnsi="宋体"/>
          <w:color w:val="auto"/>
          <w:sz w:val="28"/>
          <w:szCs w:val="28"/>
          <w:highlight w:val="none"/>
        </w:rPr>
      </w:pPr>
      <w:bookmarkStart w:id="1755" w:name="_Toc234382961"/>
      <w:bookmarkEnd w:id="1755"/>
      <w:r>
        <w:rPr>
          <w:rFonts w:ascii="宋体" w:hAnsi="宋体"/>
          <w:b/>
          <w:color w:val="auto"/>
          <w:sz w:val="28"/>
          <w:szCs w:val="28"/>
          <w:highlight w:val="none"/>
        </w:rPr>
        <w:br w:type="page"/>
      </w:r>
      <w:r>
        <w:rPr>
          <w:rFonts w:ascii="宋体" w:hAnsi="宋体"/>
          <w:b/>
          <w:color w:val="auto"/>
          <w:sz w:val="28"/>
          <w:szCs w:val="28"/>
          <w:highlight w:val="none"/>
        </w:rPr>
        <w:t>二、授权委托书</w:t>
      </w:r>
      <w:r>
        <w:rPr>
          <w:rFonts w:hint="eastAsia" w:ascii="宋体" w:hAnsi="宋体"/>
          <w:b/>
          <w:color w:val="auto"/>
          <w:sz w:val="28"/>
          <w:szCs w:val="28"/>
          <w:highlight w:val="none"/>
        </w:rPr>
        <w:t>或</w:t>
      </w:r>
      <w:r>
        <w:rPr>
          <w:rFonts w:ascii="宋体" w:hAnsi="宋体"/>
          <w:b/>
          <w:color w:val="auto"/>
          <w:sz w:val="28"/>
          <w:szCs w:val="28"/>
          <w:highlight w:val="none"/>
        </w:rPr>
        <w:t>法定代表人身份证明</w:t>
      </w:r>
    </w:p>
    <w:p w14:paraId="45CE67FB">
      <w:pPr>
        <w:shd w:val="clear" w:fill="FFFFFF" w:themeFill="background1"/>
        <w:jc w:val="center"/>
        <w:rPr>
          <w:rFonts w:ascii="宋体" w:hAnsi="宋体"/>
          <w:color w:val="auto"/>
          <w:highlight w:val="none"/>
        </w:rPr>
      </w:pPr>
    </w:p>
    <w:p w14:paraId="62168C7A">
      <w:pPr>
        <w:shd w:val="clear" w:fill="FFFFFF" w:themeFill="background1"/>
        <w:jc w:val="center"/>
        <w:rPr>
          <w:rFonts w:ascii="宋体" w:hAnsi="宋体"/>
          <w:b/>
          <w:color w:val="auto"/>
          <w:sz w:val="32"/>
          <w:szCs w:val="32"/>
          <w:highlight w:val="none"/>
        </w:rPr>
      </w:pPr>
      <w:r>
        <w:rPr>
          <w:rFonts w:ascii="宋体" w:hAnsi="宋体"/>
          <w:b/>
          <w:bCs/>
          <w:color w:val="auto"/>
          <w:kern w:val="44"/>
          <w:sz w:val="28"/>
          <w:szCs w:val="28"/>
          <w:highlight w:val="none"/>
        </w:rPr>
        <w:t>（</w:t>
      </w:r>
      <w:r>
        <w:rPr>
          <w:rFonts w:hint="eastAsia" w:ascii="宋体" w:hAnsi="宋体"/>
          <w:b/>
          <w:bCs/>
          <w:color w:val="auto"/>
          <w:kern w:val="44"/>
          <w:sz w:val="28"/>
          <w:szCs w:val="28"/>
          <w:highlight w:val="none"/>
        </w:rPr>
        <w:t>一</w:t>
      </w:r>
      <w:r>
        <w:rPr>
          <w:rFonts w:ascii="宋体" w:hAnsi="宋体"/>
          <w:b/>
          <w:bCs/>
          <w:color w:val="auto"/>
          <w:kern w:val="44"/>
          <w:sz w:val="28"/>
          <w:szCs w:val="28"/>
          <w:highlight w:val="none"/>
        </w:rPr>
        <w:t>）授权委托书</w:t>
      </w:r>
    </w:p>
    <w:p w14:paraId="5E450CC7">
      <w:pPr>
        <w:shd w:val="clear" w:fill="FFFFFF" w:themeFill="background1"/>
        <w:spacing w:line="500" w:lineRule="exact"/>
        <w:rPr>
          <w:rFonts w:ascii="宋体" w:hAnsi="宋体"/>
          <w:color w:val="auto"/>
          <w:sz w:val="24"/>
          <w:highlight w:val="none"/>
        </w:rPr>
      </w:pPr>
    </w:p>
    <w:p w14:paraId="439E33BF">
      <w:pPr>
        <w:shd w:val="clear" w:fill="FFFFFF" w:themeFill="background1"/>
        <w:spacing w:line="500" w:lineRule="exact"/>
        <w:ind w:firstLine="480" w:firstLineChars="200"/>
        <w:rPr>
          <w:rFonts w:ascii="宋体" w:hAnsi="宋体"/>
          <w:color w:val="auto"/>
          <w:sz w:val="24"/>
          <w:highlight w:val="none"/>
        </w:rPr>
      </w:pPr>
      <w:r>
        <w:rPr>
          <w:rFonts w:ascii="宋体" w:hAnsi="宋体"/>
          <w:color w:val="auto"/>
          <w:sz w:val="24"/>
          <w:highlight w:val="none"/>
        </w:rPr>
        <w:t>本人</w:t>
      </w:r>
      <w:r>
        <w:rPr>
          <w:rFonts w:ascii="宋体" w:hAnsi="宋体"/>
          <w:color w:val="auto"/>
          <w:sz w:val="24"/>
          <w:highlight w:val="none"/>
          <w:u w:val="single"/>
        </w:rPr>
        <w:t>（姓名）</w:t>
      </w:r>
      <w:r>
        <w:rPr>
          <w:rFonts w:ascii="宋体" w:hAnsi="宋体"/>
          <w:color w:val="auto"/>
          <w:sz w:val="24"/>
          <w:highlight w:val="none"/>
        </w:rPr>
        <w:t>系</w:t>
      </w:r>
      <w:r>
        <w:rPr>
          <w:rFonts w:ascii="宋体" w:hAnsi="宋体"/>
          <w:color w:val="auto"/>
          <w:sz w:val="24"/>
          <w:highlight w:val="none"/>
          <w:u w:val="single"/>
        </w:rPr>
        <w:t>（投标人名称）</w:t>
      </w:r>
      <w:r>
        <w:rPr>
          <w:rFonts w:ascii="宋体" w:hAnsi="宋体"/>
          <w:color w:val="auto"/>
          <w:sz w:val="24"/>
          <w:highlight w:val="none"/>
        </w:rPr>
        <w:t>的法定代表人，现委托</w:t>
      </w:r>
      <w:r>
        <w:rPr>
          <w:rFonts w:ascii="宋体" w:hAnsi="宋体"/>
          <w:color w:val="auto"/>
          <w:sz w:val="24"/>
          <w:highlight w:val="none"/>
          <w:u w:val="single"/>
        </w:rPr>
        <w:t>（姓名）</w:t>
      </w:r>
      <w:r>
        <w:rPr>
          <w:rFonts w:ascii="宋体" w:hAnsi="宋体"/>
          <w:color w:val="auto"/>
          <w:sz w:val="24"/>
          <w:highlight w:val="none"/>
        </w:rPr>
        <w:t>为我方代理人。代理人根据授权，以我方名义签署、澄清</w:t>
      </w:r>
      <w:r>
        <w:rPr>
          <w:rFonts w:hint="eastAsia" w:ascii="宋体" w:hAnsi="宋体"/>
          <w:color w:val="auto"/>
          <w:sz w:val="24"/>
          <w:highlight w:val="none"/>
        </w:rPr>
        <w:t>确认</w:t>
      </w:r>
      <w:r>
        <w:rPr>
          <w:rFonts w:ascii="宋体" w:hAnsi="宋体"/>
          <w:color w:val="auto"/>
          <w:sz w:val="24"/>
          <w:highlight w:val="none"/>
        </w:rPr>
        <w:t>、递交、撤回、修改</w:t>
      </w:r>
      <w:r>
        <w:rPr>
          <w:rFonts w:ascii="宋体" w:hAnsi="宋体"/>
          <w:color w:val="auto"/>
          <w:sz w:val="24"/>
          <w:highlight w:val="none"/>
          <w:u w:val="single"/>
        </w:rPr>
        <w:t xml:space="preserve">   （项目名称）     </w:t>
      </w:r>
      <w:r>
        <w:rPr>
          <w:rFonts w:hint="eastAsia" w:ascii="宋体" w:hAnsi="宋体"/>
          <w:color w:val="auto"/>
          <w:sz w:val="24"/>
          <w:highlight w:val="none"/>
        </w:rPr>
        <w:t>施工</w:t>
      </w:r>
      <w:r>
        <w:rPr>
          <w:rFonts w:ascii="宋体" w:hAnsi="宋体"/>
          <w:color w:val="auto"/>
          <w:sz w:val="24"/>
          <w:highlight w:val="none"/>
        </w:rPr>
        <w:t>投标文件、签订合同和处理有关事宜，其法律后果由我方承担。</w:t>
      </w:r>
    </w:p>
    <w:p w14:paraId="7C6B449A">
      <w:pPr>
        <w:shd w:val="clear" w:fill="FFFFFF" w:themeFill="background1"/>
        <w:snapToGrid w:val="0"/>
        <w:spacing w:line="440" w:lineRule="exact"/>
        <w:ind w:firstLine="480" w:firstLineChars="200"/>
        <w:rPr>
          <w:rFonts w:hAnsi="宋体" w:cs="宋体"/>
          <w:color w:val="auto"/>
          <w:szCs w:val="21"/>
          <w:highlight w:val="none"/>
        </w:rPr>
      </w:pPr>
      <w:r>
        <w:rPr>
          <w:rFonts w:ascii="宋体" w:hAnsi="宋体"/>
          <w:color w:val="auto"/>
          <w:sz w:val="24"/>
          <w:highlight w:val="none"/>
        </w:rPr>
        <w:t>委托期限：</w:t>
      </w:r>
      <w:r>
        <w:rPr>
          <w:rFonts w:hint="eastAsia" w:ascii="宋体" w:hAnsi="宋体"/>
          <w:color w:val="auto"/>
          <w:sz w:val="24"/>
          <w:highlight w:val="none"/>
        </w:rPr>
        <w:t>自本委托书签署之日起至投标有效期期满。</w:t>
      </w:r>
    </w:p>
    <w:p w14:paraId="219F41F9">
      <w:pPr>
        <w:shd w:val="clear" w:fill="FFFFFF" w:themeFill="background1"/>
        <w:spacing w:line="500" w:lineRule="exact"/>
        <w:ind w:firstLine="480" w:firstLineChars="200"/>
        <w:rPr>
          <w:rFonts w:ascii="宋体" w:hAnsi="宋体"/>
          <w:color w:val="auto"/>
          <w:sz w:val="24"/>
          <w:highlight w:val="none"/>
        </w:rPr>
      </w:pPr>
      <w:r>
        <w:rPr>
          <w:rFonts w:ascii="宋体" w:hAnsi="宋体"/>
          <w:color w:val="auto"/>
          <w:sz w:val="24"/>
          <w:highlight w:val="none"/>
        </w:rPr>
        <w:t>代理人无转委托权。</w:t>
      </w:r>
    </w:p>
    <w:p w14:paraId="361EC51F">
      <w:pPr>
        <w:shd w:val="clear" w:fill="FFFFFF" w:themeFill="background1"/>
        <w:spacing w:line="500" w:lineRule="exact"/>
        <w:ind w:firstLine="480" w:firstLineChars="200"/>
        <w:rPr>
          <w:rFonts w:ascii="宋体" w:hAnsi="宋体"/>
          <w:color w:val="auto"/>
          <w:sz w:val="24"/>
          <w:highlight w:val="none"/>
        </w:rPr>
      </w:pPr>
    </w:p>
    <w:p w14:paraId="4253539E">
      <w:pPr>
        <w:shd w:val="clear" w:fill="FFFFFF" w:themeFill="background1"/>
        <w:spacing w:line="500" w:lineRule="exact"/>
        <w:ind w:firstLine="480" w:firstLineChars="200"/>
        <w:rPr>
          <w:rFonts w:ascii="宋体" w:hAnsi="宋体"/>
          <w:color w:val="auto"/>
          <w:sz w:val="24"/>
          <w:highlight w:val="none"/>
        </w:rPr>
      </w:pPr>
      <w:r>
        <w:rPr>
          <w:rFonts w:hint="eastAsia" w:ascii="宋体" w:hAnsi="宋体"/>
          <w:color w:val="auto"/>
          <w:sz w:val="24"/>
          <w:highlight w:val="none"/>
        </w:rPr>
        <w:t>附：法定代表人身份证复印件及委托代理人身份证复印件。</w:t>
      </w:r>
    </w:p>
    <w:p w14:paraId="12D21ADB">
      <w:pPr>
        <w:shd w:val="clear" w:fill="FFFFFF" w:themeFill="background1"/>
        <w:spacing w:line="500" w:lineRule="exact"/>
        <w:rPr>
          <w:rFonts w:ascii="宋体" w:hAnsi="宋体"/>
          <w:color w:val="auto"/>
          <w:sz w:val="24"/>
          <w:highlight w:val="none"/>
        </w:rPr>
      </w:pPr>
    </w:p>
    <w:p w14:paraId="4AF2181B">
      <w:pPr>
        <w:shd w:val="clear" w:fill="FFFFFF" w:themeFill="background1"/>
        <w:spacing w:line="500" w:lineRule="exact"/>
        <w:ind w:firstLine="3840" w:firstLineChars="1600"/>
        <w:rPr>
          <w:rFonts w:ascii="宋体" w:hAnsi="宋体"/>
          <w:color w:val="auto"/>
          <w:sz w:val="24"/>
          <w:highlight w:val="none"/>
        </w:rPr>
      </w:pPr>
      <w:r>
        <w:rPr>
          <w:rFonts w:ascii="宋体" w:hAnsi="宋体"/>
          <w:color w:val="auto"/>
          <w:kern w:val="0"/>
          <w:sz w:val="24"/>
          <w:highlight w:val="none"/>
        </w:rPr>
        <w:t>投  标  人</w:t>
      </w:r>
      <w:r>
        <w:rPr>
          <w:rFonts w:ascii="宋体" w:hAnsi="宋体"/>
          <w:color w:val="auto"/>
          <w:sz w:val="24"/>
          <w:highlight w:val="none"/>
        </w:rPr>
        <w:t>：（盖单位章）</w:t>
      </w:r>
    </w:p>
    <w:p w14:paraId="79C8508A">
      <w:pPr>
        <w:shd w:val="clear" w:fill="FFFFFF" w:themeFill="background1"/>
        <w:spacing w:line="500" w:lineRule="exact"/>
        <w:rPr>
          <w:rFonts w:ascii="宋体" w:hAnsi="宋体"/>
          <w:color w:val="auto"/>
          <w:sz w:val="24"/>
          <w:highlight w:val="none"/>
        </w:rPr>
      </w:pPr>
      <w:r>
        <w:rPr>
          <w:rFonts w:ascii="宋体" w:hAnsi="宋体"/>
          <w:color w:val="auto"/>
          <w:sz w:val="24"/>
          <w:highlight w:val="none"/>
        </w:rPr>
        <w:t xml:space="preserve">                                法定代表人：（签字）</w:t>
      </w:r>
    </w:p>
    <w:p w14:paraId="58CB6EE0">
      <w:pPr>
        <w:shd w:val="clear" w:fill="FFFFFF" w:themeFill="background1"/>
        <w:spacing w:line="500" w:lineRule="exact"/>
        <w:rPr>
          <w:rFonts w:ascii="宋体" w:hAnsi="宋体"/>
          <w:color w:val="auto"/>
          <w:sz w:val="24"/>
          <w:highlight w:val="none"/>
          <w:u w:val="single"/>
        </w:rPr>
      </w:pPr>
      <w:r>
        <w:rPr>
          <w:rFonts w:ascii="宋体" w:hAnsi="宋体"/>
          <w:color w:val="auto"/>
          <w:sz w:val="24"/>
          <w:highlight w:val="none"/>
        </w:rPr>
        <w:t xml:space="preserve">                                身份证号码：</w:t>
      </w:r>
    </w:p>
    <w:p w14:paraId="39652347">
      <w:pPr>
        <w:shd w:val="clear" w:fill="FFFFFF" w:themeFill="background1"/>
        <w:spacing w:line="500" w:lineRule="exact"/>
        <w:ind w:firstLine="3840" w:firstLineChars="1600"/>
        <w:rPr>
          <w:rFonts w:ascii="宋体" w:hAnsi="宋体"/>
          <w:color w:val="auto"/>
          <w:sz w:val="24"/>
          <w:highlight w:val="none"/>
        </w:rPr>
      </w:pPr>
      <w:r>
        <w:rPr>
          <w:rFonts w:ascii="宋体" w:hAnsi="宋体"/>
          <w:color w:val="auto"/>
          <w:sz w:val="24"/>
          <w:highlight w:val="none"/>
        </w:rPr>
        <w:t>委托代理人：（签字）</w:t>
      </w:r>
    </w:p>
    <w:p w14:paraId="130D1047">
      <w:pPr>
        <w:shd w:val="clear" w:fill="FFFFFF" w:themeFill="background1"/>
        <w:spacing w:line="500" w:lineRule="exact"/>
        <w:rPr>
          <w:rFonts w:ascii="宋体" w:hAnsi="宋体"/>
          <w:color w:val="auto"/>
          <w:sz w:val="24"/>
          <w:highlight w:val="none"/>
        </w:rPr>
      </w:pPr>
      <w:r>
        <w:rPr>
          <w:rFonts w:ascii="宋体" w:hAnsi="宋体"/>
          <w:color w:val="auto"/>
          <w:sz w:val="24"/>
          <w:highlight w:val="none"/>
        </w:rPr>
        <w:t xml:space="preserve">                                身份证号码：</w:t>
      </w:r>
    </w:p>
    <w:p w14:paraId="235CE1C1">
      <w:pPr>
        <w:shd w:val="clear" w:fill="FFFFFF" w:themeFill="background1"/>
        <w:spacing w:line="500" w:lineRule="exact"/>
        <w:rPr>
          <w:rFonts w:ascii="宋体" w:hAnsi="宋体"/>
          <w:color w:val="auto"/>
          <w:sz w:val="24"/>
          <w:highlight w:val="none"/>
        </w:rPr>
      </w:pPr>
    </w:p>
    <w:p w14:paraId="17444796">
      <w:pPr>
        <w:shd w:val="clear" w:fill="FFFFFF" w:themeFill="background1"/>
        <w:spacing w:line="500" w:lineRule="exact"/>
        <w:jc w:val="center"/>
        <w:rPr>
          <w:rFonts w:ascii="宋体" w:hAnsi="宋体"/>
          <w:color w:val="auto"/>
          <w:sz w:val="24"/>
          <w:highlight w:val="none"/>
        </w:rPr>
      </w:pPr>
      <w:r>
        <w:rPr>
          <w:rFonts w:ascii="宋体" w:hAnsi="宋体"/>
          <w:color w:val="auto"/>
          <w:sz w:val="24"/>
          <w:highlight w:val="none"/>
        </w:rPr>
        <w:t>年</w:t>
      </w:r>
      <w:r>
        <w:rPr>
          <w:rFonts w:hint="eastAsia" w:ascii="宋体" w:hAnsi="宋体"/>
          <w:color w:val="auto"/>
          <w:sz w:val="24"/>
          <w:highlight w:val="none"/>
        </w:rPr>
        <w:t xml:space="preserve">    </w:t>
      </w:r>
      <w:r>
        <w:rPr>
          <w:rFonts w:ascii="宋体" w:hAnsi="宋体"/>
          <w:color w:val="auto"/>
          <w:sz w:val="24"/>
          <w:highlight w:val="none"/>
        </w:rPr>
        <w:t>月</w:t>
      </w:r>
      <w:r>
        <w:rPr>
          <w:rFonts w:hint="eastAsia" w:ascii="宋体" w:hAnsi="宋体"/>
          <w:color w:val="auto"/>
          <w:sz w:val="24"/>
          <w:highlight w:val="none"/>
        </w:rPr>
        <w:t xml:space="preserve">    </w:t>
      </w:r>
      <w:r>
        <w:rPr>
          <w:rFonts w:ascii="宋体" w:hAnsi="宋体"/>
          <w:color w:val="auto"/>
          <w:sz w:val="24"/>
          <w:highlight w:val="none"/>
        </w:rPr>
        <w:t>日</w:t>
      </w:r>
    </w:p>
    <w:p w14:paraId="09B4F981">
      <w:pPr>
        <w:shd w:val="clear" w:fill="FFFFFF" w:themeFill="background1"/>
        <w:spacing w:line="500" w:lineRule="exact"/>
        <w:rPr>
          <w:rFonts w:ascii="宋体" w:hAnsi="宋体"/>
          <w:color w:val="auto"/>
          <w:sz w:val="24"/>
          <w:highlight w:val="none"/>
        </w:rPr>
      </w:pPr>
    </w:p>
    <w:p w14:paraId="5076BD73">
      <w:pPr>
        <w:shd w:val="clear" w:fill="FFFFFF" w:themeFill="background1"/>
        <w:rPr>
          <w:rFonts w:ascii="宋体" w:hAnsi="宋体"/>
          <w:color w:val="auto"/>
          <w:sz w:val="24"/>
          <w:highlight w:val="none"/>
        </w:rPr>
      </w:pPr>
    </w:p>
    <w:p w14:paraId="3CB2E964">
      <w:pPr>
        <w:shd w:val="clear" w:fill="FFFFFF" w:themeFill="background1"/>
        <w:spacing w:line="400" w:lineRule="exact"/>
        <w:rPr>
          <w:rFonts w:ascii="宋体" w:hAnsi="宋体"/>
          <w:color w:val="auto"/>
          <w:sz w:val="24"/>
          <w:highlight w:val="none"/>
        </w:rPr>
      </w:pPr>
    </w:p>
    <w:p w14:paraId="08F0C4FD">
      <w:pPr>
        <w:shd w:val="clear" w:fill="FFFFFF" w:themeFill="background1"/>
        <w:spacing w:line="400" w:lineRule="exact"/>
        <w:rPr>
          <w:rFonts w:ascii="宋体" w:hAnsi="宋体"/>
          <w:color w:val="auto"/>
          <w:sz w:val="24"/>
          <w:highlight w:val="none"/>
        </w:rPr>
      </w:pPr>
    </w:p>
    <w:p w14:paraId="3BAC273F">
      <w:pPr>
        <w:pStyle w:val="55"/>
        <w:shd w:val="clear" w:fill="FFFFFF" w:themeFill="background1"/>
        <w:spacing w:line="360" w:lineRule="auto"/>
        <w:rPr>
          <w:rFonts w:ascii="宋体" w:hAnsi="宋体" w:cs="Times New Roman"/>
          <w:color w:val="auto"/>
          <w:sz w:val="24"/>
          <w:szCs w:val="24"/>
          <w:highlight w:val="none"/>
        </w:rPr>
      </w:pPr>
      <w:r>
        <w:rPr>
          <w:rFonts w:hint="eastAsia" w:ascii="宋体" w:hAnsi="宋体" w:cs="Times New Roman"/>
          <w:color w:val="auto"/>
          <w:sz w:val="24"/>
          <w:szCs w:val="24"/>
          <w:highlight w:val="none"/>
        </w:rPr>
        <w:t>注：1. 法定代表人和委托代理人必须在授权书上亲笔签名，不得使用印章、签名章或其他电子制版签名；如果由投标人的委托代理人签署投标文件，则不需提交（二）法定代表人身份证明。</w:t>
      </w:r>
    </w:p>
    <w:p w14:paraId="286F265E">
      <w:pPr>
        <w:pStyle w:val="55"/>
        <w:shd w:val="clear" w:fill="FFFFFF" w:themeFill="background1"/>
        <w:rPr>
          <w:color w:val="auto"/>
          <w:highlight w:val="none"/>
        </w:rPr>
      </w:pPr>
      <w:r>
        <w:rPr>
          <w:rFonts w:hint="eastAsia" w:ascii="宋体" w:hAnsi="宋体"/>
          <w:b/>
          <w:color w:val="auto"/>
          <w:highlight w:val="none"/>
        </w:rPr>
        <w:br w:type="page"/>
      </w:r>
    </w:p>
    <w:p w14:paraId="5A405E84">
      <w:pPr>
        <w:shd w:val="clear" w:fill="FFFFFF" w:themeFill="background1"/>
        <w:jc w:val="center"/>
        <w:rPr>
          <w:rFonts w:ascii="宋体" w:hAnsi="宋体"/>
          <w:color w:val="auto"/>
          <w:highlight w:val="none"/>
        </w:rPr>
      </w:pPr>
    </w:p>
    <w:p w14:paraId="79A53915">
      <w:pPr>
        <w:shd w:val="clear" w:fill="FFFFFF" w:themeFill="background1"/>
        <w:jc w:val="center"/>
        <w:rPr>
          <w:rFonts w:ascii="宋体" w:hAnsi="宋体"/>
          <w:color w:val="auto"/>
          <w:highlight w:val="none"/>
        </w:rPr>
      </w:pPr>
    </w:p>
    <w:p w14:paraId="326C6B54">
      <w:pPr>
        <w:shd w:val="clear" w:fill="FFFFFF" w:themeFill="background1"/>
        <w:spacing w:line="360" w:lineRule="auto"/>
        <w:ind w:firstLine="560" w:firstLineChars="200"/>
        <w:jc w:val="center"/>
        <w:rPr>
          <w:rFonts w:ascii="宋体" w:hAnsi="宋体" w:cs="宋体"/>
          <w:b/>
          <w:color w:val="auto"/>
          <w:sz w:val="32"/>
          <w:szCs w:val="32"/>
          <w:highlight w:val="none"/>
        </w:rPr>
      </w:pPr>
      <w:bookmarkStart w:id="1756" w:name="_Toc453057211"/>
      <w:bookmarkEnd w:id="1756"/>
      <w:r>
        <w:rPr>
          <w:rFonts w:hint="eastAsia" w:ascii="宋体" w:hAnsi="宋体" w:cs="宋体"/>
          <w:color w:val="auto"/>
          <w:sz w:val="28"/>
          <w:szCs w:val="28"/>
          <w:highlight w:val="none"/>
        </w:rPr>
        <w:t>（二）</w:t>
      </w:r>
      <w:r>
        <w:rPr>
          <w:rFonts w:hint="eastAsia" w:ascii="宋体" w:hAnsi="宋体" w:cs="宋体"/>
          <w:color w:val="auto"/>
          <w:sz w:val="28"/>
          <w:highlight w:val="none"/>
        </w:rPr>
        <w:t>法定代表人身份证明</w:t>
      </w:r>
    </w:p>
    <w:p w14:paraId="5A56DC0C">
      <w:pPr>
        <w:shd w:val="clear" w:fill="FFFFFF" w:themeFill="background1"/>
        <w:spacing w:line="500" w:lineRule="exact"/>
        <w:rPr>
          <w:rFonts w:ascii="宋体" w:hAnsi="宋体" w:cs="宋体"/>
          <w:color w:val="auto"/>
          <w:sz w:val="24"/>
          <w:highlight w:val="none"/>
        </w:rPr>
      </w:pPr>
    </w:p>
    <w:p w14:paraId="29D06DAF">
      <w:pPr>
        <w:shd w:val="clear" w:fill="FFFFFF" w:themeFill="background1"/>
        <w:spacing w:line="360" w:lineRule="auto"/>
        <w:ind w:firstLine="480" w:firstLineChars="200"/>
        <w:rPr>
          <w:rFonts w:ascii="宋体" w:hAnsi="宋体" w:cs="宋体"/>
          <w:color w:val="auto"/>
          <w:sz w:val="24"/>
          <w:highlight w:val="none"/>
        </w:rPr>
      </w:pPr>
    </w:p>
    <w:p w14:paraId="484CC008">
      <w:pPr>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投标人名称</w:t>
      </w:r>
      <w:r>
        <w:rPr>
          <w:rFonts w:hint="eastAsia" w:ascii="宋体" w:hAnsi="宋体" w:cs="宋体"/>
          <w:color w:val="auto"/>
          <w:sz w:val="24"/>
          <w:highlight w:val="none"/>
          <w:u w:val="single"/>
        </w:rPr>
        <w:t>：</w:t>
      </w:r>
      <w:r>
        <w:rPr>
          <w:rFonts w:hint="eastAsia" w:ascii="宋体" w:hAnsi="宋体" w:cs="宋体"/>
          <w:color w:val="auto"/>
          <w:sz w:val="24"/>
          <w:highlight w:val="none"/>
        </w:rPr>
        <w:t xml:space="preserve">      </w:t>
      </w:r>
    </w:p>
    <w:p w14:paraId="651A5B2E">
      <w:pPr>
        <w:shd w:val="clear" w:fill="FFFFFF" w:themeFill="background1"/>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（法定代表人亲笔签名）</w:t>
      </w:r>
      <w:r>
        <w:rPr>
          <w:rFonts w:hint="eastAsia" w:ascii="宋体" w:hAnsi="宋体" w:cs="宋体"/>
          <w:color w:val="auto"/>
          <w:sz w:val="24"/>
          <w:highlight w:val="none"/>
        </w:rPr>
        <w:tab/>
      </w:r>
      <w:r>
        <w:rPr>
          <w:rFonts w:hint="eastAsia" w:ascii="宋体" w:hAnsi="宋体" w:cs="宋体"/>
          <w:color w:val="auto"/>
          <w:sz w:val="24"/>
          <w:highlight w:val="none"/>
        </w:rPr>
        <w:t>性别：</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年龄：</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rPr>
        <w:tab/>
      </w:r>
    </w:p>
    <w:p w14:paraId="3D4A5132">
      <w:pPr>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ab/>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（投标人名称）的法定代表人。</w:t>
      </w:r>
    </w:p>
    <w:p w14:paraId="54AC6842">
      <w:pPr>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特此证明。</w:t>
      </w:r>
    </w:p>
    <w:p w14:paraId="255BACC9">
      <w:pPr>
        <w:shd w:val="clear" w:fill="FFFFFF" w:themeFill="background1"/>
        <w:spacing w:line="360" w:lineRule="auto"/>
        <w:rPr>
          <w:rFonts w:ascii="宋体" w:hAnsi="宋体" w:cs="宋体"/>
          <w:color w:val="auto"/>
          <w:sz w:val="24"/>
          <w:highlight w:val="none"/>
        </w:rPr>
      </w:pPr>
    </w:p>
    <w:p w14:paraId="7600FDC7">
      <w:pPr>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附：法定代表人身份证复印件。</w:t>
      </w:r>
    </w:p>
    <w:p w14:paraId="10184097">
      <w:pPr>
        <w:pStyle w:val="18"/>
        <w:shd w:val="clear" w:fill="FFFFFF" w:themeFill="background1"/>
        <w:rPr>
          <w:rFonts w:ascii="宋体" w:hAnsi="宋体" w:cs="宋体"/>
          <w:color w:val="auto"/>
          <w:sz w:val="20"/>
          <w:highlight w:val="none"/>
        </w:rPr>
      </w:pPr>
    </w:p>
    <w:p w14:paraId="3752E81E">
      <w:pPr>
        <w:pStyle w:val="18"/>
        <w:shd w:val="clear" w:fill="FFFFFF" w:themeFill="background1"/>
        <w:spacing w:before="3"/>
        <w:rPr>
          <w:rFonts w:ascii="宋体" w:hAnsi="宋体" w:cs="宋体"/>
          <w:color w:val="auto"/>
          <w:sz w:val="28"/>
          <w:highlight w:val="none"/>
        </w:rPr>
      </w:pPr>
    </w:p>
    <w:p w14:paraId="33DD27F3">
      <w:pPr>
        <w:shd w:val="clear" w:fill="FFFFFF" w:themeFill="background1"/>
        <w:tabs>
          <w:tab w:val="left" w:pos="6918"/>
        </w:tabs>
        <w:spacing w:before="75"/>
        <w:ind w:left="4398"/>
        <w:jc w:val="left"/>
        <w:rPr>
          <w:rFonts w:ascii="宋体" w:hAnsi="宋体" w:cs="宋体"/>
          <w:color w:val="auto"/>
          <w:sz w:val="24"/>
          <w:highlight w:val="none"/>
        </w:rPr>
      </w:pPr>
      <w:r>
        <w:rPr>
          <w:rFonts w:hint="eastAsia" w:ascii="宋体" w:hAnsi="宋体" w:cs="宋体"/>
          <w:color w:val="auto"/>
          <w:sz w:val="24"/>
          <w:highlight w:val="none"/>
        </w:rPr>
        <w:t>投标人：</w:t>
      </w:r>
      <w:r>
        <w:rPr>
          <w:rFonts w:hint="eastAsia" w:ascii="宋体" w:hAnsi="宋体" w:cs="宋体"/>
          <w:color w:val="auto"/>
          <w:sz w:val="24"/>
          <w:highlight w:val="none"/>
          <w:u w:val="single"/>
        </w:rPr>
        <w:tab/>
      </w:r>
      <w:r>
        <w:rPr>
          <w:rFonts w:hint="eastAsia" w:ascii="宋体" w:hAnsi="宋体" w:cs="宋体"/>
          <w:color w:val="auto"/>
          <w:sz w:val="24"/>
          <w:highlight w:val="none"/>
        </w:rPr>
        <w:t>（盖单位章）</w:t>
      </w:r>
    </w:p>
    <w:p w14:paraId="789633A4">
      <w:pPr>
        <w:shd w:val="clear" w:fill="FFFFFF" w:themeFill="background1"/>
        <w:tabs>
          <w:tab w:val="left" w:pos="6558"/>
          <w:tab w:val="left" w:pos="7278"/>
          <w:tab w:val="left" w:pos="7998"/>
        </w:tabs>
        <w:spacing w:before="113"/>
        <w:ind w:left="5598"/>
        <w:jc w:val="left"/>
        <w:rPr>
          <w:rFonts w:ascii="宋体" w:hAnsi="宋体" w:cs="宋体"/>
          <w:color w:val="auto"/>
          <w:sz w:val="24"/>
          <w:highlight w:val="none"/>
        </w:rPr>
      </w:pPr>
      <w:r>
        <w:rPr>
          <w:rFonts w:hint="eastAsia" w:ascii="宋体" w:hAnsi="宋体" w:cs="宋体"/>
          <w:color w:val="auto"/>
          <w:sz w:val="24"/>
          <w:highlight w:val="none"/>
          <w:u w:val="single"/>
        </w:rPr>
        <w:tab/>
      </w:r>
      <w:r>
        <w:rPr>
          <w:rFonts w:hint="eastAsia" w:ascii="宋体" w:hAnsi="宋体" w:cs="宋体"/>
          <w:color w:val="auto"/>
          <w:sz w:val="24"/>
          <w:highlight w:val="none"/>
        </w:rPr>
        <w:t>年</w:t>
      </w:r>
      <w:r>
        <w:rPr>
          <w:rFonts w:hint="eastAsia" w:ascii="宋体" w:hAnsi="宋体" w:cs="宋体"/>
          <w:color w:val="auto"/>
          <w:sz w:val="24"/>
          <w:highlight w:val="none"/>
          <w:u w:val="single"/>
        </w:rPr>
        <w:tab/>
      </w:r>
      <w:r>
        <w:rPr>
          <w:rFonts w:hint="eastAsia" w:ascii="宋体" w:hAnsi="宋体" w:cs="宋体"/>
          <w:color w:val="auto"/>
          <w:sz w:val="24"/>
          <w:highlight w:val="none"/>
        </w:rPr>
        <w:t>月</w:t>
      </w:r>
      <w:r>
        <w:rPr>
          <w:rFonts w:hint="eastAsia" w:ascii="宋体" w:hAnsi="宋体" w:cs="宋体"/>
          <w:color w:val="auto"/>
          <w:sz w:val="24"/>
          <w:highlight w:val="none"/>
          <w:u w:val="single"/>
        </w:rPr>
        <w:tab/>
      </w:r>
      <w:r>
        <w:rPr>
          <w:rFonts w:hint="eastAsia" w:ascii="宋体" w:hAnsi="宋体" w:cs="宋体"/>
          <w:color w:val="auto"/>
          <w:sz w:val="24"/>
          <w:highlight w:val="none"/>
        </w:rPr>
        <w:t>日</w:t>
      </w:r>
    </w:p>
    <w:p w14:paraId="388B553E">
      <w:pPr>
        <w:shd w:val="clear" w:fill="FFFFFF" w:themeFill="background1"/>
        <w:spacing w:line="500" w:lineRule="exact"/>
        <w:rPr>
          <w:rFonts w:ascii="宋体" w:hAnsi="宋体" w:cs="宋体"/>
          <w:color w:val="auto"/>
          <w:sz w:val="24"/>
          <w:highlight w:val="none"/>
        </w:rPr>
      </w:pPr>
    </w:p>
    <w:p w14:paraId="3BDF8CE0">
      <w:pPr>
        <w:shd w:val="clear" w:fill="FFFFFF" w:themeFill="background1"/>
        <w:spacing w:line="500" w:lineRule="exact"/>
        <w:rPr>
          <w:rFonts w:ascii="宋体" w:hAnsi="宋体" w:cs="宋体"/>
          <w:color w:val="auto"/>
          <w:sz w:val="24"/>
          <w:highlight w:val="none"/>
        </w:rPr>
      </w:pPr>
    </w:p>
    <w:p w14:paraId="21ABA43E">
      <w:pPr>
        <w:shd w:val="clear" w:fill="FFFFFF" w:themeFill="background1"/>
        <w:rPr>
          <w:rFonts w:ascii="宋体" w:hAnsi="宋体" w:cs="宋体"/>
          <w:color w:val="auto"/>
          <w:sz w:val="24"/>
          <w:highlight w:val="none"/>
        </w:rPr>
      </w:pPr>
    </w:p>
    <w:p w14:paraId="1C75F91D">
      <w:pPr>
        <w:shd w:val="clear" w:fill="FFFFFF" w:themeFill="background1"/>
        <w:jc w:val="center"/>
        <w:rPr>
          <w:rFonts w:ascii="宋体" w:hAnsi="宋体"/>
          <w:b/>
          <w:color w:val="auto"/>
          <w:sz w:val="28"/>
          <w:szCs w:val="28"/>
          <w:highlight w:val="none"/>
        </w:rPr>
      </w:pPr>
      <w:r>
        <w:rPr>
          <w:rFonts w:hint="eastAsia" w:ascii="宋体" w:hAnsi="宋体" w:cs="宋体"/>
          <w:color w:val="auto"/>
          <w:highlight w:val="none"/>
        </w:rPr>
        <w:t>注：法定代表人的签字必须是亲笔签名，不得使用印章、签名章或其他电子制版签名代替。</w:t>
      </w:r>
    </w:p>
    <w:p w14:paraId="782FABF4">
      <w:pPr>
        <w:shd w:val="clear" w:fill="FFFFFF" w:themeFill="background1"/>
        <w:jc w:val="center"/>
        <w:rPr>
          <w:rFonts w:ascii="宋体" w:hAnsi="宋体"/>
          <w:b/>
          <w:color w:val="auto"/>
          <w:sz w:val="28"/>
          <w:szCs w:val="28"/>
          <w:highlight w:val="none"/>
        </w:rPr>
      </w:pPr>
    </w:p>
    <w:p w14:paraId="0322A930">
      <w:pPr>
        <w:shd w:val="clear" w:fill="FFFFFF" w:themeFill="background1"/>
        <w:jc w:val="center"/>
        <w:rPr>
          <w:rFonts w:ascii="宋体" w:hAnsi="宋体"/>
          <w:b/>
          <w:color w:val="auto"/>
          <w:sz w:val="28"/>
          <w:szCs w:val="28"/>
          <w:highlight w:val="none"/>
        </w:rPr>
      </w:pPr>
    </w:p>
    <w:p w14:paraId="7D1948ED">
      <w:pPr>
        <w:shd w:val="clear" w:fill="FFFFFF" w:themeFill="background1"/>
        <w:jc w:val="center"/>
        <w:rPr>
          <w:rFonts w:ascii="宋体" w:hAnsi="宋体"/>
          <w:b/>
          <w:color w:val="auto"/>
          <w:sz w:val="28"/>
          <w:szCs w:val="28"/>
          <w:highlight w:val="none"/>
        </w:rPr>
      </w:pPr>
    </w:p>
    <w:p w14:paraId="7BA498A9">
      <w:pPr>
        <w:shd w:val="clear" w:fill="FFFFFF" w:themeFill="background1"/>
        <w:jc w:val="center"/>
        <w:rPr>
          <w:rFonts w:ascii="宋体" w:hAnsi="宋体"/>
          <w:b/>
          <w:color w:val="auto"/>
          <w:sz w:val="28"/>
          <w:szCs w:val="28"/>
          <w:highlight w:val="none"/>
        </w:rPr>
      </w:pPr>
    </w:p>
    <w:p w14:paraId="55BFC244">
      <w:pPr>
        <w:shd w:val="clear" w:fill="FFFFFF" w:themeFill="background1"/>
        <w:jc w:val="center"/>
        <w:rPr>
          <w:rFonts w:ascii="宋体" w:hAnsi="宋体"/>
          <w:b/>
          <w:color w:val="auto"/>
          <w:sz w:val="28"/>
          <w:szCs w:val="28"/>
          <w:highlight w:val="none"/>
        </w:rPr>
      </w:pPr>
    </w:p>
    <w:p w14:paraId="1AEE661E">
      <w:pPr>
        <w:shd w:val="clear" w:fill="FFFFFF" w:themeFill="background1"/>
        <w:jc w:val="center"/>
        <w:rPr>
          <w:rFonts w:ascii="宋体" w:hAnsi="宋体"/>
          <w:b/>
          <w:color w:val="auto"/>
          <w:sz w:val="28"/>
          <w:szCs w:val="28"/>
          <w:highlight w:val="none"/>
        </w:rPr>
      </w:pPr>
    </w:p>
    <w:p w14:paraId="2A42AB42">
      <w:pPr>
        <w:shd w:val="clear" w:fill="FFFFFF" w:themeFill="background1"/>
        <w:jc w:val="center"/>
        <w:rPr>
          <w:rFonts w:ascii="宋体" w:hAnsi="宋体"/>
          <w:b/>
          <w:color w:val="auto"/>
          <w:sz w:val="28"/>
          <w:szCs w:val="28"/>
          <w:highlight w:val="none"/>
        </w:rPr>
      </w:pPr>
    </w:p>
    <w:p w14:paraId="319D7E3F">
      <w:pPr>
        <w:shd w:val="clear" w:fill="FFFFFF" w:themeFill="background1"/>
        <w:jc w:val="center"/>
        <w:rPr>
          <w:rFonts w:ascii="宋体" w:hAnsi="宋体"/>
          <w:b/>
          <w:color w:val="auto"/>
          <w:sz w:val="28"/>
          <w:szCs w:val="28"/>
          <w:highlight w:val="none"/>
        </w:rPr>
      </w:pPr>
    </w:p>
    <w:p w14:paraId="6EB504A5">
      <w:pPr>
        <w:shd w:val="clear" w:fill="FFFFFF" w:themeFill="background1"/>
        <w:jc w:val="center"/>
        <w:rPr>
          <w:rFonts w:ascii="宋体" w:hAnsi="宋体"/>
          <w:b/>
          <w:color w:val="auto"/>
          <w:sz w:val="28"/>
          <w:szCs w:val="28"/>
          <w:highlight w:val="none"/>
        </w:rPr>
      </w:pPr>
    </w:p>
    <w:p w14:paraId="08EBAFD8">
      <w:pPr>
        <w:shd w:val="clear" w:fill="FFFFFF" w:themeFill="background1"/>
        <w:jc w:val="center"/>
        <w:rPr>
          <w:rFonts w:ascii="宋体" w:hAnsi="宋体"/>
          <w:b/>
          <w:color w:val="auto"/>
          <w:sz w:val="28"/>
          <w:szCs w:val="28"/>
          <w:highlight w:val="none"/>
        </w:rPr>
      </w:pPr>
    </w:p>
    <w:p w14:paraId="60AC5DAE">
      <w:pPr>
        <w:shd w:val="clear" w:fill="FFFFFF" w:themeFill="background1"/>
        <w:jc w:val="center"/>
        <w:rPr>
          <w:rFonts w:ascii="宋体" w:hAnsi="宋体"/>
          <w:b/>
          <w:color w:val="auto"/>
          <w:sz w:val="28"/>
          <w:szCs w:val="28"/>
          <w:highlight w:val="none"/>
        </w:rPr>
      </w:pPr>
      <w:r>
        <w:rPr>
          <w:rFonts w:hint="eastAsia" w:ascii="宋体" w:hAnsi="宋体"/>
          <w:b/>
          <w:color w:val="auto"/>
          <w:sz w:val="28"/>
          <w:szCs w:val="28"/>
          <w:highlight w:val="none"/>
        </w:rPr>
        <w:t>三、投标保证金</w:t>
      </w:r>
    </w:p>
    <w:p w14:paraId="439BC6E5">
      <w:pPr>
        <w:shd w:val="clear" w:fill="FFFFFF" w:themeFill="background1"/>
        <w:spacing w:line="360" w:lineRule="auto"/>
        <w:ind w:firstLine="480" w:firstLineChars="200"/>
        <w:rPr>
          <w:rFonts w:ascii="宋体" w:hAnsi="宋体" w:cs="宋体"/>
          <w:color w:val="auto"/>
          <w:kern w:val="0"/>
          <w:sz w:val="24"/>
          <w:highlight w:val="none"/>
          <w:lang w:val="zh-CN"/>
        </w:rPr>
      </w:pPr>
    </w:p>
    <w:p w14:paraId="535DF5BC">
      <w:pPr>
        <w:shd w:val="clear" w:fill="FFFFFF" w:themeFill="background1"/>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如采用银行转账，投标人应在此提供汇款凭证的彩色扫描件。</w:t>
      </w:r>
    </w:p>
    <w:p w14:paraId="072BD8EB">
      <w:pPr>
        <w:shd w:val="clear" w:fill="FFFFFF" w:themeFill="background1"/>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如采用电子保函，投标人应在此提供电子保函彩色扫描件。</w:t>
      </w:r>
    </w:p>
    <w:p w14:paraId="38ACE91F">
      <w:pPr>
        <w:pStyle w:val="59"/>
        <w:shd w:val="clear" w:fill="FFFFFF" w:themeFill="background1"/>
        <w:ind w:firstLine="480" w:firstLineChars="200"/>
        <w:rPr>
          <w:rFonts w:ascii="宋体" w:hAnsi="宋体" w:cs="宋体"/>
          <w:color w:val="auto"/>
          <w:highlight w:val="none"/>
        </w:rPr>
      </w:pPr>
      <w:r>
        <w:rPr>
          <w:rFonts w:hint="eastAsia" w:ascii="宋体" w:hAnsi="宋体" w:cs="宋体"/>
          <w:color w:val="auto"/>
          <w:highlight w:val="none"/>
        </w:rPr>
        <w:t>如采用投标保证金保险，投标人应在此提供保单</w:t>
      </w:r>
      <w:r>
        <w:rPr>
          <w:rFonts w:hint="eastAsia" w:ascii="宋体" w:hAnsi="宋体" w:cs="宋体"/>
          <w:color w:val="auto"/>
          <w:highlight w:val="none"/>
          <w:lang w:val="zh-CN"/>
        </w:rPr>
        <w:t>彩色扫描件</w:t>
      </w:r>
      <w:r>
        <w:rPr>
          <w:rFonts w:hint="eastAsia" w:ascii="宋体" w:hAnsi="宋体" w:cs="宋体"/>
          <w:color w:val="auto"/>
          <w:highlight w:val="none"/>
        </w:rPr>
        <w:t>。</w:t>
      </w:r>
    </w:p>
    <w:p w14:paraId="413479C6">
      <w:pPr>
        <w:shd w:val="clear" w:fill="FFFFFF" w:themeFill="background1"/>
        <w:spacing w:line="360" w:lineRule="exact"/>
        <w:rPr>
          <w:rFonts w:ascii="宋体" w:hAnsi="宋体"/>
          <w:color w:val="auto"/>
          <w:sz w:val="24"/>
          <w:highlight w:val="none"/>
        </w:rPr>
      </w:pPr>
    </w:p>
    <w:p w14:paraId="09A70AA4">
      <w:pPr>
        <w:shd w:val="clear" w:fill="FFFFFF" w:themeFill="background1"/>
        <w:adjustRightInd w:val="0"/>
        <w:snapToGrid w:val="0"/>
        <w:spacing w:line="360" w:lineRule="auto"/>
        <w:rPr>
          <w:rFonts w:ascii="宋体" w:hAnsi="宋体"/>
          <w:color w:val="auto"/>
          <w:sz w:val="24"/>
          <w:highlight w:val="none"/>
        </w:rPr>
      </w:pPr>
    </w:p>
    <w:p w14:paraId="0547F1CF">
      <w:pPr>
        <w:widowControl/>
        <w:shd w:val="clear" w:fill="FFFFFF" w:themeFill="background1"/>
        <w:jc w:val="left"/>
        <w:rPr>
          <w:rFonts w:ascii="宋体" w:hAnsi="宋体"/>
          <w:color w:val="auto"/>
          <w:sz w:val="24"/>
          <w:highlight w:val="none"/>
        </w:rPr>
      </w:pPr>
    </w:p>
    <w:p w14:paraId="53E74F29">
      <w:pPr>
        <w:shd w:val="clear" w:fill="FFFFFF" w:themeFill="background1"/>
        <w:rPr>
          <w:rFonts w:ascii="宋体" w:hAnsi="宋体" w:cs="宋体"/>
          <w:b/>
          <w:color w:val="auto"/>
          <w:sz w:val="28"/>
          <w:szCs w:val="28"/>
          <w:highlight w:val="none"/>
        </w:rPr>
      </w:pPr>
      <w:bookmarkStart w:id="1757" w:name="_Toc451261419"/>
      <w:bookmarkStart w:id="1758" w:name="_Toc453057237"/>
      <w:bookmarkStart w:id="1759" w:name="_Toc24192"/>
      <w:r>
        <w:rPr>
          <w:rFonts w:hint="eastAsia" w:ascii="宋体" w:hAnsi="宋体" w:cs="宋体"/>
          <w:b/>
          <w:color w:val="auto"/>
          <w:sz w:val="28"/>
          <w:szCs w:val="28"/>
          <w:highlight w:val="none"/>
        </w:rPr>
        <w:br w:type="page"/>
      </w:r>
    </w:p>
    <w:p w14:paraId="2A6DCC01">
      <w:pPr>
        <w:shd w:val="clear" w:fill="FFFFFF" w:themeFill="background1"/>
        <w:jc w:val="center"/>
        <w:rPr>
          <w:rFonts w:ascii="宋体" w:hAnsi="宋体"/>
          <w:b/>
          <w:color w:val="auto"/>
          <w:sz w:val="28"/>
          <w:szCs w:val="28"/>
          <w:highlight w:val="none"/>
        </w:rPr>
      </w:pPr>
    </w:p>
    <w:p w14:paraId="014B9688">
      <w:pPr>
        <w:numPr>
          <w:ilvl w:val="0"/>
          <w:numId w:val="28"/>
        </w:numPr>
        <w:shd w:val="clear" w:fill="FFFFFF" w:themeFill="background1"/>
        <w:jc w:val="center"/>
        <w:rPr>
          <w:rFonts w:ascii="宋体" w:hAnsi="宋体"/>
          <w:b/>
          <w:color w:val="auto"/>
          <w:sz w:val="28"/>
          <w:szCs w:val="28"/>
          <w:highlight w:val="none"/>
        </w:rPr>
      </w:pPr>
      <w:r>
        <w:rPr>
          <w:rFonts w:hint="eastAsia" w:ascii="宋体" w:hAnsi="宋体"/>
          <w:b/>
          <w:color w:val="auto"/>
          <w:sz w:val="28"/>
          <w:szCs w:val="28"/>
          <w:highlight w:val="none"/>
        </w:rPr>
        <w:t>施工组织设计</w:t>
      </w:r>
    </w:p>
    <w:p w14:paraId="16F2CED6">
      <w:pPr>
        <w:shd w:val="clear" w:fill="FFFFFF" w:themeFill="background1"/>
        <w:spacing w:line="480" w:lineRule="auto"/>
        <w:ind w:right="263" w:firstLine="560" w:firstLineChars="200"/>
        <w:rPr>
          <w:color w:val="auto"/>
          <w:sz w:val="28"/>
          <w:highlight w:val="none"/>
        </w:rPr>
      </w:pPr>
    </w:p>
    <w:p w14:paraId="4A8E4036">
      <w:pPr>
        <w:shd w:val="clear" w:fill="FFFFFF" w:themeFill="background1"/>
        <w:spacing w:before="66" w:line="379" w:lineRule="auto"/>
        <w:ind w:left="7" w:right="382" w:firstLine="420"/>
        <w:rPr>
          <w:rFonts w:ascii="宋体" w:hAnsi="宋体" w:cs="宋体"/>
          <w:color w:val="auto"/>
          <w:spacing w:val="16"/>
          <w:sz w:val="24"/>
          <w:highlight w:val="none"/>
        </w:rPr>
      </w:pPr>
      <w:r>
        <w:rPr>
          <w:rFonts w:hint="eastAsia" w:ascii="宋体" w:hAnsi="宋体" w:cs="宋体"/>
          <w:color w:val="auto"/>
          <w:spacing w:val="16"/>
          <w:sz w:val="24"/>
          <w:highlight w:val="none"/>
        </w:rPr>
        <w:t>投标人应按以下要点编制施工组织设计（文字宜精炼、内容具有针对性）：</w:t>
      </w:r>
    </w:p>
    <w:p w14:paraId="1E75251C">
      <w:pPr>
        <w:shd w:val="clear" w:fill="FFFFFF" w:themeFill="background1"/>
        <w:spacing w:before="66" w:line="379" w:lineRule="auto"/>
        <w:ind w:left="7" w:right="382" w:firstLine="420"/>
        <w:rPr>
          <w:rFonts w:ascii="宋体" w:hAnsi="宋体" w:cs="宋体"/>
          <w:color w:val="auto"/>
          <w:spacing w:val="16"/>
          <w:sz w:val="24"/>
          <w:highlight w:val="none"/>
        </w:rPr>
      </w:pPr>
      <w:r>
        <w:rPr>
          <w:rFonts w:hint="eastAsia" w:ascii="宋体" w:hAnsi="宋体" w:cs="宋体"/>
          <w:color w:val="auto"/>
          <w:spacing w:val="16"/>
          <w:sz w:val="24"/>
          <w:highlight w:val="none"/>
        </w:rPr>
        <w:t>（1）总体施工组织布置及规划；</w:t>
      </w:r>
    </w:p>
    <w:p w14:paraId="51068F34">
      <w:pPr>
        <w:shd w:val="clear" w:fill="FFFFFF" w:themeFill="background1"/>
        <w:spacing w:before="66" w:line="379" w:lineRule="auto"/>
        <w:ind w:left="7" w:right="382" w:firstLine="420"/>
        <w:rPr>
          <w:rFonts w:ascii="宋体" w:hAnsi="宋体" w:cs="宋体"/>
          <w:color w:val="auto"/>
          <w:spacing w:val="16"/>
          <w:sz w:val="24"/>
          <w:highlight w:val="none"/>
        </w:rPr>
      </w:pPr>
      <w:r>
        <w:rPr>
          <w:rFonts w:hint="eastAsia" w:ascii="宋体" w:hAnsi="宋体" w:cs="宋体"/>
          <w:color w:val="auto"/>
          <w:spacing w:val="16"/>
          <w:sz w:val="24"/>
          <w:highlight w:val="none"/>
        </w:rPr>
        <w:t>（2）重点、难点和关键工程的施工方案与技术措施；</w:t>
      </w:r>
    </w:p>
    <w:p w14:paraId="07E61469">
      <w:pPr>
        <w:shd w:val="clear" w:fill="FFFFFF" w:themeFill="background1"/>
        <w:spacing w:before="66" w:line="379" w:lineRule="auto"/>
        <w:ind w:left="7" w:right="382" w:firstLine="420"/>
        <w:rPr>
          <w:rFonts w:ascii="宋体" w:hAnsi="宋体" w:cs="宋体"/>
          <w:color w:val="auto"/>
          <w:spacing w:val="16"/>
          <w:sz w:val="24"/>
          <w:highlight w:val="none"/>
        </w:rPr>
      </w:pPr>
      <w:r>
        <w:rPr>
          <w:rFonts w:hint="eastAsia" w:ascii="宋体" w:hAnsi="宋体" w:cs="宋体"/>
          <w:color w:val="auto"/>
          <w:spacing w:val="16"/>
          <w:sz w:val="24"/>
          <w:highlight w:val="none"/>
        </w:rPr>
        <w:t>（3）工期、质量、安全、环保水保、文明施工保证措施</w:t>
      </w:r>
    </w:p>
    <w:p w14:paraId="2E1D5681">
      <w:pPr>
        <w:shd w:val="clear" w:fill="FFFFFF" w:themeFill="background1"/>
        <w:spacing w:before="66" w:line="379" w:lineRule="auto"/>
        <w:ind w:left="7" w:right="382" w:firstLine="420"/>
        <w:rPr>
          <w:rFonts w:ascii="宋体" w:hAnsi="宋体" w:cs="宋体"/>
          <w:color w:val="auto"/>
          <w:spacing w:val="16"/>
          <w:sz w:val="20"/>
          <w:szCs w:val="20"/>
          <w:highlight w:val="none"/>
        </w:rPr>
      </w:pPr>
    </w:p>
    <w:p w14:paraId="0AC06EB6">
      <w:pPr>
        <w:shd w:val="clear" w:fill="FFFFFF" w:themeFill="background1"/>
        <w:spacing w:before="66" w:line="379" w:lineRule="auto"/>
        <w:ind w:left="7" w:right="382" w:firstLine="420"/>
        <w:rPr>
          <w:rFonts w:ascii="宋体" w:hAnsi="宋体" w:cs="宋体"/>
          <w:color w:val="auto"/>
          <w:spacing w:val="16"/>
          <w:sz w:val="20"/>
          <w:szCs w:val="20"/>
          <w:highlight w:val="none"/>
        </w:rPr>
      </w:pPr>
    </w:p>
    <w:p w14:paraId="6538B340">
      <w:pPr>
        <w:shd w:val="clear" w:fill="FFFFFF" w:themeFill="background1"/>
        <w:spacing w:before="66" w:line="379" w:lineRule="auto"/>
        <w:ind w:left="7" w:right="382" w:firstLine="420"/>
        <w:rPr>
          <w:rFonts w:ascii="宋体" w:hAnsi="宋体" w:cs="宋体"/>
          <w:color w:val="auto"/>
          <w:spacing w:val="16"/>
          <w:sz w:val="20"/>
          <w:szCs w:val="20"/>
          <w:highlight w:val="none"/>
        </w:rPr>
      </w:pPr>
    </w:p>
    <w:p w14:paraId="73E0E191">
      <w:pPr>
        <w:shd w:val="clear" w:fill="FFFFFF" w:themeFill="background1"/>
        <w:spacing w:before="66" w:line="379" w:lineRule="auto"/>
        <w:ind w:left="7" w:right="382" w:firstLine="420"/>
        <w:rPr>
          <w:rFonts w:ascii="宋体" w:hAnsi="宋体" w:cs="宋体"/>
          <w:color w:val="auto"/>
          <w:spacing w:val="16"/>
          <w:sz w:val="20"/>
          <w:szCs w:val="20"/>
          <w:highlight w:val="none"/>
        </w:rPr>
      </w:pPr>
    </w:p>
    <w:p w14:paraId="72E3710F">
      <w:pPr>
        <w:shd w:val="clear" w:fill="FFFFFF" w:themeFill="background1"/>
        <w:rPr>
          <w:rFonts w:ascii="宋体" w:hAnsi="宋体" w:cs="宋体"/>
          <w:color w:val="auto"/>
          <w:spacing w:val="9"/>
          <w:sz w:val="20"/>
          <w:szCs w:val="20"/>
          <w:highlight w:val="none"/>
        </w:rPr>
      </w:pPr>
      <w:r>
        <w:rPr>
          <w:rFonts w:ascii="宋体" w:hAnsi="宋体" w:cs="宋体"/>
          <w:color w:val="auto"/>
          <w:spacing w:val="9"/>
          <w:sz w:val="20"/>
          <w:szCs w:val="20"/>
          <w:highlight w:val="none"/>
        </w:rPr>
        <w:br w:type="page"/>
      </w:r>
    </w:p>
    <w:p w14:paraId="697E75D0">
      <w:pPr>
        <w:shd w:val="clear" w:fill="FFFFFF" w:themeFill="background1"/>
        <w:spacing w:before="66" w:line="379" w:lineRule="auto"/>
        <w:ind w:left="7" w:right="382" w:firstLine="420"/>
        <w:rPr>
          <w:rFonts w:ascii="宋体" w:hAnsi="宋体" w:cs="宋体"/>
          <w:color w:val="auto"/>
          <w:spacing w:val="9"/>
          <w:sz w:val="20"/>
          <w:szCs w:val="20"/>
          <w:highlight w:val="none"/>
        </w:rPr>
      </w:pPr>
    </w:p>
    <w:p w14:paraId="77AAE449">
      <w:pPr>
        <w:shd w:val="clear" w:fill="FFFFFF" w:themeFill="background1"/>
        <w:jc w:val="center"/>
        <w:rPr>
          <w:rFonts w:ascii="宋体" w:hAnsi="宋体"/>
          <w:b/>
          <w:color w:val="auto"/>
          <w:sz w:val="28"/>
          <w:szCs w:val="28"/>
          <w:highlight w:val="none"/>
        </w:rPr>
      </w:pPr>
      <w:r>
        <w:rPr>
          <w:rFonts w:hint="eastAsia" w:ascii="宋体" w:hAnsi="宋体"/>
          <w:b/>
          <w:color w:val="auto"/>
          <w:sz w:val="28"/>
          <w:szCs w:val="28"/>
          <w:highlight w:val="none"/>
        </w:rPr>
        <w:t>五、项目管理机构</w:t>
      </w:r>
    </w:p>
    <w:tbl>
      <w:tblPr>
        <w:tblStyle w:val="45"/>
        <w:tblW w:w="93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356"/>
      </w:tblGrid>
      <w:tr w14:paraId="3A498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188" w:hRule="atLeast"/>
          <w:jc w:val="center"/>
        </w:trPr>
        <w:tc>
          <w:tcPr>
            <w:tcW w:w="9356" w:type="dxa"/>
          </w:tcPr>
          <w:p w14:paraId="4CFEBD6F">
            <w:pPr>
              <w:shd w:val="clear" w:fill="FFFFFF" w:themeFill="background1"/>
              <w:rPr>
                <w:rFonts w:ascii="宋体" w:hAnsi="宋体" w:cs="宋体"/>
                <w:color w:val="auto"/>
                <w:szCs w:val="21"/>
                <w:highlight w:val="none"/>
              </w:rPr>
            </w:pPr>
          </w:p>
          <w:p w14:paraId="0F63C6EF">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拟为承包本标段工程设立的组织机构以框图方式表示。</w:t>
            </w:r>
          </w:p>
        </w:tc>
      </w:tr>
      <w:tr w14:paraId="298DED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68" w:hRule="atLeast"/>
          <w:jc w:val="center"/>
        </w:trPr>
        <w:tc>
          <w:tcPr>
            <w:tcW w:w="9356" w:type="dxa"/>
          </w:tcPr>
          <w:p w14:paraId="6F2186B2">
            <w:pPr>
              <w:shd w:val="clear" w:fill="FFFFFF" w:themeFill="background1"/>
              <w:rPr>
                <w:rFonts w:ascii="宋体" w:hAnsi="宋体" w:cs="宋体"/>
                <w:color w:val="auto"/>
                <w:szCs w:val="21"/>
                <w:highlight w:val="none"/>
              </w:rPr>
            </w:pPr>
          </w:p>
          <w:p w14:paraId="752CFA40">
            <w:pPr>
              <w:shd w:val="clear" w:fill="FFFFFF" w:themeFill="background1"/>
              <w:rPr>
                <w:rFonts w:ascii="宋体" w:hAnsi="宋体" w:cs="宋体"/>
                <w:color w:val="auto"/>
                <w:szCs w:val="21"/>
                <w:highlight w:val="none"/>
              </w:rPr>
            </w:pPr>
            <w:r>
              <w:rPr>
                <w:rFonts w:hint="eastAsia" w:ascii="宋体" w:hAnsi="宋体" w:cs="宋体"/>
                <w:color w:val="auto"/>
                <w:szCs w:val="21"/>
                <w:highlight w:val="none"/>
              </w:rPr>
              <w:t>说明</w:t>
            </w:r>
          </w:p>
        </w:tc>
      </w:tr>
    </w:tbl>
    <w:p w14:paraId="2528EA96">
      <w:pPr>
        <w:pStyle w:val="55"/>
        <w:shd w:val="clear" w:fill="FFFFFF" w:themeFill="background1"/>
        <w:ind w:left="15" w:leftChars="7" w:firstLine="403" w:firstLineChars="168"/>
        <w:rPr>
          <w:rFonts w:ascii="宋体" w:hAnsi="宋体" w:cs="宋体"/>
          <w:color w:val="auto"/>
          <w:sz w:val="24"/>
          <w:szCs w:val="24"/>
          <w:highlight w:val="none"/>
        </w:rPr>
        <w:sectPr>
          <w:headerReference r:id="rId13" w:type="default"/>
          <w:footerReference r:id="rId14" w:type="default"/>
          <w:footnotePr>
            <w:numFmt w:val="decimalEnclosedCircleChinese"/>
          </w:footnotePr>
          <w:pgSz w:w="11906" w:h="16838"/>
          <w:pgMar w:top="1038" w:right="924" w:bottom="936" w:left="1418" w:header="624" w:footer="590" w:gutter="0"/>
          <w:cols w:space="720" w:num="1"/>
          <w:docGrid w:type="lines" w:linePitch="312" w:charSpace="0"/>
        </w:sectPr>
      </w:pPr>
    </w:p>
    <w:p w14:paraId="3F1F4806">
      <w:pPr>
        <w:shd w:val="clear" w:fill="FFFFFF" w:themeFill="background1"/>
        <w:jc w:val="center"/>
        <w:rPr>
          <w:rFonts w:ascii="宋体" w:hAnsi="宋体"/>
          <w:b/>
          <w:color w:val="auto"/>
          <w:sz w:val="28"/>
          <w:szCs w:val="28"/>
          <w:highlight w:val="none"/>
        </w:rPr>
      </w:pPr>
      <w:r>
        <w:rPr>
          <w:rFonts w:hint="eastAsia" w:ascii="宋体" w:hAnsi="宋体"/>
          <w:b/>
          <w:color w:val="auto"/>
          <w:sz w:val="28"/>
          <w:szCs w:val="28"/>
          <w:highlight w:val="none"/>
        </w:rPr>
        <w:t>六、拟分包项目情况表</w:t>
      </w:r>
    </w:p>
    <w:tbl>
      <w:tblPr>
        <w:tblStyle w:val="45"/>
        <w:tblW w:w="9638" w:type="dxa"/>
        <w:tblInd w:w="16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10"/>
        <w:gridCol w:w="2409"/>
        <w:gridCol w:w="2409"/>
        <w:gridCol w:w="2410"/>
      </w:tblGrid>
      <w:tr w14:paraId="4E4643A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12" w:hRule="atLeast"/>
        </w:trPr>
        <w:tc>
          <w:tcPr>
            <w:tcW w:w="2410" w:type="dxa"/>
            <w:tcBorders>
              <w:bottom w:val="single" w:color="000000" w:sz="6" w:space="0"/>
              <w:right w:val="single" w:color="000000" w:sz="6" w:space="0"/>
            </w:tcBorders>
          </w:tcPr>
          <w:p w14:paraId="5D17DD15">
            <w:pPr>
              <w:pStyle w:val="80"/>
              <w:shd w:val="clear" w:fill="FFFFFF" w:themeFill="background1"/>
              <w:spacing w:before="46" w:line="242" w:lineRule="auto"/>
              <w:ind w:left="964" w:right="461" w:hanging="480"/>
              <w:rPr>
                <w:rFonts w:ascii="宋体" w:hAnsi="宋体" w:cs="宋体"/>
                <w:color w:val="auto"/>
                <w:sz w:val="24"/>
                <w:highlight w:val="none"/>
              </w:rPr>
            </w:pPr>
            <w:r>
              <w:rPr>
                <w:rFonts w:hint="eastAsia" w:ascii="宋体" w:hAnsi="宋体" w:cs="宋体"/>
                <w:color w:val="auto"/>
                <w:sz w:val="24"/>
                <w:highlight w:val="none"/>
              </w:rPr>
              <w:t>拟分包的工程项目</w:t>
            </w:r>
          </w:p>
        </w:tc>
        <w:tc>
          <w:tcPr>
            <w:tcW w:w="2409" w:type="dxa"/>
            <w:tcBorders>
              <w:left w:val="single" w:color="000000" w:sz="6" w:space="0"/>
              <w:bottom w:val="single" w:color="000000" w:sz="6" w:space="0"/>
              <w:right w:val="single" w:color="000000" w:sz="6" w:space="0"/>
            </w:tcBorders>
          </w:tcPr>
          <w:p w14:paraId="79698B11">
            <w:pPr>
              <w:pStyle w:val="80"/>
              <w:shd w:val="clear" w:fill="FFFFFF" w:themeFill="background1"/>
              <w:spacing w:before="201"/>
              <w:ind w:left="491"/>
              <w:rPr>
                <w:rFonts w:ascii="宋体" w:hAnsi="宋体" w:cs="宋体"/>
                <w:color w:val="auto"/>
                <w:sz w:val="24"/>
                <w:highlight w:val="none"/>
              </w:rPr>
            </w:pPr>
            <w:r>
              <w:rPr>
                <w:rFonts w:hint="eastAsia" w:ascii="宋体" w:hAnsi="宋体" w:cs="宋体"/>
                <w:color w:val="auto"/>
                <w:sz w:val="24"/>
                <w:highlight w:val="none"/>
              </w:rPr>
              <w:t>主要工程内容</w:t>
            </w:r>
          </w:p>
        </w:tc>
        <w:tc>
          <w:tcPr>
            <w:tcW w:w="2409" w:type="dxa"/>
            <w:tcBorders>
              <w:left w:val="single" w:color="000000" w:sz="6" w:space="0"/>
              <w:bottom w:val="single" w:color="000000" w:sz="6" w:space="0"/>
              <w:right w:val="single" w:color="000000" w:sz="6" w:space="0"/>
            </w:tcBorders>
          </w:tcPr>
          <w:p w14:paraId="53DBF520">
            <w:pPr>
              <w:pStyle w:val="80"/>
              <w:shd w:val="clear" w:fill="FFFFFF" w:themeFill="background1"/>
              <w:spacing w:before="201"/>
              <w:ind w:left="253"/>
              <w:rPr>
                <w:rFonts w:ascii="宋体" w:hAnsi="宋体" w:cs="宋体"/>
                <w:color w:val="auto"/>
                <w:sz w:val="24"/>
                <w:highlight w:val="none"/>
              </w:rPr>
            </w:pPr>
            <w:r>
              <w:rPr>
                <w:rFonts w:hint="eastAsia" w:ascii="宋体" w:hAnsi="宋体" w:cs="宋体"/>
                <w:color w:val="auto"/>
                <w:sz w:val="24"/>
                <w:highlight w:val="none"/>
              </w:rPr>
              <w:t>预计造价（万元）</w:t>
            </w:r>
          </w:p>
        </w:tc>
        <w:tc>
          <w:tcPr>
            <w:tcW w:w="2410" w:type="dxa"/>
            <w:tcBorders>
              <w:left w:val="single" w:color="000000" w:sz="6" w:space="0"/>
              <w:bottom w:val="single" w:color="000000" w:sz="6" w:space="0"/>
            </w:tcBorders>
          </w:tcPr>
          <w:p w14:paraId="1041324E">
            <w:pPr>
              <w:pStyle w:val="80"/>
              <w:shd w:val="clear" w:fill="FFFFFF" w:themeFill="background1"/>
              <w:spacing w:before="201"/>
              <w:ind w:left="130" w:right="91"/>
              <w:jc w:val="center"/>
              <w:rPr>
                <w:rFonts w:ascii="宋体" w:hAnsi="宋体" w:cs="宋体"/>
                <w:color w:val="auto"/>
                <w:sz w:val="24"/>
                <w:highlight w:val="none"/>
              </w:rPr>
            </w:pPr>
            <w:r>
              <w:rPr>
                <w:rFonts w:hint="eastAsia" w:ascii="宋体" w:hAnsi="宋体" w:cs="宋体"/>
                <w:color w:val="auto"/>
                <w:sz w:val="24"/>
                <w:highlight w:val="none"/>
              </w:rPr>
              <w:t>备注</w:t>
            </w:r>
          </w:p>
        </w:tc>
      </w:tr>
      <w:tr w14:paraId="1B70FA7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5" w:hRule="atLeast"/>
        </w:trPr>
        <w:tc>
          <w:tcPr>
            <w:tcW w:w="2410" w:type="dxa"/>
            <w:tcBorders>
              <w:top w:val="single" w:color="000000" w:sz="6" w:space="0"/>
              <w:bottom w:val="single" w:color="000000" w:sz="6" w:space="0"/>
              <w:right w:val="single" w:color="000000" w:sz="6" w:space="0"/>
            </w:tcBorders>
          </w:tcPr>
          <w:p w14:paraId="2130BCF6">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17F5CEE7">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3EFB7CA9">
            <w:pPr>
              <w:pStyle w:val="80"/>
              <w:shd w:val="clear" w:fill="FFFFFF" w:themeFill="background1"/>
              <w:rPr>
                <w:rFonts w:ascii="宋体" w:hAnsi="宋体" w:cs="宋体"/>
                <w:color w:val="auto"/>
                <w:sz w:val="20"/>
                <w:highlight w:val="none"/>
              </w:rPr>
            </w:pPr>
          </w:p>
        </w:tc>
        <w:tc>
          <w:tcPr>
            <w:tcW w:w="2410" w:type="dxa"/>
            <w:vMerge w:val="restart"/>
            <w:tcBorders>
              <w:top w:val="single" w:color="000000" w:sz="6" w:space="0"/>
              <w:left w:val="single" w:color="000000" w:sz="6" w:space="0"/>
            </w:tcBorders>
          </w:tcPr>
          <w:p w14:paraId="620E7034">
            <w:pPr>
              <w:pStyle w:val="80"/>
              <w:shd w:val="clear" w:fill="FFFFFF" w:themeFill="background1"/>
              <w:rPr>
                <w:rFonts w:ascii="宋体" w:hAnsi="宋体" w:cs="宋体"/>
                <w:color w:val="auto"/>
                <w:sz w:val="24"/>
                <w:highlight w:val="none"/>
              </w:rPr>
            </w:pPr>
          </w:p>
          <w:p w14:paraId="07C510D8">
            <w:pPr>
              <w:pStyle w:val="80"/>
              <w:shd w:val="clear" w:fill="FFFFFF" w:themeFill="background1"/>
              <w:rPr>
                <w:rFonts w:ascii="宋体" w:hAnsi="宋体" w:cs="宋体"/>
                <w:color w:val="auto"/>
                <w:sz w:val="24"/>
                <w:highlight w:val="none"/>
              </w:rPr>
            </w:pPr>
          </w:p>
          <w:p w14:paraId="455AB931">
            <w:pPr>
              <w:pStyle w:val="80"/>
              <w:shd w:val="clear" w:fill="FFFFFF" w:themeFill="background1"/>
              <w:rPr>
                <w:rFonts w:ascii="宋体" w:hAnsi="宋体" w:cs="宋体"/>
                <w:color w:val="auto"/>
                <w:sz w:val="24"/>
                <w:highlight w:val="none"/>
              </w:rPr>
            </w:pPr>
          </w:p>
          <w:p w14:paraId="16A045D4">
            <w:pPr>
              <w:pStyle w:val="80"/>
              <w:shd w:val="clear" w:fill="FFFFFF" w:themeFill="background1"/>
              <w:rPr>
                <w:rFonts w:ascii="宋体" w:hAnsi="宋体" w:cs="宋体"/>
                <w:color w:val="auto"/>
                <w:sz w:val="24"/>
                <w:highlight w:val="none"/>
              </w:rPr>
            </w:pPr>
          </w:p>
          <w:p w14:paraId="0CF64728">
            <w:pPr>
              <w:pStyle w:val="80"/>
              <w:shd w:val="clear" w:fill="FFFFFF" w:themeFill="background1"/>
              <w:rPr>
                <w:rFonts w:ascii="宋体" w:hAnsi="宋体" w:cs="宋体"/>
                <w:color w:val="auto"/>
                <w:sz w:val="24"/>
                <w:highlight w:val="none"/>
              </w:rPr>
            </w:pPr>
          </w:p>
          <w:p w14:paraId="7835B5E8">
            <w:pPr>
              <w:pStyle w:val="80"/>
              <w:shd w:val="clear" w:fill="FFFFFF" w:themeFill="background1"/>
              <w:rPr>
                <w:rFonts w:ascii="宋体" w:hAnsi="宋体" w:cs="宋体"/>
                <w:color w:val="auto"/>
                <w:sz w:val="24"/>
                <w:highlight w:val="none"/>
              </w:rPr>
            </w:pPr>
          </w:p>
          <w:p w14:paraId="108ED16B">
            <w:pPr>
              <w:pStyle w:val="80"/>
              <w:shd w:val="clear" w:fill="FFFFFF" w:themeFill="background1"/>
              <w:rPr>
                <w:rFonts w:ascii="宋体" w:hAnsi="宋体" w:cs="宋体"/>
                <w:color w:val="auto"/>
                <w:sz w:val="24"/>
                <w:highlight w:val="none"/>
              </w:rPr>
            </w:pPr>
          </w:p>
          <w:p w14:paraId="76022B83">
            <w:pPr>
              <w:pStyle w:val="80"/>
              <w:shd w:val="clear" w:fill="FFFFFF" w:themeFill="background1"/>
              <w:rPr>
                <w:rFonts w:ascii="宋体" w:hAnsi="宋体" w:cs="宋体"/>
                <w:color w:val="auto"/>
                <w:sz w:val="24"/>
                <w:highlight w:val="none"/>
              </w:rPr>
            </w:pPr>
          </w:p>
          <w:p w14:paraId="4DFB6E2D">
            <w:pPr>
              <w:pStyle w:val="80"/>
              <w:shd w:val="clear" w:fill="FFFFFF" w:themeFill="background1"/>
              <w:rPr>
                <w:rFonts w:ascii="宋体" w:hAnsi="宋体" w:cs="宋体"/>
                <w:color w:val="auto"/>
                <w:sz w:val="24"/>
                <w:highlight w:val="none"/>
              </w:rPr>
            </w:pPr>
          </w:p>
          <w:p w14:paraId="6238CA3B">
            <w:pPr>
              <w:pStyle w:val="80"/>
              <w:shd w:val="clear" w:fill="FFFFFF" w:themeFill="background1"/>
              <w:rPr>
                <w:rFonts w:ascii="宋体" w:hAnsi="宋体" w:cs="宋体"/>
                <w:color w:val="auto"/>
                <w:sz w:val="24"/>
                <w:highlight w:val="none"/>
              </w:rPr>
            </w:pPr>
          </w:p>
          <w:p w14:paraId="7B89B8AE">
            <w:pPr>
              <w:pStyle w:val="80"/>
              <w:shd w:val="clear" w:fill="FFFFFF" w:themeFill="background1"/>
              <w:rPr>
                <w:rFonts w:ascii="宋体" w:hAnsi="宋体" w:cs="宋体"/>
                <w:color w:val="auto"/>
                <w:sz w:val="24"/>
                <w:highlight w:val="none"/>
              </w:rPr>
            </w:pPr>
          </w:p>
          <w:p w14:paraId="0C92B963">
            <w:pPr>
              <w:pStyle w:val="80"/>
              <w:shd w:val="clear" w:fill="FFFFFF" w:themeFill="background1"/>
              <w:rPr>
                <w:rFonts w:ascii="宋体" w:hAnsi="宋体" w:cs="宋体"/>
                <w:color w:val="auto"/>
                <w:sz w:val="24"/>
                <w:highlight w:val="none"/>
              </w:rPr>
            </w:pPr>
          </w:p>
          <w:p w14:paraId="041E0D2B">
            <w:pPr>
              <w:pStyle w:val="80"/>
              <w:shd w:val="clear" w:fill="FFFFFF" w:themeFill="background1"/>
              <w:spacing w:before="1"/>
              <w:rPr>
                <w:rFonts w:ascii="宋体" w:hAnsi="宋体" w:cs="宋体"/>
                <w:color w:val="auto"/>
                <w:sz w:val="29"/>
                <w:highlight w:val="none"/>
              </w:rPr>
            </w:pPr>
          </w:p>
          <w:p w14:paraId="45421F33">
            <w:pPr>
              <w:pStyle w:val="80"/>
              <w:shd w:val="clear" w:fill="FFFFFF" w:themeFill="background1"/>
              <w:spacing w:line="242" w:lineRule="auto"/>
              <w:ind w:left="133" w:right="91"/>
              <w:jc w:val="center"/>
              <w:rPr>
                <w:rFonts w:ascii="宋体" w:hAnsi="宋体" w:cs="宋体"/>
                <w:color w:val="auto"/>
                <w:sz w:val="24"/>
                <w:highlight w:val="none"/>
              </w:rPr>
            </w:pPr>
            <w:r>
              <w:rPr>
                <w:rFonts w:hint="eastAsia" w:ascii="宋体" w:hAnsi="宋体" w:cs="宋体"/>
                <w:color w:val="auto"/>
                <w:sz w:val="24"/>
                <w:highlight w:val="none"/>
              </w:rPr>
              <w:t>注：若无分包计划， 则投标人应在本表填写“无”。</w:t>
            </w:r>
          </w:p>
        </w:tc>
      </w:tr>
      <w:tr w14:paraId="4439FF5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22CFF020">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44B26A97">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688069DE">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2CC6120B">
            <w:pPr>
              <w:shd w:val="clear" w:fill="FFFFFF" w:themeFill="background1"/>
              <w:rPr>
                <w:rFonts w:ascii="宋体" w:hAnsi="宋体" w:cs="宋体"/>
                <w:color w:val="auto"/>
                <w:sz w:val="2"/>
                <w:szCs w:val="2"/>
                <w:highlight w:val="none"/>
              </w:rPr>
            </w:pPr>
          </w:p>
        </w:tc>
      </w:tr>
      <w:tr w14:paraId="2F89F02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668A70AA">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58BB8302">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715EB007">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71AD6691">
            <w:pPr>
              <w:shd w:val="clear" w:fill="FFFFFF" w:themeFill="background1"/>
              <w:rPr>
                <w:rFonts w:ascii="宋体" w:hAnsi="宋体" w:cs="宋体"/>
                <w:color w:val="auto"/>
                <w:sz w:val="2"/>
                <w:szCs w:val="2"/>
                <w:highlight w:val="none"/>
              </w:rPr>
            </w:pPr>
          </w:p>
        </w:tc>
      </w:tr>
      <w:tr w14:paraId="74C6476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791E37E7">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4F1E6702">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250A2391">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7ABEF312">
            <w:pPr>
              <w:shd w:val="clear" w:fill="FFFFFF" w:themeFill="background1"/>
              <w:rPr>
                <w:rFonts w:ascii="宋体" w:hAnsi="宋体" w:cs="宋体"/>
                <w:color w:val="auto"/>
                <w:sz w:val="2"/>
                <w:szCs w:val="2"/>
                <w:highlight w:val="none"/>
              </w:rPr>
            </w:pPr>
          </w:p>
        </w:tc>
      </w:tr>
      <w:tr w14:paraId="5A31C4E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4CBB77D2">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292F6F2E">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22D12D64">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46460CB8">
            <w:pPr>
              <w:shd w:val="clear" w:fill="FFFFFF" w:themeFill="background1"/>
              <w:rPr>
                <w:rFonts w:ascii="宋体" w:hAnsi="宋体" w:cs="宋体"/>
                <w:color w:val="auto"/>
                <w:sz w:val="2"/>
                <w:szCs w:val="2"/>
                <w:highlight w:val="none"/>
              </w:rPr>
            </w:pPr>
          </w:p>
        </w:tc>
      </w:tr>
      <w:tr w14:paraId="46B18C8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6DF2D01A">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2B466BC8">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164839C7">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0D8A0A3B">
            <w:pPr>
              <w:shd w:val="clear" w:fill="FFFFFF" w:themeFill="background1"/>
              <w:rPr>
                <w:rFonts w:ascii="宋体" w:hAnsi="宋体" w:cs="宋体"/>
                <w:color w:val="auto"/>
                <w:sz w:val="2"/>
                <w:szCs w:val="2"/>
                <w:highlight w:val="none"/>
              </w:rPr>
            </w:pPr>
          </w:p>
        </w:tc>
      </w:tr>
      <w:tr w14:paraId="5D3392A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423BE82E">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5D548627">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774C474D">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5A0719A6">
            <w:pPr>
              <w:shd w:val="clear" w:fill="FFFFFF" w:themeFill="background1"/>
              <w:rPr>
                <w:rFonts w:ascii="宋体" w:hAnsi="宋体" w:cs="宋体"/>
                <w:color w:val="auto"/>
                <w:sz w:val="2"/>
                <w:szCs w:val="2"/>
                <w:highlight w:val="none"/>
              </w:rPr>
            </w:pPr>
          </w:p>
        </w:tc>
      </w:tr>
      <w:tr w14:paraId="49F7DB8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2938A78E">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50FCF051">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22393FA7">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1457C507">
            <w:pPr>
              <w:shd w:val="clear" w:fill="FFFFFF" w:themeFill="background1"/>
              <w:rPr>
                <w:rFonts w:ascii="宋体" w:hAnsi="宋体" w:cs="宋体"/>
                <w:color w:val="auto"/>
                <w:sz w:val="2"/>
                <w:szCs w:val="2"/>
                <w:highlight w:val="none"/>
              </w:rPr>
            </w:pPr>
          </w:p>
        </w:tc>
      </w:tr>
      <w:tr w14:paraId="62466E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57CD05DE">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4A6B63C6">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3F0BA405">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6F677694">
            <w:pPr>
              <w:shd w:val="clear" w:fill="FFFFFF" w:themeFill="background1"/>
              <w:rPr>
                <w:rFonts w:ascii="宋体" w:hAnsi="宋体" w:cs="宋体"/>
                <w:color w:val="auto"/>
                <w:sz w:val="2"/>
                <w:szCs w:val="2"/>
                <w:highlight w:val="none"/>
              </w:rPr>
            </w:pPr>
          </w:p>
        </w:tc>
      </w:tr>
      <w:tr w14:paraId="2856363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17F690C1">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12659E59">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07071B20">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33E08CF2">
            <w:pPr>
              <w:shd w:val="clear" w:fill="FFFFFF" w:themeFill="background1"/>
              <w:rPr>
                <w:rFonts w:ascii="宋体" w:hAnsi="宋体" w:cs="宋体"/>
                <w:color w:val="auto"/>
                <w:sz w:val="2"/>
                <w:szCs w:val="2"/>
                <w:highlight w:val="none"/>
              </w:rPr>
            </w:pPr>
          </w:p>
        </w:tc>
      </w:tr>
      <w:tr w14:paraId="55C00F3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448C51E5">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4004F23A">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16CEB42F">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145DCA9C">
            <w:pPr>
              <w:shd w:val="clear" w:fill="FFFFFF" w:themeFill="background1"/>
              <w:rPr>
                <w:rFonts w:ascii="宋体" w:hAnsi="宋体" w:cs="宋体"/>
                <w:color w:val="auto"/>
                <w:sz w:val="2"/>
                <w:szCs w:val="2"/>
                <w:highlight w:val="none"/>
              </w:rPr>
            </w:pPr>
          </w:p>
        </w:tc>
      </w:tr>
      <w:tr w14:paraId="0CB2050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245DA63D">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6012F27F">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4E4064C8">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5D0E231B">
            <w:pPr>
              <w:shd w:val="clear" w:fill="FFFFFF" w:themeFill="background1"/>
              <w:rPr>
                <w:rFonts w:ascii="宋体" w:hAnsi="宋体" w:cs="宋体"/>
                <w:color w:val="auto"/>
                <w:sz w:val="2"/>
                <w:szCs w:val="2"/>
                <w:highlight w:val="none"/>
              </w:rPr>
            </w:pPr>
          </w:p>
        </w:tc>
      </w:tr>
      <w:tr w14:paraId="6E31116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4813B01D">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040A2919">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479AF066">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57271471">
            <w:pPr>
              <w:shd w:val="clear" w:fill="FFFFFF" w:themeFill="background1"/>
              <w:rPr>
                <w:rFonts w:ascii="宋体" w:hAnsi="宋体" w:cs="宋体"/>
                <w:color w:val="auto"/>
                <w:sz w:val="2"/>
                <w:szCs w:val="2"/>
                <w:highlight w:val="none"/>
              </w:rPr>
            </w:pPr>
          </w:p>
        </w:tc>
      </w:tr>
      <w:tr w14:paraId="2625281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6" w:hRule="atLeast"/>
        </w:trPr>
        <w:tc>
          <w:tcPr>
            <w:tcW w:w="2410" w:type="dxa"/>
            <w:tcBorders>
              <w:top w:val="single" w:color="000000" w:sz="6" w:space="0"/>
              <w:bottom w:val="single" w:color="000000" w:sz="6" w:space="0"/>
              <w:right w:val="single" w:color="000000" w:sz="6" w:space="0"/>
            </w:tcBorders>
          </w:tcPr>
          <w:p w14:paraId="6405F36F">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7BD906BD">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6139AEC6">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4960806B">
            <w:pPr>
              <w:shd w:val="clear" w:fill="FFFFFF" w:themeFill="background1"/>
              <w:rPr>
                <w:rFonts w:ascii="宋体" w:hAnsi="宋体" w:cs="宋体"/>
                <w:color w:val="auto"/>
                <w:sz w:val="2"/>
                <w:szCs w:val="2"/>
                <w:highlight w:val="none"/>
              </w:rPr>
            </w:pPr>
          </w:p>
        </w:tc>
      </w:tr>
      <w:tr w14:paraId="3D3ED5B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37" w:hRule="atLeast"/>
        </w:trPr>
        <w:tc>
          <w:tcPr>
            <w:tcW w:w="2410" w:type="dxa"/>
            <w:tcBorders>
              <w:top w:val="single" w:color="000000" w:sz="6" w:space="0"/>
              <w:bottom w:val="single" w:color="000000" w:sz="6" w:space="0"/>
              <w:right w:val="single" w:color="000000" w:sz="6" w:space="0"/>
            </w:tcBorders>
          </w:tcPr>
          <w:p w14:paraId="0E846624">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14D0C43A">
            <w:pPr>
              <w:pStyle w:val="80"/>
              <w:shd w:val="clear" w:fill="FFFFFF" w:themeFill="background1"/>
              <w:rPr>
                <w:rFonts w:ascii="宋体" w:hAnsi="宋体" w:cs="宋体"/>
                <w:color w:val="auto"/>
                <w:sz w:val="20"/>
                <w:highlight w:val="none"/>
              </w:rPr>
            </w:pPr>
          </w:p>
        </w:tc>
        <w:tc>
          <w:tcPr>
            <w:tcW w:w="2409" w:type="dxa"/>
            <w:tcBorders>
              <w:top w:val="single" w:color="000000" w:sz="6" w:space="0"/>
              <w:left w:val="single" w:color="000000" w:sz="6" w:space="0"/>
              <w:bottom w:val="single" w:color="000000" w:sz="6" w:space="0"/>
              <w:right w:val="single" w:color="000000" w:sz="6" w:space="0"/>
            </w:tcBorders>
          </w:tcPr>
          <w:p w14:paraId="2848169A">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5E821C02">
            <w:pPr>
              <w:shd w:val="clear" w:fill="FFFFFF" w:themeFill="background1"/>
              <w:rPr>
                <w:rFonts w:ascii="宋体" w:hAnsi="宋体" w:cs="宋体"/>
                <w:color w:val="auto"/>
                <w:sz w:val="2"/>
                <w:szCs w:val="2"/>
                <w:highlight w:val="none"/>
              </w:rPr>
            </w:pPr>
          </w:p>
        </w:tc>
      </w:tr>
      <w:tr w14:paraId="5C4E2C2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44" w:hRule="atLeast"/>
        </w:trPr>
        <w:tc>
          <w:tcPr>
            <w:tcW w:w="4819" w:type="dxa"/>
            <w:gridSpan w:val="2"/>
            <w:tcBorders>
              <w:top w:val="single" w:color="000000" w:sz="6" w:space="0"/>
              <w:right w:val="single" w:color="000000" w:sz="6" w:space="0"/>
            </w:tcBorders>
          </w:tcPr>
          <w:p w14:paraId="3DB8FC67">
            <w:pPr>
              <w:pStyle w:val="80"/>
              <w:shd w:val="clear" w:fill="FFFFFF" w:themeFill="background1"/>
              <w:spacing w:before="140"/>
              <w:ind w:left="1109"/>
              <w:rPr>
                <w:rFonts w:ascii="宋体" w:hAnsi="宋体" w:cs="宋体"/>
                <w:color w:val="auto"/>
                <w:sz w:val="20"/>
                <w:highlight w:val="none"/>
              </w:rPr>
            </w:pPr>
            <w:r>
              <w:rPr>
                <w:rFonts w:hint="eastAsia" w:ascii="宋体" w:hAnsi="宋体" w:cs="宋体"/>
                <w:color w:val="auto"/>
                <w:sz w:val="24"/>
                <w:highlight w:val="none"/>
              </w:rPr>
              <w:t>拟分包工程造价合计（万元）</w:t>
            </w:r>
          </w:p>
        </w:tc>
        <w:tc>
          <w:tcPr>
            <w:tcW w:w="2409" w:type="dxa"/>
            <w:tcBorders>
              <w:top w:val="single" w:color="000000" w:sz="6" w:space="0"/>
              <w:left w:val="single" w:color="000000" w:sz="6" w:space="0"/>
              <w:right w:val="single" w:color="000000" w:sz="6" w:space="0"/>
            </w:tcBorders>
          </w:tcPr>
          <w:p w14:paraId="75783C98">
            <w:pPr>
              <w:pStyle w:val="80"/>
              <w:shd w:val="clear" w:fill="FFFFFF" w:themeFill="background1"/>
              <w:rPr>
                <w:rFonts w:ascii="宋体" w:hAnsi="宋体" w:cs="宋体"/>
                <w:color w:val="auto"/>
                <w:sz w:val="20"/>
                <w:highlight w:val="none"/>
              </w:rPr>
            </w:pPr>
          </w:p>
        </w:tc>
        <w:tc>
          <w:tcPr>
            <w:tcW w:w="2410" w:type="dxa"/>
            <w:vMerge w:val="continue"/>
            <w:tcBorders>
              <w:top w:val="nil"/>
              <w:left w:val="single" w:color="000000" w:sz="6" w:space="0"/>
            </w:tcBorders>
          </w:tcPr>
          <w:p w14:paraId="0D6B6584">
            <w:pPr>
              <w:shd w:val="clear" w:fill="FFFFFF" w:themeFill="background1"/>
              <w:rPr>
                <w:rFonts w:ascii="宋体" w:hAnsi="宋体" w:cs="宋体"/>
                <w:color w:val="auto"/>
                <w:sz w:val="2"/>
                <w:szCs w:val="2"/>
                <w:highlight w:val="none"/>
              </w:rPr>
            </w:pPr>
          </w:p>
        </w:tc>
      </w:tr>
    </w:tbl>
    <w:p w14:paraId="16D6199C">
      <w:pPr>
        <w:pStyle w:val="18"/>
        <w:shd w:val="clear" w:fill="FFFFFF" w:themeFill="background1"/>
        <w:spacing w:before="4"/>
        <w:rPr>
          <w:rFonts w:ascii="宋体" w:hAnsi="宋体" w:cs="宋体"/>
          <w:color w:val="auto"/>
          <w:sz w:val="24"/>
          <w:highlight w:val="none"/>
        </w:rPr>
      </w:pPr>
    </w:p>
    <w:p w14:paraId="7CFFF252">
      <w:pPr>
        <w:pStyle w:val="18"/>
        <w:shd w:val="clear" w:fill="FFFFFF" w:themeFill="background1"/>
        <w:spacing w:before="2"/>
        <w:rPr>
          <w:rFonts w:ascii="宋体" w:hAnsi="宋体" w:cs="宋体"/>
          <w:color w:val="auto"/>
          <w:sz w:val="24"/>
          <w:highlight w:val="none"/>
        </w:rPr>
      </w:pPr>
      <w:r>
        <w:rPr>
          <w:rFonts w:hint="eastAsia" w:ascii="宋体" w:hAnsi="宋体" w:cs="宋体"/>
          <w:color w:val="auto"/>
          <w:sz w:val="24"/>
          <w:highlight w:val="none"/>
        </w:rPr>
        <w:t>注：1、若投标人中标须按本招标文件的约定执行。</w:t>
      </w:r>
    </w:p>
    <w:p w14:paraId="2DC56BCA">
      <w:pPr>
        <w:pStyle w:val="18"/>
        <w:shd w:val="clear" w:fill="FFFFFF" w:themeFill="background1"/>
        <w:spacing w:before="2"/>
        <w:ind w:firstLine="480" w:firstLineChars="200"/>
        <w:rPr>
          <w:rFonts w:ascii="宋体" w:hAnsi="宋体" w:cs="宋体"/>
          <w:color w:val="auto"/>
          <w:sz w:val="24"/>
          <w:highlight w:val="none"/>
        </w:rPr>
      </w:pPr>
      <w:r>
        <w:rPr>
          <w:rFonts w:hint="eastAsia" w:ascii="宋体" w:hAnsi="宋体" w:cs="宋体"/>
          <w:color w:val="auto"/>
          <w:sz w:val="24"/>
          <w:highlight w:val="none"/>
        </w:rPr>
        <w:t>2、本表填写的造价不属于投标报价的内容。</w:t>
      </w:r>
    </w:p>
    <w:p w14:paraId="049EC376">
      <w:pPr>
        <w:pStyle w:val="18"/>
        <w:shd w:val="clear" w:fill="FFFFFF" w:themeFill="background1"/>
        <w:spacing w:before="2"/>
        <w:ind w:firstLine="480" w:firstLineChars="200"/>
        <w:rPr>
          <w:rFonts w:ascii="宋体" w:hAnsi="宋体" w:cs="宋体"/>
          <w:color w:val="auto"/>
          <w:sz w:val="24"/>
          <w:highlight w:val="none"/>
        </w:rPr>
      </w:pPr>
      <w:r>
        <w:rPr>
          <w:rFonts w:hint="eastAsia" w:ascii="宋体" w:hAnsi="宋体" w:cs="宋体"/>
          <w:color w:val="auto"/>
          <w:sz w:val="24"/>
          <w:highlight w:val="none"/>
        </w:rPr>
        <w:t>3、如投标人不具备拟分包工程所需的某专项工程相应资质或投标人如有分包计划，应符合招标文件第二章“投标人须知” 第 1.11 款规定，且按本表的要求填写。</w:t>
      </w:r>
    </w:p>
    <w:p w14:paraId="66BA9011">
      <w:pPr>
        <w:shd w:val="clear" w:fill="FFFFFF" w:themeFill="background1"/>
        <w:jc w:val="center"/>
        <w:rPr>
          <w:rFonts w:ascii="宋体" w:hAnsi="宋体" w:cs="宋体"/>
          <w:b/>
          <w:color w:val="auto"/>
          <w:sz w:val="28"/>
          <w:szCs w:val="28"/>
          <w:highlight w:val="none"/>
        </w:rPr>
        <w:sectPr>
          <w:footnotePr>
            <w:numFmt w:val="decimalEnclosedCircleChinese"/>
          </w:footnotePr>
          <w:pgSz w:w="11906" w:h="16838"/>
          <w:pgMar w:top="1038" w:right="924" w:bottom="936" w:left="1418" w:header="624" w:footer="590" w:gutter="0"/>
          <w:cols w:space="720" w:num="1"/>
          <w:docGrid w:type="lines" w:linePitch="312" w:charSpace="0"/>
        </w:sectPr>
      </w:pPr>
    </w:p>
    <w:p w14:paraId="0D4D2113">
      <w:pPr>
        <w:numPr>
          <w:ilvl w:val="0"/>
          <w:numId w:val="29"/>
        </w:numPr>
        <w:shd w:val="clear" w:fill="FFFFFF" w:themeFill="background1"/>
        <w:jc w:val="center"/>
        <w:rPr>
          <w:rFonts w:ascii="宋体" w:hAnsi="宋体"/>
          <w:b/>
          <w:color w:val="auto"/>
          <w:sz w:val="28"/>
          <w:szCs w:val="28"/>
          <w:highlight w:val="none"/>
        </w:rPr>
      </w:pPr>
      <w:r>
        <w:rPr>
          <w:rFonts w:hint="eastAsia" w:ascii="宋体" w:hAnsi="宋体"/>
          <w:b/>
          <w:color w:val="auto"/>
          <w:sz w:val="28"/>
          <w:szCs w:val="28"/>
          <w:highlight w:val="none"/>
        </w:rPr>
        <w:t>资格审查资料</w:t>
      </w:r>
    </w:p>
    <w:p w14:paraId="2E0A07F4">
      <w:pPr>
        <w:pStyle w:val="55"/>
        <w:shd w:val="clear" w:fill="FFFFFF" w:themeFill="background1"/>
        <w:ind w:firstLine="0"/>
        <w:rPr>
          <w:color w:val="auto"/>
          <w:highlight w:val="none"/>
        </w:rPr>
      </w:pPr>
    </w:p>
    <w:p w14:paraId="19143EE3">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(一)投标人基本情况表</w:t>
      </w:r>
    </w:p>
    <w:p w14:paraId="72DBB8F5">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(二)投标人企业组织机构框图</w:t>
      </w:r>
    </w:p>
    <w:p w14:paraId="5E5D6AAE">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(三)近年财务状况表</w:t>
      </w:r>
    </w:p>
    <w:p w14:paraId="71E33C5E">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(四) 近年完成的类似项目情况表</w:t>
      </w:r>
    </w:p>
    <w:p w14:paraId="21D4F05A">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(四)-1完成的类似项目情况表</w:t>
      </w:r>
    </w:p>
    <w:p w14:paraId="08B19D0F">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(四)-2 完成的类似项目情况汇总表</w:t>
      </w:r>
    </w:p>
    <w:p w14:paraId="5BC0FB63">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（五）投标人的信誉情况表</w:t>
      </w:r>
    </w:p>
    <w:p w14:paraId="5B030D15">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（六）拟委任的项目经理和项目总工情况表</w:t>
      </w:r>
    </w:p>
    <w:p w14:paraId="01FD07F4">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（六）-1 拟委任的项目经理和项目总工汇总表</w:t>
      </w:r>
    </w:p>
    <w:p w14:paraId="33A10F4C">
      <w:pPr>
        <w:shd w:val="clear" w:fill="FFFFFF" w:themeFill="background1"/>
        <w:spacing w:line="360" w:lineRule="auto"/>
        <w:ind w:firstLine="840" w:firstLineChars="350"/>
        <w:rPr>
          <w:rFonts w:ascii="宋体" w:hAnsi="宋体" w:cs="宋体"/>
          <w:bCs/>
          <w:color w:val="auto"/>
          <w:sz w:val="24"/>
          <w:highlight w:val="none"/>
        </w:rPr>
      </w:pPr>
      <w:r>
        <w:rPr>
          <w:rFonts w:hint="eastAsia" w:ascii="宋体" w:hAnsi="宋体" w:cs="宋体"/>
          <w:bCs/>
          <w:color w:val="auto"/>
          <w:sz w:val="24"/>
          <w:highlight w:val="none"/>
        </w:rPr>
        <w:t>（六）-2拟委任的项目经理和项目总工资历表</w:t>
      </w:r>
    </w:p>
    <w:p w14:paraId="46668DCE">
      <w:pPr>
        <w:shd w:val="clear" w:fill="FFFFFF" w:themeFill="background1"/>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5C12951E">
      <w:pPr>
        <w:shd w:val="clear" w:fill="FFFFFF" w:themeFill="background1"/>
        <w:jc w:val="center"/>
        <w:rPr>
          <w:rFonts w:ascii="宋体" w:hAnsi="宋体" w:cs="宋体"/>
          <w:b/>
          <w:color w:val="auto"/>
          <w:sz w:val="24"/>
          <w:highlight w:val="none"/>
        </w:rPr>
      </w:pPr>
    </w:p>
    <w:p w14:paraId="1B2E0E48">
      <w:pPr>
        <w:shd w:val="clear" w:fill="FFFFFF" w:themeFill="background1"/>
        <w:jc w:val="center"/>
        <w:rPr>
          <w:rFonts w:ascii="宋体" w:hAnsi="宋体" w:cs="宋体"/>
          <w:b/>
          <w:color w:val="auto"/>
          <w:sz w:val="24"/>
          <w:highlight w:val="none"/>
        </w:rPr>
      </w:pPr>
      <w:r>
        <w:rPr>
          <w:rFonts w:hint="eastAsia" w:ascii="宋体" w:hAnsi="宋体" w:cs="宋体"/>
          <w:b/>
          <w:color w:val="auto"/>
          <w:sz w:val="24"/>
          <w:highlight w:val="none"/>
        </w:rPr>
        <w:t>（一）投标人基本情况表</w:t>
      </w:r>
    </w:p>
    <w:tbl>
      <w:tblPr>
        <w:tblStyle w:val="45"/>
        <w:tblW w:w="936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37"/>
        <w:gridCol w:w="1111"/>
        <w:gridCol w:w="852"/>
        <w:gridCol w:w="868"/>
        <w:gridCol w:w="755"/>
        <w:gridCol w:w="1302"/>
        <w:gridCol w:w="322"/>
        <w:gridCol w:w="892"/>
        <w:gridCol w:w="1025"/>
      </w:tblGrid>
      <w:tr w14:paraId="1754C6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71024FD2">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投标人名称</w:t>
            </w:r>
          </w:p>
        </w:tc>
        <w:tc>
          <w:tcPr>
            <w:tcW w:w="7127" w:type="dxa"/>
            <w:gridSpan w:val="8"/>
            <w:tcBorders>
              <w:top w:val="single" w:color="auto" w:sz="4" w:space="0"/>
              <w:left w:val="single" w:color="auto" w:sz="4" w:space="0"/>
              <w:bottom w:val="single" w:color="auto" w:sz="4" w:space="0"/>
              <w:right w:val="single" w:color="auto" w:sz="4" w:space="0"/>
            </w:tcBorders>
            <w:vAlign w:val="center"/>
          </w:tcPr>
          <w:p w14:paraId="3DE43937">
            <w:pPr>
              <w:shd w:val="clear" w:fill="FFFFFF" w:themeFill="background1"/>
              <w:topLinePunct/>
              <w:spacing w:line="320" w:lineRule="exact"/>
              <w:jc w:val="center"/>
              <w:rPr>
                <w:rFonts w:ascii="宋体" w:hAnsi="宋体" w:cs="宋体"/>
                <w:color w:val="auto"/>
                <w:sz w:val="24"/>
                <w:highlight w:val="none"/>
              </w:rPr>
            </w:pPr>
          </w:p>
        </w:tc>
      </w:tr>
      <w:tr w14:paraId="4A1ED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10328106">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注册地址</w:t>
            </w:r>
          </w:p>
        </w:tc>
        <w:tc>
          <w:tcPr>
            <w:tcW w:w="3586" w:type="dxa"/>
            <w:gridSpan w:val="4"/>
            <w:tcBorders>
              <w:top w:val="single" w:color="auto" w:sz="4" w:space="0"/>
              <w:left w:val="single" w:color="auto" w:sz="4" w:space="0"/>
              <w:bottom w:val="single" w:color="auto" w:sz="4" w:space="0"/>
              <w:right w:val="single" w:color="auto" w:sz="4" w:space="0"/>
            </w:tcBorders>
            <w:vAlign w:val="center"/>
          </w:tcPr>
          <w:p w14:paraId="0CAEEF8B">
            <w:pPr>
              <w:shd w:val="clear" w:fill="FFFFFF" w:themeFill="background1"/>
              <w:topLinePunct/>
              <w:spacing w:line="320" w:lineRule="exact"/>
              <w:jc w:val="center"/>
              <w:rPr>
                <w:rFonts w:ascii="宋体" w:hAnsi="宋体" w:cs="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vAlign w:val="center"/>
          </w:tcPr>
          <w:p w14:paraId="58777417">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邮政编码</w:t>
            </w:r>
          </w:p>
        </w:tc>
        <w:tc>
          <w:tcPr>
            <w:tcW w:w="2239" w:type="dxa"/>
            <w:gridSpan w:val="3"/>
            <w:tcBorders>
              <w:top w:val="single" w:color="auto" w:sz="4" w:space="0"/>
              <w:left w:val="single" w:color="auto" w:sz="4" w:space="0"/>
              <w:bottom w:val="single" w:color="auto" w:sz="4" w:space="0"/>
              <w:right w:val="single" w:color="auto" w:sz="4" w:space="0"/>
            </w:tcBorders>
            <w:vAlign w:val="center"/>
          </w:tcPr>
          <w:p w14:paraId="48C3F839">
            <w:pPr>
              <w:shd w:val="clear" w:fill="FFFFFF" w:themeFill="background1"/>
              <w:topLinePunct/>
              <w:spacing w:line="320" w:lineRule="exact"/>
              <w:jc w:val="center"/>
              <w:rPr>
                <w:rFonts w:ascii="宋体" w:hAnsi="宋体" w:cs="宋体"/>
                <w:color w:val="auto"/>
                <w:sz w:val="24"/>
                <w:highlight w:val="none"/>
              </w:rPr>
            </w:pPr>
          </w:p>
        </w:tc>
      </w:tr>
      <w:tr w14:paraId="633ED7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vMerge w:val="restart"/>
            <w:tcBorders>
              <w:top w:val="single" w:color="auto" w:sz="4" w:space="0"/>
              <w:left w:val="single" w:color="auto" w:sz="4" w:space="0"/>
              <w:bottom w:val="single" w:color="auto" w:sz="4" w:space="0"/>
              <w:right w:val="single" w:color="auto" w:sz="4" w:space="0"/>
            </w:tcBorders>
            <w:vAlign w:val="center"/>
          </w:tcPr>
          <w:p w14:paraId="2F34B226">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联系方式</w:t>
            </w:r>
          </w:p>
        </w:tc>
        <w:tc>
          <w:tcPr>
            <w:tcW w:w="1111" w:type="dxa"/>
            <w:tcBorders>
              <w:top w:val="single" w:color="auto" w:sz="4" w:space="0"/>
              <w:left w:val="single" w:color="auto" w:sz="4" w:space="0"/>
              <w:bottom w:val="single" w:color="auto" w:sz="4" w:space="0"/>
              <w:right w:val="single" w:color="auto" w:sz="4" w:space="0"/>
            </w:tcBorders>
            <w:vAlign w:val="center"/>
          </w:tcPr>
          <w:p w14:paraId="44E55EA8">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联系人</w:t>
            </w:r>
          </w:p>
        </w:tc>
        <w:tc>
          <w:tcPr>
            <w:tcW w:w="2475" w:type="dxa"/>
            <w:gridSpan w:val="3"/>
            <w:tcBorders>
              <w:top w:val="single" w:color="auto" w:sz="4" w:space="0"/>
              <w:left w:val="single" w:color="auto" w:sz="4" w:space="0"/>
              <w:bottom w:val="single" w:color="auto" w:sz="4" w:space="0"/>
              <w:right w:val="single" w:color="auto" w:sz="4" w:space="0"/>
            </w:tcBorders>
            <w:vAlign w:val="center"/>
          </w:tcPr>
          <w:p w14:paraId="38A610FF">
            <w:pPr>
              <w:shd w:val="clear" w:fill="FFFFFF" w:themeFill="background1"/>
              <w:topLinePunct/>
              <w:spacing w:line="320" w:lineRule="exact"/>
              <w:jc w:val="center"/>
              <w:rPr>
                <w:rFonts w:ascii="宋体" w:hAnsi="宋体" w:cs="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vAlign w:val="center"/>
          </w:tcPr>
          <w:p w14:paraId="28D76AB9">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电 话</w:t>
            </w:r>
          </w:p>
        </w:tc>
        <w:tc>
          <w:tcPr>
            <w:tcW w:w="2239" w:type="dxa"/>
            <w:gridSpan w:val="3"/>
            <w:tcBorders>
              <w:top w:val="single" w:color="auto" w:sz="4" w:space="0"/>
              <w:left w:val="single" w:color="auto" w:sz="4" w:space="0"/>
              <w:bottom w:val="single" w:color="auto" w:sz="4" w:space="0"/>
              <w:right w:val="single" w:color="auto" w:sz="4" w:space="0"/>
            </w:tcBorders>
            <w:vAlign w:val="center"/>
          </w:tcPr>
          <w:p w14:paraId="6434118B">
            <w:pPr>
              <w:shd w:val="clear" w:fill="FFFFFF" w:themeFill="background1"/>
              <w:topLinePunct/>
              <w:spacing w:line="320" w:lineRule="exact"/>
              <w:jc w:val="center"/>
              <w:rPr>
                <w:rFonts w:ascii="宋体" w:hAnsi="宋体" w:cs="宋体"/>
                <w:color w:val="auto"/>
                <w:sz w:val="24"/>
                <w:highlight w:val="none"/>
              </w:rPr>
            </w:pPr>
          </w:p>
        </w:tc>
      </w:tr>
      <w:tr w14:paraId="606AB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vMerge w:val="continue"/>
            <w:tcBorders>
              <w:top w:val="single" w:color="auto" w:sz="4" w:space="0"/>
              <w:left w:val="single" w:color="auto" w:sz="4" w:space="0"/>
              <w:bottom w:val="single" w:color="auto" w:sz="4" w:space="0"/>
              <w:right w:val="single" w:color="auto" w:sz="4" w:space="0"/>
            </w:tcBorders>
            <w:vAlign w:val="center"/>
          </w:tcPr>
          <w:p w14:paraId="2FEC7B65">
            <w:pPr>
              <w:shd w:val="clear" w:fill="FFFFFF" w:themeFill="background1"/>
              <w:topLinePunct/>
              <w:spacing w:line="320" w:lineRule="exact"/>
              <w:jc w:val="center"/>
              <w:rPr>
                <w:rFonts w:ascii="宋体" w:hAnsi="宋体" w:cs="宋体"/>
                <w:color w:val="auto"/>
                <w:sz w:val="24"/>
                <w:highlight w:val="none"/>
              </w:rPr>
            </w:pPr>
          </w:p>
        </w:tc>
        <w:tc>
          <w:tcPr>
            <w:tcW w:w="1111" w:type="dxa"/>
            <w:tcBorders>
              <w:top w:val="single" w:color="auto" w:sz="4" w:space="0"/>
              <w:left w:val="single" w:color="auto" w:sz="4" w:space="0"/>
              <w:bottom w:val="single" w:color="auto" w:sz="4" w:space="0"/>
              <w:right w:val="single" w:color="auto" w:sz="4" w:space="0"/>
            </w:tcBorders>
            <w:vAlign w:val="center"/>
          </w:tcPr>
          <w:p w14:paraId="6AD66382">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传  真</w:t>
            </w:r>
          </w:p>
        </w:tc>
        <w:tc>
          <w:tcPr>
            <w:tcW w:w="2475" w:type="dxa"/>
            <w:gridSpan w:val="3"/>
            <w:tcBorders>
              <w:top w:val="single" w:color="auto" w:sz="4" w:space="0"/>
              <w:left w:val="single" w:color="auto" w:sz="4" w:space="0"/>
              <w:bottom w:val="single" w:color="auto" w:sz="4" w:space="0"/>
              <w:right w:val="single" w:color="auto" w:sz="4" w:space="0"/>
            </w:tcBorders>
            <w:vAlign w:val="center"/>
          </w:tcPr>
          <w:p w14:paraId="1D1AA2A1">
            <w:pPr>
              <w:shd w:val="clear" w:fill="FFFFFF" w:themeFill="background1"/>
              <w:topLinePunct/>
              <w:spacing w:line="320" w:lineRule="exact"/>
              <w:jc w:val="center"/>
              <w:rPr>
                <w:rFonts w:ascii="宋体" w:hAnsi="宋体" w:cs="宋体"/>
                <w:color w:val="auto"/>
                <w:sz w:val="24"/>
                <w:highlight w:val="none"/>
              </w:rPr>
            </w:pPr>
          </w:p>
        </w:tc>
        <w:tc>
          <w:tcPr>
            <w:tcW w:w="1302" w:type="dxa"/>
            <w:tcBorders>
              <w:top w:val="single" w:color="auto" w:sz="4" w:space="0"/>
              <w:left w:val="single" w:color="auto" w:sz="4" w:space="0"/>
              <w:bottom w:val="single" w:color="auto" w:sz="4" w:space="0"/>
              <w:right w:val="single" w:color="auto" w:sz="4" w:space="0"/>
            </w:tcBorders>
            <w:vAlign w:val="center"/>
          </w:tcPr>
          <w:p w14:paraId="26BD5495">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电子邮件</w:t>
            </w:r>
          </w:p>
        </w:tc>
        <w:tc>
          <w:tcPr>
            <w:tcW w:w="2239" w:type="dxa"/>
            <w:gridSpan w:val="3"/>
            <w:tcBorders>
              <w:top w:val="single" w:color="auto" w:sz="4" w:space="0"/>
              <w:left w:val="single" w:color="auto" w:sz="4" w:space="0"/>
              <w:bottom w:val="single" w:color="auto" w:sz="4" w:space="0"/>
              <w:right w:val="single" w:color="auto" w:sz="4" w:space="0"/>
            </w:tcBorders>
            <w:vAlign w:val="center"/>
          </w:tcPr>
          <w:p w14:paraId="4A81349C">
            <w:pPr>
              <w:shd w:val="clear" w:fill="FFFFFF" w:themeFill="background1"/>
              <w:topLinePunct/>
              <w:spacing w:line="320" w:lineRule="exact"/>
              <w:jc w:val="center"/>
              <w:rPr>
                <w:rFonts w:ascii="宋体" w:hAnsi="宋体" w:cs="宋体"/>
                <w:color w:val="auto"/>
                <w:sz w:val="24"/>
                <w:highlight w:val="none"/>
              </w:rPr>
            </w:pPr>
          </w:p>
        </w:tc>
      </w:tr>
      <w:tr w14:paraId="6DF05C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18B9BC16">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法定代表人</w:t>
            </w:r>
          </w:p>
        </w:tc>
        <w:tc>
          <w:tcPr>
            <w:tcW w:w="1111" w:type="dxa"/>
            <w:tcBorders>
              <w:top w:val="single" w:color="auto" w:sz="4" w:space="0"/>
              <w:left w:val="single" w:color="auto" w:sz="4" w:space="0"/>
              <w:bottom w:val="single" w:color="auto" w:sz="4" w:space="0"/>
              <w:right w:val="single" w:color="auto" w:sz="4" w:space="0"/>
            </w:tcBorders>
            <w:vAlign w:val="center"/>
          </w:tcPr>
          <w:p w14:paraId="52596DB2">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姓名</w:t>
            </w:r>
          </w:p>
        </w:tc>
        <w:tc>
          <w:tcPr>
            <w:tcW w:w="852" w:type="dxa"/>
            <w:tcBorders>
              <w:top w:val="single" w:color="auto" w:sz="4" w:space="0"/>
              <w:left w:val="single" w:color="auto" w:sz="4" w:space="0"/>
              <w:bottom w:val="single" w:color="auto" w:sz="4" w:space="0"/>
              <w:right w:val="single" w:color="auto" w:sz="4" w:space="0"/>
            </w:tcBorders>
            <w:vAlign w:val="center"/>
          </w:tcPr>
          <w:p w14:paraId="14DBB038">
            <w:pPr>
              <w:shd w:val="clear" w:fill="FFFFFF" w:themeFill="background1"/>
              <w:topLinePunct/>
              <w:spacing w:line="320" w:lineRule="exact"/>
              <w:jc w:val="center"/>
              <w:rPr>
                <w:rFonts w:ascii="宋体" w:hAnsi="宋体" w:cs="宋体"/>
                <w:color w:val="auto"/>
                <w:sz w:val="24"/>
                <w:highlight w:val="none"/>
              </w:rPr>
            </w:pPr>
          </w:p>
        </w:tc>
        <w:tc>
          <w:tcPr>
            <w:tcW w:w="1623" w:type="dxa"/>
            <w:gridSpan w:val="2"/>
            <w:tcBorders>
              <w:top w:val="single" w:color="auto" w:sz="4" w:space="0"/>
              <w:left w:val="single" w:color="auto" w:sz="4" w:space="0"/>
              <w:bottom w:val="single" w:color="auto" w:sz="4" w:space="0"/>
              <w:right w:val="single" w:color="auto" w:sz="4" w:space="0"/>
            </w:tcBorders>
            <w:vAlign w:val="center"/>
          </w:tcPr>
          <w:p w14:paraId="4641CAC3">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技术职称</w:t>
            </w:r>
          </w:p>
        </w:tc>
        <w:tc>
          <w:tcPr>
            <w:tcW w:w="1302" w:type="dxa"/>
            <w:tcBorders>
              <w:top w:val="single" w:color="auto" w:sz="4" w:space="0"/>
              <w:left w:val="single" w:color="auto" w:sz="4" w:space="0"/>
              <w:bottom w:val="single" w:color="auto" w:sz="4" w:space="0"/>
              <w:right w:val="single" w:color="auto" w:sz="4" w:space="0"/>
            </w:tcBorders>
            <w:vAlign w:val="center"/>
          </w:tcPr>
          <w:p w14:paraId="6214E446">
            <w:pPr>
              <w:shd w:val="clear" w:fill="FFFFFF" w:themeFill="background1"/>
              <w:topLinePunct/>
              <w:spacing w:line="320" w:lineRule="exact"/>
              <w:jc w:val="center"/>
              <w:rPr>
                <w:rFonts w:ascii="宋体" w:hAnsi="宋体" w:cs="宋体"/>
                <w:color w:val="auto"/>
                <w:sz w:val="24"/>
                <w:highlight w:val="none"/>
              </w:rPr>
            </w:pPr>
          </w:p>
        </w:tc>
        <w:tc>
          <w:tcPr>
            <w:tcW w:w="1214" w:type="dxa"/>
            <w:gridSpan w:val="2"/>
            <w:tcBorders>
              <w:top w:val="single" w:color="auto" w:sz="4" w:space="0"/>
              <w:left w:val="single" w:color="auto" w:sz="4" w:space="0"/>
              <w:bottom w:val="single" w:color="auto" w:sz="4" w:space="0"/>
              <w:right w:val="single" w:color="auto" w:sz="4" w:space="0"/>
            </w:tcBorders>
            <w:vAlign w:val="center"/>
          </w:tcPr>
          <w:p w14:paraId="1ACFE106">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电话</w:t>
            </w:r>
          </w:p>
        </w:tc>
        <w:tc>
          <w:tcPr>
            <w:tcW w:w="1025" w:type="dxa"/>
            <w:tcBorders>
              <w:top w:val="single" w:color="auto" w:sz="4" w:space="0"/>
              <w:left w:val="single" w:color="auto" w:sz="4" w:space="0"/>
              <w:bottom w:val="single" w:color="auto" w:sz="4" w:space="0"/>
              <w:right w:val="single" w:color="auto" w:sz="4" w:space="0"/>
            </w:tcBorders>
            <w:vAlign w:val="center"/>
          </w:tcPr>
          <w:p w14:paraId="473665F0">
            <w:pPr>
              <w:shd w:val="clear" w:fill="FFFFFF" w:themeFill="background1"/>
              <w:topLinePunct/>
              <w:spacing w:line="320" w:lineRule="exact"/>
              <w:jc w:val="center"/>
              <w:rPr>
                <w:rFonts w:ascii="宋体" w:hAnsi="宋体" w:cs="宋体"/>
                <w:color w:val="auto"/>
                <w:sz w:val="24"/>
                <w:highlight w:val="none"/>
              </w:rPr>
            </w:pPr>
          </w:p>
        </w:tc>
      </w:tr>
      <w:tr w14:paraId="5B55FA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5AE829EE">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1111" w:type="dxa"/>
            <w:tcBorders>
              <w:top w:val="single" w:color="auto" w:sz="4" w:space="0"/>
              <w:left w:val="single" w:color="auto" w:sz="4" w:space="0"/>
              <w:bottom w:val="single" w:color="auto" w:sz="4" w:space="0"/>
              <w:right w:val="single" w:color="auto" w:sz="4" w:space="0"/>
            </w:tcBorders>
            <w:vAlign w:val="center"/>
          </w:tcPr>
          <w:p w14:paraId="01536D31">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姓名</w:t>
            </w:r>
          </w:p>
        </w:tc>
        <w:tc>
          <w:tcPr>
            <w:tcW w:w="852" w:type="dxa"/>
            <w:tcBorders>
              <w:top w:val="single" w:color="auto" w:sz="4" w:space="0"/>
              <w:left w:val="single" w:color="auto" w:sz="4" w:space="0"/>
              <w:bottom w:val="single" w:color="auto" w:sz="4" w:space="0"/>
              <w:right w:val="single" w:color="auto" w:sz="4" w:space="0"/>
            </w:tcBorders>
            <w:vAlign w:val="center"/>
          </w:tcPr>
          <w:p w14:paraId="5AF8E852">
            <w:pPr>
              <w:shd w:val="clear" w:fill="FFFFFF" w:themeFill="background1"/>
              <w:topLinePunct/>
              <w:spacing w:line="320" w:lineRule="exact"/>
              <w:jc w:val="center"/>
              <w:rPr>
                <w:rFonts w:ascii="宋体" w:hAnsi="宋体" w:cs="宋体"/>
                <w:color w:val="auto"/>
                <w:sz w:val="24"/>
                <w:highlight w:val="none"/>
              </w:rPr>
            </w:pPr>
          </w:p>
        </w:tc>
        <w:tc>
          <w:tcPr>
            <w:tcW w:w="1623" w:type="dxa"/>
            <w:gridSpan w:val="2"/>
            <w:tcBorders>
              <w:top w:val="single" w:color="auto" w:sz="4" w:space="0"/>
              <w:left w:val="single" w:color="auto" w:sz="4" w:space="0"/>
              <w:bottom w:val="single" w:color="auto" w:sz="4" w:space="0"/>
              <w:right w:val="single" w:color="auto" w:sz="4" w:space="0"/>
            </w:tcBorders>
            <w:vAlign w:val="center"/>
          </w:tcPr>
          <w:p w14:paraId="3ABFB572">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技术职称</w:t>
            </w:r>
          </w:p>
        </w:tc>
        <w:tc>
          <w:tcPr>
            <w:tcW w:w="1302" w:type="dxa"/>
            <w:tcBorders>
              <w:top w:val="single" w:color="auto" w:sz="4" w:space="0"/>
              <w:left w:val="single" w:color="auto" w:sz="4" w:space="0"/>
              <w:bottom w:val="single" w:color="auto" w:sz="4" w:space="0"/>
              <w:right w:val="single" w:color="auto" w:sz="4" w:space="0"/>
            </w:tcBorders>
            <w:vAlign w:val="center"/>
          </w:tcPr>
          <w:p w14:paraId="457BE074">
            <w:pPr>
              <w:shd w:val="clear" w:fill="FFFFFF" w:themeFill="background1"/>
              <w:topLinePunct/>
              <w:spacing w:line="320" w:lineRule="exact"/>
              <w:jc w:val="center"/>
              <w:rPr>
                <w:rFonts w:ascii="宋体" w:hAnsi="宋体" w:cs="宋体"/>
                <w:color w:val="auto"/>
                <w:sz w:val="24"/>
                <w:highlight w:val="none"/>
              </w:rPr>
            </w:pPr>
          </w:p>
        </w:tc>
        <w:tc>
          <w:tcPr>
            <w:tcW w:w="1214" w:type="dxa"/>
            <w:gridSpan w:val="2"/>
            <w:tcBorders>
              <w:top w:val="single" w:color="auto" w:sz="4" w:space="0"/>
              <w:left w:val="single" w:color="auto" w:sz="4" w:space="0"/>
              <w:bottom w:val="single" w:color="auto" w:sz="4" w:space="0"/>
              <w:right w:val="single" w:color="auto" w:sz="4" w:space="0"/>
            </w:tcBorders>
            <w:vAlign w:val="center"/>
          </w:tcPr>
          <w:p w14:paraId="3421912D">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电话</w:t>
            </w:r>
          </w:p>
        </w:tc>
        <w:tc>
          <w:tcPr>
            <w:tcW w:w="1025" w:type="dxa"/>
            <w:tcBorders>
              <w:top w:val="single" w:color="auto" w:sz="4" w:space="0"/>
              <w:left w:val="single" w:color="auto" w:sz="4" w:space="0"/>
              <w:bottom w:val="single" w:color="auto" w:sz="4" w:space="0"/>
              <w:right w:val="single" w:color="auto" w:sz="4" w:space="0"/>
            </w:tcBorders>
            <w:vAlign w:val="center"/>
          </w:tcPr>
          <w:p w14:paraId="1F04FF09">
            <w:pPr>
              <w:shd w:val="clear" w:fill="FFFFFF" w:themeFill="background1"/>
              <w:topLinePunct/>
              <w:spacing w:line="320" w:lineRule="exact"/>
              <w:jc w:val="center"/>
              <w:rPr>
                <w:rFonts w:ascii="宋体" w:hAnsi="宋体" w:cs="宋体"/>
                <w:color w:val="auto"/>
                <w:sz w:val="24"/>
                <w:highlight w:val="none"/>
              </w:rPr>
            </w:pPr>
          </w:p>
        </w:tc>
      </w:tr>
      <w:tr w14:paraId="49A291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564355CE">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营业执照号</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327B6FD8">
            <w:pPr>
              <w:shd w:val="clear" w:fill="FFFFFF" w:themeFill="background1"/>
              <w:topLinePunct/>
              <w:spacing w:line="320" w:lineRule="exact"/>
              <w:jc w:val="center"/>
              <w:rPr>
                <w:rFonts w:ascii="宋体" w:hAnsi="宋体" w:cs="宋体"/>
                <w:color w:val="auto"/>
                <w:sz w:val="24"/>
                <w:highlight w:val="none"/>
              </w:rPr>
            </w:pPr>
          </w:p>
        </w:tc>
        <w:tc>
          <w:tcPr>
            <w:tcW w:w="5164" w:type="dxa"/>
            <w:gridSpan w:val="6"/>
            <w:tcBorders>
              <w:top w:val="single" w:color="auto" w:sz="4" w:space="0"/>
              <w:left w:val="single" w:color="auto" w:sz="4" w:space="0"/>
              <w:bottom w:val="single" w:color="auto" w:sz="4" w:space="0"/>
              <w:right w:val="single" w:color="auto" w:sz="4" w:space="0"/>
            </w:tcBorders>
            <w:vAlign w:val="center"/>
          </w:tcPr>
          <w:p w14:paraId="7CB7983F">
            <w:pPr>
              <w:shd w:val="clear" w:fill="FFFFFF" w:themeFill="background1"/>
              <w:topLinePunct/>
              <w:spacing w:line="320" w:lineRule="exact"/>
              <w:ind w:firstLine="1200" w:firstLineChars="500"/>
              <w:rPr>
                <w:rFonts w:ascii="宋体" w:hAnsi="宋体" w:cs="宋体"/>
                <w:color w:val="auto"/>
                <w:sz w:val="24"/>
                <w:highlight w:val="none"/>
              </w:rPr>
            </w:pPr>
            <w:r>
              <w:rPr>
                <w:rFonts w:hint="eastAsia" w:ascii="宋体" w:hAnsi="宋体" w:cs="宋体"/>
                <w:color w:val="auto"/>
                <w:sz w:val="24"/>
                <w:highlight w:val="none"/>
              </w:rPr>
              <w:t>员工总人数：</w:t>
            </w:r>
          </w:p>
        </w:tc>
      </w:tr>
      <w:tr w14:paraId="7CE01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666D8D74">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企业资质等级</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3F406AA9">
            <w:pPr>
              <w:shd w:val="clear" w:fill="FFFFFF" w:themeFill="background1"/>
              <w:topLinePunct/>
              <w:spacing w:line="320" w:lineRule="exact"/>
              <w:jc w:val="center"/>
              <w:rPr>
                <w:rFonts w:ascii="宋体" w:hAnsi="宋体" w:cs="宋体"/>
                <w:color w:val="auto"/>
                <w:sz w:val="24"/>
                <w:highlight w:val="none"/>
              </w:rPr>
            </w:pPr>
          </w:p>
        </w:tc>
        <w:tc>
          <w:tcPr>
            <w:tcW w:w="868" w:type="dxa"/>
            <w:vMerge w:val="restart"/>
            <w:tcBorders>
              <w:top w:val="single" w:color="auto" w:sz="4" w:space="0"/>
              <w:left w:val="single" w:color="auto" w:sz="4" w:space="0"/>
              <w:bottom w:val="single" w:color="auto" w:sz="4" w:space="0"/>
              <w:right w:val="single" w:color="auto" w:sz="4" w:space="0"/>
            </w:tcBorders>
            <w:vAlign w:val="center"/>
          </w:tcPr>
          <w:p w14:paraId="17028327">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其</w:t>
            </w:r>
          </w:p>
          <w:p w14:paraId="00C95B52">
            <w:pPr>
              <w:shd w:val="clear" w:fill="FFFFFF" w:themeFill="background1"/>
              <w:topLinePunct/>
              <w:spacing w:line="320" w:lineRule="exact"/>
              <w:jc w:val="center"/>
              <w:rPr>
                <w:rFonts w:ascii="宋体" w:hAnsi="宋体" w:cs="宋体"/>
                <w:color w:val="auto"/>
                <w:sz w:val="24"/>
                <w:highlight w:val="none"/>
              </w:rPr>
            </w:pPr>
          </w:p>
          <w:p w14:paraId="30729527">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中</w:t>
            </w: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0979ABDC">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项目经理</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224C6F7F">
            <w:pPr>
              <w:shd w:val="clear" w:fill="FFFFFF" w:themeFill="background1"/>
              <w:topLinePunct/>
              <w:spacing w:line="320" w:lineRule="exact"/>
              <w:jc w:val="center"/>
              <w:rPr>
                <w:rFonts w:ascii="宋体" w:hAnsi="宋体" w:cs="宋体"/>
                <w:color w:val="auto"/>
                <w:sz w:val="24"/>
                <w:highlight w:val="none"/>
              </w:rPr>
            </w:pPr>
          </w:p>
        </w:tc>
      </w:tr>
      <w:tr w14:paraId="3FDA1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4C019FF0">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注册资金</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654F7E39">
            <w:pPr>
              <w:shd w:val="clear" w:fill="FFFFFF" w:themeFill="background1"/>
              <w:topLinePunct/>
              <w:spacing w:line="320" w:lineRule="exact"/>
              <w:jc w:val="center"/>
              <w:rPr>
                <w:rFonts w:ascii="宋体" w:hAnsi="宋体" w:cs="宋体"/>
                <w:color w:val="auto"/>
                <w:sz w:val="24"/>
                <w:highlight w:val="none"/>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2924E2E0">
            <w:pPr>
              <w:shd w:val="clear" w:fill="FFFFFF" w:themeFill="background1"/>
              <w:topLinePunct/>
              <w:spacing w:line="320" w:lineRule="exact"/>
              <w:jc w:val="center"/>
              <w:rPr>
                <w:rFonts w:ascii="宋体" w:hAnsi="宋体" w:cs="宋体"/>
                <w:color w:val="auto"/>
                <w:sz w:val="24"/>
                <w:highlight w:val="none"/>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6772B768">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高级职称人员</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123B27CE">
            <w:pPr>
              <w:shd w:val="clear" w:fill="FFFFFF" w:themeFill="background1"/>
              <w:topLinePunct/>
              <w:spacing w:line="320" w:lineRule="exact"/>
              <w:jc w:val="center"/>
              <w:rPr>
                <w:rFonts w:ascii="宋体" w:hAnsi="宋体" w:cs="宋体"/>
                <w:color w:val="auto"/>
                <w:sz w:val="24"/>
                <w:highlight w:val="none"/>
              </w:rPr>
            </w:pPr>
          </w:p>
        </w:tc>
      </w:tr>
      <w:tr w14:paraId="32FCA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26BAE056">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成立日期</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23ABAA32">
            <w:pPr>
              <w:shd w:val="clear" w:fill="FFFFFF" w:themeFill="background1"/>
              <w:topLinePunct/>
              <w:spacing w:line="320" w:lineRule="exact"/>
              <w:jc w:val="center"/>
              <w:rPr>
                <w:rFonts w:ascii="宋体" w:hAnsi="宋体" w:cs="宋体"/>
                <w:color w:val="auto"/>
                <w:sz w:val="24"/>
                <w:highlight w:val="none"/>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172109AE">
            <w:pPr>
              <w:shd w:val="clear" w:fill="FFFFFF" w:themeFill="background1"/>
              <w:topLinePunct/>
              <w:spacing w:line="320" w:lineRule="exact"/>
              <w:jc w:val="center"/>
              <w:rPr>
                <w:rFonts w:ascii="宋体" w:hAnsi="宋体" w:cs="宋体"/>
                <w:color w:val="auto"/>
                <w:sz w:val="24"/>
                <w:highlight w:val="none"/>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249E0141">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中级职称人员</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003D92E1">
            <w:pPr>
              <w:shd w:val="clear" w:fill="FFFFFF" w:themeFill="background1"/>
              <w:topLinePunct/>
              <w:spacing w:line="320" w:lineRule="exact"/>
              <w:jc w:val="center"/>
              <w:rPr>
                <w:rFonts w:ascii="宋体" w:hAnsi="宋体" w:cs="宋体"/>
                <w:color w:val="auto"/>
                <w:sz w:val="24"/>
                <w:highlight w:val="none"/>
              </w:rPr>
            </w:pPr>
          </w:p>
        </w:tc>
      </w:tr>
      <w:tr w14:paraId="575CEF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108286B3">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基本账户开户银行</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6A493BB1">
            <w:pPr>
              <w:shd w:val="clear" w:fill="FFFFFF" w:themeFill="background1"/>
              <w:topLinePunct/>
              <w:spacing w:line="320" w:lineRule="exact"/>
              <w:jc w:val="center"/>
              <w:rPr>
                <w:rFonts w:ascii="宋体" w:hAnsi="宋体" w:cs="宋体"/>
                <w:color w:val="auto"/>
                <w:sz w:val="24"/>
                <w:highlight w:val="none"/>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5A08635E">
            <w:pPr>
              <w:shd w:val="clear" w:fill="FFFFFF" w:themeFill="background1"/>
              <w:topLinePunct/>
              <w:spacing w:line="320" w:lineRule="exact"/>
              <w:jc w:val="center"/>
              <w:rPr>
                <w:rFonts w:ascii="宋体" w:hAnsi="宋体" w:cs="宋体"/>
                <w:color w:val="auto"/>
                <w:sz w:val="24"/>
                <w:highlight w:val="none"/>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142DBC6E">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初级职称人员</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5A706D8F">
            <w:pPr>
              <w:shd w:val="clear" w:fill="FFFFFF" w:themeFill="background1"/>
              <w:topLinePunct/>
              <w:spacing w:line="320" w:lineRule="exact"/>
              <w:jc w:val="center"/>
              <w:rPr>
                <w:rFonts w:ascii="宋体" w:hAnsi="宋体" w:cs="宋体"/>
                <w:color w:val="auto"/>
                <w:sz w:val="24"/>
                <w:highlight w:val="none"/>
              </w:rPr>
            </w:pPr>
          </w:p>
        </w:tc>
      </w:tr>
      <w:tr w14:paraId="11C337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2237" w:type="dxa"/>
            <w:tcBorders>
              <w:top w:val="single" w:color="auto" w:sz="4" w:space="0"/>
              <w:left w:val="single" w:color="auto" w:sz="4" w:space="0"/>
              <w:bottom w:val="single" w:color="auto" w:sz="4" w:space="0"/>
              <w:right w:val="single" w:color="auto" w:sz="4" w:space="0"/>
            </w:tcBorders>
            <w:vAlign w:val="center"/>
          </w:tcPr>
          <w:p w14:paraId="06B44010">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基本账户银行账号</w:t>
            </w:r>
          </w:p>
        </w:tc>
        <w:tc>
          <w:tcPr>
            <w:tcW w:w="1963" w:type="dxa"/>
            <w:gridSpan w:val="2"/>
            <w:tcBorders>
              <w:top w:val="single" w:color="auto" w:sz="4" w:space="0"/>
              <w:left w:val="single" w:color="auto" w:sz="4" w:space="0"/>
              <w:bottom w:val="single" w:color="auto" w:sz="4" w:space="0"/>
              <w:right w:val="single" w:color="auto" w:sz="4" w:space="0"/>
            </w:tcBorders>
            <w:vAlign w:val="center"/>
          </w:tcPr>
          <w:p w14:paraId="77A7B8E0">
            <w:pPr>
              <w:shd w:val="clear" w:fill="FFFFFF" w:themeFill="background1"/>
              <w:topLinePunct/>
              <w:spacing w:line="320" w:lineRule="exact"/>
              <w:jc w:val="center"/>
              <w:rPr>
                <w:rFonts w:ascii="宋体" w:hAnsi="宋体" w:cs="宋体"/>
                <w:color w:val="auto"/>
                <w:sz w:val="24"/>
                <w:highlight w:val="none"/>
              </w:rPr>
            </w:pPr>
          </w:p>
        </w:tc>
        <w:tc>
          <w:tcPr>
            <w:tcW w:w="868" w:type="dxa"/>
            <w:vMerge w:val="continue"/>
            <w:tcBorders>
              <w:top w:val="single" w:color="auto" w:sz="4" w:space="0"/>
              <w:left w:val="single" w:color="auto" w:sz="4" w:space="0"/>
              <w:bottom w:val="single" w:color="auto" w:sz="4" w:space="0"/>
              <w:right w:val="single" w:color="auto" w:sz="4" w:space="0"/>
            </w:tcBorders>
            <w:vAlign w:val="center"/>
          </w:tcPr>
          <w:p w14:paraId="6FE2C012">
            <w:pPr>
              <w:shd w:val="clear" w:fill="FFFFFF" w:themeFill="background1"/>
              <w:topLinePunct/>
              <w:spacing w:line="320" w:lineRule="exact"/>
              <w:jc w:val="center"/>
              <w:rPr>
                <w:rFonts w:ascii="宋体" w:hAnsi="宋体" w:cs="宋体"/>
                <w:color w:val="auto"/>
                <w:sz w:val="24"/>
                <w:highlight w:val="none"/>
              </w:rPr>
            </w:pPr>
          </w:p>
        </w:tc>
        <w:tc>
          <w:tcPr>
            <w:tcW w:w="2379" w:type="dxa"/>
            <w:gridSpan w:val="3"/>
            <w:tcBorders>
              <w:top w:val="single" w:color="auto" w:sz="4" w:space="0"/>
              <w:left w:val="single" w:color="auto" w:sz="4" w:space="0"/>
              <w:bottom w:val="single" w:color="auto" w:sz="4" w:space="0"/>
              <w:right w:val="single" w:color="auto" w:sz="4" w:space="0"/>
            </w:tcBorders>
            <w:vAlign w:val="center"/>
          </w:tcPr>
          <w:p w14:paraId="1BCF807F">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技  工</w:t>
            </w:r>
          </w:p>
        </w:tc>
        <w:tc>
          <w:tcPr>
            <w:tcW w:w="1917" w:type="dxa"/>
            <w:gridSpan w:val="2"/>
            <w:tcBorders>
              <w:top w:val="single" w:color="auto" w:sz="4" w:space="0"/>
              <w:left w:val="single" w:color="auto" w:sz="4" w:space="0"/>
              <w:bottom w:val="single" w:color="auto" w:sz="4" w:space="0"/>
              <w:right w:val="single" w:color="auto" w:sz="4" w:space="0"/>
            </w:tcBorders>
            <w:vAlign w:val="center"/>
          </w:tcPr>
          <w:p w14:paraId="3BBDFB4F">
            <w:pPr>
              <w:shd w:val="clear" w:fill="FFFFFF" w:themeFill="background1"/>
              <w:topLinePunct/>
              <w:spacing w:line="320" w:lineRule="exact"/>
              <w:jc w:val="center"/>
              <w:rPr>
                <w:rFonts w:ascii="宋体" w:hAnsi="宋体" w:cs="宋体"/>
                <w:color w:val="auto"/>
                <w:sz w:val="24"/>
                <w:highlight w:val="none"/>
              </w:rPr>
            </w:pPr>
          </w:p>
        </w:tc>
      </w:tr>
      <w:tr w14:paraId="5BB2B0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55" w:hRule="atLeast"/>
          <w:jc w:val="center"/>
        </w:trPr>
        <w:tc>
          <w:tcPr>
            <w:tcW w:w="2237" w:type="dxa"/>
            <w:tcBorders>
              <w:top w:val="single" w:color="auto" w:sz="4" w:space="0"/>
              <w:left w:val="single" w:color="auto" w:sz="4" w:space="0"/>
              <w:right w:val="single" w:color="auto" w:sz="4" w:space="0"/>
            </w:tcBorders>
            <w:vAlign w:val="center"/>
          </w:tcPr>
          <w:p w14:paraId="1F2A7955">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经营范围</w:t>
            </w:r>
          </w:p>
        </w:tc>
        <w:tc>
          <w:tcPr>
            <w:tcW w:w="7127" w:type="dxa"/>
            <w:gridSpan w:val="8"/>
            <w:tcBorders>
              <w:top w:val="single" w:color="auto" w:sz="4" w:space="0"/>
              <w:left w:val="single" w:color="auto" w:sz="4" w:space="0"/>
              <w:bottom w:val="single" w:color="auto" w:sz="4" w:space="0"/>
              <w:right w:val="single" w:color="auto" w:sz="4" w:space="0"/>
            </w:tcBorders>
            <w:vAlign w:val="center"/>
          </w:tcPr>
          <w:p w14:paraId="709710EC">
            <w:pPr>
              <w:shd w:val="clear" w:fill="FFFFFF" w:themeFill="background1"/>
              <w:topLinePunct/>
              <w:spacing w:line="320" w:lineRule="exact"/>
              <w:jc w:val="center"/>
              <w:rPr>
                <w:rFonts w:ascii="宋体" w:hAnsi="宋体" w:cs="宋体"/>
                <w:color w:val="auto"/>
                <w:sz w:val="24"/>
                <w:highlight w:val="none"/>
              </w:rPr>
            </w:pPr>
          </w:p>
        </w:tc>
      </w:tr>
      <w:tr w14:paraId="15D7DF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07" w:hRule="atLeast"/>
          <w:jc w:val="center"/>
        </w:trPr>
        <w:tc>
          <w:tcPr>
            <w:tcW w:w="2237" w:type="dxa"/>
            <w:tcBorders>
              <w:top w:val="single" w:color="auto" w:sz="4" w:space="0"/>
              <w:left w:val="single" w:color="auto" w:sz="4" w:space="0"/>
              <w:right w:val="single" w:color="auto" w:sz="4" w:space="0"/>
            </w:tcBorders>
            <w:vAlign w:val="center"/>
          </w:tcPr>
          <w:p w14:paraId="2F744C06">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投标人关联企业</w:t>
            </w:r>
          </w:p>
          <w:p w14:paraId="50341BB3">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情况</w:t>
            </w:r>
          </w:p>
        </w:tc>
        <w:tc>
          <w:tcPr>
            <w:tcW w:w="7127" w:type="dxa"/>
            <w:gridSpan w:val="8"/>
            <w:tcBorders>
              <w:top w:val="single" w:color="auto" w:sz="4" w:space="0"/>
              <w:left w:val="single" w:color="auto" w:sz="4" w:space="0"/>
              <w:right w:val="single" w:color="auto" w:sz="4" w:space="0"/>
            </w:tcBorders>
            <w:vAlign w:val="center"/>
          </w:tcPr>
          <w:p w14:paraId="5E1FE188">
            <w:pPr>
              <w:pStyle w:val="59"/>
              <w:shd w:val="clear" w:fill="FFFFFF" w:themeFill="background1"/>
              <w:jc w:val="left"/>
              <w:rPr>
                <w:rFonts w:ascii="宋体" w:hAnsi="宋体" w:cs="宋体"/>
                <w:color w:val="auto"/>
                <w:highlight w:val="none"/>
              </w:rPr>
            </w:pPr>
            <w:r>
              <w:rPr>
                <w:rFonts w:hint="eastAsia" w:ascii="宋体" w:hAnsi="宋体" w:cs="宋体"/>
                <w:color w:val="auto"/>
                <w:highlight w:val="none"/>
              </w:rPr>
              <w:t>投标人应提供关联企业情况，包括：</w:t>
            </w:r>
          </w:p>
          <w:p w14:paraId="157113A1">
            <w:pPr>
              <w:pStyle w:val="59"/>
              <w:shd w:val="clear" w:fill="FFFFFF" w:themeFill="background1"/>
              <w:jc w:val="left"/>
              <w:rPr>
                <w:rFonts w:ascii="宋体" w:hAnsi="宋体" w:cs="宋体"/>
                <w:color w:val="auto"/>
                <w:highlight w:val="none"/>
              </w:rPr>
            </w:pPr>
            <w:r>
              <w:rPr>
                <w:rFonts w:hint="eastAsia" w:ascii="宋体" w:hAnsi="宋体" w:cs="宋体"/>
                <w:color w:val="auto"/>
                <w:highlight w:val="none"/>
              </w:rPr>
              <w:t>（1）投标人的所有股东名称及相应股权（出资额）比例；如投标人为上市公司，投标人应提供股权占公司股份总数</w:t>
            </w:r>
            <w:r>
              <w:rPr>
                <w:rFonts w:hint="eastAsia" w:ascii="宋体" w:hAnsi="宋体" w:cs="宋体"/>
                <w:color w:val="auto"/>
                <w:highlight w:val="none"/>
                <w:u w:val="single"/>
              </w:rPr>
              <w:t xml:space="preserve">    %</w:t>
            </w:r>
            <w:r>
              <w:rPr>
                <w:rFonts w:hint="eastAsia" w:ascii="宋体" w:hAnsi="宋体" w:cs="宋体"/>
                <w:color w:val="auto"/>
                <w:highlight w:val="none"/>
              </w:rPr>
              <w:t>以上的所有股东名称及相应股权比例；</w:t>
            </w:r>
          </w:p>
          <w:p w14:paraId="50359945">
            <w:pPr>
              <w:pStyle w:val="59"/>
              <w:shd w:val="clear" w:fill="FFFFFF" w:themeFill="background1"/>
              <w:jc w:val="left"/>
              <w:rPr>
                <w:rFonts w:ascii="宋体" w:hAnsi="宋体" w:cs="宋体"/>
                <w:color w:val="auto"/>
                <w:highlight w:val="none"/>
              </w:rPr>
            </w:pPr>
            <w:r>
              <w:rPr>
                <w:rFonts w:hint="eastAsia" w:ascii="宋体" w:hAnsi="宋体" w:cs="宋体"/>
                <w:color w:val="auto"/>
                <w:highlight w:val="none"/>
              </w:rPr>
              <w:t>（2）投标人投资（控股）或管理的下属企业名称、持有股权（出资额）比例；</w:t>
            </w:r>
          </w:p>
          <w:p w14:paraId="1614534C">
            <w:pPr>
              <w:pStyle w:val="59"/>
              <w:shd w:val="clear" w:fill="FFFFFF" w:themeFill="background1"/>
              <w:jc w:val="left"/>
              <w:rPr>
                <w:rFonts w:ascii="宋体" w:hAnsi="宋体" w:cs="宋体"/>
                <w:color w:val="auto"/>
                <w:highlight w:val="none"/>
              </w:rPr>
            </w:pPr>
            <w:r>
              <w:rPr>
                <w:rFonts w:hint="eastAsia" w:ascii="宋体" w:hAnsi="宋体" w:cs="宋体"/>
                <w:color w:val="auto"/>
                <w:highlight w:val="none"/>
              </w:rPr>
              <w:t>（3）与投标人单位负责人（即法定代表人）为同一人的其他单位名称。</w:t>
            </w:r>
          </w:p>
        </w:tc>
      </w:tr>
      <w:tr w14:paraId="2BEE50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1" w:hRule="atLeast"/>
          <w:jc w:val="center"/>
        </w:trPr>
        <w:tc>
          <w:tcPr>
            <w:tcW w:w="2237" w:type="dxa"/>
            <w:tcBorders>
              <w:top w:val="single" w:color="auto" w:sz="4" w:space="0"/>
              <w:left w:val="single" w:color="auto" w:sz="4" w:space="0"/>
              <w:bottom w:val="single" w:color="auto" w:sz="4" w:space="0"/>
              <w:right w:val="single" w:color="auto" w:sz="4" w:space="0"/>
            </w:tcBorders>
            <w:vAlign w:val="center"/>
          </w:tcPr>
          <w:p w14:paraId="60C15DBA">
            <w:pPr>
              <w:shd w:val="clear" w:fill="FFFFFF" w:themeFill="background1"/>
              <w:topLinePunct/>
              <w:spacing w:line="320" w:lineRule="exact"/>
              <w:jc w:val="center"/>
              <w:rPr>
                <w:rFonts w:ascii="宋体" w:hAnsi="宋体" w:cs="宋体"/>
                <w:color w:val="auto"/>
                <w:sz w:val="24"/>
                <w:highlight w:val="none"/>
              </w:rPr>
            </w:pPr>
            <w:r>
              <w:rPr>
                <w:rFonts w:hint="eastAsia" w:ascii="宋体" w:hAnsi="宋体" w:cs="宋体"/>
                <w:color w:val="auto"/>
                <w:sz w:val="24"/>
                <w:highlight w:val="none"/>
              </w:rPr>
              <w:t>备注</w:t>
            </w:r>
          </w:p>
        </w:tc>
        <w:tc>
          <w:tcPr>
            <w:tcW w:w="7127" w:type="dxa"/>
            <w:gridSpan w:val="8"/>
            <w:tcBorders>
              <w:top w:val="single" w:color="auto" w:sz="4" w:space="0"/>
              <w:left w:val="single" w:color="auto" w:sz="4" w:space="0"/>
              <w:bottom w:val="single" w:color="auto" w:sz="4" w:space="0"/>
              <w:right w:val="single" w:color="auto" w:sz="4" w:space="0"/>
            </w:tcBorders>
            <w:vAlign w:val="center"/>
          </w:tcPr>
          <w:p w14:paraId="1E9DE78D">
            <w:pPr>
              <w:shd w:val="clear" w:fill="FFFFFF" w:themeFill="background1"/>
              <w:topLinePunct/>
              <w:spacing w:line="320" w:lineRule="exact"/>
              <w:jc w:val="center"/>
              <w:rPr>
                <w:rFonts w:ascii="宋体" w:hAnsi="宋体" w:cs="宋体"/>
                <w:color w:val="auto"/>
                <w:sz w:val="24"/>
                <w:highlight w:val="none"/>
              </w:rPr>
            </w:pPr>
          </w:p>
        </w:tc>
      </w:tr>
    </w:tbl>
    <w:p w14:paraId="245B2077">
      <w:pPr>
        <w:shd w:val="clear" w:fill="FFFFFF" w:themeFill="background1"/>
        <w:spacing w:line="400" w:lineRule="exact"/>
        <w:ind w:left="720" w:hanging="720" w:hangingChars="300"/>
        <w:rPr>
          <w:rFonts w:ascii="宋体" w:hAnsi="宋体" w:cs="宋体"/>
          <w:color w:val="auto"/>
          <w:sz w:val="24"/>
          <w:highlight w:val="none"/>
        </w:rPr>
      </w:pPr>
      <w:r>
        <w:rPr>
          <w:rFonts w:hint="eastAsia" w:ascii="宋体" w:hAnsi="宋体" w:cs="宋体"/>
          <w:color w:val="auto"/>
          <w:sz w:val="24"/>
          <w:highlight w:val="none"/>
        </w:rPr>
        <w:t>注：1. 投标人应根据招标文件第二章“投标人须知”第3.5.1项的要求在本表后附相关证明材料。</w:t>
      </w:r>
    </w:p>
    <w:p w14:paraId="12E7908C">
      <w:pPr>
        <w:shd w:val="clear" w:fill="FFFFFF" w:themeFill="background1"/>
        <w:spacing w:line="400" w:lineRule="exact"/>
        <w:ind w:left="719" w:leftChars="228" w:hanging="240" w:hangingChars="100"/>
        <w:rPr>
          <w:rFonts w:ascii="宋体" w:hAnsi="宋体" w:cs="宋体"/>
          <w:color w:val="auto"/>
          <w:sz w:val="24"/>
          <w:highlight w:val="none"/>
        </w:rPr>
      </w:pPr>
      <w:r>
        <w:rPr>
          <w:rFonts w:hint="eastAsia" w:ascii="宋体" w:hAnsi="宋体" w:cs="宋体"/>
          <w:color w:val="auto"/>
          <w:sz w:val="24"/>
          <w:highlight w:val="none"/>
        </w:rPr>
        <w:t>2.上述信息如经调查核实未如实填写的，按提供虚假材料对待。</w:t>
      </w:r>
    </w:p>
    <w:p w14:paraId="6E13FC3B">
      <w:pPr>
        <w:shd w:val="clear" w:fill="FFFFFF" w:themeFill="background1"/>
        <w:jc w:val="center"/>
        <w:rPr>
          <w:rFonts w:ascii="宋体" w:hAnsi="宋体" w:cs="宋体"/>
          <w:b/>
          <w:color w:val="auto"/>
          <w:sz w:val="28"/>
          <w:szCs w:val="28"/>
          <w:highlight w:val="none"/>
        </w:rPr>
      </w:pPr>
      <w:bookmarkStart w:id="1760" w:name="_Toc238804116"/>
      <w:bookmarkEnd w:id="1760"/>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（二）投标人企业组织机构框图</w:t>
      </w:r>
    </w:p>
    <w:p w14:paraId="54753BCC">
      <w:pPr>
        <w:shd w:val="clear" w:fill="FFFFFF" w:themeFill="background1"/>
        <w:spacing w:line="400" w:lineRule="exact"/>
        <w:rPr>
          <w:rFonts w:ascii="宋体" w:hAnsi="宋体" w:cs="宋体"/>
          <w:color w:val="auto"/>
          <w:highlight w:val="none"/>
        </w:rPr>
      </w:pPr>
    </w:p>
    <w:tbl>
      <w:tblPr>
        <w:tblStyle w:val="45"/>
        <w:tblW w:w="935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56"/>
      </w:tblGrid>
      <w:tr w14:paraId="2F38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16" w:hRule="atLeast"/>
        </w:trPr>
        <w:tc>
          <w:tcPr>
            <w:tcW w:w="9356" w:type="dxa"/>
            <w:tcBorders>
              <w:top w:val="single" w:color="auto" w:sz="4" w:space="0"/>
              <w:left w:val="single" w:color="auto" w:sz="4" w:space="0"/>
              <w:bottom w:val="single" w:color="auto" w:sz="4" w:space="0"/>
              <w:right w:val="single" w:color="auto" w:sz="4" w:space="0"/>
            </w:tcBorders>
          </w:tcPr>
          <w:p w14:paraId="258B3003">
            <w:pPr>
              <w:shd w:val="clear" w:fill="FFFFFF" w:themeFill="background1"/>
              <w:topLinePunct/>
              <w:spacing w:line="320" w:lineRule="exact"/>
              <w:rPr>
                <w:rFonts w:ascii="宋体" w:hAnsi="宋体" w:cs="宋体"/>
                <w:color w:val="auto"/>
                <w:sz w:val="24"/>
                <w:highlight w:val="none"/>
              </w:rPr>
            </w:pPr>
            <w:r>
              <w:rPr>
                <w:rFonts w:hint="eastAsia" w:ascii="宋体" w:hAnsi="宋体" w:cs="宋体"/>
                <w:color w:val="auto"/>
                <w:sz w:val="24"/>
                <w:highlight w:val="none"/>
              </w:rPr>
              <w:t>以框图方式表示</w:t>
            </w:r>
          </w:p>
        </w:tc>
      </w:tr>
      <w:tr w14:paraId="463F78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33" w:hRule="atLeast"/>
        </w:trPr>
        <w:tc>
          <w:tcPr>
            <w:tcW w:w="9356" w:type="dxa"/>
            <w:tcBorders>
              <w:top w:val="single" w:color="auto" w:sz="4" w:space="0"/>
              <w:left w:val="single" w:color="auto" w:sz="4" w:space="0"/>
              <w:right w:val="single" w:color="auto" w:sz="4" w:space="0"/>
            </w:tcBorders>
          </w:tcPr>
          <w:p w14:paraId="6043B830">
            <w:pPr>
              <w:shd w:val="clear" w:fill="FFFFFF" w:themeFill="background1"/>
              <w:topLinePunct/>
              <w:spacing w:line="320" w:lineRule="exact"/>
              <w:rPr>
                <w:rFonts w:ascii="宋体" w:hAnsi="宋体" w:cs="宋体"/>
                <w:color w:val="auto"/>
                <w:sz w:val="24"/>
                <w:highlight w:val="none"/>
              </w:rPr>
            </w:pPr>
            <w:r>
              <w:rPr>
                <w:rFonts w:hint="eastAsia" w:ascii="宋体" w:hAnsi="宋体" w:cs="宋体"/>
                <w:color w:val="auto"/>
                <w:sz w:val="24"/>
                <w:highlight w:val="none"/>
              </w:rPr>
              <w:t>说明</w:t>
            </w:r>
          </w:p>
        </w:tc>
      </w:tr>
    </w:tbl>
    <w:p w14:paraId="4AD260F3">
      <w:pPr>
        <w:shd w:val="clear" w:fill="FFFFFF" w:themeFill="background1"/>
        <w:jc w:val="center"/>
        <w:rPr>
          <w:rFonts w:ascii="宋体" w:hAnsi="宋体" w:cs="宋体"/>
          <w:b/>
          <w:color w:val="auto"/>
          <w:sz w:val="28"/>
          <w:szCs w:val="28"/>
          <w:highlight w:val="none"/>
        </w:rPr>
      </w:pPr>
      <w:bookmarkStart w:id="1761" w:name="_Toc238804117"/>
      <w:bookmarkEnd w:id="1761"/>
      <w:r>
        <w:rPr>
          <w:rFonts w:hint="eastAsia" w:ascii="宋体" w:hAnsi="宋体" w:cs="宋体"/>
          <w:b/>
          <w:color w:val="auto"/>
          <w:sz w:val="28"/>
          <w:szCs w:val="28"/>
          <w:highlight w:val="none"/>
        </w:rPr>
        <w:br w:type="page"/>
      </w:r>
      <w:r>
        <w:rPr>
          <w:rFonts w:hint="eastAsia" w:ascii="宋体" w:hAnsi="宋体" w:cs="宋体"/>
          <w:b/>
          <w:color w:val="auto"/>
          <w:sz w:val="28"/>
          <w:szCs w:val="28"/>
          <w:highlight w:val="none"/>
        </w:rPr>
        <w:t>（三）近年财务状况表</w:t>
      </w:r>
    </w:p>
    <w:tbl>
      <w:tblPr>
        <w:tblStyle w:val="45"/>
        <w:tblW w:w="9318" w:type="dxa"/>
        <w:tblInd w:w="28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1276"/>
        <w:gridCol w:w="1730"/>
        <w:gridCol w:w="1672"/>
        <w:gridCol w:w="1701"/>
      </w:tblGrid>
      <w:tr w14:paraId="35E8A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06EB4E68">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项目或指标</w:t>
            </w:r>
          </w:p>
        </w:tc>
        <w:tc>
          <w:tcPr>
            <w:tcW w:w="1276" w:type="dxa"/>
          </w:tcPr>
          <w:p w14:paraId="3E0B8CF7">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单位</w:t>
            </w:r>
          </w:p>
        </w:tc>
        <w:tc>
          <w:tcPr>
            <w:tcW w:w="1730" w:type="dxa"/>
          </w:tcPr>
          <w:p w14:paraId="7E726AD7">
            <w:pPr>
              <w:shd w:val="clear" w:fill="FFFFFF" w:themeFill="background1"/>
              <w:spacing w:line="400" w:lineRule="exact"/>
              <w:ind w:firstLine="696" w:firstLineChars="290"/>
              <w:rPr>
                <w:rFonts w:ascii="宋体" w:hAnsi="宋体" w:cs="宋体"/>
                <w:color w:val="auto"/>
                <w:sz w:val="24"/>
                <w:highlight w:val="none"/>
              </w:rPr>
            </w:pPr>
            <w:r>
              <w:rPr>
                <w:rFonts w:hint="eastAsia" w:ascii="宋体" w:hAnsi="宋体" w:cs="宋体"/>
                <w:color w:val="auto"/>
                <w:sz w:val="24"/>
                <w:highlight w:val="none"/>
              </w:rPr>
              <w:t>年</w:t>
            </w:r>
          </w:p>
        </w:tc>
        <w:tc>
          <w:tcPr>
            <w:tcW w:w="1672" w:type="dxa"/>
          </w:tcPr>
          <w:p w14:paraId="096266FB">
            <w:pPr>
              <w:shd w:val="clear" w:fill="FFFFFF" w:themeFill="background1"/>
              <w:spacing w:line="400" w:lineRule="exact"/>
              <w:ind w:firstLine="696" w:firstLineChars="290"/>
              <w:rPr>
                <w:rFonts w:ascii="宋体" w:hAnsi="宋体" w:cs="宋体"/>
                <w:color w:val="auto"/>
                <w:sz w:val="24"/>
                <w:highlight w:val="none"/>
              </w:rPr>
            </w:pPr>
            <w:r>
              <w:rPr>
                <w:rFonts w:hint="eastAsia" w:ascii="宋体" w:hAnsi="宋体" w:cs="宋体"/>
                <w:color w:val="auto"/>
                <w:sz w:val="24"/>
                <w:highlight w:val="none"/>
              </w:rPr>
              <w:t>年</w:t>
            </w:r>
          </w:p>
        </w:tc>
        <w:tc>
          <w:tcPr>
            <w:tcW w:w="1701" w:type="dxa"/>
          </w:tcPr>
          <w:p w14:paraId="62F6B489">
            <w:pPr>
              <w:shd w:val="clear" w:fill="FFFFFF" w:themeFill="background1"/>
              <w:spacing w:line="400" w:lineRule="exact"/>
              <w:ind w:firstLine="696" w:firstLineChars="290"/>
              <w:rPr>
                <w:rFonts w:ascii="宋体" w:hAnsi="宋体" w:cs="宋体"/>
                <w:color w:val="auto"/>
                <w:sz w:val="24"/>
                <w:highlight w:val="none"/>
              </w:rPr>
            </w:pPr>
            <w:r>
              <w:rPr>
                <w:rFonts w:hint="eastAsia" w:ascii="宋体" w:hAnsi="宋体" w:cs="宋体"/>
                <w:color w:val="auto"/>
                <w:sz w:val="24"/>
                <w:highlight w:val="none"/>
              </w:rPr>
              <w:t>年</w:t>
            </w:r>
          </w:p>
        </w:tc>
      </w:tr>
      <w:tr w14:paraId="38CED9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45D841CE">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一、注册资金</w:t>
            </w:r>
          </w:p>
        </w:tc>
        <w:tc>
          <w:tcPr>
            <w:tcW w:w="1276" w:type="dxa"/>
          </w:tcPr>
          <w:p w14:paraId="08D34734">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71EF4987">
            <w:pPr>
              <w:shd w:val="clear" w:fill="FFFFFF" w:themeFill="background1"/>
              <w:spacing w:line="400" w:lineRule="exact"/>
              <w:rPr>
                <w:rFonts w:ascii="宋体" w:hAnsi="宋体" w:cs="宋体"/>
                <w:color w:val="auto"/>
                <w:sz w:val="24"/>
                <w:highlight w:val="none"/>
              </w:rPr>
            </w:pPr>
          </w:p>
        </w:tc>
        <w:tc>
          <w:tcPr>
            <w:tcW w:w="1672" w:type="dxa"/>
          </w:tcPr>
          <w:p w14:paraId="6497A7F7">
            <w:pPr>
              <w:shd w:val="clear" w:fill="FFFFFF" w:themeFill="background1"/>
              <w:spacing w:line="400" w:lineRule="exact"/>
              <w:rPr>
                <w:rFonts w:ascii="宋体" w:hAnsi="宋体" w:cs="宋体"/>
                <w:color w:val="auto"/>
                <w:sz w:val="24"/>
                <w:highlight w:val="none"/>
              </w:rPr>
            </w:pPr>
          </w:p>
        </w:tc>
        <w:tc>
          <w:tcPr>
            <w:tcW w:w="1701" w:type="dxa"/>
          </w:tcPr>
          <w:p w14:paraId="5F566C62">
            <w:pPr>
              <w:shd w:val="clear" w:fill="FFFFFF" w:themeFill="background1"/>
              <w:spacing w:line="400" w:lineRule="exact"/>
              <w:rPr>
                <w:rFonts w:ascii="宋体" w:hAnsi="宋体" w:cs="宋体"/>
                <w:color w:val="auto"/>
                <w:sz w:val="24"/>
                <w:highlight w:val="none"/>
              </w:rPr>
            </w:pPr>
          </w:p>
        </w:tc>
      </w:tr>
      <w:tr w14:paraId="12831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3A7D6B35">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二、净资产</w:t>
            </w:r>
          </w:p>
        </w:tc>
        <w:tc>
          <w:tcPr>
            <w:tcW w:w="1276" w:type="dxa"/>
          </w:tcPr>
          <w:p w14:paraId="337C2A09">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4397EDA7">
            <w:pPr>
              <w:shd w:val="clear" w:fill="FFFFFF" w:themeFill="background1"/>
              <w:spacing w:line="400" w:lineRule="exact"/>
              <w:rPr>
                <w:rFonts w:ascii="宋体" w:hAnsi="宋体" w:cs="宋体"/>
                <w:color w:val="auto"/>
                <w:sz w:val="24"/>
                <w:highlight w:val="none"/>
              </w:rPr>
            </w:pPr>
          </w:p>
        </w:tc>
        <w:tc>
          <w:tcPr>
            <w:tcW w:w="1672" w:type="dxa"/>
          </w:tcPr>
          <w:p w14:paraId="59EFE516">
            <w:pPr>
              <w:shd w:val="clear" w:fill="FFFFFF" w:themeFill="background1"/>
              <w:spacing w:line="400" w:lineRule="exact"/>
              <w:rPr>
                <w:rFonts w:ascii="宋体" w:hAnsi="宋体" w:cs="宋体"/>
                <w:color w:val="auto"/>
                <w:sz w:val="24"/>
                <w:highlight w:val="none"/>
              </w:rPr>
            </w:pPr>
          </w:p>
        </w:tc>
        <w:tc>
          <w:tcPr>
            <w:tcW w:w="1701" w:type="dxa"/>
          </w:tcPr>
          <w:p w14:paraId="177F0643">
            <w:pPr>
              <w:shd w:val="clear" w:fill="FFFFFF" w:themeFill="background1"/>
              <w:spacing w:line="400" w:lineRule="exact"/>
              <w:rPr>
                <w:rFonts w:ascii="宋体" w:hAnsi="宋体" w:cs="宋体"/>
                <w:color w:val="auto"/>
                <w:sz w:val="24"/>
                <w:highlight w:val="none"/>
              </w:rPr>
            </w:pPr>
          </w:p>
        </w:tc>
      </w:tr>
      <w:tr w14:paraId="41742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39B87408">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三、总资产</w:t>
            </w:r>
          </w:p>
        </w:tc>
        <w:tc>
          <w:tcPr>
            <w:tcW w:w="1276" w:type="dxa"/>
          </w:tcPr>
          <w:p w14:paraId="4E45EB90">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759A6ADA">
            <w:pPr>
              <w:shd w:val="clear" w:fill="FFFFFF" w:themeFill="background1"/>
              <w:spacing w:line="400" w:lineRule="exact"/>
              <w:rPr>
                <w:rFonts w:ascii="宋体" w:hAnsi="宋体" w:cs="宋体"/>
                <w:color w:val="auto"/>
                <w:sz w:val="24"/>
                <w:highlight w:val="none"/>
              </w:rPr>
            </w:pPr>
          </w:p>
        </w:tc>
        <w:tc>
          <w:tcPr>
            <w:tcW w:w="1672" w:type="dxa"/>
          </w:tcPr>
          <w:p w14:paraId="14C6786C">
            <w:pPr>
              <w:shd w:val="clear" w:fill="FFFFFF" w:themeFill="background1"/>
              <w:spacing w:line="400" w:lineRule="exact"/>
              <w:rPr>
                <w:rFonts w:ascii="宋体" w:hAnsi="宋体" w:cs="宋体"/>
                <w:color w:val="auto"/>
                <w:sz w:val="24"/>
                <w:highlight w:val="none"/>
              </w:rPr>
            </w:pPr>
          </w:p>
        </w:tc>
        <w:tc>
          <w:tcPr>
            <w:tcW w:w="1701" w:type="dxa"/>
          </w:tcPr>
          <w:p w14:paraId="0DCABA13">
            <w:pPr>
              <w:shd w:val="clear" w:fill="FFFFFF" w:themeFill="background1"/>
              <w:spacing w:line="400" w:lineRule="exact"/>
              <w:rPr>
                <w:rFonts w:ascii="宋体" w:hAnsi="宋体" w:cs="宋体"/>
                <w:color w:val="auto"/>
                <w:sz w:val="24"/>
                <w:highlight w:val="none"/>
              </w:rPr>
            </w:pPr>
          </w:p>
        </w:tc>
      </w:tr>
      <w:tr w14:paraId="43EC2B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157C068D">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四、固定资产</w:t>
            </w:r>
          </w:p>
        </w:tc>
        <w:tc>
          <w:tcPr>
            <w:tcW w:w="1276" w:type="dxa"/>
          </w:tcPr>
          <w:p w14:paraId="60BA8DDA">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32535D5A">
            <w:pPr>
              <w:shd w:val="clear" w:fill="FFFFFF" w:themeFill="background1"/>
              <w:spacing w:line="400" w:lineRule="exact"/>
              <w:rPr>
                <w:rFonts w:ascii="宋体" w:hAnsi="宋体" w:cs="宋体"/>
                <w:color w:val="auto"/>
                <w:sz w:val="24"/>
                <w:highlight w:val="none"/>
              </w:rPr>
            </w:pPr>
          </w:p>
        </w:tc>
        <w:tc>
          <w:tcPr>
            <w:tcW w:w="1672" w:type="dxa"/>
          </w:tcPr>
          <w:p w14:paraId="4000B3D9">
            <w:pPr>
              <w:shd w:val="clear" w:fill="FFFFFF" w:themeFill="background1"/>
              <w:spacing w:line="400" w:lineRule="exact"/>
              <w:rPr>
                <w:rFonts w:ascii="宋体" w:hAnsi="宋体" w:cs="宋体"/>
                <w:color w:val="auto"/>
                <w:sz w:val="24"/>
                <w:highlight w:val="none"/>
              </w:rPr>
            </w:pPr>
          </w:p>
        </w:tc>
        <w:tc>
          <w:tcPr>
            <w:tcW w:w="1701" w:type="dxa"/>
          </w:tcPr>
          <w:p w14:paraId="07449860">
            <w:pPr>
              <w:shd w:val="clear" w:fill="FFFFFF" w:themeFill="background1"/>
              <w:spacing w:line="400" w:lineRule="exact"/>
              <w:rPr>
                <w:rFonts w:ascii="宋体" w:hAnsi="宋体" w:cs="宋体"/>
                <w:color w:val="auto"/>
                <w:sz w:val="24"/>
                <w:highlight w:val="none"/>
              </w:rPr>
            </w:pPr>
          </w:p>
        </w:tc>
      </w:tr>
      <w:tr w14:paraId="3B3F2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033D68D6">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五、流动资产</w:t>
            </w:r>
          </w:p>
        </w:tc>
        <w:tc>
          <w:tcPr>
            <w:tcW w:w="1276" w:type="dxa"/>
          </w:tcPr>
          <w:p w14:paraId="7066D991">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607B7AB3">
            <w:pPr>
              <w:shd w:val="clear" w:fill="FFFFFF" w:themeFill="background1"/>
              <w:spacing w:line="400" w:lineRule="exact"/>
              <w:rPr>
                <w:rFonts w:ascii="宋体" w:hAnsi="宋体" w:cs="宋体"/>
                <w:color w:val="auto"/>
                <w:sz w:val="24"/>
                <w:highlight w:val="none"/>
              </w:rPr>
            </w:pPr>
          </w:p>
        </w:tc>
        <w:tc>
          <w:tcPr>
            <w:tcW w:w="1672" w:type="dxa"/>
          </w:tcPr>
          <w:p w14:paraId="536619A4">
            <w:pPr>
              <w:shd w:val="clear" w:fill="FFFFFF" w:themeFill="background1"/>
              <w:spacing w:line="400" w:lineRule="exact"/>
              <w:rPr>
                <w:rFonts w:ascii="宋体" w:hAnsi="宋体" w:cs="宋体"/>
                <w:color w:val="auto"/>
                <w:sz w:val="24"/>
                <w:highlight w:val="none"/>
              </w:rPr>
            </w:pPr>
          </w:p>
        </w:tc>
        <w:tc>
          <w:tcPr>
            <w:tcW w:w="1701" w:type="dxa"/>
          </w:tcPr>
          <w:p w14:paraId="1773C638">
            <w:pPr>
              <w:shd w:val="clear" w:fill="FFFFFF" w:themeFill="background1"/>
              <w:spacing w:line="400" w:lineRule="exact"/>
              <w:rPr>
                <w:rFonts w:ascii="宋体" w:hAnsi="宋体" w:cs="宋体"/>
                <w:color w:val="auto"/>
                <w:sz w:val="24"/>
                <w:highlight w:val="none"/>
              </w:rPr>
            </w:pPr>
          </w:p>
        </w:tc>
      </w:tr>
      <w:tr w14:paraId="0ED018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06CE4B72">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六、流动负债</w:t>
            </w:r>
          </w:p>
        </w:tc>
        <w:tc>
          <w:tcPr>
            <w:tcW w:w="1276" w:type="dxa"/>
          </w:tcPr>
          <w:p w14:paraId="6191EE70">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5A137C2A">
            <w:pPr>
              <w:shd w:val="clear" w:fill="FFFFFF" w:themeFill="background1"/>
              <w:spacing w:line="400" w:lineRule="exact"/>
              <w:rPr>
                <w:rFonts w:ascii="宋体" w:hAnsi="宋体" w:cs="宋体"/>
                <w:color w:val="auto"/>
                <w:sz w:val="24"/>
                <w:highlight w:val="none"/>
              </w:rPr>
            </w:pPr>
          </w:p>
        </w:tc>
        <w:tc>
          <w:tcPr>
            <w:tcW w:w="1672" w:type="dxa"/>
          </w:tcPr>
          <w:p w14:paraId="05854B3C">
            <w:pPr>
              <w:shd w:val="clear" w:fill="FFFFFF" w:themeFill="background1"/>
              <w:spacing w:line="400" w:lineRule="exact"/>
              <w:rPr>
                <w:rFonts w:ascii="宋体" w:hAnsi="宋体" w:cs="宋体"/>
                <w:color w:val="auto"/>
                <w:sz w:val="24"/>
                <w:highlight w:val="none"/>
              </w:rPr>
            </w:pPr>
          </w:p>
        </w:tc>
        <w:tc>
          <w:tcPr>
            <w:tcW w:w="1701" w:type="dxa"/>
          </w:tcPr>
          <w:p w14:paraId="0F8A96BE">
            <w:pPr>
              <w:shd w:val="clear" w:fill="FFFFFF" w:themeFill="background1"/>
              <w:spacing w:line="400" w:lineRule="exact"/>
              <w:rPr>
                <w:rFonts w:ascii="宋体" w:hAnsi="宋体" w:cs="宋体"/>
                <w:color w:val="auto"/>
                <w:sz w:val="24"/>
                <w:highlight w:val="none"/>
              </w:rPr>
            </w:pPr>
          </w:p>
        </w:tc>
      </w:tr>
      <w:tr w14:paraId="08230E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2534CA54">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七、负债合计</w:t>
            </w:r>
          </w:p>
        </w:tc>
        <w:tc>
          <w:tcPr>
            <w:tcW w:w="1276" w:type="dxa"/>
          </w:tcPr>
          <w:p w14:paraId="6BF5735E">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35918A07">
            <w:pPr>
              <w:shd w:val="clear" w:fill="FFFFFF" w:themeFill="background1"/>
              <w:spacing w:line="400" w:lineRule="exact"/>
              <w:rPr>
                <w:rFonts w:ascii="宋体" w:hAnsi="宋体" w:cs="宋体"/>
                <w:color w:val="auto"/>
                <w:sz w:val="24"/>
                <w:highlight w:val="none"/>
              </w:rPr>
            </w:pPr>
          </w:p>
        </w:tc>
        <w:tc>
          <w:tcPr>
            <w:tcW w:w="1672" w:type="dxa"/>
          </w:tcPr>
          <w:p w14:paraId="6891DB14">
            <w:pPr>
              <w:shd w:val="clear" w:fill="FFFFFF" w:themeFill="background1"/>
              <w:spacing w:line="400" w:lineRule="exact"/>
              <w:rPr>
                <w:rFonts w:ascii="宋体" w:hAnsi="宋体" w:cs="宋体"/>
                <w:color w:val="auto"/>
                <w:sz w:val="24"/>
                <w:highlight w:val="none"/>
              </w:rPr>
            </w:pPr>
          </w:p>
        </w:tc>
        <w:tc>
          <w:tcPr>
            <w:tcW w:w="1701" w:type="dxa"/>
          </w:tcPr>
          <w:p w14:paraId="54115DCC">
            <w:pPr>
              <w:shd w:val="clear" w:fill="FFFFFF" w:themeFill="background1"/>
              <w:spacing w:line="400" w:lineRule="exact"/>
              <w:rPr>
                <w:rFonts w:ascii="宋体" w:hAnsi="宋体" w:cs="宋体"/>
                <w:color w:val="auto"/>
                <w:sz w:val="24"/>
                <w:highlight w:val="none"/>
              </w:rPr>
            </w:pPr>
          </w:p>
        </w:tc>
      </w:tr>
      <w:tr w14:paraId="60A758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C033865">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八、营业收入</w:t>
            </w:r>
          </w:p>
        </w:tc>
        <w:tc>
          <w:tcPr>
            <w:tcW w:w="1276" w:type="dxa"/>
          </w:tcPr>
          <w:p w14:paraId="262DAA05">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41A4A843">
            <w:pPr>
              <w:shd w:val="clear" w:fill="FFFFFF" w:themeFill="background1"/>
              <w:spacing w:line="400" w:lineRule="exact"/>
              <w:rPr>
                <w:rFonts w:ascii="宋体" w:hAnsi="宋体" w:cs="宋体"/>
                <w:color w:val="auto"/>
                <w:sz w:val="24"/>
                <w:highlight w:val="none"/>
              </w:rPr>
            </w:pPr>
          </w:p>
        </w:tc>
        <w:tc>
          <w:tcPr>
            <w:tcW w:w="1672" w:type="dxa"/>
          </w:tcPr>
          <w:p w14:paraId="3026D367">
            <w:pPr>
              <w:shd w:val="clear" w:fill="FFFFFF" w:themeFill="background1"/>
              <w:spacing w:line="400" w:lineRule="exact"/>
              <w:rPr>
                <w:rFonts w:ascii="宋体" w:hAnsi="宋体" w:cs="宋体"/>
                <w:color w:val="auto"/>
                <w:sz w:val="24"/>
                <w:highlight w:val="none"/>
              </w:rPr>
            </w:pPr>
          </w:p>
        </w:tc>
        <w:tc>
          <w:tcPr>
            <w:tcW w:w="1701" w:type="dxa"/>
          </w:tcPr>
          <w:p w14:paraId="25AEB90F">
            <w:pPr>
              <w:shd w:val="clear" w:fill="FFFFFF" w:themeFill="background1"/>
              <w:spacing w:line="400" w:lineRule="exact"/>
              <w:rPr>
                <w:rFonts w:ascii="宋体" w:hAnsi="宋体" w:cs="宋体"/>
                <w:color w:val="auto"/>
                <w:sz w:val="24"/>
                <w:highlight w:val="none"/>
              </w:rPr>
            </w:pPr>
          </w:p>
        </w:tc>
      </w:tr>
      <w:tr w14:paraId="74A93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29D6A7BC">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九、净利润</w:t>
            </w:r>
          </w:p>
        </w:tc>
        <w:tc>
          <w:tcPr>
            <w:tcW w:w="1276" w:type="dxa"/>
          </w:tcPr>
          <w:p w14:paraId="32A08FAD">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4A1919A5">
            <w:pPr>
              <w:shd w:val="clear" w:fill="FFFFFF" w:themeFill="background1"/>
              <w:spacing w:line="400" w:lineRule="exact"/>
              <w:rPr>
                <w:rFonts w:ascii="宋体" w:hAnsi="宋体" w:cs="宋体"/>
                <w:color w:val="auto"/>
                <w:sz w:val="24"/>
                <w:highlight w:val="none"/>
              </w:rPr>
            </w:pPr>
          </w:p>
        </w:tc>
        <w:tc>
          <w:tcPr>
            <w:tcW w:w="1672" w:type="dxa"/>
          </w:tcPr>
          <w:p w14:paraId="53D83F86">
            <w:pPr>
              <w:shd w:val="clear" w:fill="FFFFFF" w:themeFill="background1"/>
              <w:spacing w:line="400" w:lineRule="exact"/>
              <w:rPr>
                <w:rFonts w:ascii="宋体" w:hAnsi="宋体" w:cs="宋体"/>
                <w:color w:val="auto"/>
                <w:sz w:val="24"/>
                <w:highlight w:val="none"/>
              </w:rPr>
            </w:pPr>
          </w:p>
        </w:tc>
        <w:tc>
          <w:tcPr>
            <w:tcW w:w="1701" w:type="dxa"/>
          </w:tcPr>
          <w:p w14:paraId="0DD5FCF2">
            <w:pPr>
              <w:shd w:val="clear" w:fill="FFFFFF" w:themeFill="background1"/>
              <w:spacing w:line="400" w:lineRule="exact"/>
              <w:rPr>
                <w:rFonts w:ascii="宋体" w:hAnsi="宋体" w:cs="宋体"/>
                <w:color w:val="auto"/>
                <w:sz w:val="24"/>
                <w:highlight w:val="none"/>
              </w:rPr>
            </w:pPr>
          </w:p>
        </w:tc>
      </w:tr>
      <w:tr w14:paraId="12F97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45885BD9">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十、现金流量净额</w:t>
            </w:r>
          </w:p>
        </w:tc>
        <w:tc>
          <w:tcPr>
            <w:tcW w:w="1276" w:type="dxa"/>
          </w:tcPr>
          <w:p w14:paraId="21296351">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1730" w:type="dxa"/>
          </w:tcPr>
          <w:p w14:paraId="64C5F848">
            <w:pPr>
              <w:shd w:val="clear" w:fill="FFFFFF" w:themeFill="background1"/>
              <w:spacing w:line="400" w:lineRule="exact"/>
              <w:rPr>
                <w:rFonts w:ascii="宋体" w:hAnsi="宋体" w:cs="宋体"/>
                <w:color w:val="auto"/>
                <w:sz w:val="24"/>
                <w:highlight w:val="none"/>
              </w:rPr>
            </w:pPr>
          </w:p>
        </w:tc>
        <w:tc>
          <w:tcPr>
            <w:tcW w:w="1672" w:type="dxa"/>
          </w:tcPr>
          <w:p w14:paraId="3E736318">
            <w:pPr>
              <w:shd w:val="clear" w:fill="FFFFFF" w:themeFill="background1"/>
              <w:spacing w:line="400" w:lineRule="exact"/>
              <w:rPr>
                <w:rFonts w:ascii="宋体" w:hAnsi="宋体" w:cs="宋体"/>
                <w:color w:val="auto"/>
                <w:sz w:val="24"/>
                <w:highlight w:val="none"/>
              </w:rPr>
            </w:pPr>
          </w:p>
        </w:tc>
        <w:tc>
          <w:tcPr>
            <w:tcW w:w="1701" w:type="dxa"/>
          </w:tcPr>
          <w:p w14:paraId="22B02E71">
            <w:pPr>
              <w:shd w:val="clear" w:fill="FFFFFF" w:themeFill="background1"/>
              <w:spacing w:line="400" w:lineRule="exact"/>
              <w:rPr>
                <w:rFonts w:ascii="宋体" w:hAnsi="宋体" w:cs="宋体"/>
                <w:color w:val="auto"/>
                <w:sz w:val="24"/>
                <w:highlight w:val="none"/>
              </w:rPr>
            </w:pPr>
          </w:p>
        </w:tc>
      </w:tr>
      <w:tr w14:paraId="1CD49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30E0521">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十一、主要财务指标</w:t>
            </w:r>
          </w:p>
        </w:tc>
        <w:tc>
          <w:tcPr>
            <w:tcW w:w="1276" w:type="dxa"/>
          </w:tcPr>
          <w:p w14:paraId="587F17B9">
            <w:pPr>
              <w:shd w:val="clear" w:fill="FFFFFF" w:themeFill="background1"/>
              <w:spacing w:line="400" w:lineRule="exact"/>
              <w:jc w:val="center"/>
              <w:rPr>
                <w:rFonts w:ascii="宋体" w:hAnsi="宋体" w:cs="宋体"/>
                <w:color w:val="auto"/>
                <w:sz w:val="24"/>
                <w:highlight w:val="none"/>
              </w:rPr>
            </w:pPr>
          </w:p>
        </w:tc>
        <w:tc>
          <w:tcPr>
            <w:tcW w:w="1730" w:type="dxa"/>
          </w:tcPr>
          <w:p w14:paraId="4A3FA744">
            <w:pPr>
              <w:shd w:val="clear" w:fill="FFFFFF" w:themeFill="background1"/>
              <w:spacing w:line="400" w:lineRule="exact"/>
              <w:rPr>
                <w:rFonts w:ascii="宋体" w:hAnsi="宋体" w:cs="宋体"/>
                <w:color w:val="auto"/>
                <w:sz w:val="24"/>
                <w:highlight w:val="none"/>
              </w:rPr>
            </w:pPr>
          </w:p>
        </w:tc>
        <w:tc>
          <w:tcPr>
            <w:tcW w:w="1672" w:type="dxa"/>
          </w:tcPr>
          <w:p w14:paraId="1934E659">
            <w:pPr>
              <w:shd w:val="clear" w:fill="FFFFFF" w:themeFill="background1"/>
              <w:spacing w:line="400" w:lineRule="exact"/>
              <w:rPr>
                <w:rFonts w:ascii="宋体" w:hAnsi="宋体" w:cs="宋体"/>
                <w:color w:val="auto"/>
                <w:sz w:val="24"/>
                <w:highlight w:val="none"/>
              </w:rPr>
            </w:pPr>
          </w:p>
        </w:tc>
        <w:tc>
          <w:tcPr>
            <w:tcW w:w="1701" w:type="dxa"/>
          </w:tcPr>
          <w:p w14:paraId="410D4C03">
            <w:pPr>
              <w:shd w:val="clear" w:fill="FFFFFF" w:themeFill="background1"/>
              <w:spacing w:line="400" w:lineRule="exact"/>
              <w:rPr>
                <w:rFonts w:ascii="宋体" w:hAnsi="宋体" w:cs="宋体"/>
                <w:color w:val="auto"/>
                <w:sz w:val="24"/>
                <w:highlight w:val="none"/>
              </w:rPr>
            </w:pPr>
          </w:p>
        </w:tc>
      </w:tr>
      <w:tr w14:paraId="2A6E97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1A68C90">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xml:space="preserve">   1.净资产收益率</w:t>
            </w:r>
          </w:p>
        </w:tc>
        <w:tc>
          <w:tcPr>
            <w:tcW w:w="1276" w:type="dxa"/>
          </w:tcPr>
          <w:p w14:paraId="76EF1A38">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1730" w:type="dxa"/>
          </w:tcPr>
          <w:p w14:paraId="10931872">
            <w:pPr>
              <w:shd w:val="clear" w:fill="FFFFFF" w:themeFill="background1"/>
              <w:spacing w:line="400" w:lineRule="exact"/>
              <w:rPr>
                <w:rFonts w:ascii="宋体" w:hAnsi="宋体" w:cs="宋体"/>
                <w:color w:val="auto"/>
                <w:sz w:val="24"/>
                <w:highlight w:val="none"/>
              </w:rPr>
            </w:pPr>
          </w:p>
        </w:tc>
        <w:tc>
          <w:tcPr>
            <w:tcW w:w="1672" w:type="dxa"/>
          </w:tcPr>
          <w:p w14:paraId="244D28C6">
            <w:pPr>
              <w:shd w:val="clear" w:fill="FFFFFF" w:themeFill="background1"/>
              <w:spacing w:line="400" w:lineRule="exact"/>
              <w:rPr>
                <w:rFonts w:ascii="宋体" w:hAnsi="宋体" w:cs="宋体"/>
                <w:color w:val="auto"/>
                <w:sz w:val="24"/>
                <w:highlight w:val="none"/>
              </w:rPr>
            </w:pPr>
          </w:p>
        </w:tc>
        <w:tc>
          <w:tcPr>
            <w:tcW w:w="1701" w:type="dxa"/>
          </w:tcPr>
          <w:p w14:paraId="15CEFF63">
            <w:pPr>
              <w:shd w:val="clear" w:fill="FFFFFF" w:themeFill="background1"/>
              <w:spacing w:line="400" w:lineRule="exact"/>
              <w:rPr>
                <w:rFonts w:ascii="宋体" w:hAnsi="宋体" w:cs="宋体"/>
                <w:color w:val="auto"/>
                <w:sz w:val="24"/>
                <w:highlight w:val="none"/>
              </w:rPr>
            </w:pPr>
          </w:p>
        </w:tc>
      </w:tr>
      <w:tr w14:paraId="51499E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186114C5">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xml:space="preserve">   2.总资产报酬率</w:t>
            </w:r>
          </w:p>
        </w:tc>
        <w:tc>
          <w:tcPr>
            <w:tcW w:w="1276" w:type="dxa"/>
          </w:tcPr>
          <w:p w14:paraId="0B83FB87">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1730" w:type="dxa"/>
          </w:tcPr>
          <w:p w14:paraId="766B63F5">
            <w:pPr>
              <w:shd w:val="clear" w:fill="FFFFFF" w:themeFill="background1"/>
              <w:spacing w:line="400" w:lineRule="exact"/>
              <w:rPr>
                <w:rFonts w:ascii="宋体" w:hAnsi="宋体" w:cs="宋体"/>
                <w:color w:val="auto"/>
                <w:sz w:val="24"/>
                <w:highlight w:val="none"/>
              </w:rPr>
            </w:pPr>
          </w:p>
        </w:tc>
        <w:tc>
          <w:tcPr>
            <w:tcW w:w="1672" w:type="dxa"/>
          </w:tcPr>
          <w:p w14:paraId="7A8FD19F">
            <w:pPr>
              <w:shd w:val="clear" w:fill="FFFFFF" w:themeFill="background1"/>
              <w:spacing w:line="400" w:lineRule="exact"/>
              <w:rPr>
                <w:rFonts w:ascii="宋体" w:hAnsi="宋体" w:cs="宋体"/>
                <w:color w:val="auto"/>
                <w:sz w:val="24"/>
                <w:highlight w:val="none"/>
              </w:rPr>
            </w:pPr>
          </w:p>
        </w:tc>
        <w:tc>
          <w:tcPr>
            <w:tcW w:w="1701" w:type="dxa"/>
          </w:tcPr>
          <w:p w14:paraId="5E4D45EB">
            <w:pPr>
              <w:shd w:val="clear" w:fill="FFFFFF" w:themeFill="background1"/>
              <w:spacing w:line="400" w:lineRule="exact"/>
              <w:rPr>
                <w:rFonts w:ascii="宋体" w:hAnsi="宋体" w:cs="宋体"/>
                <w:color w:val="auto"/>
                <w:sz w:val="24"/>
                <w:highlight w:val="none"/>
              </w:rPr>
            </w:pPr>
          </w:p>
        </w:tc>
      </w:tr>
      <w:tr w14:paraId="3DF390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4B62E580">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xml:space="preserve">   3.主营业务利润率</w:t>
            </w:r>
          </w:p>
        </w:tc>
        <w:tc>
          <w:tcPr>
            <w:tcW w:w="1276" w:type="dxa"/>
          </w:tcPr>
          <w:p w14:paraId="2DEC0C6E">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1730" w:type="dxa"/>
          </w:tcPr>
          <w:p w14:paraId="448C73C4">
            <w:pPr>
              <w:shd w:val="clear" w:fill="FFFFFF" w:themeFill="background1"/>
              <w:spacing w:line="400" w:lineRule="exact"/>
              <w:rPr>
                <w:rFonts w:ascii="宋体" w:hAnsi="宋体" w:cs="宋体"/>
                <w:color w:val="auto"/>
                <w:sz w:val="24"/>
                <w:highlight w:val="none"/>
              </w:rPr>
            </w:pPr>
          </w:p>
        </w:tc>
        <w:tc>
          <w:tcPr>
            <w:tcW w:w="1672" w:type="dxa"/>
          </w:tcPr>
          <w:p w14:paraId="1B3405F1">
            <w:pPr>
              <w:shd w:val="clear" w:fill="FFFFFF" w:themeFill="background1"/>
              <w:spacing w:line="400" w:lineRule="exact"/>
              <w:rPr>
                <w:rFonts w:ascii="宋体" w:hAnsi="宋体" w:cs="宋体"/>
                <w:color w:val="auto"/>
                <w:sz w:val="24"/>
                <w:highlight w:val="none"/>
              </w:rPr>
            </w:pPr>
          </w:p>
        </w:tc>
        <w:tc>
          <w:tcPr>
            <w:tcW w:w="1701" w:type="dxa"/>
          </w:tcPr>
          <w:p w14:paraId="2EC8E847">
            <w:pPr>
              <w:shd w:val="clear" w:fill="FFFFFF" w:themeFill="background1"/>
              <w:spacing w:line="400" w:lineRule="exact"/>
              <w:rPr>
                <w:rFonts w:ascii="宋体" w:hAnsi="宋体" w:cs="宋体"/>
                <w:color w:val="auto"/>
                <w:sz w:val="24"/>
                <w:highlight w:val="none"/>
              </w:rPr>
            </w:pPr>
          </w:p>
        </w:tc>
      </w:tr>
      <w:tr w14:paraId="3B804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769F30C7">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xml:space="preserve">   4.资产负债率</w:t>
            </w:r>
          </w:p>
        </w:tc>
        <w:tc>
          <w:tcPr>
            <w:tcW w:w="1276" w:type="dxa"/>
          </w:tcPr>
          <w:p w14:paraId="1CCF68EF">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1730" w:type="dxa"/>
          </w:tcPr>
          <w:p w14:paraId="46E2C667">
            <w:pPr>
              <w:shd w:val="clear" w:fill="FFFFFF" w:themeFill="background1"/>
              <w:spacing w:line="400" w:lineRule="exact"/>
              <w:rPr>
                <w:rFonts w:ascii="宋体" w:hAnsi="宋体" w:cs="宋体"/>
                <w:color w:val="auto"/>
                <w:sz w:val="24"/>
                <w:highlight w:val="none"/>
              </w:rPr>
            </w:pPr>
          </w:p>
        </w:tc>
        <w:tc>
          <w:tcPr>
            <w:tcW w:w="1672" w:type="dxa"/>
          </w:tcPr>
          <w:p w14:paraId="47C5F557">
            <w:pPr>
              <w:shd w:val="clear" w:fill="FFFFFF" w:themeFill="background1"/>
              <w:spacing w:line="400" w:lineRule="exact"/>
              <w:rPr>
                <w:rFonts w:ascii="宋体" w:hAnsi="宋体" w:cs="宋体"/>
                <w:color w:val="auto"/>
                <w:sz w:val="24"/>
                <w:highlight w:val="none"/>
              </w:rPr>
            </w:pPr>
          </w:p>
        </w:tc>
        <w:tc>
          <w:tcPr>
            <w:tcW w:w="1701" w:type="dxa"/>
          </w:tcPr>
          <w:p w14:paraId="02A19B6F">
            <w:pPr>
              <w:shd w:val="clear" w:fill="FFFFFF" w:themeFill="background1"/>
              <w:spacing w:line="400" w:lineRule="exact"/>
              <w:rPr>
                <w:rFonts w:ascii="宋体" w:hAnsi="宋体" w:cs="宋体"/>
                <w:color w:val="auto"/>
                <w:sz w:val="24"/>
                <w:highlight w:val="none"/>
              </w:rPr>
            </w:pPr>
          </w:p>
        </w:tc>
      </w:tr>
      <w:tr w14:paraId="1DDBD6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353F781F">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xml:space="preserve">   5.流动比率</w:t>
            </w:r>
          </w:p>
        </w:tc>
        <w:tc>
          <w:tcPr>
            <w:tcW w:w="1276" w:type="dxa"/>
          </w:tcPr>
          <w:p w14:paraId="7C0E4330">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1730" w:type="dxa"/>
          </w:tcPr>
          <w:p w14:paraId="0C06F58D">
            <w:pPr>
              <w:shd w:val="clear" w:fill="FFFFFF" w:themeFill="background1"/>
              <w:spacing w:line="400" w:lineRule="exact"/>
              <w:rPr>
                <w:rFonts w:ascii="宋体" w:hAnsi="宋体" w:cs="宋体"/>
                <w:color w:val="auto"/>
                <w:sz w:val="24"/>
                <w:highlight w:val="none"/>
              </w:rPr>
            </w:pPr>
          </w:p>
        </w:tc>
        <w:tc>
          <w:tcPr>
            <w:tcW w:w="1672" w:type="dxa"/>
          </w:tcPr>
          <w:p w14:paraId="22AFBA8A">
            <w:pPr>
              <w:shd w:val="clear" w:fill="FFFFFF" w:themeFill="background1"/>
              <w:spacing w:line="400" w:lineRule="exact"/>
              <w:rPr>
                <w:rFonts w:ascii="宋体" w:hAnsi="宋体" w:cs="宋体"/>
                <w:color w:val="auto"/>
                <w:sz w:val="24"/>
                <w:highlight w:val="none"/>
              </w:rPr>
            </w:pPr>
          </w:p>
        </w:tc>
        <w:tc>
          <w:tcPr>
            <w:tcW w:w="1701" w:type="dxa"/>
          </w:tcPr>
          <w:p w14:paraId="3E37744D">
            <w:pPr>
              <w:shd w:val="clear" w:fill="FFFFFF" w:themeFill="background1"/>
              <w:spacing w:line="400" w:lineRule="exact"/>
              <w:rPr>
                <w:rFonts w:ascii="宋体" w:hAnsi="宋体" w:cs="宋体"/>
                <w:color w:val="auto"/>
                <w:sz w:val="24"/>
                <w:highlight w:val="none"/>
              </w:rPr>
            </w:pPr>
          </w:p>
        </w:tc>
      </w:tr>
      <w:tr w14:paraId="67C4F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5CDB80EA">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 xml:space="preserve">   6.速动比率</w:t>
            </w:r>
          </w:p>
        </w:tc>
        <w:tc>
          <w:tcPr>
            <w:tcW w:w="1276" w:type="dxa"/>
          </w:tcPr>
          <w:p w14:paraId="0C4A9E53">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1730" w:type="dxa"/>
          </w:tcPr>
          <w:p w14:paraId="62EA19F9">
            <w:pPr>
              <w:shd w:val="clear" w:fill="FFFFFF" w:themeFill="background1"/>
              <w:spacing w:line="400" w:lineRule="exact"/>
              <w:rPr>
                <w:rFonts w:ascii="宋体" w:hAnsi="宋体" w:cs="宋体"/>
                <w:color w:val="auto"/>
                <w:sz w:val="24"/>
                <w:highlight w:val="none"/>
              </w:rPr>
            </w:pPr>
          </w:p>
        </w:tc>
        <w:tc>
          <w:tcPr>
            <w:tcW w:w="1672" w:type="dxa"/>
          </w:tcPr>
          <w:p w14:paraId="0C18F7B2">
            <w:pPr>
              <w:shd w:val="clear" w:fill="FFFFFF" w:themeFill="background1"/>
              <w:spacing w:line="400" w:lineRule="exact"/>
              <w:rPr>
                <w:rFonts w:ascii="宋体" w:hAnsi="宋体" w:cs="宋体"/>
                <w:color w:val="auto"/>
                <w:sz w:val="24"/>
                <w:highlight w:val="none"/>
              </w:rPr>
            </w:pPr>
          </w:p>
        </w:tc>
        <w:tc>
          <w:tcPr>
            <w:tcW w:w="1701" w:type="dxa"/>
          </w:tcPr>
          <w:p w14:paraId="7B7F5FD8">
            <w:pPr>
              <w:shd w:val="clear" w:fill="FFFFFF" w:themeFill="background1"/>
              <w:spacing w:line="400" w:lineRule="exact"/>
              <w:rPr>
                <w:rFonts w:ascii="宋体" w:hAnsi="宋体" w:cs="宋体"/>
                <w:color w:val="auto"/>
                <w:sz w:val="24"/>
                <w:highlight w:val="none"/>
              </w:rPr>
            </w:pPr>
          </w:p>
        </w:tc>
      </w:tr>
      <w:tr w14:paraId="11513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3C81BBE5">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近三个年度的年平均营业总收入</w:t>
            </w:r>
          </w:p>
        </w:tc>
        <w:tc>
          <w:tcPr>
            <w:tcW w:w="1276" w:type="dxa"/>
            <w:vAlign w:val="center"/>
          </w:tcPr>
          <w:p w14:paraId="6AF91D8B">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5103" w:type="dxa"/>
            <w:gridSpan w:val="3"/>
          </w:tcPr>
          <w:p w14:paraId="6D2D1690">
            <w:pPr>
              <w:shd w:val="clear" w:fill="FFFFFF" w:themeFill="background1"/>
              <w:spacing w:line="400" w:lineRule="exact"/>
              <w:rPr>
                <w:rFonts w:ascii="宋体" w:hAnsi="宋体" w:cs="宋体"/>
                <w:color w:val="auto"/>
                <w:sz w:val="24"/>
                <w:highlight w:val="none"/>
              </w:rPr>
            </w:pPr>
          </w:p>
        </w:tc>
      </w:tr>
      <w:tr w14:paraId="518563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939" w:type="dxa"/>
          </w:tcPr>
          <w:p w14:paraId="592C74B3">
            <w:pPr>
              <w:shd w:val="clear" w:fill="FFFFFF" w:themeFill="background1"/>
              <w:spacing w:line="400" w:lineRule="exact"/>
              <w:rPr>
                <w:rFonts w:ascii="宋体" w:hAnsi="宋体" w:cs="宋体"/>
                <w:color w:val="auto"/>
                <w:sz w:val="24"/>
                <w:highlight w:val="none"/>
              </w:rPr>
            </w:pPr>
            <w:r>
              <w:rPr>
                <w:rFonts w:hint="eastAsia" w:ascii="宋体" w:hAnsi="宋体" w:cs="宋体"/>
                <w:color w:val="auto"/>
                <w:sz w:val="24"/>
                <w:highlight w:val="none"/>
              </w:rPr>
              <w:t>最新年度具有的营运资金（流动资产-流动负债）</w:t>
            </w:r>
          </w:p>
        </w:tc>
        <w:tc>
          <w:tcPr>
            <w:tcW w:w="1276" w:type="dxa"/>
            <w:vAlign w:val="center"/>
          </w:tcPr>
          <w:p w14:paraId="3C4F65DE">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万元</w:t>
            </w:r>
          </w:p>
        </w:tc>
        <w:tc>
          <w:tcPr>
            <w:tcW w:w="5103" w:type="dxa"/>
            <w:gridSpan w:val="3"/>
          </w:tcPr>
          <w:p w14:paraId="0E279C5D">
            <w:pPr>
              <w:shd w:val="clear" w:fill="FFFFFF" w:themeFill="background1"/>
              <w:spacing w:line="400" w:lineRule="exact"/>
              <w:rPr>
                <w:rFonts w:ascii="宋体" w:hAnsi="宋体" w:cs="宋体"/>
                <w:color w:val="auto"/>
                <w:sz w:val="24"/>
                <w:highlight w:val="none"/>
              </w:rPr>
            </w:pPr>
          </w:p>
        </w:tc>
      </w:tr>
    </w:tbl>
    <w:p w14:paraId="3EF0719D">
      <w:pPr>
        <w:shd w:val="clear" w:fill="FFFFFF" w:themeFill="background1"/>
        <w:ind w:left="810" w:leftChars="100" w:hanging="600" w:hangingChars="250"/>
        <w:jc w:val="left"/>
        <w:rPr>
          <w:rFonts w:ascii="宋体" w:hAnsi="宋体" w:cs="宋体"/>
          <w:color w:val="auto"/>
          <w:sz w:val="24"/>
          <w:highlight w:val="none"/>
        </w:rPr>
      </w:pPr>
      <w:r>
        <w:rPr>
          <w:rFonts w:hint="eastAsia" w:ascii="宋体" w:hAnsi="宋体" w:cs="宋体"/>
          <w:color w:val="auto"/>
          <w:sz w:val="24"/>
          <w:highlight w:val="none"/>
        </w:rPr>
        <w:t>注：1. 投标人应根据招标文件第二章“投标人须知”第 3.5.2 项的要求在本表后附相关证明材料。</w:t>
      </w:r>
    </w:p>
    <w:p w14:paraId="0EBA81F8">
      <w:pPr>
        <w:shd w:val="clear" w:fill="FFFFFF" w:themeFill="background1"/>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40890A13">
      <w:pPr>
        <w:shd w:val="clear" w:fill="FFFFFF" w:themeFill="background1"/>
        <w:jc w:val="center"/>
        <w:rPr>
          <w:rFonts w:ascii="宋体" w:hAnsi="宋体" w:cs="宋体"/>
          <w:b/>
          <w:color w:val="auto"/>
          <w:sz w:val="28"/>
          <w:szCs w:val="28"/>
          <w:highlight w:val="none"/>
        </w:rPr>
      </w:pPr>
      <w:r>
        <w:rPr>
          <w:rFonts w:hint="eastAsia" w:ascii="宋体" w:hAnsi="宋体" w:cs="宋体"/>
          <w:b/>
          <w:color w:val="auto"/>
          <w:sz w:val="28"/>
          <w:szCs w:val="28"/>
          <w:highlight w:val="none"/>
        </w:rPr>
        <w:t>(四) 近年完成的类似项目情况表</w:t>
      </w:r>
    </w:p>
    <w:p w14:paraId="4E246AE2">
      <w:pPr>
        <w:shd w:val="clear" w:fill="FFFFFF" w:themeFill="background1"/>
        <w:jc w:val="center"/>
        <w:rPr>
          <w:rFonts w:ascii="宋体" w:hAnsi="宋体" w:cs="宋体"/>
          <w:b/>
          <w:color w:val="auto"/>
          <w:sz w:val="28"/>
          <w:szCs w:val="28"/>
          <w:highlight w:val="none"/>
        </w:rPr>
      </w:pPr>
      <w:r>
        <w:rPr>
          <w:rFonts w:hint="eastAsia" w:ascii="宋体" w:hAnsi="宋体" w:cs="宋体"/>
          <w:b/>
          <w:color w:val="auto"/>
          <w:sz w:val="28"/>
          <w:szCs w:val="28"/>
          <w:highlight w:val="none"/>
        </w:rPr>
        <w:t>（四）</w:t>
      </w:r>
      <w:r>
        <w:rPr>
          <w:rFonts w:hint="eastAsia" w:ascii="宋体" w:hAnsi="宋体" w:cs="宋体"/>
          <w:b/>
          <w:bCs/>
          <w:color w:val="auto"/>
          <w:sz w:val="28"/>
          <w:szCs w:val="28"/>
          <w:highlight w:val="none"/>
        </w:rPr>
        <w:t>-1完成的类似项目情况表</w:t>
      </w:r>
    </w:p>
    <w:tbl>
      <w:tblPr>
        <w:tblStyle w:val="45"/>
        <w:tblW w:w="93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6554"/>
      </w:tblGrid>
      <w:tr w14:paraId="4A2AAD0D">
        <w:tblPrEx>
          <w:tblCellMar>
            <w:top w:w="0" w:type="dxa"/>
            <w:left w:w="108" w:type="dxa"/>
            <w:bottom w:w="0" w:type="dxa"/>
            <w:right w:w="108" w:type="dxa"/>
          </w:tblCellMar>
        </w:tblPrEx>
        <w:trPr>
          <w:trHeight w:val="567" w:hRule="atLeast"/>
          <w:jc w:val="center"/>
        </w:trPr>
        <w:tc>
          <w:tcPr>
            <w:tcW w:w="2802" w:type="dxa"/>
            <w:vAlign w:val="center"/>
          </w:tcPr>
          <w:p w14:paraId="4855622A">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序    号</w:t>
            </w:r>
          </w:p>
        </w:tc>
        <w:tc>
          <w:tcPr>
            <w:tcW w:w="6554" w:type="dxa"/>
            <w:vAlign w:val="center"/>
          </w:tcPr>
          <w:p w14:paraId="15A102F3">
            <w:pPr>
              <w:shd w:val="clear" w:fill="FFFFFF" w:themeFill="background1"/>
              <w:spacing w:line="400" w:lineRule="exact"/>
              <w:jc w:val="center"/>
              <w:rPr>
                <w:rFonts w:ascii="宋体" w:hAnsi="宋体" w:cs="宋体"/>
                <w:color w:val="auto"/>
                <w:sz w:val="24"/>
                <w:highlight w:val="none"/>
              </w:rPr>
            </w:pPr>
          </w:p>
        </w:tc>
      </w:tr>
      <w:tr w14:paraId="0D644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425B3C8F">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554" w:type="dxa"/>
            <w:vAlign w:val="center"/>
          </w:tcPr>
          <w:p w14:paraId="6EB95126">
            <w:pPr>
              <w:shd w:val="clear" w:fill="FFFFFF" w:themeFill="background1"/>
              <w:spacing w:line="400" w:lineRule="exact"/>
              <w:jc w:val="center"/>
              <w:rPr>
                <w:rFonts w:ascii="宋体" w:hAnsi="宋体" w:cs="宋体"/>
                <w:color w:val="auto"/>
                <w:sz w:val="24"/>
                <w:highlight w:val="none"/>
              </w:rPr>
            </w:pPr>
          </w:p>
        </w:tc>
      </w:tr>
      <w:tr w14:paraId="539977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62FB5507">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项目所在地</w:t>
            </w:r>
          </w:p>
        </w:tc>
        <w:tc>
          <w:tcPr>
            <w:tcW w:w="6554" w:type="dxa"/>
            <w:vAlign w:val="center"/>
          </w:tcPr>
          <w:p w14:paraId="7EB6C4C8">
            <w:pPr>
              <w:shd w:val="clear" w:fill="FFFFFF" w:themeFill="background1"/>
              <w:spacing w:line="400" w:lineRule="exact"/>
              <w:jc w:val="center"/>
              <w:rPr>
                <w:rFonts w:ascii="宋体" w:hAnsi="宋体" w:cs="宋体"/>
                <w:color w:val="auto"/>
                <w:sz w:val="24"/>
                <w:highlight w:val="none"/>
              </w:rPr>
            </w:pPr>
          </w:p>
        </w:tc>
      </w:tr>
      <w:tr w14:paraId="240166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7C7AC7F0">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发包人名称</w:t>
            </w:r>
          </w:p>
        </w:tc>
        <w:tc>
          <w:tcPr>
            <w:tcW w:w="6554" w:type="dxa"/>
            <w:vAlign w:val="center"/>
          </w:tcPr>
          <w:p w14:paraId="30F6F8A1">
            <w:pPr>
              <w:shd w:val="clear" w:fill="FFFFFF" w:themeFill="background1"/>
              <w:spacing w:line="400" w:lineRule="exact"/>
              <w:jc w:val="center"/>
              <w:rPr>
                <w:rFonts w:ascii="宋体" w:hAnsi="宋体" w:cs="宋体"/>
                <w:color w:val="auto"/>
                <w:sz w:val="24"/>
                <w:highlight w:val="none"/>
              </w:rPr>
            </w:pPr>
          </w:p>
        </w:tc>
      </w:tr>
      <w:tr w14:paraId="433706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65712E78">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发包人地址</w:t>
            </w:r>
          </w:p>
        </w:tc>
        <w:tc>
          <w:tcPr>
            <w:tcW w:w="6554" w:type="dxa"/>
            <w:vAlign w:val="center"/>
          </w:tcPr>
          <w:p w14:paraId="063998A0">
            <w:pPr>
              <w:shd w:val="clear" w:fill="FFFFFF" w:themeFill="background1"/>
              <w:spacing w:line="400" w:lineRule="exact"/>
              <w:jc w:val="center"/>
              <w:rPr>
                <w:rFonts w:ascii="宋体" w:hAnsi="宋体" w:cs="宋体"/>
                <w:color w:val="auto"/>
                <w:sz w:val="24"/>
                <w:highlight w:val="none"/>
              </w:rPr>
            </w:pPr>
          </w:p>
        </w:tc>
      </w:tr>
      <w:tr w14:paraId="527CC1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115BF46F">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发包人电话</w:t>
            </w:r>
          </w:p>
        </w:tc>
        <w:tc>
          <w:tcPr>
            <w:tcW w:w="6554" w:type="dxa"/>
            <w:vAlign w:val="center"/>
          </w:tcPr>
          <w:p w14:paraId="1D97C0F1">
            <w:pPr>
              <w:shd w:val="clear" w:fill="FFFFFF" w:themeFill="background1"/>
              <w:spacing w:line="400" w:lineRule="exact"/>
              <w:jc w:val="center"/>
              <w:rPr>
                <w:rFonts w:ascii="宋体" w:hAnsi="宋体" w:cs="宋体"/>
                <w:color w:val="auto"/>
                <w:sz w:val="24"/>
                <w:highlight w:val="none"/>
              </w:rPr>
            </w:pPr>
          </w:p>
        </w:tc>
      </w:tr>
      <w:tr w14:paraId="743FD2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55DC2151">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合同价格</w:t>
            </w:r>
          </w:p>
        </w:tc>
        <w:tc>
          <w:tcPr>
            <w:tcW w:w="6554" w:type="dxa"/>
            <w:vAlign w:val="center"/>
          </w:tcPr>
          <w:p w14:paraId="738B6545">
            <w:pPr>
              <w:shd w:val="clear" w:fill="FFFFFF" w:themeFill="background1"/>
              <w:spacing w:line="400" w:lineRule="exact"/>
              <w:jc w:val="center"/>
              <w:rPr>
                <w:rFonts w:ascii="宋体" w:hAnsi="宋体" w:cs="宋体"/>
                <w:color w:val="auto"/>
                <w:sz w:val="24"/>
                <w:highlight w:val="none"/>
              </w:rPr>
            </w:pPr>
          </w:p>
        </w:tc>
      </w:tr>
      <w:tr w14:paraId="3D60F5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0BF06BB2">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开工日期</w:t>
            </w:r>
          </w:p>
        </w:tc>
        <w:tc>
          <w:tcPr>
            <w:tcW w:w="6554" w:type="dxa"/>
            <w:vAlign w:val="center"/>
          </w:tcPr>
          <w:p w14:paraId="0D724D68">
            <w:pPr>
              <w:shd w:val="clear" w:fill="FFFFFF" w:themeFill="background1"/>
              <w:spacing w:line="400" w:lineRule="exact"/>
              <w:jc w:val="center"/>
              <w:rPr>
                <w:rFonts w:ascii="宋体" w:hAnsi="宋体" w:cs="宋体"/>
                <w:color w:val="auto"/>
                <w:sz w:val="24"/>
                <w:highlight w:val="none"/>
              </w:rPr>
            </w:pPr>
          </w:p>
        </w:tc>
      </w:tr>
      <w:tr w14:paraId="734507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3E51EA65">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交工（或一次性竣</w:t>
            </w:r>
          </w:p>
          <w:p w14:paraId="4C5772AE">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工）日期</w:t>
            </w:r>
          </w:p>
        </w:tc>
        <w:tc>
          <w:tcPr>
            <w:tcW w:w="6554" w:type="dxa"/>
            <w:vAlign w:val="center"/>
          </w:tcPr>
          <w:p w14:paraId="4EBD0CD2">
            <w:pPr>
              <w:shd w:val="clear" w:fill="FFFFFF" w:themeFill="background1"/>
              <w:spacing w:line="400" w:lineRule="exact"/>
              <w:jc w:val="center"/>
              <w:rPr>
                <w:rFonts w:ascii="宋体" w:hAnsi="宋体" w:cs="宋体"/>
                <w:color w:val="auto"/>
                <w:sz w:val="24"/>
                <w:highlight w:val="none"/>
              </w:rPr>
            </w:pPr>
          </w:p>
        </w:tc>
      </w:tr>
      <w:tr w14:paraId="2067DC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71E94AB4">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承担的工作</w:t>
            </w:r>
          </w:p>
        </w:tc>
        <w:tc>
          <w:tcPr>
            <w:tcW w:w="6554" w:type="dxa"/>
            <w:vAlign w:val="center"/>
          </w:tcPr>
          <w:p w14:paraId="1F68AFB5">
            <w:pPr>
              <w:shd w:val="clear" w:fill="FFFFFF" w:themeFill="background1"/>
              <w:spacing w:line="400" w:lineRule="exact"/>
              <w:jc w:val="center"/>
              <w:rPr>
                <w:rFonts w:ascii="宋体" w:hAnsi="宋体" w:cs="宋体"/>
                <w:color w:val="auto"/>
                <w:sz w:val="24"/>
                <w:highlight w:val="none"/>
              </w:rPr>
            </w:pPr>
          </w:p>
        </w:tc>
      </w:tr>
      <w:tr w14:paraId="649B3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5ACFF1EA">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工程质量评分（或</w:t>
            </w:r>
          </w:p>
          <w:p w14:paraId="627D72FB">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等级）</w:t>
            </w:r>
          </w:p>
        </w:tc>
        <w:tc>
          <w:tcPr>
            <w:tcW w:w="6554" w:type="dxa"/>
            <w:vAlign w:val="center"/>
          </w:tcPr>
          <w:p w14:paraId="5CA5C6B3">
            <w:pPr>
              <w:shd w:val="clear" w:fill="FFFFFF" w:themeFill="background1"/>
              <w:spacing w:line="400" w:lineRule="exact"/>
              <w:jc w:val="center"/>
              <w:rPr>
                <w:rFonts w:ascii="宋体" w:hAnsi="宋体" w:cs="宋体"/>
                <w:color w:val="auto"/>
                <w:sz w:val="24"/>
                <w:highlight w:val="none"/>
              </w:rPr>
            </w:pPr>
          </w:p>
        </w:tc>
      </w:tr>
      <w:tr w14:paraId="02C45F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483D3367">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项目经理</w:t>
            </w:r>
          </w:p>
        </w:tc>
        <w:tc>
          <w:tcPr>
            <w:tcW w:w="6554" w:type="dxa"/>
            <w:vAlign w:val="center"/>
          </w:tcPr>
          <w:p w14:paraId="4FC3F93D">
            <w:pPr>
              <w:shd w:val="clear" w:fill="FFFFFF" w:themeFill="background1"/>
              <w:spacing w:line="400" w:lineRule="exact"/>
              <w:jc w:val="center"/>
              <w:rPr>
                <w:rFonts w:ascii="宋体" w:hAnsi="宋体" w:cs="宋体"/>
                <w:color w:val="auto"/>
                <w:sz w:val="24"/>
                <w:highlight w:val="none"/>
              </w:rPr>
            </w:pPr>
          </w:p>
        </w:tc>
      </w:tr>
      <w:tr w14:paraId="2093BF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5C49D5EC">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项目总工</w:t>
            </w:r>
          </w:p>
        </w:tc>
        <w:tc>
          <w:tcPr>
            <w:tcW w:w="6554" w:type="dxa"/>
            <w:vAlign w:val="center"/>
          </w:tcPr>
          <w:p w14:paraId="443CC9DA">
            <w:pPr>
              <w:shd w:val="clear" w:fill="FFFFFF" w:themeFill="background1"/>
              <w:spacing w:line="400" w:lineRule="exact"/>
              <w:jc w:val="center"/>
              <w:rPr>
                <w:rFonts w:ascii="宋体" w:hAnsi="宋体" w:cs="宋体"/>
                <w:color w:val="auto"/>
                <w:sz w:val="24"/>
                <w:highlight w:val="none"/>
              </w:rPr>
            </w:pPr>
          </w:p>
        </w:tc>
      </w:tr>
      <w:tr w14:paraId="225B87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7DF7A83A">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总监理工程师及电话</w:t>
            </w:r>
          </w:p>
        </w:tc>
        <w:tc>
          <w:tcPr>
            <w:tcW w:w="6554" w:type="dxa"/>
            <w:vAlign w:val="center"/>
          </w:tcPr>
          <w:p w14:paraId="3A3F2535">
            <w:pPr>
              <w:shd w:val="clear" w:fill="FFFFFF" w:themeFill="background1"/>
              <w:spacing w:line="400" w:lineRule="exact"/>
              <w:jc w:val="center"/>
              <w:rPr>
                <w:rFonts w:ascii="宋体" w:hAnsi="宋体" w:cs="宋体"/>
                <w:color w:val="auto"/>
                <w:sz w:val="24"/>
                <w:highlight w:val="none"/>
              </w:rPr>
            </w:pPr>
          </w:p>
        </w:tc>
      </w:tr>
      <w:tr w14:paraId="042DAB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2802" w:type="dxa"/>
            <w:vAlign w:val="center"/>
          </w:tcPr>
          <w:p w14:paraId="07D623AD">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554" w:type="dxa"/>
            <w:vAlign w:val="center"/>
          </w:tcPr>
          <w:p w14:paraId="21A3D8F2">
            <w:pPr>
              <w:shd w:val="clear" w:fill="FFFFFF" w:themeFill="background1"/>
              <w:spacing w:line="400" w:lineRule="exact"/>
              <w:jc w:val="center"/>
              <w:rPr>
                <w:rFonts w:ascii="宋体" w:hAnsi="宋体" w:cs="宋体"/>
                <w:color w:val="auto"/>
                <w:sz w:val="24"/>
                <w:highlight w:val="none"/>
              </w:rPr>
            </w:pPr>
          </w:p>
        </w:tc>
      </w:tr>
      <w:tr w14:paraId="3705A0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02" w:type="dxa"/>
            <w:vAlign w:val="center"/>
          </w:tcPr>
          <w:p w14:paraId="5DC7A2BE">
            <w:pPr>
              <w:shd w:val="clear" w:fill="FFFFFF" w:themeFill="background1"/>
              <w:spacing w:line="400" w:lineRule="exact"/>
              <w:jc w:val="center"/>
              <w:rPr>
                <w:rFonts w:ascii="宋体" w:hAnsi="宋体" w:cs="宋体"/>
                <w:color w:val="auto"/>
                <w:sz w:val="24"/>
                <w:highlight w:val="none"/>
              </w:rPr>
            </w:pPr>
            <w:r>
              <w:rPr>
                <w:rFonts w:hint="eastAsia" w:ascii="宋体" w:hAnsi="宋体" w:cs="宋体"/>
                <w:color w:val="auto"/>
                <w:sz w:val="24"/>
                <w:highlight w:val="none"/>
              </w:rPr>
              <w:t>备注</w:t>
            </w:r>
          </w:p>
        </w:tc>
        <w:tc>
          <w:tcPr>
            <w:tcW w:w="6554" w:type="dxa"/>
            <w:vAlign w:val="center"/>
          </w:tcPr>
          <w:p w14:paraId="45EE8AFA">
            <w:pPr>
              <w:shd w:val="clear" w:fill="FFFFFF" w:themeFill="background1"/>
              <w:spacing w:line="400" w:lineRule="exact"/>
              <w:jc w:val="center"/>
              <w:rPr>
                <w:rFonts w:ascii="宋体" w:hAnsi="宋体" w:cs="宋体"/>
                <w:color w:val="auto"/>
                <w:sz w:val="24"/>
                <w:highlight w:val="none"/>
              </w:rPr>
            </w:pPr>
          </w:p>
        </w:tc>
      </w:tr>
    </w:tbl>
    <w:p w14:paraId="35143AD2">
      <w:pPr>
        <w:pStyle w:val="59"/>
        <w:shd w:val="clear" w:fill="FFFFFF" w:themeFill="background1"/>
        <w:rPr>
          <w:rFonts w:ascii="宋体" w:hAnsi="宋体" w:cs="宋体"/>
          <w:color w:val="auto"/>
          <w:highlight w:val="none"/>
        </w:rPr>
      </w:pPr>
      <w:r>
        <w:rPr>
          <w:rFonts w:hint="eastAsia" w:ascii="宋体" w:hAnsi="宋体" w:cs="宋体"/>
          <w:color w:val="auto"/>
          <w:highlight w:val="none"/>
        </w:rPr>
        <w:t>注：1.每张表格只填写一个项目，并标明序号。</w:t>
      </w:r>
    </w:p>
    <w:p w14:paraId="088EF5C1">
      <w:pPr>
        <w:pStyle w:val="59"/>
        <w:shd w:val="clear" w:fill="FFFFFF" w:themeFill="background1"/>
        <w:ind w:firstLine="480" w:firstLineChars="200"/>
        <w:rPr>
          <w:rFonts w:ascii="宋体" w:hAnsi="宋体" w:cs="宋体"/>
          <w:color w:val="auto"/>
          <w:highlight w:val="none"/>
        </w:rPr>
      </w:pPr>
      <w:r>
        <w:rPr>
          <w:rFonts w:hint="eastAsia" w:ascii="宋体" w:hAnsi="宋体" w:cs="宋体"/>
          <w:color w:val="auto"/>
          <w:highlight w:val="none"/>
        </w:rPr>
        <w:t>2. 投标人应根据招标文件第二章“投标人须知”第 3.5.3 项的要求在本表后附相关证明材料。</w:t>
      </w:r>
    </w:p>
    <w:p w14:paraId="05270214">
      <w:pPr>
        <w:pStyle w:val="59"/>
        <w:shd w:val="clear" w:fill="FFFFFF" w:themeFill="background1"/>
        <w:ind w:firstLine="562" w:firstLineChars="200"/>
        <w:rPr>
          <w:rFonts w:ascii="宋体" w:hAnsi="宋体" w:cs="宋体"/>
          <w:b/>
          <w:color w:val="auto"/>
          <w:sz w:val="28"/>
          <w:szCs w:val="28"/>
          <w:highlight w:val="none"/>
        </w:rPr>
        <w:sectPr>
          <w:footnotePr>
            <w:numFmt w:val="decimalEnclosedCircleChinese"/>
          </w:footnotePr>
          <w:pgSz w:w="11906" w:h="16838"/>
          <w:pgMar w:top="1038" w:right="924" w:bottom="936" w:left="1418" w:header="624" w:footer="590" w:gutter="0"/>
          <w:cols w:space="720" w:num="1"/>
          <w:docGrid w:type="lines" w:linePitch="312" w:charSpace="0"/>
        </w:sectPr>
      </w:pPr>
    </w:p>
    <w:p w14:paraId="222B6526">
      <w:pPr>
        <w:shd w:val="clear" w:fill="FFFFFF" w:themeFill="background1"/>
        <w:jc w:val="center"/>
        <w:rPr>
          <w:rFonts w:ascii="宋体" w:hAnsi="宋体" w:cs="宋体"/>
          <w:b/>
          <w:bCs/>
          <w:color w:val="auto"/>
          <w:sz w:val="28"/>
          <w:szCs w:val="28"/>
          <w:highlight w:val="none"/>
        </w:rPr>
      </w:pPr>
      <w:r>
        <w:rPr>
          <w:rFonts w:hint="eastAsia" w:ascii="宋体" w:hAnsi="宋体" w:cs="宋体"/>
          <w:b/>
          <w:color w:val="auto"/>
          <w:sz w:val="28"/>
          <w:szCs w:val="28"/>
          <w:highlight w:val="none"/>
        </w:rPr>
        <w:t>（四）-2 完成的类似项目情况汇总表</w:t>
      </w:r>
    </w:p>
    <w:tbl>
      <w:tblPr>
        <w:tblStyle w:val="45"/>
        <w:tblW w:w="985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4"/>
        <w:gridCol w:w="1064"/>
        <w:gridCol w:w="1286"/>
        <w:gridCol w:w="1286"/>
        <w:gridCol w:w="936"/>
        <w:gridCol w:w="1034"/>
        <w:gridCol w:w="936"/>
        <w:gridCol w:w="978"/>
        <w:gridCol w:w="805"/>
        <w:gridCol w:w="805"/>
      </w:tblGrid>
      <w:tr w14:paraId="2C91E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4735C4CB">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序号</w:t>
            </w:r>
          </w:p>
        </w:tc>
        <w:tc>
          <w:tcPr>
            <w:tcW w:w="1064" w:type="dxa"/>
            <w:vAlign w:val="center"/>
          </w:tcPr>
          <w:p w14:paraId="47588EA4">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项目</w:t>
            </w:r>
          </w:p>
          <w:p w14:paraId="5D3E1C3D">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名称</w:t>
            </w:r>
          </w:p>
        </w:tc>
        <w:tc>
          <w:tcPr>
            <w:tcW w:w="1286" w:type="dxa"/>
            <w:vAlign w:val="center"/>
          </w:tcPr>
          <w:p w14:paraId="0810B610">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路基桥涵里程</w:t>
            </w:r>
          </w:p>
          <w:p w14:paraId="73829BC3">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（km）</w:t>
            </w:r>
          </w:p>
        </w:tc>
        <w:tc>
          <w:tcPr>
            <w:tcW w:w="1286" w:type="dxa"/>
            <w:vAlign w:val="center"/>
          </w:tcPr>
          <w:p w14:paraId="0723AC09">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路面类型及里程（km）</w:t>
            </w:r>
          </w:p>
        </w:tc>
        <w:tc>
          <w:tcPr>
            <w:tcW w:w="936" w:type="dxa"/>
            <w:vAlign w:val="center"/>
          </w:tcPr>
          <w:p w14:paraId="7A2F2DD0">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大桥（座）</w:t>
            </w:r>
          </w:p>
        </w:tc>
        <w:tc>
          <w:tcPr>
            <w:tcW w:w="1034" w:type="dxa"/>
            <w:vAlign w:val="center"/>
          </w:tcPr>
          <w:p w14:paraId="27A06E3E">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特大桥</w:t>
            </w:r>
          </w:p>
          <w:p w14:paraId="307A5ACA">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（座）</w:t>
            </w:r>
          </w:p>
        </w:tc>
        <w:tc>
          <w:tcPr>
            <w:tcW w:w="936" w:type="dxa"/>
            <w:vAlign w:val="center"/>
          </w:tcPr>
          <w:p w14:paraId="0F1C5D18">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长隧道</w:t>
            </w:r>
          </w:p>
          <w:p w14:paraId="6F53F511">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（座）</w:t>
            </w:r>
          </w:p>
        </w:tc>
        <w:tc>
          <w:tcPr>
            <w:tcW w:w="978" w:type="dxa"/>
            <w:vAlign w:val="center"/>
          </w:tcPr>
          <w:p w14:paraId="50D5733C">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特长隧道（座）</w:t>
            </w:r>
          </w:p>
        </w:tc>
        <w:tc>
          <w:tcPr>
            <w:tcW w:w="805" w:type="dxa"/>
            <w:vAlign w:val="center"/>
          </w:tcPr>
          <w:p w14:paraId="706C825F">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w:t>
            </w:r>
          </w:p>
        </w:tc>
        <w:tc>
          <w:tcPr>
            <w:tcW w:w="805" w:type="dxa"/>
            <w:vAlign w:val="center"/>
          </w:tcPr>
          <w:p w14:paraId="39B55CD6">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备注</w:t>
            </w:r>
          </w:p>
        </w:tc>
      </w:tr>
      <w:tr w14:paraId="3DF57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5CC684BA">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1</w:t>
            </w:r>
          </w:p>
        </w:tc>
        <w:tc>
          <w:tcPr>
            <w:tcW w:w="1064" w:type="dxa"/>
            <w:vAlign w:val="center"/>
          </w:tcPr>
          <w:p w14:paraId="1313432F">
            <w:pPr>
              <w:pStyle w:val="59"/>
              <w:shd w:val="clear" w:fill="FFFFFF" w:themeFill="background1"/>
              <w:jc w:val="center"/>
              <w:rPr>
                <w:rFonts w:ascii="宋体" w:hAnsi="宋体" w:cs="宋体"/>
                <w:color w:val="auto"/>
                <w:highlight w:val="none"/>
              </w:rPr>
            </w:pPr>
          </w:p>
        </w:tc>
        <w:tc>
          <w:tcPr>
            <w:tcW w:w="1286" w:type="dxa"/>
          </w:tcPr>
          <w:p w14:paraId="210C9BCB">
            <w:pPr>
              <w:pStyle w:val="59"/>
              <w:shd w:val="clear" w:fill="FFFFFF" w:themeFill="background1"/>
              <w:jc w:val="center"/>
              <w:rPr>
                <w:rFonts w:ascii="宋体" w:hAnsi="宋体" w:cs="宋体"/>
                <w:color w:val="auto"/>
                <w:highlight w:val="none"/>
              </w:rPr>
            </w:pPr>
          </w:p>
        </w:tc>
        <w:tc>
          <w:tcPr>
            <w:tcW w:w="1286" w:type="dxa"/>
          </w:tcPr>
          <w:p w14:paraId="31777AB1">
            <w:pPr>
              <w:pStyle w:val="59"/>
              <w:shd w:val="clear" w:fill="FFFFFF" w:themeFill="background1"/>
              <w:jc w:val="center"/>
              <w:rPr>
                <w:rFonts w:ascii="宋体" w:hAnsi="宋体" w:cs="宋体"/>
                <w:color w:val="auto"/>
                <w:highlight w:val="none"/>
              </w:rPr>
            </w:pPr>
          </w:p>
        </w:tc>
        <w:tc>
          <w:tcPr>
            <w:tcW w:w="936" w:type="dxa"/>
          </w:tcPr>
          <w:p w14:paraId="785B3EC9">
            <w:pPr>
              <w:pStyle w:val="59"/>
              <w:shd w:val="clear" w:fill="FFFFFF" w:themeFill="background1"/>
              <w:jc w:val="center"/>
              <w:rPr>
                <w:rFonts w:ascii="宋体" w:hAnsi="宋体" w:cs="宋体"/>
                <w:color w:val="auto"/>
                <w:highlight w:val="none"/>
              </w:rPr>
            </w:pPr>
          </w:p>
        </w:tc>
        <w:tc>
          <w:tcPr>
            <w:tcW w:w="1034" w:type="dxa"/>
          </w:tcPr>
          <w:p w14:paraId="49ED35DB">
            <w:pPr>
              <w:pStyle w:val="59"/>
              <w:shd w:val="clear" w:fill="FFFFFF" w:themeFill="background1"/>
              <w:jc w:val="center"/>
              <w:rPr>
                <w:rFonts w:ascii="宋体" w:hAnsi="宋体" w:cs="宋体"/>
                <w:color w:val="auto"/>
                <w:highlight w:val="none"/>
              </w:rPr>
            </w:pPr>
          </w:p>
        </w:tc>
        <w:tc>
          <w:tcPr>
            <w:tcW w:w="936" w:type="dxa"/>
          </w:tcPr>
          <w:p w14:paraId="6AA78299">
            <w:pPr>
              <w:pStyle w:val="59"/>
              <w:shd w:val="clear" w:fill="FFFFFF" w:themeFill="background1"/>
              <w:jc w:val="center"/>
              <w:rPr>
                <w:rFonts w:ascii="宋体" w:hAnsi="宋体" w:cs="宋体"/>
                <w:color w:val="auto"/>
                <w:highlight w:val="none"/>
              </w:rPr>
            </w:pPr>
          </w:p>
        </w:tc>
        <w:tc>
          <w:tcPr>
            <w:tcW w:w="978" w:type="dxa"/>
          </w:tcPr>
          <w:p w14:paraId="1DB90842">
            <w:pPr>
              <w:pStyle w:val="59"/>
              <w:shd w:val="clear" w:fill="FFFFFF" w:themeFill="background1"/>
              <w:jc w:val="center"/>
              <w:rPr>
                <w:rFonts w:ascii="宋体" w:hAnsi="宋体" w:cs="宋体"/>
                <w:color w:val="auto"/>
                <w:highlight w:val="none"/>
              </w:rPr>
            </w:pPr>
          </w:p>
        </w:tc>
        <w:tc>
          <w:tcPr>
            <w:tcW w:w="805" w:type="dxa"/>
          </w:tcPr>
          <w:p w14:paraId="5B71DEC4">
            <w:pPr>
              <w:pStyle w:val="59"/>
              <w:shd w:val="clear" w:fill="FFFFFF" w:themeFill="background1"/>
              <w:jc w:val="center"/>
              <w:rPr>
                <w:rFonts w:ascii="宋体" w:hAnsi="宋体" w:cs="宋体"/>
                <w:color w:val="auto"/>
                <w:highlight w:val="none"/>
              </w:rPr>
            </w:pPr>
          </w:p>
        </w:tc>
        <w:tc>
          <w:tcPr>
            <w:tcW w:w="805" w:type="dxa"/>
          </w:tcPr>
          <w:p w14:paraId="1D5F8F74">
            <w:pPr>
              <w:pStyle w:val="59"/>
              <w:shd w:val="clear" w:fill="FFFFFF" w:themeFill="background1"/>
              <w:jc w:val="center"/>
              <w:rPr>
                <w:rFonts w:ascii="宋体" w:hAnsi="宋体" w:cs="宋体"/>
                <w:color w:val="auto"/>
                <w:highlight w:val="none"/>
              </w:rPr>
            </w:pPr>
          </w:p>
        </w:tc>
      </w:tr>
      <w:tr w14:paraId="2116E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0729C3A8">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2</w:t>
            </w:r>
          </w:p>
        </w:tc>
        <w:tc>
          <w:tcPr>
            <w:tcW w:w="1064" w:type="dxa"/>
            <w:vAlign w:val="center"/>
          </w:tcPr>
          <w:p w14:paraId="741BA30C">
            <w:pPr>
              <w:pStyle w:val="59"/>
              <w:shd w:val="clear" w:fill="FFFFFF" w:themeFill="background1"/>
              <w:jc w:val="center"/>
              <w:rPr>
                <w:rFonts w:ascii="宋体" w:hAnsi="宋体" w:cs="宋体"/>
                <w:color w:val="auto"/>
                <w:highlight w:val="none"/>
              </w:rPr>
            </w:pPr>
          </w:p>
        </w:tc>
        <w:tc>
          <w:tcPr>
            <w:tcW w:w="1286" w:type="dxa"/>
          </w:tcPr>
          <w:p w14:paraId="60046F88">
            <w:pPr>
              <w:pStyle w:val="59"/>
              <w:shd w:val="clear" w:fill="FFFFFF" w:themeFill="background1"/>
              <w:jc w:val="center"/>
              <w:rPr>
                <w:rFonts w:ascii="宋体" w:hAnsi="宋体" w:cs="宋体"/>
                <w:color w:val="auto"/>
                <w:highlight w:val="none"/>
              </w:rPr>
            </w:pPr>
          </w:p>
        </w:tc>
        <w:tc>
          <w:tcPr>
            <w:tcW w:w="1286" w:type="dxa"/>
          </w:tcPr>
          <w:p w14:paraId="6700863C">
            <w:pPr>
              <w:pStyle w:val="59"/>
              <w:shd w:val="clear" w:fill="FFFFFF" w:themeFill="background1"/>
              <w:jc w:val="center"/>
              <w:rPr>
                <w:rFonts w:ascii="宋体" w:hAnsi="宋体" w:cs="宋体"/>
                <w:color w:val="auto"/>
                <w:highlight w:val="none"/>
              </w:rPr>
            </w:pPr>
          </w:p>
        </w:tc>
        <w:tc>
          <w:tcPr>
            <w:tcW w:w="936" w:type="dxa"/>
          </w:tcPr>
          <w:p w14:paraId="1EBFA386">
            <w:pPr>
              <w:pStyle w:val="59"/>
              <w:shd w:val="clear" w:fill="FFFFFF" w:themeFill="background1"/>
              <w:jc w:val="center"/>
              <w:rPr>
                <w:rFonts w:ascii="宋体" w:hAnsi="宋体" w:cs="宋体"/>
                <w:color w:val="auto"/>
                <w:highlight w:val="none"/>
              </w:rPr>
            </w:pPr>
          </w:p>
        </w:tc>
        <w:tc>
          <w:tcPr>
            <w:tcW w:w="1034" w:type="dxa"/>
          </w:tcPr>
          <w:p w14:paraId="48D7DD8F">
            <w:pPr>
              <w:pStyle w:val="59"/>
              <w:shd w:val="clear" w:fill="FFFFFF" w:themeFill="background1"/>
              <w:jc w:val="center"/>
              <w:rPr>
                <w:rFonts w:ascii="宋体" w:hAnsi="宋体" w:cs="宋体"/>
                <w:color w:val="auto"/>
                <w:highlight w:val="none"/>
              </w:rPr>
            </w:pPr>
          </w:p>
        </w:tc>
        <w:tc>
          <w:tcPr>
            <w:tcW w:w="936" w:type="dxa"/>
          </w:tcPr>
          <w:p w14:paraId="27FD0BBD">
            <w:pPr>
              <w:pStyle w:val="59"/>
              <w:shd w:val="clear" w:fill="FFFFFF" w:themeFill="background1"/>
              <w:jc w:val="center"/>
              <w:rPr>
                <w:rFonts w:ascii="宋体" w:hAnsi="宋体" w:cs="宋体"/>
                <w:color w:val="auto"/>
                <w:highlight w:val="none"/>
              </w:rPr>
            </w:pPr>
          </w:p>
        </w:tc>
        <w:tc>
          <w:tcPr>
            <w:tcW w:w="978" w:type="dxa"/>
          </w:tcPr>
          <w:p w14:paraId="7E5D26B2">
            <w:pPr>
              <w:pStyle w:val="59"/>
              <w:shd w:val="clear" w:fill="FFFFFF" w:themeFill="background1"/>
              <w:jc w:val="center"/>
              <w:rPr>
                <w:rFonts w:ascii="宋体" w:hAnsi="宋体" w:cs="宋体"/>
                <w:color w:val="auto"/>
                <w:highlight w:val="none"/>
              </w:rPr>
            </w:pPr>
          </w:p>
        </w:tc>
        <w:tc>
          <w:tcPr>
            <w:tcW w:w="805" w:type="dxa"/>
          </w:tcPr>
          <w:p w14:paraId="1A1BA723">
            <w:pPr>
              <w:pStyle w:val="59"/>
              <w:shd w:val="clear" w:fill="FFFFFF" w:themeFill="background1"/>
              <w:jc w:val="center"/>
              <w:rPr>
                <w:rFonts w:ascii="宋体" w:hAnsi="宋体" w:cs="宋体"/>
                <w:color w:val="auto"/>
                <w:highlight w:val="none"/>
              </w:rPr>
            </w:pPr>
          </w:p>
        </w:tc>
        <w:tc>
          <w:tcPr>
            <w:tcW w:w="805" w:type="dxa"/>
          </w:tcPr>
          <w:p w14:paraId="109F3B82">
            <w:pPr>
              <w:pStyle w:val="59"/>
              <w:shd w:val="clear" w:fill="FFFFFF" w:themeFill="background1"/>
              <w:jc w:val="center"/>
              <w:rPr>
                <w:rFonts w:ascii="宋体" w:hAnsi="宋体" w:cs="宋体"/>
                <w:color w:val="auto"/>
                <w:highlight w:val="none"/>
              </w:rPr>
            </w:pPr>
          </w:p>
        </w:tc>
      </w:tr>
      <w:tr w14:paraId="2F2E7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3150C4FA">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3</w:t>
            </w:r>
          </w:p>
        </w:tc>
        <w:tc>
          <w:tcPr>
            <w:tcW w:w="1064" w:type="dxa"/>
            <w:vAlign w:val="center"/>
          </w:tcPr>
          <w:p w14:paraId="67AAB041">
            <w:pPr>
              <w:pStyle w:val="59"/>
              <w:shd w:val="clear" w:fill="FFFFFF" w:themeFill="background1"/>
              <w:jc w:val="center"/>
              <w:rPr>
                <w:rFonts w:ascii="宋体" w:hAnsi="宋体" w:cs="宋体"/>
                <w:color w:val="auto"/>
                <w:highlight w:val="none"/>
              </w:rPr>
            </w:pPr>
          </w:p>
        </w:tc>
        <w:tc>
          <w:tcPr>
            <w:tcW w:w="1286" w:type="dxa"/>
          </w:tcPr>
          <w:p w14:paraId="4B7A5826">
            <w:pPr>
              <w:pStyle w:val="59"/>
              <w:shd w:val="clear" w:fill="FFFFFF" w:themeFill="background1"/>
              <w:jc w:val="center"/>
              <w:rPr>
                <w:rFonts w:ascii="宋体" w:hAnsi="宋体" w:cs="宋体"/>
                <w:color w:val="auto"/>
                <w:highlight w:val="none"/>
              </w:rPr>
            </w:pPr>
          </w:p>
        </w:tc>
        <w:tc>
          <w:tcPr>
            <w:tcW w:w="1286" w:type="dxa"/>
          </w:tcPr>
          <w:p w14:paraId="22C89A79">
            <w:pPr>
              <w:pStyle w:val="59"/>
              <w:shd w:val="clear" w:fill="FFFFFF" w:themeFill="background1"/>
              <w:jc w:val="center"/>
              <w:rPr>
                <w:rFonts w:ascii="宋体" w:hAnsi="宋体" w:cs="宋体"/>
                <w:color w:val="auto"/>
                <w:highlight w:val="none"/>
              </w:rPr>
            </w:pPr>
          </w:p>
        </w:tc>
        <w:tc>
          <w:tcPr>
            <w:tcW w:w="936" w:type="dxa"/>
          </w:tcPr>
          <w:p w14:paraId="740A7444">
            <w:pPr>
              <w:pStyle w:val="59"/>
              <w:shd w:val="clear" w:fill="FFFFFF" w:themeFill="background1"/>
              <w:jc w:val="center"/>
              <w:rPr>
                <w:rFonts w:ascii="宋体" w:hAnsi="宋体" w:cs="宋体"/>
                <w:color w:val="auto"/>
                <w:highlight w:val="none"/>
              </w:rPr>
            </w:pPr>
          </w:p>
        </w:tc>
        <w:tc>
          <w:tcPr>
            <w:tcW w:w="1034" w:type="dxa"/>
          </w:tcPr>
          <w:p w14:paraId="4F888A48">
            <w:pPr>
              <w:pStyle w:val="59"/>
              <w:shd w:val="clear" w:fill="FFFFFF" w:themeFill="background1"/>
              <w:jc w:val="center"/>
              <w:rPr>
                <w:rFonts w:ascii="宋体" w:hAnsi="宋体" w:cs="宋体"/>
                <w:color w:val="auto"/>
                <w:highlight w:val="none"/>
              </w:rPr>
            </w:pPr>
          </w:p>
        </w:tc>
        <w:tc>
          <w:tcPr>
            <w:tcW w:w="936" w:type="dxa"/>
          </w:tcPr>
          <w:p w14:paraId="7EF10B26">
            <w:pPr>
              <w:pStyle w:val="59"/>
              <w:shd w:val="clear" w:fill="FFFFFF" w:themeFill="background1"/>
              <w:jc w:val="center"/>
              <w:rPr>
                <w:rFonts w:ascii="宋体" w:hAnsi="宋体" w:cs="宋体"/>
                <w:color w:val="auto"/>
                <w:highlight w:val="none"/>
              </w:rPr>
            </w:pPr>
          </w:p>
        </w:tc>
        <w:tc>
          <w:tcPr>
            <w:tcW w:w="978" w:type="dxa"/>
          </w:tcPr>
          <w:p w14:paraId="3BA30524">
            <w:pPr>
              <w:pStyle w:val="59"/>
              <w:shd w:val="clear" w:fill="FFFFFF" w:themeFill="background1"/>
              <w:jc w:val="center"/>
              <w:rPr>
                <w:rFonts w:ascii="宋体" w:hAnsi="宋体" w:cs="宋体"/>
                <w:color w:val="auto"/>
                <w:highlight w:val="none"/>
              </w:rPr>
            </w:pPr>
          </w:p>
        </w:tc>
        <w:tc>
          <w:tcPr>
            <w:tcW w:w="805" w:type="dxa"/>
          </w:tcPr>
          <w:p w14:paraId="30608378">
            <w:pPr>
              <w:pStyle w:val="59"/>
              <w:shd w:val="clear" w:fill="FFFFFF" w:themeFill="background1"/>
              <w:jc w:val="center"/>
              <w:rPr>
                <w:rFonts w:ascii="宋体" w:hAnsi="宋体" w:cs="宋体"/>
                <w:color w:val="auto"/>
                <w:highlight w:val="none"/>
              </w:rPr>
            </w:pPr>
          </w:p>
        </w:tc>
        <w:tc>
          <w:tcPr>
            <w:tcW w:w="805" w:type="dxa"/>
          </w:tcPr>
          <w:p w14:paraId="6AA88296">
            <w:pPr>
              <w:pStyle w:val="59"/>
              <w:shd w:val="clear" w:fill="FFFFFF" w:themeFill="background1"/>
              <w:jc w:val="center"/>
              <w:rPr>
                <w:rFonts w:ascii="宋体" w:hAnsi="宋体" w:cs="宋体"/>
                <w:color w:val="auto"/>
                <w:highlight w:val="none"/>
              </w:rPr>
            </w:pPr>
          </w:p>
        </w:tc>
      </w:tr>
      <w:tr w14:paraId="59538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79AAAF79">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4</w:t>
            </w:r>
          </w:p>
        </w:tc>
        <w:tc>
          <w:tcPr>
            <w:tcW w:w="1064" w:type="dxa"/>
            <w:vAlign w:val="center"/>
          </w:tcPr>
          <w:p w14:paraId="05D7C9FF">
            <w:pPr>
              <w:pStyle w:val="59"/>
              <w:shd w:val="clear" w:fill="FFFFFF" w:themeFill="background1"/>
              <w:jc w:val="center"/>
              <w:rPr>
                <w:rFonts w:ascii="宋体" w:hAnsi="宋体" w:cs="宋体"/>
                <w:color w:val="auto"/>
                <w:highlight w:val="none"/>
              </w:rPr>
            </w:pPr>
          </w:p>
        </w:tc>
        <w:tc>
          <w:tcPr>
            <w:tcW w:w="1286" w:type="dxa"/>
          </w:tcPr>
          <w:p w14:paraId="4B91BE10">
            <w:pPr>
              <w:pStyle w:val="59"/>
              <w:shd w:val="clear" w:fill="FFFFFF" w:themeFill="background1"/>
              <w:jc w:val="center"/>
              <w:rPr>
                <w:rFonts w:ascii="宋体" w:hAnsi="宋体" w:cs="宋体"/>
                <w:color w:val="auto"/>
                <w:highlight w:val="none"/>
              </w:rPr>
            </w:pPr>
          </w:p>
        </w:tc>
        <w:tc>
          <w:tcPr>
            <w:tcW w:w="1286" w:type="dxa"/>
          </w:tcPr>
          <w:p w14:paraId="3984DFF0">
            <w:pPr>
              <w:pStyle w:val="59"/>
              <w:shd w:val="clear" w:fill="FFFFFF" w:themeFill="background1"/>
              <w:jc w:val="center"/>
              <w:rPr>
                <w:rFonts w:ascii="宋体" w:hAnsi="宋体" w:cs="宋体"/>
                <w:color w:val="auto"/>
                <w:highlight w:val="none"/>
              </w:rPr>
            </w:pPr>
          </w:p>
        </w:tc>
        <w:tc>
          <w:tcPr>
            <w:tcW w:w="936" w:type="dxa"/>
          </w:tcPr>
          <w:p w14:paraId="7C7E5EC5">
            <w:pPr>
              <w:pStyle w:val="59"/>
              <w:shd w:val="clear" w:fill="FFFFFF" w:themeFill="background1"/>
              <w:jc w:val="center"/>
              <w:rPr>
                <w:rFonts w:ascii="宋体" w:hAnsi="宋体" w:cs="宋体"/>
                <w:color w:val="auto"/>
                <w:highlight w:val="none"/>
              </w:rPr>
            </w:pPr>
          </w:p>
        </w:tc>
        <w:tc>
          <w:tcPr>
            <w:tcW w:w="1034" w:type="dxa"/>
          </w:tcPr>
          <w:p w14:paraId="068D2E44">
            <w:pPr>
              <w:pStyle w:val="59"/>
              <w:shd w:val="clear" w:fill="FFFFFF" w:themeFill="background1"/>
              <w:jc w:val="center"/>
              <w:rPr>
                <w:rFonts w:ascii="宋体" w:hAnsi="宋体" w:cs="宋体"/>
                <w:color w:val="auto"/>
                <w:highlight w:val="none"/>
              </w:rPr>
            </w:pPr>
          </w:p>
        </w:tc>
        <w:tc>
          <w:tcPr>
            <w:tcW w:w="936" w:type="dxa"/>
          </w:tcPr>
          <w:p w14:paraId="53A1E5F8">
            <w:pPr>
              <w:pStyle w:val="59"/>
              <w:shd w:val="clear" w:fill="FFFFFF" w:themeFill="background1"/>
              <w:jc w:val="center"/>
              <w:rPr>
                <w:rFonts w:ascii="宋体" w:hAnsi="宋体" w:cs="宋体"/>
                <w:color w:val="auto"/>
                <w:highlight w:val="none"/>
              </w:rPr>
            </w:pPr>
          </w:p>
        </w:tc>
        <w:tc>
          <w:tcPr>
            <w:tcW w:w="978" w:type="dxa"/>
          </w:tcPr>
          <w:p w14:paraId="5129CCBE">
            <w:pPr>
              <w:pStyle w:val="59"/>
              <w:shd w:val="clear" w:fill="FFFFFF" w:themeFill="background1"/>
              <w:jc w:val="center"/>
              <w:rPr>
                <w:rFonts w:ascii="宋体" w:hAnsi="宋体" w:cs="宋体"/>
                <w:color w:val="auto"/>
                <w:highlight w:val="none"/>
              </w:rPr>
            </w:pPr>
          </w:p>
        </w:tc>
        <w:tc>
          <w:tcPr>
            <w:tcW w:w="805" w:type="dxa"/>
          </w:tcPr>
          <w:p w14:paraId="343675A0">
            <w:pPr>
              <w:pStyle w:val="59"/>
              <w:shd w:val="clear" w:fill="FFFFFF" w:themeFill="background1"/>
              <w:jc w:val="center"/>
              <w:rPr>
                <w:rFonts w:ascii="宋体" w:hAnsi="宋体" w:cs="宋体"/>
                <w:color w:val="auto"/>
                <w:highlight w:val="none"/>
              </w:rPr>
            </w:pPr>
          </w:p>
        </w:tc>
        <w:tc>
          <w:tcPr>
            <w:tcW w:w="805" w:type="dxa"/>
          </w:tcPr>
          <w:p w14:paraId="37FBE6B1">
            <w:pPr>
              <w:pStyle w:val="59"/>
              <w:shd w:val="clear" w:fill="FFFFFF" w:themeFill="background1"/>
              <w:jc w:val="center"/>
              <w:rPr>
                <w:rFonts w:ascii="宋体" w:hAnsi="宋体" w:cs="宋体"/>
                <w:color w:val="auto"/>
                <w:highlight w:val="none"/>
              </w:rPr>
            </w:pPr>
          </w:p>
        </w:tc>
      </w:tr>
      <w:tr w14:paraId="409F2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0885DF43">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5</w:t>
            </w:r>
          </w:p>
        </w:tc>
        <w:tc>
          <w:tcPr>
            <w:tcW w:w="1064" w:type="dxa"/>
            <w:vAlign w:val="center"/>
          </w:tcPr>
          <w:p w14:paraId="267F0AB3">
            <w:pPr>
              <w:pStyle w:val="59"/>
              <w:shd w:val="clear" w:fill="FFFFFF" w:themeFill="background1"/>
              <w:jc w:val="center"/>
              <w:rPr>
                <w:rFonts w:ascii="宋体" w:hAnsi="宋体" w:cs="宋体"/>
                <w:color w:val="auto"/>
                <w:highlight w:val="none"/>
              </w:rPr>
            </w:pPr>
          </w:p>
        </w:tc>
        <w:tc>
          <w:tcPr>
            <w:tcW w:w="1286" w:type="dxa"/>
          </w:tcPr>
          <w:p w14:paraId="0C72C001">
            <w:pPr>
              <w:pStyle w:val="59"/>
              <w:shd w:val="clear" w:fill="FFFFFF" w:themeFill="background1"/>
              <w:jc w:val="center"/>
              <w:rPr>
                <w:rFonts w:ascii="宋体" w:hAnsi="宋体" w:cs="宋体"/>
                <w:color w:val="auto"/>
                <w:highlight w:val="none"/>
              </w:rPr>
            </w:pPr>
          </w:p>
        </w:tc>
        <w:tc>
          <w:tcPr>
            <w:tcW w:w="1286" w:type="dxa"/>
          </w:tcPr>
          <w:p w14:paraId="11147F93">
            <w:pPr>
              <w:pStyle w:val="59"/>
              <w:shd w:val="clear" w:fill="FFFFFF" w:themeFill="background1"/>
              <w:jc w:val="center"/>
              <w:rPr>
                <w:rFonts w:ascii="宋体" w:hAnsi="宋体" w:cs="宋体"/>
                <w:color w:val="auto"/>
                <w:highlight w:val="none"/>
              </w:rPr>
            </w:pPr>
          </w:p>
        </w:tc>
        <w:tc>
          <w:tcPr>
            <w:tcW w:w="936" w:type="dxa"/>
          </w:tcPr>
          <w:p w14:paraId="65630ABF">
            <w:pPr>
              <w:pStyle w:val="59"/>
              <w:shd w:val="clear" w:fill="FFFFFF" w:themeFill="background1"/>
              <w:jc w:val="center"/>
              <w:rPr>
                <w:rFonts w:ascii="宋体" w:hAnsi="宋体" w:cs="宋体"/>
                <w:color w:val="auto"/>
                <w:highlight w:val="none"/>
              </w:rPr>
            </w:pPr>
          </w:p>
        </w:tc>
        <w:tc>
          <w:tcPr>
            <w:tcW w:w="1034" w:type="dxa"/>
          </w:tcPr>
          <w:p w14:paraId="6CD802E7">
            <w:pPr>
              <w:pStyle w:val="59"/>
              <w:shd w:val="clear" w:fill="FFFFFF" w:themeFill="background1"/>
              <w:jc w:val="center"/>
              <w:rPr>
                <w:rFonts w:ascii="宋体" w:hAnsi="宋体" w:cs="宋体"/>
                <w:color w:val="auto"/>
                <w:highlight w:val="none"/>
              </w:rPr>
            </w:pPr>
          </w:p>
        </w:tc>
        <w:tc>
          <w:tcPr>
            <w:tcW w:w="936" w:type="dxa"/>
          </w:tcPr>
          <w:p w14:paraId="7B35A7ED">
            <w:pPr>
              <w:pStyle w:val="59"/>
              <w:shd w:val="clear" w:fill="FFFFFF" w:themeFill="background1"/>
              <w:jc w:val="center"/>
              <w:rPr>
                <w:rFonts w:ascii="宋体" w:hAnsi="宋体" w:cs="宋体"/>
                <w:color w:val="auto"/>
                <w:highlight w:val="none"/>
              </w:rPr>
            </w:pPr>
          </w:p>
        </w:tc>
        <w:tc>
          <w:tcPr>
            <w:tcW w:w="978" w:type="dxa"/>
          </w:tcPr>
          <w:p w14:paraId="47819EA2">
            <w:pPr>
              <w:pStyle w:val="59"/>
              <w:shd w:val="clear" w:fill="FFFFFF" w:themeFill="background1"/>
              <w:jc w:val="center"/>
              <w:rPr>
                <w:rFonts w:ascii="宋体" w:hAnsi="宋体" w:cs="宋体"/>
                <w:color w:val="auto"/>
                <w:highlight w:val="none"/>
              </w:rPr>
            </w:pPr>
          </w:p>
        </w:tc>
        <w:tc>
          <w:tcPr>
            <w:tcW w:w="805" w:type="dxa"/>
          </w:tcPr>
          <w:p w14:paraId="10165E05">
            <w:pPr>
              <w:pStyle w:val="59"/>
              <w:shd w:val="clear" w:fill="FFFFFF" w:themeFill="background1"/>
              <w:jc w:val="center"/>
              <w:rPr>
                <w:rFonts w:ascii="宋体" w:hAnsi="宋体" w:cs="宋体"/>
                <w:color w:val="auto"/>
                <w:highlight w:val="none"/>
              </w:rPr>
            </w:pPr>
          </w:p>
        </w:tc>
        <w:tc>
          <w:tcPr>
            <w:tcW w:w="805" w:type="dxa"/>
          </w:tcPr>
          <w:p w14:paraId="553E3DA2">
            <w:pPr>
              <w:pStyle w:val="59"/>
              <w:shd w:val="clear" w:fill="FFFFFF" w:themeFill="background1"/>
              <w:jc w:val="center"/>
              <w:rPr>
                <w:rFonts w:ascii="宋体" w:hAnsi="宋体" w:cs="宋体"/>
                <w:color w:val="auto"/>
                <w:highlight w:val="none"/>
              </w:rPr>
            </w:pPr>
          </w:p>
        </w:tc>
      </w:tr>
      <w:tr w14:paraId="581E3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5914A1D0">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6</w:t>
            </w:r>
          </w:p>
        </w:tc>
        <w:tc>
          <w:tcPr>
            <w:tcW w:w="1064" w:type="dxa"/>
            <w:vAlign w:val="center"/>
          </w:tcPr>
          <w:p w14:paraId="1F265657">
            <w:pPr>
              <w:pStyle w:val="59"/>
              <w:shd w:val="clear" w:fill="FFFFFF" w:themeFill="background1"/>
              <w:jc w:val="center"/>
              <w:rPr>
                <w:rFonts w:ascii="宋体" w:hAnsi="宋体" w:cs="宋体"/>
                <w:color w:val="auto"/>
                <w:highlight w:val="none"/>
              </w:rPr>
            </w:pPr>
          </w:p>
        </w:tc>
        <w:tc>
          <w:tcPr>
            <w:tcW w:w="1286" w:type="dxa"/>
          </w:tcPr>
          <w:p w14:paraId="5DB55E0A">
            <w:pPr>
              <w:pStyle w:val="59"/>
              <w:shd w:val="clear" w:fill="FFFFFF" w:themeFill="background1"/>
              <w:jc w:val="center"/>
              <w:rPr>
                <w:rFonts w:ascii="宋体" w:hAnsi="宋体" w:cs="宋体"/>
                <w:color w:val="auto"/>
                <w:highlight w:val="none"/>
              </w:rPr>
            </w:pPr>
          </w:p>
        </w:tc>
        <w:tc>
          <w:tcPr>
            <w:tcW w:w="1286" w:type="dxa"/>
          </w:tcPr>
          <w:p w14:paraId="3B2699B9">
            <w:pPr>
              <w:pStyle w:val="59"/>
              <w:shd w:val="clear" w:fill="FFFFFF" w:themeFill="background1"/>
              <w:jc w:val="center"/>
              <w:rPr>
                <w:rFonts w:ascii="宋体" w:hAnsi="宋体" w:cs="宋体"/>
                <w:color w:val="auto"/>
                <w:highlight w:val="none"/>
              </w:rPr>
            </w:pPr>
          </w:p>
        </w:tc>
        <w:tc>
          <w:tcPr>
            <w:tcW w:w="936" w:type="dxa"/>
          </w:tcPr>
          <w:p w14:paraId="6039D52D">
            <w:pPr>
              <w:pStyle w:val="59"/>
              <w:shd w:val="clear" w:fill="FFFFFF" w:themeFill="background1"/>
              <w:jc w:val="center"/>
              <w:rPr>
                <w:rFonts w:ascii="宋体" w:hAnsi="宋体" w:cs="宋体"/>
                <w:color w:val="auto"/>
                <w:highlight w:val="none"/>
              </w:rPr>
            </w:pPr>
          </w:p>
        </w:tc>
        <w:tc>
          <w:tcPr>
            <w:tcW w:w="1034" w:type="dxa"/>
          </w:tcPr>
          <w:p w14:paraId="5A77319C">
            <w:pPr>
              <w:pStyle w:val="59"/>
              <w:shd w:val="clear" w:fill="FFFFFF" w:themeFill="background1"/>
              <w:jc w:val="center"/>
              <w:rPr>
                <w:rFonts w:ascii="宋体" w:hAnsi="宋体" w:cs="宋体"/>
                <w:color w:val="auto"/>
                <w:highlight w:val="none"/>
              </w:rPr>
            </w:pPr>
          </w:p>
        </w:tc>
        <w:tc>
          <w:tcPr>
            <w:tcW w:w="936" w:type="dxa"/>
          </w:tcPr>
          <w:p w14:paraId="0790DB4C">
            <w:pPr>
              <w:pStyle w:val="59"/>
              <w:shd w:val="clear" w:fill="FFFFFF" w:themeFill="background1"/>
              <w:jc w:val="center"/>
              <w:rPr>
                <w:rFonts w:ascii="宋体" w:hAnsi="宋体" w:cs="宋体"/>
                <w:color w:val="auto"/>
                <w:highlight w:val="none"/>
              </w:rPr>
            </w:pPr>
          </w:p>
        </w:tc>
        <w:tc>
          <w:tcPr>
            <w:tcW w:w="978" w:type="dxa"/>
          </w:tcPr>
          <w:p w14:paraId="7C826007">
            <w:pPr>
              <w:pStyle w:val="59"/>
              <w:shd w:val="clear" w:fill="FFFFFF" w:themeFill="background1"/>
              <w:jc w:val="center"/>
              <w:rPr>
                <w:rFonts w:ascii="宋体" w:hAnsi="宋体" w:cs="宋体"/>
                <w:color w:val="auto"/>
                <w:highlight w:val="none"/>
              </w:rPr>
            </w:pPr>
          </w:p>
        </w:tc>
        <w:tc>
          <w:tcPr>
            <w:tcW w:w="805" w:type="dxa"/>
          </w:tcPr>
          <w:p w14:paraId="60063F09">
            <w:pPr>
              <w:pStyle w:val="59"/>
              <w:shd w:val="clear" w:fill="FFFFFF" w:themeFill="background1"/>
              <w:jc w:val="center"/>
              <w:rPr>
                <w:rFonts w:ascii="宋体" w:hAnsi="宋体" w:cs="宋体"/>
                <w:color w:val="auto"/>
                <w:highlight w:val="none"/>
              </w:rPr>
            </w:pPr>
          </w:p>
        </w:tc>
        <w:tc>
          <w:tcPr>
            <w:tcW w:w="805" w:type="dxa"/>
          </w:tcPr>
          <w:p w14:paraId="237E61E4">
            <w:pPr>
              <w:pStyle w:val="59"/>
              <w:shd w:val="clear" w:fill="FFFFFF" w:themeFill="background1"/>
              <w:jc w:val="center"/>
              <w:rPr>
                <w:rFonts w:ascii="宋体" w:hAnsi="宋体" w:cs="宋体"/>
                <w:color w:val="auto"/>
                <w:highlight w:val="none"/>
              </w:rPr>
            </w:pPr>
          </w:p>
        </w:tc>
      </w:tr>
      <w:tr w14:paraId="312E76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605FBFE1">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7</w:t>
            </w:r>
          </w:p>
        </w:tc>
        <w:tc>
          <w:tcPr>
            <w:tcW w:w="1064" w:type="dxa"/>
            <w:vAlign w:val="center"/>
          </w:tcPr>
          <w:p w14:paraId="67A4FBA2">
            <w:pPr>
              <w:pStyle w:val="59"/>
              <w:shd w:val="clear" w:fill="FFFFFF" w:themeFill="background1"/>
              <w:jc w:val="center"/>
              <w:rPr>
                <w:rFonts w:ascii="宋体" w:hAnsi="宋体" w:cs="宋体"/>
                <w:color w:val="auto"/>
                <w:highlight w:val="none"/>
              </w:rPr>
            </w:pPr>
          </w:p>
        </w:tc>
        <w:tc>
          <w:tcPr>
            <w:tcW w:w="1286" w:type="dxa"/>
          </w:tcPr>
          <w:p w14:paraId="0B8CBCB1">
            <w:pPr>
              <w:pStyle w:val="59"/>
              <w:shd w:val="clear" w:fill="FFFFFF" w:themeFill="background1"/>
              <w:jc w:val="center"/>
              <w:rPr>
                <w:rFonts w:ascii="宋体" w:hAnsi="宋体" w:cs="宋体"/>
                <w:color w:val="auto"/>
                <w:highlight w:val="none"/>
              </w:rPr>
            </w:pPr>
          </w:p>
        </w:tc>
        <w:tc>
          <w:tcPr>
            <w:tcW w:w="1286" w:type="dxa"/>
          </w:tcPr>
          <w:p w14:paraId="057F58EF">
            <w:pPr>
              <w:pStyle w:val="59"/>
              <w:shd w:val="clear" w:fill="FFFFFF" w:themeFill="background1"/>
              <w:jc w:val="center"/>
              <w:rPr>
                <w:rFonts w:ascii="宋体" w:hAnsi="宋体" w:cs="宋体"/>
                <w:color w:val="auto"/>
                <w:highlight w:val="none"/>
              </w:rPr>
            </w:pPr>
          </w:p>
        </w:tc>
        <w:tc>
          <w:tcPr>
            <w:tcW w:w="936" w:type="dxa"/>
          </w:tcPr>
          <w:p w14:paraId="54055622">
            <w:pPr>
              <w:pStyle w:val="59"/>
              <w:shd w:val="clear" w:fill="FFFFFF" w:themeFill="background1"/>
              <w:jc w:val="center"/>
              <w:rPr>
                <w:rFonts w:ascii="宋体" w:hAnsi="宋体" w:cs="宋体"/>
                <w:color w:val="auto"/>
                <w:highlight w:val="none"/>
              </w:rPr>
            </w:pPr>
          </w:p>
        </w:tc>
        <w:tc>
          <w:tcPr>
            <w:tcW w:w="1034" w:type="dxa"/>
          </w:tcPr>
          <w:p w14:paraId="75C7FEAB">
            <w:pPr>
              <w:pStyle w:val="59"/>
              <w:shd w:val="clear" w:fill="FFFFFF" w:themeFill="background1"/>
              <w:jc w:val="center"/>
              <w:rPr>
                <w:rFonts w:ascii="宋体" w:hAnsi="宋体" w:cs="宋体"/>
                <w:color w:val="auto"/>
                <w:highlight w:val="none"/>
              </w:rPr>
            </w:pPr>
          </w:p>
        </w:tc>
        <w:tc>
          <w:tcPr>
            <w:tcW w:w="936" w:type="dxa"/>
          </w:tcPr>
          <w:p w14:paraId="62500154">
            <w:pPr>
              <w:pStyle w:val="59"/>
              <w:shd w:val="clear" w:fill="FFFFFF" w:themeFill="background1"/>
              <w:jc w:val="center"/>
              <w:rPr>
                <w:rFonts w:ascii="宋体" w:hAnsi="宋体" w:cs="宋体"/>
                <w:color w:val="auto"/>
                <w:highlight w:val="none"/>
              </w:rPr>
            </w:pPr>
          </w:p>
        </w:tc>
        <w:tc>
          <w:tcPr>
            <w:tcW w:w="978" w:type="dxa"/>
          </w:tcPr>
          <w:p w14:paraId="2815E73D">
            <w:pPr>
              <w:pStyle w:val="59"/>
              <w:shd w:val="clear" w:fill="FFFFFF" w:themeFill="background1"/>
              <w:jc w:val="center"/>
              <w:rPr>
                <w:rFonts w:ascii="宋体" w:hAnsi="宋体" w:cs="宋体"/>
                <w:color w:val="auto"/>
                <w:highlight w:val="none"/>
              </w:rPr>
            </w:pPr>
          </w:p>
        </w:tc>
        <w:tc>
          <w:tcPr>
            <w:tcW w:w="805" w:type="dxa"/>
          </w:tcPr>
          <w:p w14:paraId="62C7E70B">
            <w:pPr>
              <w:pStyle w:val="59"/>
              <w:shd w:val="clear" w:fill="FFFFFF" w:themeFill="background1"/>
              <w:jc w:val="center"/>
              <w:rPr>
                <w:rFonts w:ascii="宋体" w:hAnsi="宋体" w:cs="宋体"/>
                <w:color w:val="auto"/>
                <w:highlight w:val="none"/>
              </w:rPr>
            </w:pPr>
          </w:p>
        </w:tc>
        <w:tc>
          <w:tcPr>
            <w:tcW w:w="805" w:type="dxa"/>
          </w:tcPr>
          <w:p w14:paraId="1929DC31">
            <w:pPr>
              <w:pStyle w:val="59"/>
              <w:shd w:val="clear" w:fill="FFFFFF" w:themeFill="background1"/>
              <w:jc w:val="center"/>
              <w:rPr>
                <w:rFonts w:ascii="宋体" w:hAnsi="宋体" w:cs="宋体"/>
                <w:color w:val="auto"/>
                <w:highlight w:val="none"/>
              </w:rPr>
            </w:pPr>
          </w:p>
        </w:tc>
      </w:tr>
      <w:tr w14:paraId="5EB73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24" w:type="dxa"/>
            <w:vAlign w:val="center"/>
          </w:tcPr>
          <w:p w14:paraId="117D7CEA">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w:t>
            </w:r>
          </w:p>
        </w:tc>
        <w:tc>
          <w:tcPr>
            <w:tcW w:w="1064" w:type="dxa"/>
            <w:vAlign w:val="center"/>
          </w:tcPr>
          <w:p w14:paraId="0CFBE142">
            <w:pPr>
              <w:pStyle w:val="59"/>
              <w:shd w:val="clear" w:fill="FFFFFF" w:themeFill="background1"/>
              <w:jc w:val="center"/>
              <w:rPr>
                <w:rFonts w:ascii="宋体" w:hAnsi="宋体" w:cs="宋体"/>
                <w:color w:val="auto"/>
                <w:highlight w:val="none"/>
              </w:rPr>
            </w:pPr>
          </w:p>
        </w:tc>
        <w:tc>
          <w:tcPr>
            <w:tcW w:w="1286" w:type="dxa"/>
          </w:tcPr>
          <w:p w14:paraId="1F0C1E8F">
            <w:pPr>
              <w:pStyle w:val="59"/>
              <w:shd w:val="clear" w:fill="FFFFFF" w:themeFill="background1"/>
              <w:jc w:val="center"/>
              <w:rPr>
                <w:rFonts w:ascii="宋体" w:hAnsi="宋体" w:cs="宋体"/>
                <w:color w:val="auto"/>
                <w:highlight w:val="none"/>
              </w:rPr>
            </w:pPr>
          </w:p>
        </w:tc>
        <w:tc>
          <w:tcPr>
            <w:tcW w:w="1286" w:type="dxa"/>
          </w:tcPr>
          <w:p w14:paraId="5A24CCD7">
            <w:pPr>
              <w:pStyle w:val="59"/>
              <w:shd w:val="clear" w:fill="FFFFFF" w:themeFill="background1"/>
              <w:jc w:val="center"/>
              <w:rPr>
                <w:rFonts w:ascii="宋体" w:hAnsi="宋体" w:cs="宋体"/>
                <w:color w:val="auto"/>
                <w:highlight w:val="none"/>
              </w:rPr>
            </w:pPr>
          </w:p>
        </w:tc>
        <w:tc>
          <w:tcPr>
            <w:tcW w:w="936" w:type="dxa"/>
          </w:tcPr>
          <w:p w14:paraId="334D8B16">
            <w:pPr>
              <w:pStyle w:val="59"/>
              <w:shd w:val="clear" w:fill="FFFFFF" w:themeFill="background1"/>
              <w:jc w:val="center"/>
              <w:rPr>
                <w:rFonts w:ascii="宋体" w:hAnsi="宋体" w:cs="宋体"/>
                <w:color w:val="auto"/>
                <w:highlight w:val="none"/>
              </w:rPr>
            </w:pPr>
          </w:p>
        </w:tc>
        <w:tc>
          <w:tcPr>
            <w:tcW w:w="1034" w:type="dxa"/>
          </w:tcPr>
          <w:p w14:paraId="5D2DF6EE">
            <w:pPr>
              <w:pStyle w:val="59"/>
              <w:shd w:val="clear" w:fill="FFFFFF" w:themeFill="background1"/>
              <w:jc w:val="center"/>
              <w:rPr>
                <w:rFonts w:ascii="宋体" w:hAnsi="宋体" w:cs="宋体"/>
                <w:color w:val="auto"/>
                <w:highlight w:val="none"/>
              </w:rPr>
            </w:pPr>
          </w:p>
        </w:tc>
        <w:tc>
          <w:tcPr>
            <w:tcW w:w="936" w:type="dxa"/>
          </w:tcPr>
          <w:p w14:paraId="519C2CE2">
            <w:pPr>
              <w:pStyle w:val="59"/>
              <w:shd w:val="clear" w:fill="FFFFFF" w:themeFill="background1"/>
              <w:jc w:val="center"/>
              <w:rPr>
                <w:rFonts w:ascii="宋体" w:hAnsi="宋体" w:cs="宋体"/>
                <w:color w:val="auto"/>
                <w:highlight w:val="none"/>
              </w:rPr>
            </w:pPr>
          </w:p>
        </w:tc>
        <w:tc>
          <w:tcPr>
            <w:tcW w:w="978" w:type="dxa"/>
          </w:tcPr>
          <w:p w14:paraId="2CB6E78C">
            <w:pPr>
              <w:pStyle w:val="59"/>
              <w:shd w:val="clear" w:fill="FFFFFF" w:themeFill="background1"/>
              <w:jc w:val="center"/>
              <w:rPr>
                <w:rFonts w:ascii="宋体" w:hAnsi="宋体" w:cs="宋体"/>
                <w:color w:val="auto"/>
                <w:highlight w:val="none"/>
              </w:rPr>
            </w:pPr>
          </w:p>
        </w:tc>
        <w:tc>
          <w:tcPr>
            <w:tcW w:w="805" w:type="dxa"/>
          </w:tcPr>
          <w:p w14:paraId="05345675">
            <w:pPr>
              <w:pStyle w:val="59"/>
              <w:shd w:val="clear" w:fill="FFFFFF" w:themeFill="background1"/>
              <w:jc w:val="center"/>
              <w:rPr>
                <w:rFonts w:ascii="宋体" w:hAnsi="宋体" w:cs="宋体"/>
                <w:color w:val="auto"/>
                <w:highlight w:val="none"/>
              </w:rPr>
            </w:pPr>
          </w:p>
        </w:tc>
        <w:tc>
          <w:tcPr>
            <w:tcW w:w="805" w:type="dxa"/>
          </w:tcPr>
          <w:p w14:paraId="067E00F4">
            <w:pPr>
              <w:pStyle w:val="59"/>
              <w:shd w:val="clear" w:fill="FFFFFF" w:themeFill="background1"/>
              <w:jc w:val="center"/>
              <w:rPr>
                <w:rFonts w:ascii="宋体" w:hAnsi="宋体" w:cs="宋体"/>
                <w:color w:val="auto"/>
                <w:highlight w:val="none"/>
              </w:rPr>
            </w:pPr>
          </w:p>
        </w:tc>
      </w:tr>
      <w:tr w14:paraId="6CAD9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788" w:type="dxa"/>
            <w:gridSpan w:val="2"/>
            <w:vAlign w:val="center"/>
          </w:tcPr>
          <w:p w14:paraId="253F4A51">
            <w:pPr>
              <w:pStyle w:val="59"/>
              <w:shd w:val="clear" w:fill="FFFFFF" w:themeFill="background1"/>
              <w:jc w:val="center"/>
              <w:rPr>
                <w:rFonts w:ascii="宋体" w:hAnsi="宋体" w:cs="宋体"/>
                <w:color w:val="auto"/>
                <w:highlight w:val="none"/>
              </w:rPr>
            </w:pPr>
            <w:r>
              <w:rPr>
                <w:rFonts w:hint="eastAsia" w:ascii="宋体" w:hAnsi="宋体" w:cs="宋体"/>
                <w:color w:val="auto"/>
                <w:highlight w:val="none"/>
              </w:rPr>
              <w:t>业绩合计</w:t>
            </w:r>
          </w:p>
        </w:tc>
        <w:tc>
          <w:tcPr>
            <w:tcW w:w="1286" w:type="dxa"/>
          </w:tcPr>
          <w:p w14:paraId="21FE5E1A">
            <w:pPr>
              <w:pStyle w:val="59"/>
              <w:shd w:val="clear" w:fill="FFFFFF" w:themeFill="background1"/>
              <w:jc w:val="center"/>
              <w:rPr>
                <w:rFonts w:ascii="宋体" w:hAnsi="宋体" w:cs="宋体"/>
                <w:color w:val="auto"/>
                <w:highlight w:val="none"/>
              </w:rPr>
            </w:pPr>
          </w:p>
        </w:tc>
        <w:tc>
          <w:tcPr>
            <w:tcW w:w="1286" w:type="dxa"/>
          </w:tcPr>
          <w:p w14:paraId="3BE34F27">
            <w:pPr>
              <w:pStyle w:val="59"/>
              <w:shd w:val="clear" w:fill="FFFFFF" w:themeFill="background1"/>
              <w:jc w:val="center"/>
              <w:rPr>
                <w:rFonts w:ascii="宋体" w:hAnsi="宋体" w:cs="宋体"/>
                <w:color w:val="auto"/>
                <w:highlight w:val="none"/>
              </w:rPr>
            </w:pPr>
          </w:p>
        </w:tc>
        <w:tc>
          <w:tcPr>
            <w:tcW w:w="936" w:type="dxa"/>
          </w:tcPr>
          <w:p w14:paraId="71C322A4">
            <w:pPr>
              <w:pStyle w:val="59"/>
              <w:shd w:val="clear" w:fill="FFFFFF" w:themeFill="background1"/>
              <w:jc w:val="center"/>
              <w:rPr>
                <w:rFonts w:ascii="宋体" w:hAnsi="宋体" w:cs="宋体"/>
                <w:color w:val="auto"/>
                <w:highlight w:val="none"/>
              </w:rPr>
            </w:pPr>
          </w:p>
        </w:tc>
        <w:tc>
          <w:tcPr>
            <w:tcW w:w="1034" w:type="dxa"/>
          </w:tcPr>
          <w:p w14:paraId="2B86BC55">
            <w:pPr>
              <w:pStyle w:val="59"/>
              <w:shd w:val="clear" w:fill="FFFFFF" w:themeFill="background1"/>
              <w:jc w:val="center"/>
              <w:rPr>
                <w:rFonts w:ascii="宋体" w:hAnsi="宋体" w:cs="宋体"/>
                <w:color w:val="auto"/>
                <w:highlight w:val="none"/>
              </w:rPr>
            </w:pPr>
          </w:p>
        </w:tc>
        <w:tc>
          <w:tcPr>
            <w:tcW w:w="936" w:type="dxa"/>
          </w:tcPr>
          <w:p w14:paraId="548D43A9">
            <w:pPr>
              <w:pStyle w:val="59"/>
              <w:shd w:val="clear" w:fill="FFFFFF" w:themeFill="background1"/>
              <w:jc w:val="center"/>
              <w:rPr>
                <w:rFonts w:ascii="宋体" w:hAnsi="宋体" w:cs="宋体"/>
                <w:color w:val="auto"/>
                <w:highlight w:val="none"/>
              </w:rPr>
            </w:pPr>
          </w:p>
        </w:tc>
        <w:tc>
          <w:tcPr>
            <w:tcW w:w="978" w:type="dxa"/>
          </w:tcPr>
          <w:p w14:paraId="5BFFBC21">
            <w:pPr>
              <w:pStyle w:val="59"/>
              <w:shd w:val="clear" w:fill="FFFFFF" w:themeFill="background1"/>
              <w:jc w:val="center"/>
              <w:rPr>
                <w:rFonts w:ascii="宋体" w:hAnsi="宋体" w:cs="宋体"/>
                <w:color w:val="auto"/>
                <w:highlight w:val="none"/>
              </w:rPr>
            </w:pPr>
          </w:p>
        </w:tc>
        <w:tc>
          <w:tcPr>
            <w:tcW w:w="805" w:type="dxa"/>
          </w:tcPr>
          <w:p w14:paraId="201C8646">
            <w:pPr>
              <w:pStyle w:val="59"/>
              <w:shd w:val="clear" w:fill="FFFFFF" w:themeFill="background1"/>
              <w:jc w:val="center"/>
              <w:rPr>
                <w:rFonts w:ascii="宋体" w:hAnsi="宋体" w:cs="宋体"/>
                <w:color w:val="auto"/>
                <w:highlight w:val="none"/>
              </w:rPr>
            </w:pPr>
          </w:p>
        </w:tc>
        <w:tc>
          <w:tcPr>
            <w:tcW w:w="805" w:type="dxa"/>
          </w:tcPr>
          <w:p w14:paraId="165BF1E6">
            <w:pPr>
              <w:pStyle w:val="59"/>
              <w:shd w:val="clear" w:fill="FFFFFF" w:themeFill="background1"/>
              <w:jc w:val="center"/>
              <w:rPr>
                <w:rFonts w:ascii="宋体" w:hAnsi="宋体" w:cs="宋体"/>
                <w:color w:val="auto"/>
                <w:highlight w:val="none"/>
              </w:rPr>
            </w:pPr>
          </w:p>
        </w:tc>
      </w:tr>
    </w:tbl>
    <w:p w14:paraId="7CC14FAE">
      <w:pPr>
        <w:shd w:val="clear" w:fill="FFFFFF" w:themeFill="background1"/>
        <w:spacing w:line="360" w:lineRule="auto"/>
        <w:ind w:left="621" w:leftChars="-13" w:hanging="648" w:hangingChars="309"/>
        <w:rPr>
          <w:rFonts w:ascii="宋体" w:hAnsi="宋体" w:cs="宋体"/>
          <w:color w:val="auto"/>
          <w:sz w:val="24"/>
          <w:highlight w:val="none"/>
        </w:rPr>
      </w:pPr>
      <w:r>
        <w:rPr>
          <w:rFonts w:hint="eastAsia" w:ascii="宋体" w:hAnsi="宋体" w:cs="宋体"/>
          <w:color w:val="auto"/>
          <w:highlight w:val="none"/>
        </w:rPr>
        <w:t>注：业绩要求应符合投标人须知前附表 3.5.3、10.6 及 10.7 款的要求。</w:t>
      </w:r>
    </w:p>
    <w:p w14:paraId="2D09FE76">
      <w:pPr>
        <w:shd w:val="clear" w:fill="FFFFFF" w:themeFill="background1"/>
        <w:jc w:val="center"/>
        <w:rPr>
          <w:rFonts w:ascii="宋体" w:hAnsi="宋体" w:cs="宋体"/>
          <w:b/>
          <w:color w:val="auto"/>
          <w:sz w:val="28"/>
          <w:szCs w:val="28"/>
          <w:highlight w:val="none"/>
        </w:rPr>
      </w:pPr>
      <w:r>
        <w:rPr>
          <w:rFonts w:hint="eastAsia" w:ascii="宋体" w:hAnsi="宋体" w:cs="宋体"/>
          <w:color w:val="auto"/>
          <w:sz w:val="24"/>
          <w:highlight w:val="none"/>
        </w:rPr>
        <w:br w:type="page"/>
      </w:r>
      <w:r>
        <w:rPr>
          <w:rFonts w:hint="eastAsia" w:ascii="宋体" w:hAnsi="宋体" w:cs="宋体"/>
          <w:b/>
          <w:color w:val="auto"/>
          <w:sz w:val="28"/>
          <w:szCs w:val="28"/>
          <w:highlight w:val="none"/>
        </w:rPr>
        <w:t>（五）投标人的信誉情况表</w:t>
      </w:r>
    </w:p>
    <w:p w14:paraId="725E9300">
      <w:pPr>
        <w:shd w:val="clear" w:fill="FFFFFF" w:themeFill="background1"/>
        <w:spacing w:line="300" w:lineRule="exact"/>
        <w:rPr>
          <w:rFonts w:ascii="宋体" w:hAnsi="宋体" w:cs="宋体"/>
          <w:color w:val="auto"/>
          <w:sz w:val="24"/>
          <w:highlight w:val="none"/>
        </w:rPr>
      </w:pPr>
    </w:p>
    <w:tbl>
      <w:tblPr>
        <w:tblStyle w:val="45"/>
        <w:tblW w:w="9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0"/>
        <w:gridCol w:w="4890"/>
      </w:tblGrid>
      <w:tr w14:paraId="4B76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4890" w:type="dxa"/>
            <w:vAlign w:val="center"/>
          </w:tcPr>
          <w:p w14:paraId="7D4BCA7A">
            <w:pPr>
              <w:shd w:val="clear" w:fill="FFFFFF" w:themeFill="background1"/>
              <w:spacing w:line="300" w:lineRule="exact"/>
              <w:jc w:val="center"/>
              <w:rPr>
                <w:rFonts w:ascii="宋体" w:hAnsi="宋体" w:cs="宋体"/>
                <w:color w:val="auto"/>
                <w:sz w:val="24"/>
                <w:highlight w:val="none"/>
              </w:rPr>
            </w:pPr>
            <w:r>
              <w:rPr>
                <w:rFonts w:hint="eastAsia" w:ascii="宋体" w:hAnsi="宋体" w:cs="宋体"/>
                <w:color w:val="auto"/>
                <w:sz w:val="24"/>
                <w:highlight w:val="none"/>
              </w:rPr>
              <w:t>项  目</w:t>
            </w:r>
          </w:p>
        </w:tc>
        <w:tc>
          <w:tcPr>
            <w:tcW w:w="4890" w:type="dxa"/>
            <w:vAlign w:val="center"/>
          </w:tcPr>
          <w:p w14:paraId="79863DC1">
            <w:pPr>
              <w:shd w:val="clear" w:fill="FFFFFF" w:themeFill="background1"/>
              <w:spacing w:line="300" w:lineRule="exact"/>
              <w:jc w:val="center"/>
              <w:rPr>
                <w:rFonts w:ascii="宋体" w:hAnsi="宋体" w:cs="宋体"/>
                <w:color w:val="auto"/>
                <w:sz w:val="24"/>
                <w:highlight w:val="none"/>
              </w:rPr>
            </w:pPr>
            <w:r>
              <w:rPr>
                <w:rFonts w:hint="eastAsia" w:ascii="宋体" w:hAnsi="宋体" w:cs="宋体"/>
                <w:color w:val="auto"/>
                <w:sz w:val="24"/>
                <w:highlight w:val="none"/>
              </w:rPr>
              <w:t>投标人情况说明</w:t>
            </w:r>
          </w:p>
        </w:tc>
      </w:tr>
      <w:tr w14:paraId="11BBC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890" w:type="dxa"/>
            <w:vAlign w:val="center"/>
          </w:tcPr>
          <w:p w14:paraId="563000E3">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（1）在最新年度广东省公路工程从业单位（施工单位）信用评价（含无最新年度而上一年度有信用评价）中，信用等级被评为 D 级；初次进入广东省的投标人，在最新年度的全国公路从业单位（施工单位）信用评价结果中被评为 D 级；</w:t>
            </w:r>
          </w:p>
        </w:tc>
        <w:tc>
          <w:tcPr>
            <w:tcW w:w="4890" w:type="dxa"/>
            <w:vAlign w:val="center"/>
          </w:tcPr>
          <w:p w14:paraId="647307BC">
            <w:pPr>
              <w:shd w:val="clear" w:fill="FFFFFF" w:themeFill="background1"/>
              <w:spacing w:line="300" w:lineRule="exact"/>
              <w:jc w:val="center"/>
              <w:rPr>
                <w:rFonts w:ascii="宋体" w:hAnsi="宋体" w:cs="宋体"/>
                <w:color w:val="auto"/>
                <w:sz w:val="24"/>
                <w:highlight w:val="none"/>
              </w:rPr>
            </w:pPr>
          </w:p>
        </w:tc>
      </w:tr>
      <w:tr w14:paraId="75E9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4890" w:type="dxa"/>
            <w:vAlign w:val="center"/>
          </w:tcPr>
          <w:p w14:paraId="3F63D966">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（2）被省级及以上交通运输主管部门取消招标项目所在地的投标资格且处于有效期内；</w:t>
            </w:r>
          </w:p>
        </w:tc>
        <w:tc>
          <w:tcPr>
            <w:tcW w:w="4890" w:type="dxa"/>
            <w:vAlign w:val="center"/>
          </w:tcPr>
          <w:p w14:paraId="16C6903A">
            <w:pPr>
              <w:shd w:val="clear" w:fill="FFFFFF" w:themeFill="background1"/>
              <w:spacing w:line="300" w:lineRule="exact"/>
              <w:jc w:val="center"/>
              <w:rPr>
                <w:rFonts w:ascii="宋体" w:hAnsi="宋体" w:cs="宋体"/>
                <w:color w:val="auto"/>
                <w:sz w:val="24"/>
                <w:highlight w:val="none"/>
              </w:rPr>
            </w:pPr>
          </w:p>
        </w:tc>
      </w:tr>
      <w:tr w14:paraId="351E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890" w:type="dxa"/>
            <w:vAlign w:val="center"/>
          </w:tcPr>
          <w:p w14:paraId="210DC3F4">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（3）被责令停业，暂扣或吊销执照，或吊销资质证书；</w:t>
            </w:r>
          </w:p>
        </w:tc>
        <w:tc>
          <w:tcPr>
            <w:tcW w:w="4890" w:type="dxa"/>
            <w:vAlign w:val="center"/>
          </w:tcPr>
          <w:p w14:paraId="4C46197A">
            <w:pPr>
              <w:shd w:val="clear" w:fill="FFFFFF" w:themeFill="background1"/>
              <w:spacing w:line="300" w:lineRule="exact"/>
              <w:jc w:val="center"/>
              <w:rPr>
                <w:rFonts w:ascii="宋体" w:hAnsi="宋体" w:cs="宋体"/>
                <w:color w:val="auto"/>
                <w:sz w:val="24"/>
                <w:highlight w:val="none"/>
              </w:rPr>
            </w:pPr>
          </w:p>
        </w:tc>
      </w:tr>
      <w:tr w14:paraId="7BFF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90" w:type="dxa"/>
            <w:vAlign w:val="center"/>
          </w:tcPr>
          <w:p w14:paraId="0D440589">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（4）进入清算程序，或被宣告破产，或其他丧失履约能力的情形；</w:t>
            </w:r>
          </w:p>
        </w:tc>
        <w:tc>
          <w:tcPr>
            <w:tcW w:w="4890" w:type="dxa"/>
            <w:vAlign w:val="center"/>
          </w:tcPr>
          <w:p w14:paraId="0327351F">
            <w:pPr>
              <w:shd w:val="clear" w:fill="FFFFFF" w:themeFill="background1"/>
              <w:spacing w:line="300" w:lineRule="exact"/>
              <w:jc w:val="center"/>
              <w:rPr>
                <w:rFonts w:ascii="宋体" w:hAnsi="宋体" w:cs="宋体"/>
                <w:color w:val="auto"/>
                <w:sz w:val="24"/>
                <w:highlight w:val="none"/>
              </w:rPr>
            </w:pPr>
          </w:p>
        </w:tc>
      </w:tr>
      <w:tr w14:paraId="7BCF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4890" w:type="dxa"/>
            <w:vAlign w:val="center"/>
          </w:tcPr>
          <w:p w14:paraId="42C86245">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（5）在国家企业信用信息公示系统中被列入严重违法失信企业名单；</w:t>
            </w:r>
          </w:p>
        </w:tc>
        <w:tc>
          <w:tcPr>
            <w:tcW w:w="4890" w:type="dxa"/>
            <w:vAlign w:val="center"/>
          </w:tcPr>
          <w:p w14:paraId="1EE9728A">
            <w:pPr>
              <w:shd w:val="clear" w:fill="FFFFFF" w:themeFill="background1"/>
              <w:spacing w:line="300" w:lineRule="exact"/>
              <w:jc w:val="center"/>
              <w:rPr>
                <w:rFonts w:ascii="宋体" w:hAnsi="宋体" w:cs="宋体"/>
                <w:color w:val="auto"/>
                <w:sz w:val="24"/>
                <w:highlight w:val="none"/>
              </w:rPr>
            </w:pPr>
          </w:p>
        </w:tc>
      </w:tr>
      <w:tr w14:paraId="0115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4890" w:type="dxa"/>
            <w:vAlign w:val="center"/>
          </w:tcPr>
          <w:p w14:paraId="0EC9ECA9">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（6）在“信用中国”网站中被列入失信被执行人名单；</w:t>
            </w:r>
          </w:p>
        </w:tc>
        <w:tc>
          <w:tcPr>
            <w:tcW w:w="4890" w:type="dxa"/>
            <w:vAlign w:val="center"/>
          </w:tcPr>
          <w:p w14:paraId="3EB3EACC">
            <w:pPr>
              <w:shd w:val="clear" w:fill="FFFFFF" w:themeFill="background1"/>
              <w:spacing w:line="300" w:lineRule="exact"/>
              <w:jc w:val="center"/>
              <w:rPr>
                <w:rFonts w:ascii="宋体" w:hAnsi="宋体" w:cs="宋体"/>
                <w:color w:val="auto"/>
                <w:sz w:val="24"/>
                <w:highlight w:val="none"/>
              </w:rPr>
            </w:pPr>
          </w:p>
        </w:tc>
      </w:tr>
      <w:tr w14:paraId="49206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4890" w:type="dxa"/>
            <w:vAlign w:val="center"/>
          </w:tcPr>
          <w:p w14:paraId="6A3DD718">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（7）投标人及其法定代表人、拟委任的项目经理（以及备选人，如有）、项目总工（以及备选人，如有）在近三年内有行贿犯罪行为的（以投标人投标函中的承诺为准）；</w:t>
            </w:r>
          </w:p>
        </w:tc>
        <w:tc>
          <w:tcPr>
            <w:tcW w:w="4890" w:type="dxa"/>
            <w:vAlign w:val="center"/>
          </w:tcPr>
          <w:p w14:paraId="7D010583">
            <w:pPr>
              <w:shd w:val="clear" w:fill="FFFFFF" w:themeFill="background1"/>
              <w:spacing w:line="300" w:lineRule="exact"/>
              <w:jc w:val="center"/>
              <w:rPr>
                <w:rFonts w:ascii="宋体" w:hAnsi="宋体" w:cs="宋体"/>
                <w:color w:val="auto"/>
                <w:sz w:val="24"/>
                <w:highlight w:val="none"/>
              </w:rPr>
            </w:pPr>
          </w:p>
        </w:tc>
      </w:tr>
      <w:tr w14:paraId="0147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4890" w:type="dxa"/>
            <w:vAlign w:val="center"/>
          </w:tcPr>
          <w:p w14:paraId="259BE195">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（8）法律法规或投标人须知前附表规定的其他情形。</w:t>
            </w:r>
          </w:p>
        </w:tc>
        <w:tc>
          <w:tcPr>
            <w:tcW w:w="4890" w:type="dxa"/>
            <w:vAlign w:val="center"/>
          </w:tcPr>
          <w:p w14:paraId="40DE0818">
            <w:pPr>
              <w:shd w:val="clear" w:fill="FFFFFF" w:themeFill="background1"/>
              <w:spacing w:line="300" w:lineRule="exact"/>
              <w:jc w:val="center"/>
              <w:rPr>
                <w:rFonts w:ascii="宋体" w:hAnsi="宋体" w:cs="宋体"/>
                <w:color w:val="auto"/>
                <w:sz w:val="24"/>
                <w:highlight w:val="none"/>
              </w:rPr>
            </w:pPr>
          </w:p>
        </w:tc>
      </w:tr>
      <w:tr w14:paraId="4C87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890" w:type="dxa"/>
            <w:vAlign w:val="center"/>
          </w:tcPr>
          <w:p w14:paraId="29EE352F">
            <w:pPr>
              <w:shd w:val="clear" w:fill="FFFFFF" w:themeFill="background1"/>
              <w:spacing w:line="300" w:lineRule="exact"/>
              <w:jc w:val="left"/>
              <w:rPr>
                <w:rFonts w:ascii="宋体" w:hAnsi="宋体" w:cs="宋体"/>
                <w:color w:val="auto"/>
                <w:sz w:val="24"/>
                <w:highlight w:val="none"/>
              </w:rPr>
            </w:pPr>
            <w:r>
              <w:rPr>
                <w:rFonts w:hint="eastAsia" w:ascii="宋体" w:hAnsi="宋体" w:cs="宋体"/>
                <w:color w:val="auto"/>
                <w:sz w:val="24"/>
                <w:highlight w:val="none"/>
              </w:rPr>
              <w:t>……</w:t>
            </w:r>
          </w:p>
        </w:tc>
        <w:tc>
          <w:tcPr>
            <w:tcW w:w="4890" w:type="dxa"/>
            <w:vAlign w:val="center"/>
          </w:tcPr>
          <w:p w14:paraId="41A6DFCC">
            <w:pPr>
              <w:shd w:val="clear" w:fill="FFFFFF" w:themeFill="background1"/>
              <w:spacing w:line="300" w:lineRule="exact"/>
              <w:jc w:val="center"/>
              <w:rPr>
                <w:rFonts w:ascii="宋体" w:hAnsi="宋体" w:cs="宋体"/>
                <w:color w:val="auto"/>
                <w:sz w:val="24"/>
                <w:highlight w:val="none"/>
              </w:rPr>
            </w:pPr>
          </w:p>
        </w:tc>
      </w:tr>
    </w:tbl>
    <w:p w14:paraId="3EEDF4A4">
      <w:pPr>
        <w:shd w:val="clear" w:fill="FFFFFF" w:themeFill="background1"/>
        <w:spacing w:line="360" w:lineRule="auto"/>
        <w:ind w:left="720" w:hanging="720" w:hangingChars="300"/>
        <w:rPr>
          <w:rFonts w:ascii="宋体" w:hAnsi="宋体" w:cs="宋体"/>
          <w:color w:val="auto"/>
          <w:sz w:val="24"/>
          <w:highlight w:val="none"/>
        </w:rPr>
      </w:pPr>
      <w:r>
        <w:rPr>
          <w:rFonts w:hint="eastAsia" w:ascii="宋体" w:hAnsi="宋体" w:cs="宋体"/>
          <w:color w:val="auto"/>
          <w:sz w:val="24"/>
          <w:highlight w:val="none"/>
        </w:rPr>
        <w:t>注：1.投标人应按照招标文件第二章“投标人须知”前附表附录 4 和“投标人须知”第</w:t>
      </w:r>
    </w:p>
    <w:p w14:paraId="77E13A79">
      <w:pPr>
        <w:shd w:val="clear" w:fill="FFFFFF" w:themeFill="background1"/>
        <w:spacing w:line="360" w:lineRule="auto"/>
        <w:ind w:left="720" w:hanging="720" w:hangingChars="300"/>
        <w:rPr>
          <w:rFonts w:ascii="宋体" w:hAnsi="宋体" w:cs="宋体"/>
          <w:color w:val="auto"/>
          <w:sz w:val="24"/>
          <w:highlight w:val="none"/>
        </w:rPr>
      </w:pPr>
      <w:r>
        <w:rPr>
          <w:rFonts w:hint="eastAsia" w:ascii="宋体" w:hAnsi="宋体" w:cs="宋体"/>
          <w:color w:val="auto"/>
          <w:sz w:val="24"/>
          <w:highlight w:val="none"/>
        </w:rPr>
        <w:t>1.4.4 条款号中的各项规定，逐条说明其信誉情况。</w:t>
      </w:r>
    </w:p>
    <w:p w14:paraId="65536D8C">
      <w:pPr>
        <w:shd w:val="clear" w:fill="FFFFFF" w:themeFill="background1"/>
        <w:spacing w:line="360" w:lineRule="auto"/>
        <w:ind w:left="719" w:leftChars="228" w:hanging="240" w:hangingChars="100"/>
        <w:rPr>
          <w:rFonts w:ascii="宋体" w:hAnsi="宋体" w:cs="宋体"/>
          <w:color w:val="auto"/>
          <w:sz w:val="24"/>
          <w:highlight w:val="none"/>
        </w:rPr>
      </w:pPr>
      <w:r>
        <w:rPr>
          <w:rFonts w:hint="eastAsia" w:ascii="宋体" w:hAnsi="宋体" w:cs="宋体"/>
          <w:color w:val="auto"/>
          <w:sz w:val="24"/>
          <w:highlight w:val="none"/>
        </w:rPr>
        <w:t>2.投标人应根据招标文件第二章“投标人须知”第 3.5.4 项的要求在本表后附相关</w:t>
      </w:r>
    </w:p>
    <w:p w14:paraId="2E2E31C7">
      <w:pPr>
        <w:shd w:val="clear" w:fill="FFFFFF" w:themeFill="background1"/>
        <w:spacing w:line="360" w:lineRule="auto"/>
        <w:ind w:left="720" w:hanging="720" w:hangingChars="300"/>
        <w:rPr>
          <w:rFonts w:ascii="宋体" w:hAnsi="宋体" w:cs="宋体"/>
          <w:color w:val="auto"/>
          <w:sz w:val="24"/>
          <w:highlight w:val="none"/>
        </w:rPr>
      </w:pPr>
      <w:r>
        <w:rPr>
          <w:rFonts w:hint="eastAsia" w:ascii="宋体" w:hAnsi="宋体" w:cs="宋体"/>
          <w:color w:val="auto"/>
          <w:sz w:val="24"/>
          <w:highlight w:val="none"/>
        </w:rPr>
        <w:t>证明材料。</w:t>
      </w:r>
    </w:p>
    <w:p w14:paraId="383AC0F6">
      <w:pPr>
        <w:shd w:val="clear" w:fill="FFFFFF" w:themeFill="background1"/>
        <w:spacing w:line="360" w:lineRule="auto"/>
        <w:ind w:left="719" w:leftChars="228" w:hanging="240" w:hangingChars="100"/>
        <w:rPr>
          <w:rFonts w:ascii="宋体" w:hAnsi="宋体" w:cs="宋体"/>
          <w:color w:val="auto"/>
          <w:sz w:val="24"/>
          <w:highlight w:val="none"/>
        </w:rPr>
      </w:pPr>
    </w:p>
    <w:p w14:paraId="421EA01D">
      <w:pPr>
        <w:shd w:val="clear" w:fill="FFFFFF" w:themeFill="background1"/>
        <w:spacing w:line="360" w:lineRule="auto"/>
        <w:ind w:left="643" w:leftChars="226" w:hanging="168" w:hangingChars="70"/>
        <w:rPr>
          <w:rFonts w:ascii="宋体" w:hAnsi="宋体" w:cs="宋体"/>
          <w:color w:val="auto"/>
          <w:sz w:val="24"/>
          <w:highlight w:val="none"/>
        </w:rPr>
      </w:pPr>
    </w:p>
    <w:p w14:paraId="63F85A9D">
      <w:pPr>
        <w:shd w:val="clear" w:fill="FFFFFF" w:themeFill="background1"/>
        <w:spacing w:line="300" w:lineRule="exact"/>
        <w:rPr>
          <w:rFonts w:ascii="宋体" w:hAnsi="宋体" w:cs="宋体"/>
          <w:color w:val="auto"/>
          <w:sz w:val="24"/>
          <w:highlight w:val="none"/>
        </w:rPr>
        <w:sectPr>
          <w:footerReference r:id="rId16" w:type="first"/>
          <w:footerReference r:id="rId15" w:type="default"/>
          <w:footnotePr>
            <w:numFmt w:val="decimalEnclosedCircleChinese"/>
          </w:footnotePr>
          <w:pgSz w:w="11906" w:h="16838"/>
          <w:pgMar w:top="1038" w:right="924" w:bottom="936" w:left="1418" w:header="624" w:footer="590" w:gutter="0"/>
          <w:cols w:space="720" w:num="1"/>
          <w:docGrid w:type="lines" w:linePitch="312" w:charSpace="0"/>
        </w:sectPr>
      </w:pPr>
    </w:p>
    <w:p w14:paraId="78010D34">
      <w:pPr>
        <w:shd w:val="clear" w:fill="FFFFFF" w:themeFill="background1"/>
        <w:jc w:val="center"/>
        <w:rPr>
          <w:rFonts w:ascii="宋体" w:hAnsi="宋体" w:cs="宋体"/>
          <w:b/>
          <w:color w:val="auto"/>
          <w:sz w:val="28"/>
          <w:szCs w:val="28"/>
          <w:highlight w:val="none"/>
        </w:rPr>
      </w:pPr>
      <w:r>
        <w:rPr>
          <w:rFonts w:hint="eastAsia" w:ascii="宋体" w:hAnsi="宋体" w:cs="宋体"/>
          <w:b/>
          <w:color w:val="auto"/>
          <w:sz w:val="28"/>
          <w:szCs w:val="28"/>
          <w:highlight w:val="none"/>
        </w:rPr>
        <w:t>（六）拟委任的项目经理和项目总工情况表</w:t>
      </w:r>
    </w:p>
    <w:p w14:paraId="1C617749">
      <w:pPr>
        <w:shd w:val="clear" w:fill="FFFFFF" w:themeFill="background1"/>
        <w:jc w:val="center"/>
        <w:rPr>
          <w:rFonts w:ascii="宋体" w:hAnsi="宋体" w:cs="宋体"/>
          <w:b/>
          <w:color w:val="auto"/>
          <w:sz w:val="28"/>
          <w:szCs w:val="28"/>
          <w:highlight w:val="none"/>
        </w:rPr>
      </w:pPr>
      <w:r>
        <w:rPr>
          <w:rFonts w:hint="eastAsia" w:ascii="宋体" w:hAnsi="宋体" w:cs="宋体"/>
          <w:b/>
          <w:color w:val="auto"/>
          <w:sz w:val="28"/>
          <w:szCs w:val="28"/>
          <w:highlight w:val="none"/>
        </w:rPr>
        <w:t>（六）-1拟委任的项目经理和项目总工汇总表</w:t>
      </w:r>
    </w:p>
    <w:p w14:paraId="69EE97D9">
      <w:pPr>
        <w:pStyle w:val="55"/>
        <w:shd w:val="clear" w:fill="FFFFFF" w:themeFill="background1"/>
        <w:rPr>
          <w:rFonts w:ascii="宋体" w:hAnsi="宋体" w:cs="宋体"/>
          <w:b/>
          <w:color w:val="auto"/>
          <w:highlight w:val="none"/>
        </w:rPr>
      </w:pPr>
    </w:p>
    <w:tbl>
      <w:tblPr>
        <w:tblStyle w:val="46"/>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1397"/>
        <w:gridCol w:w="1397"/>
        <w:gridCol w:w="1397"/>
        <w:gridCol w:w="1397"/>
        <w:gridCol w:w="1397"/>
        <w:gridCol w:w="1398"/>
      </w:tblGrid>
      <w:tr w14:paraId="26B1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97" w:type="dxa"/>
            <w:vAlign w:val="center"/>
          </w:tcPr>
          <w:p w14:paraId="436F9A5B">
            <w:pPr>
              <w:shd w:val="clear" w:fill="FFFFFF" w:themeFill="background1"/>
              <w:jc w:val="center"/>
              <w:rPr>
                <w:color w:val="auto"/>
                <w:sz w:val="24"/>
                <w:highlight w:val="none"/>
              </w:rPr>
            </w:pPr>
            <w:r>
              <w:rPr>
                <w:rFonts w:hint="eastAsia"/>
                <w:color w:val="auto"/>
                <w:sz w:val="24"/>
                <w:highlight w:val="none"/>
              </w:rPr>
              <w:t>姓名</w:t>
            </w:r>
          </w:p>
        </w:tc>
        <w:tc>
          <w:tcPr>
            <w:tcW w:w="1397" w:type="dxa"/>
            <w:vAlign w:val="center"/>
          </w:tcPr>
          <w:p w14:paraId="5F1E400F">
            <w:pPr>
              <w:shd w:val="clear" w:fill="FFFFFF" w:themeFill="background1"/>
              <w:jc w:val="center"/>
              <w:rPr>
                <w:color w:val="auto"/>
                <w:sz w:val="24"/>
                <w:highlight w:val="none"/>
              </w:rPr>
            </w:pPr>
            <w:r>
              <w:rPr>
                <w:rFonts w:hint="eastAsia"/>
                <w:color w:val="auto"/>
                <w:sz w:val="24"/>
                <w:highlight w:val="none"/>
              </w:rPr>
              <w:t>年龄</w:t>
            </w:r>
          </w:p>
        </w:tc>
        <w:tc>
          <w:tcPr>
            <w:tcW w:w="1397" w:type="dxa"/>
            <w:vAlign w:val="center"/>
          </w:tcPr>
          <w:p w14:paraId="7E2CD75F">
            <w:pPr>
              <w:shd w:val="clear" w:fill="FFFFFF" w:themeFill="background1"/>
              <w:jc w:val="center"/>
              <w:rPr>
                <w:color w:val="auto"/>
                <w:sz w:val="24"/>
                <w:highlight w:val="none"/>
              </w:rPr>
            </w:pPr>
            <w:r>
              <w:rPr>
                <w:rFonts w:hint="eastAsia"/>
                <w:color w:val="auto"/>
                <w:sz w:val="24"/>
                <w:highlight w:val="none"/>
              </w:rPr>
              <w:t>拟在本项目中担任的职务</w:t>
            </w:r>
          </w:p>
        </w:tc>
        <w:tc>
          <w:tcPr>
            <w:tcW w:w="1397" w:type="dxa"/>
            <w:vAlign w:val="center"/>
          </w:tcPr>
          <w:p w14:paraId="059B8CC5">
            <w:pPr>
              <w:shd w:val="clear" w:fill="FFFFFF" w:themeFill="background1"/>
              <w:jc w:val="center"/>
              <w:rPr>
                <w:color w:val="auto"/>
                <w:sz w:val="24"/>
                <w:highlight w:val="none"/>
              </w:rPr>
            </w:pPr>
            <w:r>
              <w:rPr>
                <w:rFonts w:hint="eastAsia"/>
                <w:color w:val="auto"/>
                <w:sz w:val="24"/>
                <w:highlight w:val="none"/>
              </w:rPr>
              <w:t>技术</w:t>
            </w:r>
          </w:p>
          <w:p w14:paraId="1C67A8A0">
            <w:pPr>
              <w:shd w:val="clear" w:fill="FFFFFF" w:themeFill="background1"/>
              <w:jc w:val="center"/>
              <w:rPr>
                <w:color w:val="auto"/>
                <w:sz w:val="24"/>
                <w:highlight w:val="none"/>
              </w:rPr>
            </w:pPr>
            <w:r>
              <w:rPr>
                <w:rFonts w:hint="eastAsia"/>
                <w:color w:val="auto"/>
                <w:sz w:val="24"/>
                <w:highlight w:val="none"/>
              </w:rPr>
              <w:t>职称</w:t>
            </w:r>
          </w:p>
        </w:tc>
        <w:tc>
          <w:tcPr>
            <w:tcW w:w="1397" w:type="dxa"/>
            <w:vAlign w:val="center"/>
          </w:tcPr>
          <w:p w14:paraId="60B909E8">
            <w:pPr>
              <w:shd w:val="clear" w:fill="FFFFFF" w:themeFill="background1"/>
              <w:jc w:val="center"/>
              <w:rPr>
                <w:color w:val="auto"/>
                <w:sz w:val="24"/>
                <w:highlight w:val="none"/>
              </w:rPr>
            </w:pPr>
            <w:r>
              <w:rPr>
                <w:rFonts w:hint="eastAsia"/>
                <w:color w:val="auto"/>
                <w:sz w:val="24"/>
                <w:highlight w:val="none"/>
              </w:rPr>
              <w:t>建造师类别及注册号</w:t>
            </w:r>
          </w:p>
        </w:tc>
        <w:tc>
          <w:tcPr>
            <w:tcW w:w="1397" w:type="dxa"/>
            <w:vAlign w:val="center"/>
          </w:tcPr>
          <w:p w14:paraId="43FFAD9D">
            <w:pPr>
              <w:shd w:val="clear" w:fill="FFFFFF" w:themeFill="background1"/>
              <w:jc w:val="center"/>
              <w:rPr>
                <w:color w:val="auto"/>
                <w:sz w:val="24"/>
                <w:highlight w:val="none"/>
              </w:rPr>
            </w:pPr>
            <w:r>
              <w:rPr>
                <w:rFonts w:hint="eastAsia"/>
                <w:color w:val="auto"/>
                <w:sz w:val="24"/>
                <w:highlight w:val="none"/>
              </w:rPr>
              <w:t>累计对应岗位的工作年限（月）</w:t>
            </w:r>
          </w:p>
        </w:tc>
        <w:tc>
          <w:tcPr>
            <w:tcW w:w="1398" w:type="dxa"/>
            <w:vAlign w:val="center"/>
          </w:tcPr>
          <w:p w14:paraId="189B2C13">
            <w:pPr>
              <w:shd w:val="clear" w:fill="FFFFFF" w:themeFill="background1"/>
              <w:jc w:val="center"/>
              <w:rPr>
                <w:color w:val="auto"/>
                <w:sz w:val="24"/>
                <w:highlight w:val="none"/>
              </w:rPr>
            </w:pPr>
            <w:r>
              <w:rPr>
                <w:rFonts w:hint="eastAsia"/>
                <w:color w:val="auto"/>
                <w:sz w:val="24"/>
                <w:highlight w:val="none"/>
              </w:rPr>
              <w:t>备注</w:t>
            </w:r>
          </w:p>
        </w:tc>
      </w:tr>
      <w:tr w14:paraId="301F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5A708D0F">
            <w:pPr>
              <w:pStyle w:val="55"/>
              <w:shd w:val="clear" w:fill="FFFFFF" w:themeFill="background1"/>
              <w:rPr>
                <w:rFonts w:ascii="宋体" w:hAnsi="宋体" w:cs="宋体"/>
                <w:b/>
                <w:color w:val="auto"/>
                <w:highlight w:val="none"/>
              </w:rPr>
            </w:pPr>
          </w:p>
        </w:tc>
        <w:tc>
          <w:tcPr>
            <w:tcW w:w="1397" w:type="dxa"/>
          </w:tcPr>
          <w:p w14:paraId="18A29ABA">
            <w:pPr>
              <w:pStyle w:val="55"/>
              <w:shd w:val="clear" w:fill="FFFFFF" w:themeFill="background1"/>
              <w:rPr>
                <w:rFonts w:ascii="宋体" w:hAnsi="宋体" w:cs="宋体"/>
                <w:b/>
                <w:color w:val="auto"/>
                <w:highlight w:val="none"/>
              </w:rPr>
            </w:pPr>
          </w:p>
        </w:tc>
        <w:tc>
          <w:tcPr>
            <w:tcW w:w="1397" w:type="dxa"/>
          </w:tcPr>
          <w:p w14:paraId="15325C9B">
            <w:pPr>
              <w:pStyle w:val="55"/>
              <w:shd w:val="clear" w:fill="FFFFFF" w:themeFill="background1"/>
              <w:rPr>
                <w:rFonts w:ascii="宋体" w:hAnsi="宋体" w:cs="宋体"/>
                <w:b/>
                <w:color w:val="auto"/>
                <w:highlight w:val="none"/>
              </w:rPr>
            </w:pPr>
          </w:p>
        </w:tc>
        <w:tc>
          <w:tcPr>
            <w:tcW w:w="1397" w:type="dxa"/>
          </w:tcPr>
          <w:p w14:paraId="18B5D77A">
            <w:pPr>
              <w:pStyle w:val="55"/>
              <w:shd w:val="clear" w:fill="FFFFFF" w:themeFill="background1"/>
              <w:rPr>
                <w:rFonts w:ascii="宋体" w:hAnsi="宋体" w:cs="宋体"/>
                <w:b/>
                <w:color w:val="auto"/>
                <w:highlight w:val="none"/>
              </w:rPr>
            </w:pPr>
          </w:p>
        </w:tc>
        <w:tc>
          <w:tcPr>
            <w:tcW w:w="1397" w:type="dxa"/>
          </w:tcPr>
          <w:p w14:paraId="6A6ABF1B">
            <w:pPr>
              <w:pStyle w:val="55"/>
              <w:shd w:val="clear" w:fill="FFFFFF" w:themeFill="background1"/>
              <w:rPr>
                <w:rFonts w:ascii="宋体" w:hAnsi="宋体" w:cs="宋体"/>
                <w:b/>
                <w:color w:val="auto"/>
                <w:highlight w:val="none"/>
              </w:rPr>
            </w:pPr>
          </w:p>
        </w:tc>
        <w:tc>
          <w:tcPr>
            <w:tcW w:w="1397" w:type="dxa"/>
          </w:tcPr>
          <w:p w14:paraId="7EEC8599">
            <w:pPr>
              <w:pStyle w:val="55"/>
              <w:shd w:val="clear" w:fill="FFFFFF" w:themeFill="background1"/>
              <w:rPr>
                <w:rFonts w:ascii="宋体" w:hAnsi="宋体" w:cs="宋体"/>
                <w:b/>
                <w:color w:val="auto"/>
                <w:highlight w:val="none"/>
              </w:rPr>
            </w:pPr>
          </w:p>
        </w:tc>
        <w:tc>
          <w:tcPr>
            <w:tcW w:w="1398" w:type="dxa"/>
          </w:tcPr>
          <w:p w14:paraId="4D2383DE">
            <w:pPr>
              <w:pStyle w:val="55"/>
              <w:shd w:val="clear" w:fill="FFFFFF" w:themeFill="background1"/>
              <w:rPr>
                <w:rFonts w:ascii="宋体" w:hAnsi="宋体" w:cs="宋体"/>
                <w:b/>
                <w:color w:val="auto"/>
                <w:highlight w:val="none"/>
              </w:rPr>
            </w:pPr>
          </w:p>
        </w:tc>
      </w:tr>
      <w:tr w14:paraId="46DF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58A48371">
            <w:pPr>
              <w:pStyle w:val="55"/>
              <w:shd w:val="clear" w:fill="FFFFFF" w:themeFill="background1"/>
              <w:rPr>
                <w:rFonts w:ascii="宋体" w:hAnsi="宋体" w:cs="宋体"/>
                <w:b/>
                <w:color w:val="auto"/>
                <w:highlight w:val="none"/>
              </w:rPr>
            </w:pPr>
          </w:p>
        </w:tc>
        <w:tc>
          <w:tcPr>
            <w:tcW w:w="1397" w:type="dxa"/>
          </w:tcPr>
          <w:p w14:paraId="492491F0">
            <w:pPr>
              <w:pStyle w:val="55"/>
              <w:shd w:val="clear" w:fill="FFFFFF" w:themeFill="background1"/>
              <w:rPr>
                <w:rFonts w:ascii="宋体" w:hAnsi="宋体" w:cs="宋体"/>
                <w:b/>
                <w:color w:val="auto"/>
                <w:highlight w:val="none"/>
              </w:rPr>
            </w:pPr>
          </w:p>
        </w:tc>
        <w:tc>
          <w:tcPr>
            <w:tcW w:w="1397" w:type="dxa"/>
          </w:tcPr>
          <w:p w14:paraId="7D1B4D78">
            <w:pPr>
              <w:pStyle w:val="55"/>
              <w:shd w:val="clear" w:fill="FFFFFF" w:themeFill="background1"/>
              <w:rPr>
                <w:rFonts w:ascii="宋体" w:hAnsi="宋体" w:cs="宋体"/>
                <w:b/>
                <w:color w:val="auto"/>
                <w:highlight w:val="none"/>
              </w:rPr>
            </w:pPr>
          </w:p>
        </w:tc>
        <w:tc>
          <w:tcPr>
            <w:tcW w:w="1397" w:type="dxa"/>
          </w:tcPr>
          <w:p w14:paraId="5A76A8C8">
            <w:pPr>
              <w:pStyle w:val="55"/>
              <w:shd w:val="clear" w:fill="FFFFFF" w:themeFill="background1"/>
              <w:rPr>
                <w:rFonts w:ascii="宋体" w:hAnsi="宋体" w:cs="宋体"/>
                <w:b/>
                <w:color w:val="auto"/>
                <w:highlight w:val="none"/>
              </w:rPr>
            </w:pPr>
          </w:p>
        </w:tc>
        <w:tc>
          <w:tcPr>
            <w:tcW w:w="1397" w:type="dxa"/>
          </w:tcPr>
          <w:p w14:paraId="08DA2BDF">
            <w:pPr>
              <w:pStyle w:val="55"/>
              <w:shd w:val="clear" w:fill="FFFFFF" w:themeFill="background1"/>
              <w:rPr>
                <w:rFonts w:ascii="宋体" w:hAnsi="宋体" w:cs="宋体"/>
                <w:b/>
                <w:color w:val="auto"/>
                <w:highlight w:val="none"/>
              </w:rPr>
            </w:pPr>
          </w:p>
        </w:tc>
        <w:tc>
          <w:tcPr>
            <w:tcW w:w="1397" w:type="dxa"/>
          </w:tcPr>
          <w:p w14:paraId="2D263BF4">
            <w:pPr>
              <w:pStyle w:val="55"/>
              <w:shd w:val="clear" w:fill="FFFFFF" w:themeFill="background1"/>
              <w:rPr>
                <w:rFonts w:ascii="宋体" w:hAnsi="宋体" w:cs="宋体"/>
                <w:b/>
                <w:color w:val="auto"/>
                <w:highlight w:val="none"/>
              </w:rPr>
            </w:pPr>
          </w:p>
        </w:tc>
        <w:tc>
          <w:tcPr>
            <w:tcW w:w="1398" w:type="dxa"/>
          </w:tcPr>
          <w:p w14:paraId="2705BBF2">
            <w:pPr>
              <w:pStyle w:val="55"/>
              <w:shd w:val="clear" w:fill="FFFFFF" w:themeFill="background1"/>
              <w:rPr>
                <w:rFonts w:ascii="宋体" w:hAnsi="宋体" w:cs="宋体"/>
                <w:b/>
                <w:color w:val="auto"/>
                <w:highlight w:val="none"/>
              </w:rPr>
            </w:pPr>
          </w:p>
        </w:tc>
      </w:tr>
      <w:tr w14:paraId="61C1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19B24B41">
            <w:pPr>
              <w:pStyle w:val="55"/>
              <w:shd w:val="clear" w:fill="FFFFFF" w:themeFill="background1"/>
              <w:rPr>
                <w:rFonts w:ascii="宋体" w:hAnsi="宋体" w:cs="宋体"/>
                <w:b/>
                <w:color w:val="auto"/>
                <w:highlight w:val="none"/>
              </w:rPr>
            </w:pPr>
          </w:p>
        </w:tc>
        <w:tc>
          <w:tcPr>
            <w:tcW w:w="1397" w:type="dxa"/>
          </w:tcPr>
          <w:p w14:paraId="29F450F0">
            <w:pPr>
              <w:pStyle w:val="55"/>
              <w:shd w:val="clear" w:fill="FFFFFF" w:themeFill="background1"/>
              <w:rPr>
                <w:rFonts w:ascii="宋体" w:hAnsi="宋体" w:cs="宋体"/>
                <w:b/>
                <w:color w:val="auto"/>
                <w:highlight w:val="none"/>
              </w:rPr>
            </w:pPr>
          </w:p>
        </w:tc>
        <w:tc>
          <w:tcPr>
            <w:tcW w:w="1397" w:type="dxa"/>
          </w:tcPr>
          <w:p w14:paraId="04B7650D">
            <w:pPr>
              <w:pStyle w:val="55"/>
              <w:shd w:val="clear" w:fill="FFFFFF" w:themeFill="background1"/>
              <w:rPr>
                <w:rFonts w:ascii="宋体" w:hAnsi="宋体" w:cs="宋体"/>
                <w:b/>
                <w:color w:val="auto"/>
                <w:highlight w:val="none"/>
              </w:rPr>
            </w:pPr>
          </w:p>
        </w:tc>
        <w:tc>
          <w:tcPr>
            <w:tcW w:w="1397" w:type="dxa"/>
          </w:tcPr>
          <w:p w14:paraId="4CA9EECC">
            <w:pPr>
              <w:pStyle w:val="55"/>
              <w:shd w:val="clear" w:fill="FFFFFF" w:themeFill="background1"/>
              <w:rPr>
                <w:rFonts w:ascii="宋体" w:hAnsi="宋体" w:cs="宋体"/>
                <w:b/>
                <w:color w:val="auto"/>
                <w:highlight w:val="none"/>
              </w:rPr>
            </w:pPr>
          </w:p>
        </w:tc>
        <w:tc>
          <w:tcPr>
            <w:tcW w:w="1397" w:type="dxa"/>
          </w:tcPr>
          <w:p w14:paraId="753E6808">
            <w:pPr>
              <w:pStyle w:val="55"/>
              <w:shd w:val="clear" w:fill="FFFFFF" w:themeFill="background1"/>
              <w:rPr>
                <w:rFonts w:ascii="宋体" w:hAnsi="宋体" w:cs="宋体"/>
                <w:b/>
                <w:color w:val="auto"/>
                <w:highlight w:val="none"/>
              </w:rPr>
            </w:pPr>
          </w:p>
        </w:tc>
        <w:tc>
          <w:tcPr>
            <w:tcW w:w="1397" w:type="dxa"/>
          </w:tcPr>
          <w:p w14:paraId="280002AB">
            <w:pPr>
              <w:pStyle w:val="55"/>
              <w:shd w:val="clear" w:fill="FFFFFF" w:themeFill="background1"/>
              <w:rPr>
                <w:rFonts w:ascii="宋体" w:hAnsi="宋体" w:cs="宋体"/>
                <w:b/>
                <w:color w:val="auto"/>
                <w:highlight w:val="none"/>
              </w:rPr>
            </w:pPr>
          </w:p>
        </w:tc>
        <w:tc>
          <w:tcPr>
            <w:tcW w:w="1398" w:type="dxa"/>
          </w:tcPr>
          <w:p w14:paraId="242351FC">
            <w:pPr>
              <w:pStyle w:val="55"/>
              <w:shd w:val="clear" w:fill="FFFFFF" w:themeFill="background1"/>
              <w:rPr>
                <w:rFonts w:ascii="宋体" w:hAnsi="宋体" w:cs="宋体"/>
                <w:b/>
                <w:color w:val="auto"/>
                <w:highlight w:val="none"/>
              </w:rPr>
            </w:pPr>
          </w:p>
        </w:tc>
      </w:tr>
      <w:tr w14:paraId="726D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2CB3FEBB">
            <w:pPr>
              <w:pStyle w:val="55"/>
              <w:shd w:val="clear" w:fill="FFFFFF" w:themeFill="background1"/>
              <w:rPr>
                <w:rFonts w:ascii="宋体" w:hAnsi="宋体" w:cs="宋体"/>
                <w:b/>
                <w:color w:val="auto"/>
                <w:highlight w:val="none"/>
              </w:rPr>
            </w:pPr>
          </w:p>
        </w:tc>
        <w:tc>
          <w:tcPr>
            <w:tcW w:w="1397" w:type="dxa"/>
          </w:tcPr>
          <w:p w14:paraId="13101E54">
            <w:pPr>
              <w:pStyle w:val="55"/>
              <w:shd w:val="clear" w:fill="FFFFFF" w:themeFill="background1"/>
              <w:rPr>
                <w:rFonts w:ascii="宋体" w:hAnsi="宋体" w:cs="宋体"/>
                <w:b/>
                <w:color w:val="auto"/>
                <w:highlight w:val="none"/>
              </w:rPr>
            </w:pPr>
          </w:p>
        </w:tc>
        <w:tc>
          <w:tcPr>
            <w:tcW w:w="1397" w:type="dxa"/>
          </w:tcPr>
          <w:p w14:paraId="4EFB2EE0">
            <w:pPr>
              <w:pStyle w:val="55"/>
              <w:shd w:val="clear" w:fill="FFFFFF" w:themeFill="background1"/>
              <w:rPr>
                <w:rFonts w:ascii="宋体" w:hAnsi="宋体" w:cs="宋体"/>
                <w:b/>
                <w:color w:val="auto"/>
                <w:highlight w:val="none"/>
              </w:rPr>
            </w:pPr>
          </w:p>
        </w:tc>
        <w:tc>
          <w:tcPr>
            <w:tcW w:w="1397" w:type="dxa"/>
          </w:tcPr>
          <w:p w14:paraId="581BBB40">
            <w:pPr>
              <w:pStyle w:val="55"/>
              <w:shd w:val="clear" w:fill="FFFFFF" w:themeFill="background1"/>
              <w:rPr>
                <w:rFonts w:ascii="宋体" w:hAnsi="宋体" w:cs="宋体"/>
                <w:b/>
                <w:color w:val="auto"/>
                <w:highlight w:val="none"/>
              </w:rPr>
            </w:pPr>
          </w:p>
        </w:tc>
        <w:tc>
          <w:tcPr>
            <w:tcW w:w="1397" w:type="dxa"/>
          </w:tcPr>
          <w:p w14:paraId="294F36CC">
            <w:pPr>
              <w:pStyle w:val="55"/>
              <w:shd w:val="clear" w:fill="FFFFFF" w:themeFill="background1"/>
              <w:rPr>
                <w:rFonts w:ascii="宋体" w:hAnsi="宋体" w:cs="宋体"/>
                <w:b/>
                <w:color w:val="auto"/>
                <w:highlight w:val="none"/>
              </w:rPr>
            </w:pPr>
          </w:p>
        </w:tc>
        <w:tc>
          <w:tcPr>
            <w:tcW w:w="1397" w:type="dxa"/>
          </w:tcPr>
          <w:p w14:paraId="788E4C70">
            <w:pPr>
              <w:pStyle w:val="55"/>
              <w:shd w:val="clear" w:fill="FFFFFF" w:themeFill="background1"/>
              <w:rPr>
                <w:rFonts w:ascii="宋体" w:hAnsi="宋体" w:cs="宋体"/>
                <w:b/>
                <w:color w:val="auto"/>
                <w:highlight w:val="none"/>
              </w:rPr>
            </w:pPr>
          </w:p>
        </w:tc>
        <w:tc>
          <w:tcPr>
            <w:tcW w:w="1398" w:type="dxa"/>
          </w:tcPr>
          <w:p w14:paraId="430AD685">
            <w:pPr>
              <w:pStyle w:val="55"/>
              <w:shd w:val="clear" w:fill="FFFFFF" w:themeFill="background1"/>
              <w:rPr>
                <w:rFonts w:ascii="宋体" w:hAnsi="宋体" w:cs="宋体"/>
                <w:b/>
                <w:color w:val="auto"/>
                <w:highlight w:val="none"/>
              </w:rPr>
            </w:pPr>
          </w:p>
        </w:tc>
      </w:tr>
      <w:tr w14:paraId="5BE5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1397" w:type="dxa"/>
          </w:tcPr>
          <w:p w14:paraId="231B960F">
            <w:pPr>
              <w:pStyle w:val="55"/>
              <w:shd w:val="clear" w:fill="FFFFFF" w:themeFill="background1"/>
              <w:rPr>
                <w:rFonts w:ascii="宋体" w:hAnsi="宋体" w:cs="宋体"/>
                <w:b/>
                <w:color w:val="auto"/>
                <w:highlight w:val="none"/>
              </w:rPr>
            </w:pPr>
          </w:p>
        </w:tc>
        <w:tc>
          <w:tcPr>
            <w:tcW w:w="1397" w:type="dxa"/>
          </w:tcPr>
          <w:p w14:paraId="3671094B">
            <w:pPr>
              <w:pStyle w:val="55"/>
              <w:shd w:val="clear" w:fill="FFFFFF" w:themeFill="background1"/>
              <w:rPr>
                <w:rFonts w:ascii="宋体" w:hAnsi="宋体" w:cs="宋体"/>
                <w:b/>
                <w:color w:val="auto"/>
                <w:highlight w:val="none"/>
              </w:rPr>
            </w:pPr>
          </w:p>
        </w:tc>
        <w:tc>
          <w:tcPr>
            <w:tcW w:w="1397" w:type="dxa"/>
          </w:tcPr>
          <w:p w14:paraId="374EC5B5">
            <w:pPr>
              <w:pStyle w:val="55"/>
              <w:shd w:val="clear" w:fill="FFFFFF" w:themeFill="background1"/>
              <w:rPr>
                <w:rFonts w:ascii="宋体" w:hAnsi="宋体" w:cs="宋体"/>
                <w:b/>
                <w:color w:val="auto"/>
                <w:highlight w:val="none"/>
              </w:rPr>
            </w:pPr>
          </w:p>
        </w:tc>
        <w:tc>
          <w:tcPr>
            <w:tcW w:w="1397" w:type="dxa"/>
          </w:tcPr>
          <w:p w14:paraId="323B81D4">
            <w:pPr>
              <w:pStyle w:val="55"/>
              <w:shd w:val="clear" w:fill="FFFFFF" w:themeFill="background1"/>
              <w:rPr>
                <w:rFonts w:ascii="宋体" w:hAnsi="宋体" w:cs="宋体"/>
                <w:b/>
                <w:color w:val="auto"/>
                <w:highlight w:val="none"/>
              </w:rPr>
            </w:pPr>
          </w:p>
        </w:tc>
        <w:tc>
          <w:tcPr>
            <w:tcW w:w="1397" w:type="dxa"/>
          </w:tcPr>
          <w:p w14:paraId="6001F3B6">
            <w:pPr>
              <w:pStyle w:val="55"/>
              <w:shd w:val="clear" w:fill="FFFFFF" w:themeFill="background1"/>
              <w:rPr>
                <w:rFonts w:ascii="宋体" w:hAnsi="宋体" w:cs="宋体"/>
                <w:b/>
                <w:color w:val="auto"/>
                <w:highlight w:val="none"/>
              </w:rPr>
            </w:pPr>
          </w:p>
        </w:tc>
        <w:tc>
          <w:tcPr>
            <w:tcW w:w="1397" w:type="dxa"/>
          </w:tcPr>
          <w:p w14:paraId="068CD6F5">
            <w:pPr>
              <w:pStyle w:val="55"/>
              <w:shd w:val="clear" w:fill="FFFFFF" w:themeFill="background1"/>
              <w:rPr>
                <w:rFonts w:ascii="宋体" w:hAnsi="宋体" w:cs="宋体"/>
                <w:b/>
                <w:color w:val="auto"/>
                <w:highlight w:val="none"/>
              </w:rPr>
            </w:pPr>
          </w:p>
        </w:tc>
        <w:tc>
          <w:tcPr>
            <w:tcW w:w="1398" w:type="dxa"/>
          </w:tcPr>
          <w:p w14:paraId="6A812CCE">
            <w:pPr>
              <w:pStyle w:val="55"/>
              <w:shd w:val="clear" w:fill="FFFFFF" w:themeFill="background1"/>
              <w:rPr>
                <w:rFonts w:ascii="宋体" w:hAnsi="宋体" w:cs="宋体"/>
                <w:b/>
                <w:color w:val="auto"/>
                <w:highlight w:val="none"/>
              </w:rPr>
            </w:pPr>
          </w:p>
        </w:tc>
      </w:tr>
    </w:tbl>
    <w:p w14:paraId="6E7CBDED">
      <w:pPr>
        <w:pStyle w:val="55"/>
        <w:shd w:val="clear" w:fill="FFFFFF" w:themeFill="background1"/>
        <w:rPr>
          <w:rFonts w:ascii="宋体" w:hAnsi="宋体" w:cs="宋体"/>
          <w:b/>
          <w:color w:val="auto"/>
          <w:highlight w:val="none"/>
        </w:rPr>
        <w:sectPr>
          <w:pgSz w:w="11906" w:h="16838"/>
          <w:pgMar w:top="1276" w:right="924" w:bottom="935" w:left="1418" w:header="624" w:footer="590" w:gutter="0"/>
          <w:cols w:space="720" w:num="1"/>
          <w:docGrid w:type="lines" w:linePitch="312" w:charSpace="0"/>
        </w:sectPr>
      </w:pPr>
    </w:p>
    <w:p w14:paraId="4D29B714">
      <w:pPr>
        <w:pStyle w:val="55"/>
        <w:shd w:val="clear" w:fill="FFFFFF" w:themeFill="background1"/>
        <w:rPr>
          <w:color w:val="auto"/>
          <w:highlight w:val="none"/>
        </w:rPr>
      </w:pPr>
    </w:p>
    <w:p w14:paraId="631E7F79">
      <w:pPr>
        <w:shd w:val="clear" w:fill="FFFFFF" w:themeFill="background1"/>
        <w:jc w:val="center"/>
        <w:rPr>
          <w:rFonts w:ascii="宋体" w:hAnsi="宋体" w:cs="宋体"/>
          <w:b/>
          <w:color w:val="auto"/>
          <w:sz w:val="28"/>
          <w:szCs w:val="28"/>
          <w:highlight w:val="none"/>
        </w:rPr>
      </w:pPr>
      <w:r>
        <w:rPr>
          <w:rFonts w:hint="eastAsia" w:ascii="宋体" w:hAnsi="宋体" w:cs="宋体"/>
          <w:b/>
          <w:color w:val="auto"/>
          <w:sz w:val="28"/>
          <w:szCs w:val="28"/>
          <w:highlight w:val="none"/>
        </w:rPr>
        <w:t>（六）-2拟委任的项目经理和项目总工资历表</w:t>
      </w:r>
    </w:p>
    <w:tbl>
      <w:tblPr>
        <w:tblStyle w:val="45"/>
        <w:tblW w:w="10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400"/>
        <w:gridCol w:w="217"/>
        <w:gridCol w:w="1516"/>
        <w:gridCol w:w="1450"/>
        <w:gridCol w:w="2382"/>
        <w:gridCol w:w="1835"/>
      </w:tblGrid>
      <w:tr w14:paraId="27107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182D789B">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姓    名</w:t>
            </w:r>
          </w:p>
        </w:tc>
        <w:tc>
          <w:tcPr>
            <w:tcW w:w="1400" w:type="dxa"/>
            <w:vAlign w:val="center"/>
          </w:tcPr>
          <w:p w14:paraId="3425AD55">
            <w:pPr>
              <w:shd w:val="clear" w:fill="FFFFFF" w:themeFill="background1"/>
              <w:jc w:val="center"/>
              <w:rPr>
                <w:rFonts w:ascii="宋体" w:hAnsi="宋体" w:cs="宋体"/>
                <w:bCs/>
                <w:color w:val="auto"/>
                <w:sz w:val="24"/>
                <w:highlight w:val="none"/>
              </w:rPr>
            </w:pPr>
          </w:p>
        </w:tc>
        <w:tc>
          <w:tcPr>
            <w:tcW w:w="1733" w:type="dxa"/>
            <w:gridSpan w:val="2"/>
            <w:vAlign w:val="center"/>
          </w:tcPr>
          <w:p w14:paraId="5D4B13B5">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年    龄</w:t>
            </w:r>
          </w:p>
        </w:tc>
        <w:tc>
          <w:tcPr>
            <w:tcW w:w="1450" w:type="dxa"/>
            <w:vAlign w:val="center"/>
          </w:tcPr>
          <w:p w14:paraId="444658AB">
            <w:pPr>
              <w:shd w:val="clear" w:fill="FFFFFF" w:themeFill="background1"/>
              <w:jc w:val="center"/>
              <w:rPr>
                <w:rFonts w:ascii="宋体" w:hAnsi="宋体" w:cs="宋体"/>
                <w:bCs/>
                <w:color w:val="auto"/>
                <w:sz w:val="24"/>
                <w:highlight w:val="none"/>
              </w:rPr>
            </w:pPr>
          </w:p>
        </w:tc>
        <w:tc>
          <w:tcPr>
            <w:tcW w:w="2382" w:type="dxa"/>
            <w:vAlign w:val="center"/>
          </w:tcPr>
          <w:p w14:paraId="179721C7">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专    业</w:t>
            </w:r>
          </w:p>
        </w:tc>
        <w:tc>
          <w:tcPr>
            <w:tcW w:w="1835" w:type="dxa"/>
            <w:vAlign w:val="center"/>
          </w:tcPr>
          <w:p w14:paraId="5C8373D4">
            <w:pPr>
              <w:shd w:val="clear" w:fill="FFFFFF" w:themeFill="background1"/>
              <w:jc w:val="center"/>
              <w:rPr>
                <w:rFonts w:ascii="宋体" w:hAnsi="宋体" w:cs="宋体"/>
                <w:bCs/>
                <w:color w:val="auto"/>
                <w:sz w:val="24"/>
                <w:highlight w:val="none"/>
              </w:rPr>
            </w:pPr>
          </w:p>
        </w:tc>
      </w:tr>
      <w:tr w14:paraId="13F45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3301FBDB">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技术职称</w:t>
            </w:r>
          </w:p>
        </w:tc>
        <w:tc>
          <w:tcPr>
            <w:tcW w:w="1400" w:type="dxa"/>
            <w:vAlign w:val="center"/>
          </w:tcPr>
          <w:p w14:paraId="40105A11">
            <w:pPr>
              <w:shd w:val="clear" w:fill="FFFFFF" w:themeFill="background1"/>
              <w:jc w:val="center"/>
              <w:rPr>
                <w:rFonts w:ascii="宋体" w:hAnsi="宋体" w:cs="宋体"/>
                <w:bCs/>
                <w:color w:val="auto"/>
                <w:sz w:val="24"/>
                <w:highlight w:val="none"/>
              </w:rPr>
            </w:pPr>
          </w:p>
        </w:tc>
        <w:tc>
          <w:tcPr>
            <w:tcW w:w="1733" w:type="dxa"/>
            <w:gridSpan w:val="2"/>
            <w:vAlign w:val="center"/>
          </w:tcPr>
          <w:p w14:paraId="27041CFD">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学    历</w:t>
            </w:r>
          </w:p>
        </w:tc>
        <w:tc>
          <w:tcPr>
            <w:tcW w:w="1450" w:type="dxa"/>
            <w:vAlign w:val="center"/>
          </w:tcPr>
          <w:p w14:paraId="6D2031F1">
            <w:pPr>
              <w:shd w:val="clear" w:fill="FFFFFF" w:themeFill="background1"/>
              <w:jc w:val="center"/>
              <w:rPr>
                <w:rFonts w:ascii="宋体" w:hAnsi="宋体" w:cs="宋体"/>
                <w:bCs/>
                <w:color w:val="auto"/>
                <w:sz w:val="24"/>
                <w:highlight w:val="none"/>
              </w:rPr>
            </w:pPr>
          </w:p>
        </w:tc>
        <w:tc>
          <w:tcPr>
            <w:tcW w:w="2382" w:type="dxa"/>
            <w:vAlign w:val="center"/>
          </w:tcPr>
          <w:p w14:paraId="572B3ACC">
            <w:pPr>
              <w:shd w:val="clear" w:fill="FFFFFF" w:themeFill="background1"/>
              <w:spacing w:line="400" w:lineRule="exact"/>
              <w:jc w:val="center"/>
              <w:rPr>
                <w:rFonts w:ascii="宋体" w:hAnsi="宋体" w:cs="宋体"/>
                <w:bCs/>
                <w:color w:val="auto"/>
                <w:sz w:val="24"/>
                <w:highlight w:val="none"/>
              </w:rPr>
            </w:pPr>
            <w:r>
              <w:rPr>
                <w:rFonts w:hint="eastAsia" w:ascii="宋体" w:hAnsi="宋体" w:cs="宋体"/>
                <w:bCs/>
                <w:color w:val="auto"/>
                <w:sz w:val="24"/>
                <w:highlight w:val="none"/>
              </w:rPr>
              <w:t>拟在本标段</w:t>
            </w:r>
          </w:p>
          <w:p w14:paraId="11E188D8">
            <w:pPr>
              <w:shd w:val="clear" w:fill="FFFFFF" w:themeFill="background1"/>
              <w:spacing w:line="400" w:lineRule="exact"/>
              <w:jc w:val="center"/>
              <w:rPr>
                <w:rFonts w:ascii="宋体" w:hAnsi="宋体" w:cs="宋体"/>
                <w:bCs/>
                <w:color w:val="auto"/>
                <w:sz w:val="24"/>
                <w:highlight w:val="none"/>
              </w:rPr>
            </w:pPr>
            <w:r>
              <w:rPr>
                <w:rFonts w:hint="eastAsia" w:ascii="宋体" w:hAnsi="宋体" w:cs="宋体"/>
                <w:bCs/>
                <w:color w:val="auto"/>
                <w:sz w:val="24"/>
                <w:highlight w:val="none"/>
              </w:rPr>
              <w:t>工程任职</w:t>
            </w:r>
          </w:p>
        </w:tc>
        <w:tc>
          <w:tcPr>
            <w:tcW w:w="1835" w:type="dxa"/>
            <w:vAlign w:val="center"/>
          </w:tcPr>
          <w:p w14:paraId="403D39A0">
            <w:pPr>
              <w:shd w:val="clear" w:fill="FFFFFF" w:themeFill="background1"/>
              <w:jc w:val="center"/>
              <w:rPr>
                <w:rFonts w:ascii="宋体" w:hAnsi="宋体" w:cs="宋体"/>
                <w:bCs/>
                <w:color w:val="auto"/>
                <w:sz w:val="24"/>
                <w:highlight w:val="none"/>
              </w:rPr>
            </w:pPr>
          </w:p>
        </w:tc>
      </w:tr>
      <w:tr w14:paraId="62F0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2501A4AA">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工作年限</w:t>
            </w:r>
          </w:p>
        </w:tc>
        <w:tc>
          <w:tcPr>
            <w:tcW w:w="4583" w:type="dxa"/>
            <w:gridSpan w:val="4"/>
            <w:vAlign w:val="center"/>
          </w:tcPr>
          <w:p w14:paraId="4BF4C52F">
            <w:pPr>
              <w:shd w:val="clear" w:fill="FFFFFF" w:themeFill="background1"/>
              <w:jc w:val="center"/>
              <w:rPr>
                <w:rFonts w:ascii="宋体" w:hAnsi="宋体" w:cs="宋体"/>
                <w:bCs/>
                <w:color w:val="auto"/>
                <w:sz w:val="24"/>
                <w:highlight w:val="none"/>
              </w:rPr>
            </w:pPr>
          </w:p>
        </w:tc>
        <w:tc>
          <w:tcPr>
            <w:tcW w:w="2382" w:type="dxa"/>
            <w:vAlign w:val="center"/>
          </w:tcPr>
          <w:p w14:paraId="32A748A7">
            <w:pPr>
              <w:shd w:val="clear" w:fill="FFFFFF" w:themeFill="background1"/>
              <w:spacing w:line="400" w:lineRule="exact"/>
              <w:jc w:val="center"/>
              <w:rPr>
                <w:rFonts w:ascii="宋体" w:hAnsi="宋体" w:cs="宋体"/>
                <w:bCs/>
                <w:color w:val="auto"/>
                <w:sz w:val="24"/>
                <w:highlight w:val="none"/>
              </w:rPr>
            </w:pPr>
            <w:r>
              <w:rPr>
                <w:rFonts w:hint="eastAsia" w:ascii="宋体" w:hAnsi="宋体" w:cs="宋体"/>
                <w:bCs/>
                <w:color w:val="auto"/>
                <w:sz w:val="24"/>
                <w:highlight w:val="none"/>
              </w:rPr>
              <w:t>类似施工经验年限</w:t>
            </w:r>
          </w:p>
        </w:tc>
        <w:tc>
          <w:tcPr>
            <w:tcW w:w="1835" w:type="dxa"/>
            <w:vAlign w:val="center"/>
          </w:tcPr>
          <w:p w14:paraId="07A4E885">
            <w:pPr>
              <w:shd w:val="clear" w:fill="FFFFFF" w:themeFill="background1"/>
              <w:jc w:val="center"/>
              <w:rPr>
                <w:rFonts w:ascii="宋体" w:hAnsi="宋体" w:cs="宋体"/>
                <w:bCs/>
                <w:color w:val="auto"/>
                <w:sz w:val="24"/>
                <w:highlight w:val="none"/>
              </w:rPr>
            </w:pPr>
          </w:p>
        </w:tc>
      </w:tr>
      <w:tr w14:paraId="61FB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bottom"/>
          </w:tcPr>
          <w:p w14:paraId="744B4479">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毕业学校</w:t>
            </w:r>
          </w:p>
        </w:tc>
        <w:tc>
          <w:tcPr>
            <w:tcW w:w="8800" w:type="dxa"/>
            <w:gridSpan w:val="6"/>
            <w:vAlign w:val="bottom"/>
          </w:tcPr>
          <w:p w14:paraId="78238C5F">
            <w:pPr>
              <w:shd w:val="clear" w:fill="FFFFFF" w:themeFill="background1"/>
              <w:jc w:val="left"/>
              <w:rPr>
                <w:rFonts w:ascii="宋体" w:hAnsi="宋体" w:cs="宋体"/>
                <w:bCs/>
                <w:color w:val="auto"/>
                <w:sz w:val="24"/>
                <w:highlight w:val="none"/>
                <w:u w:val="single"/>
              </w:rPr>
            </w:pP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年</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月毕业于</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学校</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专业，学制</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年</w:t>
            </w:r>
          </w:p>
        </w:tc>
      </w:tr>
      <w:tr w14:paraId="7513B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0" w:type="dxa"/>
            <w:gridSpan w:val="7"/>
            <w:vAlign w:val="center"/>
          </w:tcPr>
          <w:p w14:paraId="35FACDF4">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经          历</w:t>
            </w:r>
          </w:p>
        </w:tc>
      </w:tr>
      <w:tr w14:paraId="3BEB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6BF5AB93">
            <w:pPr>
              <w:shd w:val="clear" w:fill="FFFFFF" w:themeFill="background1"/>
              <w:spacing w:line="400" w:lineRule="exact"/>
              <w:jc w:val="center"/>
              <w:rPr>
                <w:rFonts w:ascii="宋体" w:hAnsi="宋体" w:cs="宋体"/>
                <w:bCs/>
                <w:color w:val="auto"/>
                <w:sz w:val="24"/>
                <w:highlight w:val="none"/>
                <w:u w:val="single"/>
              </w:rPr>
            </w:pPr>
            <w:r>
              <w:rPr>
                <w:rFonts w:hint="eastAsia" w:ascii="宋体" w:hAnsi="宋体" w:cs="宋体"/>
                <w:bCs/>
                <w:color w:val="auto"/>
                <w:sz w:val="24"/>
                <w:highlight w:val="none"/>
              </w:rPr>
              <w:t>时    间</w:t>
            </w:r>
          </w:p>
        </w:tc>
        <w:tc>
          <w:tcPr>
            <w:tcW w:w="4583" w:type="dxa"/>
            <w:gridSpan w:val="4"/>
            <w:vAlign w:val="center"/>
          </w:tcPr>
          <w:p w14:paraId="333293E0">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参加过的类似工程项目名称</w:t>
            </w:r>
          </w:p>
        </w:tc>
        <w:tc>
          <w:tcPr>
            <w:tcW w:w="2382" w:type="dxa"/>
            <w:vAlign w:val="center"/>
          </w:tcPr>
          <w:p w14:paraId="0E85FFA7">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担任职务</w:t>
            </w:r>
          </w:p>
        </w:tc>
        <w:tc>
          <w:tcPr>
            <w:tcW w:w="1835" w:type="dxa"/>
            <w:vAlign w:val="center"/>
          </w:tcPr>
          <w:p w14:paraId="5145E7C5">
            <w:pPr>
              <w:shd w:val="clear" w:fill="FFFFFF" w:themeFill="background1"/>
              <w:spacing w:line="400" w:lineRule="exact"/>
              <w:jc w:val="center"/>
              <w:rPr>
                <w:rFonts w:ascii="宋体" w:hAnsi="宋体" w:cs="宋体"/>
                <w:bCs/>
                <w:color w:val="auto"/>
                <w:sz w:val="24"/>
                <w:highlight w:val="none"/>
              </w:rPr>
            </w:pPr>
            <w:r>
              <w:rPr>
                <w:rFonts w:hint="eastAsia" w:ascii="宋体" w:hAnsi="宋体" w:cs="宋体"/>
                <w:bCs/>
                <w:color w:val="auto"/>
                <w:sz w:val="24"/>
                <w:highlight w:val="none"/>
              </w:rPr>
              <w:t>发包人及联系电话</w:t>
            </w:r>
          </w:p>
        </w:tc>
      </w:tr>
      <w:tr w14:paraId="1BD07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4F63DFB8">
            <w:pPr>
              <w:shd w:val="clear" w:fill="FFFFFF" w:themeFill="background1"/>
              <w:tabs>
                <w:tab w:val="left" w:pos="680"/>
              </w:tabs>
              <w:autoSpaceDE w:val="0"/>
              <w:autoSpaceDN w:val="0"/>
              <w:adjustRightInd w:val="0"/>
              <w:spacing w:before="73"/>
              <w:jc w:val="center"/>
              <w:rPr>
                <w:rFonts w:ascii="宋体" w:hAnsi="宋体" w:cs="宋体"/>
                <w:bCs/>
                <w:color w:val="auto"/>
                <w:sz w:val="24"/>
                <w:highlight w:val="none"/>
              </w:rPr>
            </w:pPr>
          </w:p>
        </w:tc>
        <w:tc>
          <w:tcPr>
            <w:tcW w:w="4583" w:type="dxa"/>
            <w:gridSpan w:val="4"/>
            <w:vAlign w:val="center"/>
          </w:tcPr>
          <w:p w14:paraId="455C1A2E">
            <w:pPr>
              <w:shd w:val="clear" w:fill="FFFFFF" w:themeFill="background1"/>
              <w:jc w:val="center"/>
              <w:rPr>
                <w:rFonts w:ascii="宋体" w:hAnsi="宋体" w:cs="宋体"/>
                <w:bCs/>
                <w:color w:val="auto"/>
                <w:sz w:val="24"/>
                <w:highlight w:val="none"/>
              </w:rPr>
            </w:pPr>
          </w:p>
        </w:tc>
        <w:tc>
          <w:tcPr>
            <w:tcW w:w="2382" w:type="dxa"/>
            <w:vAlign w:val="center"/>
          </w:tcPr>
          <w:p w14:paraId="3BF84E07">
            <w:pPr>
              <w:shd w:val="clear" w:fill="FFFFFF" w:themeFill="background1"/>
              <w:jc w:val="center"/>
              <w:rPr>
                <w:rFonts w:ascii="宋体" w:hAnsi="宋体" w:cs="宋体"/>
                <w:bCs/>
                <w:color w:val="auto"/>
                <w:sz w:val="24"/>
                <w:highlight w:val="none"/>
              </w:rPr>
            </w:pPr>
          </w:p>
        </w:tc>
        <w:tc>
          <w:tcPr>
            <w:tcW w:w="1835" w:type="dxa"/>
            <w:vAlign w:val="center"/>
          </w:tcPr>
          <w:p w14:paraId="608D3C92">
            <w:pPr>
              <w:shd w:val="clear" w:fill="FFFFFF" w:themeFill="background1"/>
              <w:jc w:val="center"/>
              <w:rPr>
                <w:rFonts w:ascii="宋体" w:hAnsi="宋体" w:cs="宋体"/>
                <w:bCs/>
                <w:color w:val="auto"/>
                <w:sz w:val="24"/>
                <w:highlight w:val="none"/>
              </w:rPr>
            </w:pPr>
          </w:p>
        </w:tc>
      </w:tr>
      <w:tr w14:paraId="0D04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70A23FE7">
            <w:pPr>
              <w:shd w:val="clear" w:fill="FFFFFF" w:themeFill="background1"/>
              <w:jc w:val="center"/>
              <w:rPr>
                <w:rFonts w:ascii="宋体" w:hAnsi="宋体" w:cs="宋体"/>
                <w:bCs/>
                <w:color w:val="auto"/>
                <w:sz w:val="24"/>
                <w:highlight w:val="none"/>
              </w:rPr>
            </w:pPr>
          </w:p>
        </w:tc>
        <w:tc>
          <w:tcPr>
            <w:tcW w:w="4583" w:type="dxa"/>
            <w:gridSpan w:val="4"/>
            <w:vAlign w:val="center"/>
          </w:tcPr>
          <w:p w14:paraId="776C5B86">
            <w:pPr>
              <w:shd w:val="clear" w:fill="FFFFFF" w:themeFill="background1"/>
              <w:jc w:val="center"/>
              <w:rPr>
                <w:rFonts w:ascii="宋体" w:hAnsi="宋体" w:cs="宋体"/>
                <w:bCs/>
                <w:color w:val="auto"/>
                <w:sz w:val="24"/>
                <w:highlight w:val="none"/>
              </w:rPr>
            </w:pPr>
          </w:p>
        </w:tc>
        <w:tc>
          <w:tcPr>
            <w:tcW w:w="2382" w:type="dxa"/>
            <w:vAlign w:val="center"/>
          </w:tcPr>
          <w:p w14:paraId="1C2FACBF">
            <w:pPr>
              <w:shd w:val="clear" w:fill="FFFFFF" w:themeFill="background1"/>
              <w:jc w:val="center"/>
              <w:rPr>
                <w:rFonts w:ascii="宋体" w:hAnsi="宋体" w:cs="宋体"/>
                <w:bCs/>
                <w:color w:val="auto"/>
                <w:sz w:val="24"/>
                <w:highlight w:val="none"/>
              </w:rPr>
            </w:pPr>
          </w:p>
        </w:tc>
        <w:tc>
          <w:tcPr>
            <w:tcW w:w="1835" w:type="dxa"/>
            <w:vAlign w:val="center"/>
          </w:tcPr>
          <w:p w14:paraId="22125A7B">
            <w:pPr>
              <w:shd w:val="clear" w:fill="FFFFFF" w:themeFill="background1"/>
              <w:jc w:val="center"/>
              <w:rPr>
                <w:rFonts w:ascii="宋体" w:hAnsi="宋体" w:cs="宋体"/>
                <w:bCs/>
                <w:color w:val="auto"/>
                <w:sz w:val="24"/>
                <w:highlight w:val="none"/>
              </w:rPr>
            </w:pPr>
          </w:p>
        </w:tc>
      </w:tr>
      <w:tr w14:paraId="7EE2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vAlign w:val="center"/>
          </w:tcPr>
          <w:p w14:paraId="630221E9">
            <w:pPr>
              <w:shd w:val="clear" w:fill="FFFFFF" w:themeFill="background1"/>
              <w:jc w:val="center"/>
              <w:rPr>
                <w:rFonts w:ascii="宋体" w:hAnsi="宋体" w:cs="宋体"/>
                <w:bCs/>
                <w:color w:val="auto"/>
                <w:sz w:val="24"/>
                <w:highlight w:val="none"/>
              </w:rPr>
            </w:pPr>
          </w:p>
        </w:tc>
        <w:tc>
          <w:tcPr>
            <w:tcW w:w="4583" w:type="dxa"/>
            <w:gridSpan w:val="4"/>
            <w:vAlign w:val="center"/>
          </w:tcPr>
          <w:p w14:paraId="1866927B">
            <w:pPr>
              <w:shd w:val="clear" w:fill="FFFFFF" w:themeFill="background1"/>
              <w:jc w:val="center"/>
              <w:rPr>
                <w:rFonts w:ascii="宋体" w:hAnsi="宋体" w:cs="宋体"/>
                <w:bCs/>
                <w:color w:val="auto"/>
                <w:sz w:val="24"/>
                <w:highlight w:val="none"/>
              </w:rPr>
            </w:pPr>
          </w:p>
        </w:tc>
        <w:tc>
          <w:tcPr>
            <w:tcW w:w="2382" w:type="dxa"/>
            <w:vAlign w:val="center"/>
          </w:tcPr>
          <w:p w14:paraId="4F1C7584">
            <w:pPr>
              <w:shd w:val="clear" w:fill="FFFFFF" w:themeFill="background1"/>
              <w:jc w:val="center"/>
              <w:rPr>
                <w:rFonts w:ascii="宋体" w:hAnsi="宋体" w:cs="宋体"/>
                <w:bCs/>
                <w:color w:val="auto"/>
                <w:sz w:val="24"/>
                <w:highlight w:val="none"/>
              </w:rPr>
            </w:pPr>
          </w:p>
        </w:tc>
        <w:tc>
          <w:tcPr>
            <w:tcW w:w="1835" w:type="dxa"/>
            <w:vAlign w:val="center"/>
          </w:tcPr>
          <w:p w14:paraId="46A8D418">
            <w:pPr>
              <w:shd w:val="clear" w:fill="FFFFFF" w:themeFill="background1"/>
              <w:jc w:val="center"/>
              <w:rPr>
                <w:rFonts w:ascii="宋体" w:hAnsi="宋体" w:cs="宋体"/>
                <w:bCs/>
                <w:color w:val="auto"/>
                <w:sz w:val="24"/>
                <w:highlight w:val="none"/>
              </w:rPr>
            </w:pPr>
          </w:p>
        </w:tc>
      </w:tr>
      <w:tr w14:paraId="6EB6F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tcPr>
          <w:p w14:paraId="022D6A85">
            <w:pPr>
              <w:shd w:val="clear" w:fill="FFFFFF" w:themeFill="background1"/>
              <w:spacing w:line="460" w:lineRule="exact"/>
              <w:jc w:val="center"/>
              <w:rPr>
                <w:rFonts w:ascii="宋体" w:hAnsi="宋体" w:cs="宋体"/>
                <w:bCs/>
                <w:color w:val="auto"/>
                <w:sz w:val="24"/>
                <w:highlight w:val="none"/>
              </w:rPr>
            </w:pPr>
          </w:p>
        </w:tc>
        <w:tc>
          <w:tcPr>
            <w:tcW w:w="4583" w:type="dxa"/>
            <w:gridSpan w:val="4"/>
          </w:tcPr>
          <w:p w14:paraId="7E06AD0D">
            <w:pPr>
              <w:shd w:val="clear" w:fill="FFFFFF" w:themeFill="background1"/>
              <w:spacing w:line="460" w:lineRule="exact"/>
              <w:jc w:val="center"/>
              <w:rPr>
                <w:rFonts w:ascii="宋体" w:hAnsi="宋体" w:cs="宋体"/>
                <w:bCs/>
                <w:color w:val="auto"/>
                <w:sz w:val="24"/>
                <w:highlight w:val="none"/>
              </w:rPr>
            </w:pPr>
          </w:p>
        </w:tc>
        <w:tc>
          <w:tcPr>
            <w:tcW w:w="2382" w:type="dxa"/>
          </w:tcPr>
          <w:p w14:paraId="23985C1B">
            <w:pPr>
              <w:shd w:val="clear" w:fill="FFFFFF" w:themeFill="background1"/>
              <w:spacing w:line="460" w:lineRule="exact"/>
              <w:jc w:val="center"/>
              <w:rPr>
                <w:rFonts w:ascii="宋体" w:hAnsi="宋体" w:cs="宋体"/>
                <w:bCs/>
                <w:color w:val="auto"/>
                <w:sz w:val="24"/>
                <w:highlight w:val="none"/>
              </w:rPr>
            </w:pPr>
          </w:p>
        </w:tc>
        <w:tc>
          <w:tcPr>
            <w:tcW w:w="1835" w:type="dxa"/>
          </w:tcPr>
          <w:p w14:paraId="542367AA">
            <w:pPr>
              <w:shd w:val="clear" w:fill="FFFFFF" w:themeFill="background1"/>
              <w:spacing w:line="460" w:lineRule="exact"/>
              <w:jc w:val="center"/>
              <w:rPr>
                <w:rFonts w:ascii="宋体" w:hAnsi="宋体" w:cs="宋体"/>
                <w:bCs/>
                <w:color w:val="auto"/>
                <w:sz w:val="24"/>
                <w:highlight w:val="none"/>
              </w:rPr>
            </w:pPr>
          </w:p>
        </w:tc>
      </w:tr>
      <w:tr w14:paraId="2560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tcPr>
          <w:p w14:paraId="60D157BB">
            <w:pPr>
              <w:shd w:val="clear" w:fill="FFFFFF" w:themeFill="background1"/>
              <w:spacing w:line="460" w:lineRule="exact"/>
              <w:jc w:val="center"/>
              <w:rPr>
                <w:rFonts w:ascii="宋体" w:hAnsi="宋体" w:cs="宋体"/>
                <w:bCs/>
                <w:color w:val="auto"/>
                <w:sz w:val="24"/>
                <w:highlight w:val="none"/>
              </w:rPr>
            </w:pPr>
          </w:p>
        </w:tc>
        <w:tc>
          <w:tcPr>
            <w:tcW w:w="4583" w:type="dxa"/>
            <w:gridSpan w:val="4"/>
          </w:tcPr>
          <w:p w14:paraId="651BDFB4">
            <w:pPr>
              <w:shd w:val="clear" w:fill="FFFFFF" w:themeFill="background1"/>
              <w:spacing w:line="460" w:lineRule="exact"/>
              <w:jc w:val="center"/>
              <w:rPr>
                <w:rFonts w:ascii="宋体" w:hAnsi="宋体" w:cs="宋体"/>
                <w:bCs/>
                <w:color w:val="auto"/>
                <w:sz w:val="24"/>
                <w:highlight w:val="none"/>
              </w:rPr>
            </w:pPr>
          </w:p>
        </w:tc>
        <w:tc>
          <w:tcPr>
            <w:tcW w:w="2382" w:type="dxa"/>
          </w:tcPr>
          <w:p w14:paraId="6FFD7483">
            <w:pPr>
              <w:shd w:val="clear" w:fill="FFFFFF" w:themeFill="background1"/>
              <w:spacing w:line="460" w:lineRule="exact"/>
              <w:jc w:val="center"/>
              <w:rPr>
                <w:rFonts w:ascii="宋体" w:hAnsi="宋体" w:cs="宋体"/>
                <w:bCs/>
                <w:color w:val="auto"/>
                <w:sz w:val="24"/>
                <w:highlight w:val="none"/>
              </w:rPr>
            </w:pPr>
          </w:p>
        </w:tc>
        <w:tc>
          <w:tcPr>
            <w:tcW w:w="1835" w:type="dxa"/>
          </w:tcPr>
          <w:p w14:paraId="314DC1D1">
            <w:pPr>
              <w:shd w:val="clear" w:fill="FFFFFF" w:themeFill="background1"/>
              <w:spacing w:line="460" w:lineRule="exact"/>
              <w:jc w:val="center"/>
              <w:rPr>
                <w:rFonts w:ascii="宋体" w:hAnsi="宋体" w:cs="宋体"/>
                <w:bCs/>
                <w:color w:val="auto"/>
                <w:sz w:val="24"/>
                <w:highlight w:val="none"/>
              </w:rPr>
            </w:pPr>
          </w:p>
        </w:tc>
      </w:tr>
      <w:tr w14:paraId="414DA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00" w:type="dxa"/>
          </w:tcPr>
          <w:p w14:paraId="6D045F16">
            <w:pPr>
              <w:shd w:val="clear" w:fill="FFFFFF" w:themeFill="background1"/>
              <w:spacing w:line="460" w:lineRule="exact"/>
              <w:jc w:val="center"/>
              <w:rPr>
                <w:rFonts w:ascii="宋体" w:hAnsi="宋体" w:cs="宋体"/>
                <w:bCs/>
                <w:color w:val="auto"/>
                <w:sz w:val="24"/>
                <w:highlight w:val="none"/>
              </w:rPr>
            </w:pPr>
          </w:p>
        </w:tc>
        <w:tc>
          <w:tcPr>
            <w:tcW w:w="4583" w:type="dxa"/>
            <w:gridSpan w:val="4"/>
          </w:tcPr>
          <w:p w14:paraId="614A7A8E">
            <w:pPr>
              <w:shd w:val="clear" w:fill="FFFFFF" w:themeFill="background1"/>
              <w:spacing w:line="460" w:lineRule="exact"/>
              <w:jc w:val="center"/>
              <w:rPr>
                <w:rFonts w:ascii="宋体" w:hAnsi="宋体" w:cs="宋体"/>
                <w:bCs/>
                <w:color w:val="auto"/>
                <w:sz w:val="24"/>
                <w:highlight w:val="none"/>
              </w:rPr>
            </w:pPr>
          </w:p>
        </w:tc>
        <w:tc>
          <w:tcPr>
            <w:tcW w:w="2382" w:type="dxa"/>
          </w:tcPr>
          <w:p w14:paraId="43045589">
            <w:pPr>
              <w:shd w:val="clear" w:fill="FFFFFF" w:themeFill="background1"/>
              <w:spacing w:line="460" w:lineRule="exact"/>
              <w:jc w:val="center"/>
              <w:rPr>
                <w:rFonts w:ascii="宋体" w:hAnsi="宋体" w:cs="宋体"/>
                <w:bCs/>
                <w:color w:val="auto"/>
                <w:sz w:val="24"/>
                <w:highlight w:val="none"/>
              </w:rPr>
            </w:pPr>
          </w:p>
        </w:tc>
        <w:tc>
          <w:tcPr>
            <w:tcW w:w="1835" w:type="dxa"/>
          </w:tcPr>
          <w:p w14:paraId="78CB73C1">
            <w:pPr>
              <w:shd w:val="clear" w:fill="FFFFFF" w:themeFill="background1"/>
              <w:spacing w:line="460" w:lineRule="exact"/>
              <w:jc w:val="center"/>
              <w:rPr>
                <w:rFonts w:ascii="宋体" w:hAnsi="宋体" w:cs="宋体"/>
                <w:bCs/>
                <w:color w:val="auto"/>
                <w:sz w:val="24"/>
                <w:highlight w:val="none"/>
              </w:rPr>
            </w:pPr>
          </w:p>
        </w:tc>
      </w:tr>
      <w:tr w14:paraId="0125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17" w:type="dxa"/>
            <w:gridSpan w:val="3"/>
            <w:vAlign w:val="center"/>
          </w:tcPr>
          <w:p w14:paraId="53EF606A">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获奖情况</w:t>
            </w:r>
          </w:p>
        </w:tc>
        <w:tc>
          <w:tcPr>
            <w:tcW w:w="7183" w:type="dxa"/>
            <w:gridSpan w:val="4"/>
          </w:tcPr>
          <w:p w14:paraId="3A5F0F77">
            <w:pPr>
              <w:shd w:val="clear" w:fill="FFFFFF" w:themeFill="background1"/>
              <w:jc w:val="center"/>
              <w:rPr>
                <w:rFonts w:ascii="宋体" w:hAnsi="宋体" w:cs="宋体"/>
                <w:bCs/>
                <w:color w:val="auto"/>
                <w:sz w:val="24"/>
                <w:highlight w:val="none"/>
              </w:rPr>
            </w:pPr>
          </w:p>
        </w:tc>
      </w:tr>
      <w:tr w14:paraId="087A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0200" w:type="dxa"/>
            <w:gridSpan w:val="7"/>
            <w:vAlign w:val="center"/>
          </w:tcPr>
          <w:p w14:paraId="214B5B93">
            <w:pPr>
              <w:shd w:val="clear" w:fill="FFFFFF" w:themeFill="background1"/>
              <w:spacing w:line="360" w:lineRule="auto"/>
              <w:rPr>
                <w:rFonts w:ascii="宋体" w:hAnsi="宋体" w:cs="宋体"/>
                <w:bCs/>
                <w:color w:val="auto"/>
                <w:sz w:val="24"/>
                <w:highlight w:val="none"/>
              </w:rPr>
            </w:pPr>
            <w:r>
              <w:rPr>
                <w:rFonts w:hint="eastAsia" w:ascii="宋体" w:hAnsi="宋体" w:cs="宋体"/>
                <w:bCs/>
                <w:color w:val="auto"/>
                <w:sz w:val="24"/>
                <w:highlight w:val="none"/>
              </w:rPr>
              <w:t xml:space="preserve">    本人</w:t>
            </w:r>
            <w:r>
              <w:rPr>
                <w:rFonts w:hint="eastAsia" w:ascii="宋体" w:hAnsi="宋体" w:cs="宋体"/>
                <w:bCs/>
                <w:color w:val="auto"/>
                <w:sz w:val="24"/>
                <w:highlight w:val="none"/>
                <w:u w:val="single"/>
              </w:rPr>
              <w:t xml:space="preserve"> （亲笔签字） </w:t>
            </w:r>
            <w:r>
              <w:rPr>
                <w:rFonts w:hint="eastAsia" w:ascii="宋体" w:hAnsi="宋体" w:cs="宋体"/>
                <w:bCs/>
                <w:color w:val="auto"/>
                <w:sz w:val="24"/>
                <w:highlight w:val="none"/>
              </w:rPr>
              <w:t>知晓自己为本项目的</w:t>
            </w:r>
            <w:r>
              <w:rPr>
                <w:rFonts w:hint="eastAsia" w:ascii="宋体" w:hAnsi="宋体" w:cs="宋体"/>
                <w:bCs/>
                <w:color w:val="auto"/>
                <w:sz w:val="24"/>
                <w:highlight w:val="none"/>
                <w:u w:val="single"/>
              </w:rPr>
              <w:t xml:space="preserve"> (填写项目经理或项目总工)</w:t>
            </w:r>
            <w:r>
              <w:rPr>
                <w:rFonts w:hint="eastAsia" w:ascii="宋体" w:hAnsi="宋体" w:cs="宋体"/>
                <w:bCs/>
                <w:color w:val="auto"/>
                <w:sz w:val="24"/>
                <w:highlight w:val="none"/>
              </w:rPr>
              <w:t>，并对其真实性负责。</w:t>
            </w:r>
          </w:p>
        </w:tc>
      </w:tr>
      <w:tr w14:paraId="748BA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17" w:type="dxa"/>
            <w:gridSpan w:val="3"/>
            <w:vAlign w:val="center"/>
          </w:tcPr>
          <w:p w14:paraId="4151ED0C">
            <w:pPr>
              <w:shd w:val="clear" w:fill="FFFFFF" w:themeFill="background1"/>
              <w:jc w:val="center"/>
              <w:rPr>
                <w:rFonts w:ascii="宋体" w:hAnsi="宋体" w:cs="宋体"/>
                <w:bCs/>
                <w:color w:val="auto"/>
                <w:sz w:val="24"/>
                <w:highlight w:val="none"/>
              </w:rPr>
            </w:pPr>
            <w:r>
              <w:rPr>
                <w:rFonts w:hint="eastAsia" w:ascii="宋体" w:hAnsi="宋体" w:cs="宋体"/>
                <w:bCs/>
                <w:color w:val="auto"/>
                <w:sz w:val="24"/>
                <w:highlight w:val="none"/>
              </w:rPr>
              <w:t>备    注</w:t>
            </w:r>
          </w:p>
        </w:tc>
        <w:tc>
          <w:tcPr>
            <w:tcW w:w="7183" w:type="dxa"/>
            <w:gridSpan w:val="4"/>
          </w:tcPr>
          <w:p w14:paraId="025B47E7">
            <w:pPr>
              <w:shd w:val="clear" w:fill="FFFFFF" w:themeFill="background1"/>
              <w:jc w:val="center"/>
              <w:rPr>
                <w:rFonts w:ascii="宋体" w:hAnsi="宋体" w:cs="宋体"/>
                <w:bCs/>
                <w:color w:val="auto"/>
                <w:sz w:val="24"/>
                <w:highlight w:val="none"/>
              </w:rPr>
            </w:pPr>
          </w:p>
        </w:tc>
      </w:tr>
    </w:tbl>
    <w:p w14:paraId="582BA08C">
      <w:pPr>
        <w:shd w:val="clear" w:fill="FFFFFF" w:themeFill="background1"/>
        <w:spacing w:line="400" w:lineRule="exact"/>
        <w:ind w:left="-283" w:leftChars="-135"/>
        <w:rPr>
          <w:rFonts w:ascii="宋体" w:hAnsi="宋体" w:cs="宋体"/>
          <w:color w:val="auto"/>
          <w:sz w:val="24"/>
          <w:highlight w:val="none"/>
        </w:rPr>
      </w:pPr>
      <w:r>
        <w:rPr>
          <w:rFonts w:hint="eastAsia" w:ascii="宋体" w:hAnsi="宋体" w:cs="宋体"/>
          <w:color w:val="auto"/>
          <w:sz w:val="24"/>
          <w:highlight w:val="none"/>
        </w:rPr>
        <w:t>注：1.本表后应填写项目经理（以及备选人，如有）和项目总工（以及备选人，如有）相关情况。</w:t>
      </w:r>
    </w:p>
    <w:p w14:paraId="6026DA91">
      <w:pPr>
        <w:shd w:val="clear" w:fill="FFFFFF" w:themeFill="background1"/>
        <w:spacing w:line="400" w:lineRule="exact"/>
        <w:ind w:left="-283" w:leftChars="-135" w:firstLine="480" w:firstLineChars="200"/>
        <w:rPr>
          <w:rFonts w:ascii="宋体" w:hAnsi="宋体" w:cs="宋体"/>
          <w:color w:val="auto"/>
          <w:sz w:val="24"/>
          <w:highlight w:val="none"/>
        </w:rPr>
      </w:pPr>
      <w:r>
        <w:rPr>
          <w:rFonts w:hint="eastAsia" w:ascii="宋体" w:hAnsi="宋体" w:cs="宋体"/>
          <w:color w:val="auto"/>
          <w:sz w:val="24"/>
          <w:highlight w:val="none"/>
        </w:rPr>
        <w:t>2.投标人应根据招标文件第二章“投标人须知”第 3.5.5 项的要求在本表后附相关证明材料。</w:t>
      </w:r>
    </w:p>
    <w:bookmarkEnd w:id="1757"/>
    <w:bookmarkEnd w:id="1758"/>
    <w:bookmarkEnd w:id="1759"/>
    <w:p w14:paraId="08C4EEF7">
      <w:pPr>
        <w:shd w:val="clear" w:fill="FFFFFF" w:themeFill="background1"/>
        <w:adjustRightInd w:val="0"/>
        <w:snapToGrid w:val="0"/>
        <w:spacing w:line="360" w:lineRule="auto"/>
        <w:jc w:val="center"/>
        <w:rPr>
          <w:rFonts w:ascii="宋体" w:hAnsi="宋体" w:cs="宋体"/>
          <w:b/>
          <w:bCs/>
          <w:color w:val="auto"/>
          <w:sz w:val="28"/>
          <w:szCs w:val="28"/>
          <w:highlight w:val="none"/>
        </w:rPr>
      </w:pPr>
      <w:r>
        <w:rPr>
          <w:rFonts w:hint="eastAsia" w:ascii="宋体" w:hAnsi="宋体" w:cs="宋体"/>
          <w:color w:val="auto"/>
          <w:sz w:val="24"/>
          <w:highlight w:val="none"/>
        </w:rPr>
        <w:br w:type="page"/>
      </w:r>
      <w:r>
        <w:rPr>
          <w:rFonts w:hint="eastAsia" w:ascii="宋体" w:hAnsi="宋体" w:cs="宋体"/>
          <w:b/>
          <w:bCs/>
          <w:color w:val="auto"/>
          <w:sz w:val="28"/>
          <w:szCs w:val="28"/>
          <w:highlight w:val="none"/>
        </w:rPr>
        <w:t>八、其 他 材 料</w:t>
      </w:r>
    </w:p>
    <w:tbl>
      <w:tblPr>
        <w:tblStyle w:val="45"/>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1"/>
      </w:tblGrid>
      <w:tr w14:paraId="5FF0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1" w:type="dxa"/>
          </w:tcPr>
          <w:p w14:paraId="5B3FBA0B">
            <w:pPr>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1、 提供“八-1、使用广东省信用评价等级的申请承诺书”。</w:t>
            </w:r>
          </w:p>
          <w:p w14:paraId="0CC563A7">
            <w:pPr>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2、 提供“八-2、投标人的自评分表”。</w:t>
            </w:r>
          </w:p>
          <w:p w14:paraId="70363F03">
            <w:pPr>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3、 提供最新年度广东省公路工程从业单位（施工单位）信用评价等级（若有），并标识单位所在位置。</w:t>
            </w:r>
          </w:p>
          <w:p w14:paraId="2F9E51EC">
            <w:pPr>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4、 初次进入广东省的，但在最新年度的全国综合评价结果为 C 级或 D 级的，提供最新年度的全国综合评价结果单位查询所在页。</w:t>
            </w:r>
          </w:p>
          <w:p w14:paraId="278203B0">
            <w:pPr>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5、 如上一年度有信用评价而最新年度在广东省无信用等级的需提供上一年度的信用评价（若有），并标识单位所在位置。</w:t>
            </w:r>
          </w:p>
          <w:p w14:paraId="6BBFEABB">
            <w:pPr>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6、详细说明投标人投标文件递交截止日前 1 年内，因公路工程（含附属设施）质量、安全、履约问题或招标投标问题等原因被交通运输部行政处罚、广东省交通运输厅行政处罚或正式约谈、招标项目所在地地级以上市交通运输局行政处罚的文件。</w:t>
            </w:r>
          </w:p>
          <w:p w14:paraId="404AA3DA">
            <w:pPr>
              <w:shd w:val="clear" w:fill="FFFFFF" w:themeFill="background1"/>
              <w:spacing w:line="360" w:lineRule="auto"/>
              <w:rPr>
                <w:rFonts w:ascii="宋体" w:hAnsi="宋体" w:cs="宋体"/>
                <w:color w:val="auto"/>
                <w:sz w:val="24"/>
                <w:highlight w:val="none"/>
              </w:rPr>
            </w:pPr>
            <w:r>
              <w:rPr>
                <w:rFonts w:hint="eastAsia" w:ascii="宋体" w:hAnsi="宋体" w:cs="宋体"/>
                <w:color w:val="auto"/>
                <w:sz w:val="24"/>
                <w:highlight w:val="none"/>
              </w:rPr>
              <w:t>7、投标人认为需要的其他内容（如体现技术能力的相关证明材料）。</w:t>
            </w:r>
          </w:p>
          <w:p w14:paraId="34F51B86">
            <w:pPr>
              <w:shd w:val="clear" w:fill="FFFFFF" w:themeFill="background1"/>
              <w:rPr>
                <w:rFonts w:ascii="宋体" w:hAnsi="宋体" w:cs="宋体"/>
                <w:color w:val="auto"/>
                <w:sz w:val="24"/>
                <w:highlight w:val="none"/>
              </w:rPr>
            </w:pPr>
          </w:p>
          <w:p w14:paraId="0189671C">
            <w:pPr>
              <w:shd w:val="clear" w:fill="FFFFFF" w:themeFill="background1"/>
              <w:spacing w:line="360" w:lineRule="auto"/>
              <w:rPr>
                <w:rFonts w:ascii="宋体" w:hAnsi="宋体" w:cs="宋体"/>
                <w:b/>
                <w:color w:val="auto"/>
                <w:sz w:val="32"/>
                <w:szCs w:val="32"/>
                <w:highlight w:val="none"/>
              </w:rPr>
            </w:pPr>
          </w:p>
          <w:p w14:paraId="48036F24">
            <w:pPr>
              <w:shd w:val="clear" w:fill="FFFFFF" w:themeFill="background1"/>
              <w:spacing w:line="360" w:lineRule="auto"/>
              <w:rPr>
                <w:rFonts w:ascii="宋体" w:hAnsi="宋体" w:cs="宋体"/>
                <w:bCs/>
                <w:color w:val="auto"/>
                <w:sz w:val="32"/>
                <w:szCs w:val="32"/>
                <w:highlight w:val="none"/>
              </w:rPr>
            </w:pPr>
          </w:p>
          <w:p w14:paraId="61F63A7A">
            <w:pPr>
              <w:shd w:val="clear" w:fill="FFFFFF" w:themeFill="background1"/>
              <w:spacing w:line="360" w:lineRule="auto"/>
              <w:rPr>
                <w:rFonts w:ascii="宋体" w:hAnsi="宋体" w:cs="宋体"/>
                <w:bCs/>
                <w:color w:val="auto"/>
                <w:sz w:val="32"/>
                <w:szCs w:val="32"/>
                <w:highlight w:val="none"/>
              </w:rPr>
            </w:pPr>
          </w:p>
        </w:tc>
      </w:tr>
    </w:tbl>
    <w:p w14:paraId="09BFEB9D">
      <w:pPr>
        <w:pStyle w:val="59"/>
        <w:shd w:val="clear" w:fill="FFFFFF" w:themeFill="background1"/>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294F285E">
      <w:pPr>
        <w:pStyle w:val="59"/>
        <w:shd w:val="clear" w:fill="FFFFFF" w:themeFill="background1"/>
        <w:jc w:val="center"/>
        <w:rPr>
          <w:rFonts w:ascii="宋体" w:hAnsi="宋体" w:cs="宋体"/>
          <w:b/>
          <w:bCs/>
          <w:color w:val="auto"/>
          <w:sz w:val="28"/>
          <w:szCs w:val="28"/>
          <w:highlight w:val="none"/>
        </w:rPr>
      </w:pPr>
      <w:r>
        <w:rPr>
          <w:rFonts w:hint="eastAsia" w:ascii="宋体" w:hAnsi="宋体" w:cs="宋体"/>
          <w:b/>
          <w:bCs/>
          <w:color w:val="auto"/>
          <w:highlight w:val="none"/>
        </w:rPr>
        <w:t xml:space="preserve">八-1 </w:t>
      </w:r>
      <w:r>
        <w:rPr>
          <w:rFonts w:hint="eastAsia" w:ascii="宋体" w:hAnsi="宋体" w:cs="宋体"/>
          <w:b/>
          <w:bCs/>
          <w:color w:val="auto"/>
          <w:sz w:val="28"/>
          <w:szCs w:val="28"/>
          <w:highlight w:val="none"/>
        </w:rPr>
        <w:t>使用广东省信用评价等级的申请承诺书</w:t>
      </w:r>
      <w:r>
        <w:rPr>
          <w:rFonts w:hint="eastAsia" w:ascii="宋体" w:hAnsi="宋体"/>
          <w:b/>
          <w:bCs/>
          <w:color w:val="auto"/>
          <w:sz w:val="28"/>
          <w:szCs w:val="28"/>
          <w:highlight w:val="none"/>
        </w:rPr>
        <w:t>（格式）</w:t>
      </w:r>
    </w:p>
    <w:p w14:paraId="6CA74AC4">
      <w:pPr>
        <w:shd w:val="clear" w:fill="FFFFFF" w:themeFill="background1"/>
        <w:jc w:val="center"/>
        <w:rPr>
          <w:rFonts w:ascii="宋体" w:hAnsi="宋体"/>
          <w:b/>
          <w:color w:val="auto"/>
          <w:sz w:val="28"/>
          <w:szCs w:val="28"/>
          <w:highlight w:val="none"/>
        </w:rPr>
      </w:pPr>
    </w:p>
    <w:p w14:paraId="5332137F">
      <w:pPr>
        <w:shd w:val="clear" w:fill="FFFFFF" w:themeFill="background1"/>
        <w:spacing w:line="360" w:lineRule="auto"/>
        <w:jc w:val="left"/>
        <w:rPr>
          <w:rFonts w:ascii="宋体" w:hAnsi="宋体"/>
          <w:color w:val="auto"/>
          <w:sz w:val="24"/>
          <w:highlight w:val="none"/>
        </w:rPr>
      </w:pPr>
      <w:r>
        <w:rPr>
          <w:rFonts w:hint="eastAsia" w:ascii="宋体" w:hAnsi="宋体"/>
          <w:color w:val="auto"/>
          <w:sz w:val="24"/>
          <w:highlight w:val="none"/>
        </w:rPr>
        <w:t>致招标人：</w:t>
      </w:r>
      <w:r>
        <w:rPr>
          <w:rFonts w:ascii="宋体" w:hAnsi="宋体"/>
          <w:color w:val="auto"/>
          <w:sz w:val="24"/>
          <w:highlight w:val="none"/>
          <w:u w:val="single"/>
        </w:rPr>
        <w:t>（招标人全称）</w:t>
      </w:r>
    </w:p>
    <w:p w14:paraId="34688FC3">
      <w:pPr>
        <w:shd w:val="clear" w:fill="FFFFFF" w:themeFill="background1"/>
        <w:spacing w:line="360" w:lineRule="auto"/>
        <w:ind w:firstLine="480" w:firstLineChars="200"/>
        <w:jc w:val="left"/>
        <w:rPr>
          <w:rFonts w:ascii="宋体" w:hAnsi="宋体"/>
          <w:color w:val="auto"/>
          <w:sz w:val="24"/>
          <w:highlight w:val="none"/>
        </w:rPr>
      </w:pPr>
      <w:r>
        <w:rPr>
          <w:rFonts w:hint="eastAsia" w:ascii="宋体" w:hAnsi="宋体" w:cs="宋体"/>
          <w:color w:val="auto"/>
          <w:kern w:val="0"/>
          <w:sz w:val="24"/>
          <w:highlight w:val="none"/>
        </w:rPr>
        <w:t>按相关要求，现我单位对使用信用等级申请如下：</w:t>
      </w:r>
    </w:p>
    <w:p w14:paraId="62F7E8C6">
      <w:pPr>
        <w:shd w:val="clear" w:fill="FFFFFF" w:themeFill="background1"/>
        <w:spacing w:line="360" w:lineRule="auto"/>
        <w:ind w:firstLine="480" w:firstLineChars="200"/>
        <w:jc w:val="left"/>
        <w:rPr>
          <w:rFonts w:ascii="宋体" w:hAnsi="宋体"/>
          <w:color w:val="auto"/>
          <w:sz w:val="24"/>
          <w:highlight w:val="none"/>
          <w:u w:val="single"/>
        </w:rPr>
      </w:pPr>
      <w:r>
        <w:rPr>
          <w:rFonts w:ascii="宋体" w:hAnsi="宋体" w:cs="宋体"/>
          <w:color w:val="auto"/>
          <w:kern w:val="0"/>
          <w:sz w:val="24"/>
          <w:highlight w:val="none"/>
        </w:rPr>
        <w:t>一、我单位在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施工招标</w:t>
      </w:r>
      <w:r>
        <w:rPr>
          <w:rFonts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rPr>
        <w:t>标类/标段）的招标中，</w:t>
      </w:r>
      <w:r>
        <w:rPr>
          <w:rFonts w:ascii="宋体" w:hAnsi="宋体" w:cs="宋体"/>
          <w:b/>
          <w:bCs/>
          <w:color w:val="auto"/>
          <w:kern w:val="0"/>
          <w:sz w:val="24"/>
          <w:highlight w:val="none"/>
        </w:rPr>
        <w:t>第</w:t>
      </w:r>
      <w:r>
        <w:rPr>
          <w:rFonts w:hint="eastAsia" w:ascii="宋体" w:hAnsi="宋体" w:cs="宋体"/>
          <w:b/>
          <w:bCs/>
          <w:color w:val="auto"/>
          <w:kern w:val="0"/>
          <w:sz w:val="24"/>
          <w:highlight w:val="none"/>
          <w:u w:val="single"/>
        </w:rPr>
        <w:t xml:space="preserve">    </w:t>
      </w:r>
      <w:r>
        <w:rPr>
          <w:rFonts w:ascii="宋体" w:hAnsi="宋体" w:cs="宋体"/>
          <w:b/>
          <w:bCs/>
          <w:color w:val="auto"/>
          <w:kern w:val="0"/>
          <w:sz w:val="24"/>
          <w:highlight w:val="none"/>
        </w:rPr>
        <w:t>次使用（或不使用）</w:t>
      </w:r>
      <w:r>
        <w:rPr>
          <w:rFonts w:ascii="宋体" w:hAnsi="宋体" w:cs="宋体"/>
          <w:color w:val="auto"/>
          <w:kern w:val="0"/>
          <w:sz w:val="24"/>
          <w:highlight w:val="none"/>
        </w:rPr>
        <w:t>广东省交通运输厅发布的</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ascii="宋体" w:hAnsi="宋体" w:cs="宋体"/>
          <w:color w:val="auto"/>
          <w:kern w:val="0"/>
          <w:sz w:val="24"/>
          <w:highlight w:val="none"/>
        </w:rPr>
        <w:t>度信用评价</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rPr>
        <w:t>等级结果和对应等级分值。</w:t>
      </w:r>
    </w:p>
    <w:p w14:paraId="3BA66DDB">
      <w:pPr>
        <w:shd w:val="clear" w:fill="FFFFFF" w:themeFill="background1"/>
        <w:spacing w:line="360" w:lineRule="auto"/>
        <w:ind w:firstLine="495"/>
        <w:jc w:val="left"/>
        <w:rPr>
          <w:rFonts w:ascii="宋体" w:hAnsi="宋体" w:cs="宋体"/>
          <w:color w:val="auto"/>
          <w:kern w:val="0"/>
          <w:sz w:val="24"/>
          <w:highlight w:val="none"/>
        </w:rPr>
      </w:pPr>
      <w:r>
        <w:rPr>
          <w:rFonts w:ascii="宋体" w:hAnsi="宋体" w:cs="宋体"/>
          <w:color w:val="auto"/>
          <w:kern w:val="0"/>
          <w:sz w:val="24"/>
          <w:highlight w:val="none"/>
        </w:rPr>
        <w:t>二、我单位承诺，在递交本次申请后，我单位将失去一次使用</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rPr>
        <w:t>等级结果（</w:t>
      </w:r>
      <w:r>
        <w:rPr>
          <w:rFonts w:ascii="宋体" w:hAnsi="宋体" w:cs="宋体"/>
          <w:b/>
          <w:bCs/>
          <w:color w:val="auto"/>
          <w:kern w:val="0"/>
          <w:sz w:val="24"/>
          <w:highlight w:val="none"/>
          <w:u w:val="single"/>
        </w:rPr>
        <w:t>不使用时上述填“/”</w:t>
      </w:r>
      <w:r>
        <w:rPr>
          <w:rFonts w:ascii="宋体" w:hAnsi="宋体" w:cs="宋体"/>
          <w:color w:val="auto"/>
          <w:kern w:val="0"/>
          <w:sz w:val="24"/>
          <w:highlight w:val="none"/>
        </w:rPr>
        <w:t>）参与投标的机会。</w:t>
      </w:r>
      <w:r>
        <w:rPr>
          <w:rFonts w:hint="eastAsia" w:ascii="宋体" w:hAnsi="宋体" w:cs="宋体"/>
          <w:color w:val="auto"/>
          <w:kern w:val="0"/>
          <w:sz w:val="24"/>
          <w:highlight w:val="none"/>
        </w:rPr>
        <w:t>当累计使用超过规定的次数，我单位同意按降低一个信用等级对应分值来认定参与投标评审。</w:t>
      </w:r>
    </w:p>
    <w:p w14:paraId="5DD7B38D">
      <w:pPr>
        <w:shd w:val="clear" w:fill="FFFFFF" w:themeFill="background1"/>
        <w:spacing w:line="360" w:lineRule="auto"/>
        <w:ind w:firstLine="495"/>
        <w:jc w:val="left"/>
        <w:rPr>
          <w:rFonts w:ascii="宋体" w:hAnsi="宋体" w:cs="宋体"/>
          <w:color w:val="auto"/>
          <w:kern w:val="0"/>
          <w:sz w:val="24"/>
          <w:highlight w:val="none"/>
        </w:rPr>
      </w:pPr>
      <w:r>
        <w:rPr>
          <w:rFonts w:ascii="宋体" w:hAnsi="宋体" w:cs="宋体"/>
          <w:color w:val="auto"/>
          <w:kern w:val="0"/>
          <w:sz w:val="24"/>
          <w:highlight w:val="none"/>
        </w:rPr>
        <w:t>三、</w:t>
      </w:r>
      <w:r>
        <w:rPr>
          <w:rFonts w:hint="eastAsia" w:ascii="宋体" w:hAnsi="宋体" w:cs="宋体"/>
          <w:color w:val="auto"/>
          <w:kern w:val="0"/>
          <w:sz w:val="24"/>
          <w:highlight w:val="none"/>
        </w:rPr>
        <w:t>如果我单位发生违反规定使用信用等级结果的情形，自愿接受省级交通运输主管部门的处理。</w:t>
      </w:r>
    </w:p>
    <w:p w14:paraId="07048439">
      <w:pPr>
        <w:shd w:val="clear" w:fill="FFFFFF" w:themeFill="background1"/>
        <w:spacing w:line="360" w:lineRule="auto"/>
        <w:ind w:firstLine="495"/>
        <w:jc w:val="left"/>
        <w:rPr>
          <w:rFonts w:ascii="宋体" w:hAnsi="宋体"/>
          <w:b/>
          <w:color w:val="auto"/>
          <w:sz w:val="24"/>
          <w:highlight w:val="none"/>
          <w:u w:val="single"/>
        </w:rPr>
      </w:pPr>
      <w:r>
        <w:rPr>
          <w:rFonts w:ascii="宋体" w:hAnsi="宋体" w:cs="宋体"/>
          <w:color w:val="auto"/>
          <w:kern w:val="0"/>
          <w:sz w:val="24"/>
          <w:highlight w:val="none"/>
        </w:rPr>
        <w:t>附件：</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rPr>
        <w:t>单位使用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年度广东省公路工程从业单位信用等级情况汇总表。</w:t>
      </w:r>
    </w:p>
    <w:p w14:paraId="3039AB80">
      <w:pPr>
        <w:shd w:val="clear" w:fill="FFFFFF" w:themeFill="background1"/>
        <w:spacing w:line="360" w:lineRule="auto"/>
        <w:ind w:firstLine="480" w:firstLineChars="200"/>
        <w:jc w:val="left"/>
        <w:rPr>
          <w:rFonts w:ascii="宋体" w:hAnsi="宋体" w:cs="宋体"/>
          <w:color w:val="auto"/>
          <w:kern w:val="0"/>
          <w:sz w:val="24"/>
          <w:highlight w:val="none"/>
        </w:rPr>
      </w:pPr>
    </w:p>
    <w:p w14:paraId="04AFFC37">
      <w:pPr>
        <w:shd w:val="clear" w:fill="FFFFFF" w:themeFill="background1"/>
        <w:spacing w:line="360" w:lineRule="auto"/>
        <w:ind w:firstLine="480" w:firstLineChars="200"/>
        <w:jc w:val="left"/>
        <w:rPr>
          <w:rFonts w:ascii="宋体" w:hAnsi="宋体" w:cs="宋体"/>
          <w:color w:val="auto"/>
          <w:kern w:val="0"/>
          <w:sz w:val="24"/>
          <w:highlight w:val="none"/>
        </w:rPr>
      </w:pPr>
      <w:r>
        <w:rPr>
          <w:rFonts w:ascii="宋体" w:hAnsi="宋体" w:cs="宋体"/>
          <w:color w:val="auto"/>
          <w:kern w:val="0"/>
          <w:sz w:val="24"/>
          <w:highlight w:val="none"/>
        </w:rPr>
        <w:t>特此承诺</w:t>
      </w:r>
    </w:p>
    <w:p w14:paraId="71B17B42">
      <w:pPr>
        <w:shd w:val="clear" w:fill="FFFFFF" w:themeFill="background1"/>
        <w:spacing w:line="360" w:lineRule="auto"/>
        <w:jc w:val="center"/>
        <w:rPr>
          <w:rFonts w:ascii="宋体" w:hAnsi="宋体" w:cs="宋体"/>
          <w:color w:val="auto"/>
          <w:kern w:val="0"/>
          <w:sz w:val="24"/>
          <w:highlight w:val="none"/>
        </w:rPr>
      </w:pPr>
    </w:p>
    <w:p w14:paraId="1BF2A3B2">
      <w:pPr>
        <w:pStyle w:val="55"/>
        <w:shd w:val="clear" w:fill="FFFFFF" w:themeFill="background1"/>
        <w:rPr>
          <w:color w:val="auto"/>
          <w:highlight w:val="none"/>
        </w:rPr>
      </w:pPr>
    </w:p>
    <w:p w14:paraId="6268F58F">
      <w:pPr>
        <w:shd w:val="clear" w:fill="FFFFFF" w:themeFill="background1"/>
        <w:spacing w:line="360" w:lineRule="auto"/>
        <w:ind w:firstLine="2640" w:firstLineChars="1100"/>
        <w:jc w:val="left"/>
        <w:rPr>
          <w:rFonts w:ascii="宋体" w:hAnsi="宋体" w:cs="宋体"/>
          <w:color w:val="auto"/>
          <w:kern w:val="0"/>
          <w:sz w:val="24"/>
          <w:highlight w:val="none"/>
          <w:u w:val="single"/>
        </w:rPr>
      </w:pPr>
      <w:r>
        <w:rPr>
          <w:rFonts w:hint="eastAsia" w:ascii="宋体" w:hAnsi="宋体" w:cs="宋体"/>
          <w:color w:val="auto"/>
          <w:kern w:val="0"/>
          <w:sz w:val="24"/>
          <w:highlight w:val="none"/>
        </w:rPr>
        <w:t>投标人（单位全称）：</w:t>
      </w:r>
      <w:r>
        <w:rPr>
          <w:rFonts w:hint="eastAsia" w:ascii="宋体" w:hAnsi="宋体" w:cs="宋体"/>
          <w:color w:val="auto"/>
          <w:kern w:val="0"/>
          <w:sz w:val="24"/>
          <w:highlight w:val="none"/>
          <w:u w:val="single"/>
        </w:rPr>
        <w:t xml:space="preserve">   </w:t>
      </w:r>
    </w:p>
    <w:p w14:paraId="79234498">
      <w:pPr>
        <w:shd w:val="clear" w:fill="FFFFFF" w:themeFill="background1"/>
        <w:spacing w:line="360" w:lineRule="auto"/>
        <w:ind w:firstLine="2640" w:firstLineChars="1100"/>
        <w:jc w:val="left"/>
        <w:rPr>
          <w:rFonts w:ascii="宋体" w:hAnsi="宋体" w:cs="宋体"/>
          <w:color w:val="auto"/>
          <w:kern w:val="0"/>
          <w:sz w:val="24"/>
          <w:highlight w:val="none"/>
        </w:rPr>
      </w:pPr>
      <w:r>
        <w:rPr>
          <w:rFonts w:hint="eastAsia" w:ascii="宋体" w:hAnsi="宋体" w:cs="宋体"/>
          <w:color w:val="auto"/>
          <w:kern w:val="0"/>
          <w:sz w:val="24"/>
          <w:highlight w:val="none"/>
        </w:rPr>
        <w:t>投标人的法定代表人或其委托代理人签名：</w:t>
      </w:r>
    </w:p>
    <w:p w14:paraId="1F3FDC48">
      <w:pPr>
        <w:shd w:val="clear" w:fill="FFFFFF" w:themeFill="background1"/>
        <w:spacing w:line="360" w:lineRule="auto"/>
        <w:ind w:firstLine="4320" w:firstLineChars="1800"/>
        <w:rPr>
          <w:rFonts w:ascii="宋体" w:hAnsi="宋体" w:cs="宋体"/>
          <w:color w:val="auto"/>
          <w:kern w:val="0"/>
          <w:sz w:val="24"/>
          <w:highlight w:val="none"/>
        </w:rPr>
      </w:pPr>
      <w:r>
        <w:rPr>
          <w:rFonts w:hint="eastAsia" w:ascii="宋体" w:hAnsi="宋体" w:cs="宋体"/>
          <w:color w:val="auto"/>
          <w:kern w:val="0"/>
          <w:sz w:val="24"/>
          <w:highlight w:val="none"/>
        </w:rPr>
        <w:t>年   月   日</w:t>
      </w:r>
    </w:p>
    <w:p w14:paraId="77EF17FF">
      <w:pPr>
        <w:shd w:val="clear" w:fill="FFFFFF" w:themeFill="background1"/>
        <w:spacing w:line="360" w:lineRule="auto"/>
        <w:jc w:val="right"/>
        <w:rPr>
          <w:rFonts w:ascii="宋体" w:hAnsi="宋体" w:cs="宋体"/>
          <w:color w:val="auto"/>
          <w:kern w:val="0"/>
          <w:sz w:val="24"/>
          <w:highlight w:val="none"/>
        </w:rPr>
      </w:pPr>
    </w:p>
    <w:p w14:paraId="4DFDEBEA">
      <w:pPr>
        <w:shd w:val="clear" w:fill="FFFFFF" w:themeFill="background1"/>
        <w:rPr>
          <w:rFonts w:ascii="宋体" w:hAnsi="宋体" w:cs="宋体"/>
          <w:color w:val="auto"/>
          <w:sz w:val="24"/>
          <w:highlight w:val="none"/>
        </w:rPr>
      </w:pPr>
      <w:r>
        <w:rPr>
          <w:rFonts w:hint="eastAsia" w:ascii="宋体" w:hAnsi="宋体" w:cs="宋体"/>
          <w:color w:val="auto"/>
          <w:sz w:val="24"/>
          <w:highlight w:val="none"/>
        </w:rPr>
        <w:t>注：1、AA、A 级信用等级企业必须填写此申请承诺书；选择“使用”时需和附表（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单位使用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年度广东省公路工程从业单位信用等级情况汇总表）一起编入投标文件中。</w:t>
      </w:r>
    </w:p>
    <w:p w14:paraId="20D85E0C">
      <w:pPr>
        <w:shd w:val="clear" w:fill="FFFFFF" w:themeFill="background1"/>
        <w:ind w:firstLine="480" w:firstLineChars="200"/>
        <w:rPr>
          <w:rFonts w:ascii="宋体" w:hAnsi="宋体" w:cs="宋体"/>
          <w:color w:val="auto"/>
          <w:sz w:val="24"/>
          <w:highlight w:val="none"/>
        </w:rPr>
      </w:pPr>
      <w:r>
        <w:rPr>
          <w:rFonts w:hint="eastAsia" w:ascii="宋体" w:hAnsi="宋体" w:cs="宋体"/>
          <w:color w:val="auto"/>
          <w:sz w:val="24"/>
          <w:highlight w:val="none"/>
        </w:rPr>
        <w:t>2、AA、A 级信用等级企业应区分标段、分别填写并提交此申请承诺书；如同时对多个标段选择“使用”时，使用次数应按标段累加（即各个标段申请承诺书的使用次数应不一致）。如同时对多个标段选择“使用”而多个标段所附申请承诺书的使用次数为同一次时，多个标段均视为未正确填报申请承诺书，均按不承诺使用对应的信用等级处理。</w:t>
      </w:r>
    </w:p>
    <w:p w14:paraId="0B5316A6">
      <w:pPr>
        <w:shd w:val="clear" w:fill="FFFFFF" w:themeFill="background1"/>
        <w:ind w:firstLine="480" w:firstLineChars="200"/>
        <w:rPr>
          <w:rFonts w:ascii="宋体" w:hAnsi="宋体" w:cs="宋体"/>
          <w:color w:val="auto"/>
          <w:sz w:val="24"/>
          <w:highlight w:val="none"/>
        </w:rPr>
      </w:pPr>
      <w:r>
        <w:rPr>
          <w:rFonts w:hint="eastAsia" w:ascii="宋体" w:hAnsi="宋体" w:cs="宋体"/>
          <w:color w:val="auto"/>
          <w:sz w:val="24"/>
          <w:highlight w:val="none"/>
        </w:rPr>
        <w:t>3、中标候选人公示中，将对所有承诺使用最新年度 AA、A 级投标人的年度信用等级使用情进行公开。</w:t>
      </w:r>
    </w:p>
    <w:p w14:paraId="3AB759C5">
      <w:pPr>
        <w:shd w:val="clear" w:fill="FFFFFF" w:themeFill="background1"/>
        <w:jc w:val="center"/>
        <w:rPr>
          <w:rFonts w:ascii="宋体" w:hAnsi="宋体" w:cs="宋体"/>
          <w:color w:val="auto"/>
          <w:kern w:val="0"/>
          <w:sz w:val="28"/>
          <w:szCs w:val="28"/>
          <w:highlight w:val="none"/>
        </w:rPr>
      </w:pPr>
    </w:p>
    <w:p w14:paraId="3AA09741">
      <w:pPr>
        <w:shd w:val="clear" w:fill="FFFFFF" w:themeFill="background1"/>
        <w:jc w:val="left"/>
        <w:rPr>
          <w:rFonts w:ascii="宋体" w:hAnsi="宋体" w:cs="宋体"/>
          <w:color w:val="auto"/>
          <w:kern w:val="0"/>
          <w:sz w:val="28"/>
          <w:szCs w:val="28"/>
          <w:highlight w:val="none"/>
        </w:rPr>
      </w:pPr>
      <w:r>
        <w:rPr>
          <w:rFonts w:hint="eastAsia" w:ascii="宋体" w:hAnsi="宋体" w:cs="宋体"/>
          <w:color w:val="auto"/>
          <w:kern w:val="0"/>
          <w:sz w:val="28"/>
          <w:szCs w:val="28"/>
          <w:highlight w:val="none"/>
        </w:rPr>
        <w:br w:type="page"/>
      </w:r>
      <w:r>
        <w:rPr>
          <w:rFonts w:hint="eastAsia" w:ascii="宋体" w:hAnsi="宋体" w:cs="宋体"/>
          <w:color w:val="auto"/>
          <w:kern w:val="0"/>
          <w:sz w:val="28"/>
          <w:szCs w:val="28"/>
          <w:highlight w:val="none"/>
        </w:rPr>
        <w:t>附表：</w:t>
      </w:r>
    </w:p>
    <w:p w14:paraId="6C22A8C9">
      <w:pPr>
        <w:shd w:val="clear" w:fill="FFFFFF" w:themeFill="background1"/>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单位使用</w:t>
      </w:r>
      <w:r>
        <w:rPr>
          <w:rFonts w:hint="eastAsia" w:ascii="宋体" w:hAnsi="宋体" w:cs="宋体"/>
          <w:color w:val="auto"/>
          <w:kern w:val="0"/>
          <w:sz w:val="28"/>
          <w:szCs w:val="28"/>
          <w:highlight w:val="none"/>
          <w:u w:val="single"/>
        </w:rPr>
        <w:t xml:space="preserve">       </w:t>
      </w:r>
      <w:r>
        <w:rPr>
          <w:rFonts w:hint="eastAsia" w:ascii="宋体" w:hAnsi="宋体" w:cs="宋体"/>
          <w:color w:val="auto"/>
          <w:kern w:val="0"/>
          <w:sz w:val="28"/>
          <w:szCs w:val="28"/>
          <w:highlight w:val="none"/>
        </w:rPr>
        <w:t>年度广东省公路工程从业单位</w:t>
      </w:r>
    </w:p>
    <w:p w14:paraId="4D0DFAEA">
      <w:pPr>
        <w:shd w:val="clear" w:fill="FFFFFF" w:themeFill="background1"/>
        <w:jc w:val="center"/>
        <w:rPr>
          <w:rFonts w:ascii="宋体" w:hAnsi="宋体" w:cs="宋体"/>
          <w:color w:val="auto"/>
          <w:kern w:val="0"/>
          <w:sz w:val="28"/>
          <w:szCs w:val="28"/>
          <w:highlight w:val="none"/>
          <w:u w:val="single"/>
        </w:rPr>
      </w:pPr>
      <w:r>
        <w:rPr>
          <w:rFonts w:hint="eastAsia" w:ascii="宋体" w:hAnsi="宋体" w:cs="宋体"/>
          <w:color w:val="auto"/>
          <w:kern w:val="0"/>
          <w:sz w:val="28"/>
          <w:szCs w:val="28"/>
          <w:highlight w:val="none"/>
        </w:rPr>
        <w:t>信用等级情况汇总表</w:t>
      </w:r>
    </w:p>
    <w:p w14:paraId="3468F450">
      <w:pPr>
        <w:shd w:val="clear" w:fill="FFFFFF" w:themeFill="background1"/>
        <w:jc w:val="center"/>
        <w:rPr>
          <w:rFonts w:ascii="宋体" w:hAnsi="宋体" w:cs="宋体"/>
          <w:color w:val="auto"/>
          <w:kern w:val="0"/>
          <w:sz w:val="28"/>
          <w:szCs w:val="28"/>
          <w:highlight w:val="none"/>
        </w:rPr>
      </w:pPr>
    </w:p>
    <w:tbl>
      <w:tblPr>
        <w:tblStyle w:val="45"/>
        <w:tblW w:w="99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701"/>
        <w:gridCol w:w="1843"/>
        <w:gridCol w:w="1984"/>
        <w:gridCol w:w="2126"/>
        <w:gridCol w:w="1463"/>
      </w:tblGrid>
      <w:tr w14:paraId="725F1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75E08AD7">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序号</w:t>
            </w:r>
          </w:p>
        </w:tc>
        <w:tc>
          <w:tcPr>
            <w:tcW w:w="1701" w:type="dxa"/>
            <w:vAlign w:val="center"/>
          </w:tcPr>
          <w:p w14:paraId="32C9D5FA">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招标人名称</w:t>
            </w:r>
          </w:p>
        </w:tc>
        <w:tc>
          <w:tcPr>
            <w:tcW w:w="1843" w:type="dxa"/>
            <w:vAlign w:val="center"/>
          </w:tcPr>
          <w:p w14:paraId="79569AE3">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标类或（标</w:t>
            </w:r>
          </w:p>
          <w:p w14:paraId="59AABE73">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段）名称</w:t>
            </w:r>
          </w:p>
        </w:tc>
        <w:tc>
          <w:tcPr>
            <w:tcW w:w="1984" w:type="dxa"/>
            <w:vAlign w:val="center"/>
          </w:tcPr>
          <w:p w14:paraId="42BB969B">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递交文件时间</w:t>
            </w:r>
          </w:p>
          <w:p w14:paraId="44E5229E">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（年月日）</w:t>
            </w:r>
          </w:p>
        </w:tc>
        <w:tc>
          <w:tcPr>
            <w:tcW w:w="2126" w:type="dxa"/>
            <w:vAlign w:val="center"/>
          </w:tcPr>
          <w:p w14:paraId="33A60356">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使用信用等</w:t>
            </w:r>
          </w:p>
          <w:p w14:paraId="5C5C41C1">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级（AA/A）</w:t>
            </w:r>
          </w:p>
        </w:tc>
        <w:tc>
          <w:tcPr>
            <w:tcW w:w="1463" w:type="dxa"/>
            <w:vAlign w:val="center"/>
          </w:tcPr>
          <w:p w14:paraId="6AFBE365">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备注</w:t>
            </w:r>
          </w:p>
        </w:tc>
      </w:tr>
      <w:tr w14:paraId="29394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17C51188">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701" w:type="dxa"/>
          </w:tcPr>
          <w:p w14:paraId="005EEAF7">
            <w:pPr>
              <w:shd w:val="clear" w:fill="FFFFFF" w:themeFill="background1"/>
              <w:spacing w:line="360" w:lineRule="auto"/>
              <w:jc w:val="center"/>
              <w:rPr>
                <w:rFonts w:ascii="宋体" w:hAnsi="宋体" w:cs="宋体"/>
                <w:color w:val="auto"/>
                <w:kern w:val="0"/>
                <w:sz w:val="24"/>
                <w:highlight w:val="none"/>
              </w:rPr>
            </w:pPr>
          </w:p>
        </w:tc>
        <w:tc>
          <w:tcPr>
            <w:tcW w:w="1843" w:type="dxa"/>
          </w:tcPr>
          <w:p w14:paraId="6D6361E8">
            <w:pPr>
              <w:shd w:val="clear" w:fill="FFFFFF" w:themeFill="background1"/>
              <w:spacing w:line="360" w:lineRule="auto"/>
              <w:jc w:val="center"/>
              <w:rPr>
                <w:rFonts w:ascii="宋体" w:hAnsi="宋体" w:cs="宋体"/>
                <w:color w:val="auto"/>
                <w:kern w:val="0"/>
                <w:sz w:val="24"/>
                <w:highlight w:val="none"/>
              </w:rPr>
            </w:pPr>
          </w:p>
        </w:tc>
        <w:tc>
          <w:tcPr>
            <w:tcW w:w="1984" w:type="dxa"/>
          </w:tcPr>
          <w:p w14:paraId="0A01025F">
            <w:pPr>
              <w:shd w:val="clear" w:fill="FFFFFF" w:themeFill="background1"/>
              <w:spacing w:line="360" w:lineRule="auto"/>
              <w:jc w:val="center"/>
              <w:rPr>
                <w:rFonts w:ascii="宋体" w:hAnsi="宋体" w:cs="宋体"/>
                <w:color w:val="auto"/>
                <w:kern w:val="0"/>
                <w:sz w:val="24"/>
                <w:highlight w:val="none"/>
              </w:rPr>
            </w:pPr>
          </w:p>
        </w:tc>
        <w:tc>
          <w:tcPr>
            <w:tcW w:w="2126" w:type="dxa"/>
          </w:tcPr>
          <w:p w14:paraId="39FD30A4">
            <w:pPr>
              <w:shd w:val="clear" w:fill="FFFFFF" w:themeFill="background1"/>
              <w:spacing w:line="360" w:lineRule="auto"/>
              <w:jc w:val="center"/>
              <w:rPr>
                <w:rFonts w:ascii="宋体" w:hAnsi="宋体" w:cs="宋体"/>
                <w:color w:val="auto"/>
                <w:kern w:val="0"/>
                <w:sz w:val="24"/>
                <w:highlight w:val="none"/>
              </w:rPr>
            </w:pPr>
          </w:p>
        </w:tc>
        <w:tc>
          <w:tcPr>
            <w:tcW w:w="1463" w:type="dxa"/>
          </w:tcPr>
          <w:p w14:paraId="3BE0A882">
            <w:pPr>
              <w:shd w:val="clear" w:fill="FFFFFF" w:themeFill="background1"/>
              <w:spacing w:line="360" w:lineRule="auto"/>
              <w:jc w:val="center"/>
              <w:rPr>
                <w:rFonts w:ascii="宋体" w:hAnsi="宋体" w:cs="宋体"/>
                <w:color w:val="auto"/>
                <w:kern w:val="0"/>
                <w:sz w:val="24"/>
                <w:highlight w:val="none"/>
              </w:rPr>
            </w:pPr>
          </w:p>
        </w:tc>
      </w:tr>
      <w:tr w14:paraId="651F7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718BA36B">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701" w:type="dxa"/>
          </w:tcPr>
          <w:p w14:paraId="7270B2F2">
            <w:pPr>
              <w:shd w:val="clear" w:fill="FFFFFF" w:themeFill="background1"/>
              <w:spacing w:line="360" w:lineRule="auto"/>
              <w:jc w:val="center"/>
              <w:rPr>
                <w:rFonts w:ascii="宋体" w:hAnsi="宋体" w:cs="宋体"/>
                <w:color w:val="auto"/>
                <w:kern w:val="0"/>
                <w:sz w:val="24"/>
                <w:highlight w:val="none"/>
              </w:rPr>
            </w:pPr>
          </w:p>
        </w:tc>
        <w:tc>
          <w:tcPr>
            <w:tcW w:w="1843" w:type="dxa"/>
          </w:tcPr>
          <w:p w14:paraId="7227BAB1">
            <w:pPr>
              <w:shd w:val="clear" w:fill="FFFFFF" w:themeFill="background1"/>
              <w:spacing w:line="360" w:lineRule="auto"/>
              <w:jc w:val="center"/>
              <w:rPr>
                <w:rFonts w:ascii="宋体" w:hAnsi="宋体" w:cs="宋体"/>
                <w:color w:val="auto"/>
                <w:kern w:val="0"/>
                <w:sz w:val="24"/>
                <w:highlight w:val="none"/>
              </w:rPr>
            </w:pPr>
          </w:p>
        </w:tc>
        <w:tc>
          <w:tcPr>
            <w:tcW w:w="1984" w:type="dxa"/>
          </w:tcPr>
          <w:p w14:paraId="156D2972">
            <w:pPr>
              <w:shd w:val="clear" w:fill="FFFFFF" w:themeFill="background1"/>
              <w:spacing w:line="360" w:lineRule="auto"/>
              <w:jc w:val="center"/>
              <w:rPr>
                <w:rFonts w:ascii="宋体" w:hAnsi="宋体" w:cs="宋体"/>
                <w:color w:val="auto"/>
                <w:kern w:val="0"/>
                <w:sz w:val="24"/>
                <w:highlight w:val="none"/>
              </w:rPr>
            </w:pPr>
          </w:p>
        </w:tc>
        <w:tc>
          <w:tcPr>
            <w:tcW w:w="2126" w:type="dxa"/>
          </w:tcPr>
          <w:p w14:paraId="74F8F08D">
            <w:pPr>
              <w:shd w:val="clear" w:fill="FFFFFF" w:themeFill="background1"/>
              <w:spacing w:line="360" w:lineRule="auto"/>
              <w:jc w:val="center"/>
              <w:rPr>
                <w:rFonts w:ascii="宋体" w:hAnsi="宋体" w:cs="宋体"/>
                <w:color w:val="auto"/>
                <w:kern w:val="0"/>
                <w:sz w:val="24"/>
                <w:highlight w:val="none"/>
              </w:rPr>
            </w:pPr>
          </w:p>
        </w:tc>
        <w:tc>
          <w:tcPr>
            <w:tcW w:w="1463" w:type="dxa"/>
          </w:tcPr>
          <w:p w14:paraId="28C962A7">
            <w:pPr>
              <w:shd w:val="clear" w:fill="FFFFFF" w:themeFill="background1"/>
              <w:spacing w:line="360" w:lineRule="auto"/>
              <w:jc w:val="center"/>
              <w:rPr>
                <w:rFonts w:ascii="宋体" w:hAnsi="宋体" w:cs="宋体"/>
                <w:color w:val="auto"/>
                <w:kern w:val="0"/>
                <w:sz w:val="24"/>
                <w:highlight w:val="none"/>
              </w:rPr>
            </w:pPr>
          </w:p>
        </w:tc>
      </w:tr>
      <w:tr w14:paraId="12A0E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20316CDC">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1701" w:type="dxa"/>
          </w:tcPr>
          <w:p w14:paraId="06676C1C">
            <w:pPr>
              <w:shd w:val="clear" w:fill="FFFFFF" w:themeFill="background1"/>
              <w:spacing w:line="360" w:lineRule="auto"/>
              <w:jc w:val="center"/>
              <w:rPr>
                <w:rFonts w:ascii="宋体" w:hAnsi="宋体" w:cs="宋体"/>
                <w:color w:val="auto"/>
                <w:kern w:val="0"/>
                <w:sz w:val="24"/>
                <w:highlight w:val="none"/>
              </w:rPr>
            </w:pPr>
          </w:p>
        </w:tc>
        <w:tc>
          <w:tcPr>
            <w:tcW w:w="1843" w:type="dxa"/>
          </w:tcPr>
          <w:p w14:paraId="325DBDB3">
            <w:pPr>
              <w:shd w:val="clear" w:fill="FFFFFF" w:themeFill="background1"/>
              <w:spacing w:line="360" w:lineRule="auto"/>
              <w:jc w:val="center"/>
              <w:rPr>
                <w:rFonts w:ascii="宋体" w:hAnsi="宋体" w:cs="宋体"/>
                <w:color w:val="auto"/>
                <w:kern w:val="0"/>
                <w:sz w:val="24"/>
                <w:highlight w:val="none"/>
              </w:rPr>
            </w:pPr>
          </w:p>
        </w:tc>
        <w:tc>
          <w:tcPr>
            <w:tcW w:w="1984" w:type="dxa"/>
          </w:tcPr>
          <w:p w14:paraId="3AE4618B">
            <w:pPr>
              <w:shd w:val="clear" w:fill="FFFFFF" w:themeFill="background1"/>
              <w:spacing w:line="360" w:lineRule="auto"/>
              <w:jc w:val="center"/>
              <w:rPr>
                <w:rFonts w:ascii="宋体" w:hAnsi="宋体" w:cs="宋体"/>
                <w:color w:val="auto"/>
                <w:kern w:val="0"/>
                <w:sz w:val="24"/>
                <w:highlight w:val="none"/>
              </w:rPr>
            </w:pPr>
          </w:p>
        </w:tc>
        <w:tc>
          <w:tcPr>
            <w:tcW w:w="2126" w:type="dxa"/>
          </w:tcPr>
          <w:p w14:paraId="6383D3BF">
            <w:pPr>
              <w:shd w:val="clear" w:fill="FFFFFF" w:themeFill="background1"/>
              <w:spacing w:line="360" w:lineRule="auto"/>
              <w:jc w:val="center"/>
              <w:rPr>
                <w:rFonts w:ascii="宋体" w:hAnsi="宋体" w:cs="宋体"/>
                <w:color w:val="auto"/>
                <w:kern w:val="0"/>
                <w:sz w:val="24"/>
                <w:highlight w:val="none"/>
              </w:rPr>
            </w:pPr>
          </w:p>
        </w:tc>
        <w:tc>
          <w:tcPr>
            <w:tcW w:w="1463" w:type="dxa"/>
          </w:tcPr>
          <w:p w14:paraId="626ED7A7">
            <w:pPr>
              <w:shd w:val="clear" w:fill="FFFFFF" w:themeFill="background1"/>
              <w:spacing w:line="360" w:lineRule="auto"/>
              <w:jc w:val="center"/>
              <w:rPr>
                <w:rFonts w:ascii="宋体" w:hAnsi="宋体" w:cs="宋体"/>
                <w:color w:val="auto"/>
                <w:kern w:val="0"/>
                <w:sz w:val="24"/>
                <w:highlight w:val="none"/>
              </w:rPr>
            </w:pPr>
          </w:p>
        </w:tc>
      </w:tr>
      <w:tr w14:paraId="30E5E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4479D810">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1701" w:type="dxa"/>
          </w:tcPr>
          <w:p w14:paraId="5ED13B6D">
            <w:pPr>
              <w:shd w:val="clear" w:fill="FFFFFF" w:themeFill="background1"/>
              <w:spacing w:line="360" w:lineRule="auto"/>
              <w:jc w:val="center"/>
              <w:rPr>
                <w:rFonts w:ascii="宋体" w:hAnsi="宋体" w:cs="宋体"/>
                <w:color w:val="auto"/>
                <w:kern w:val="0"/>
                <w:sz w:val="24"/>
                <w:highlight w:val="none"/>
              </w:rPr>
            </w:pPr>
          </w:p>
        </w:tc>
        <w:tc>
          <w:tcPr>
            <w:tcW w:w="1843" w:type="dxa"/>
          </w:tcPr>
          <w:p w14:paraId="35032CBD">
            <w:pPr>
              <w:shd w:val="clear" w:fill="FFFFFF" w:themeFill="background1"/>
              <w:spacing w:line="360" w:lineRule="auto"/>
              <w:jc w:val="center"/>
              <w:rPr>
                <w:rFonts w:ascii="宋体" w:hAnsi="宋体" w:cs="宋体"/>
                <w:color w:val="auto"/>
                <w:kern w:val="0"/>
                <w:sz w:val="24"/>
                <w:highlight w:val="none"/>
              </w:rPr>
            </w:pPr>
          </w:p>
        </w:tc>
        <w:tc>
          <w:tcPr>
            <w:tcW w:w="1984" w:type="dxa"/>
          </w:tcPr>
          <w:p w14:paraId="0DCD6542">
            <w:pPr>
              <w:shd w:val="clear" w:fill="FFFFFF" w:themeFill="background1"/>
              <w:spacing w:line="360" w:lineRule="auto"/>
              <w:jc w:val="center"/>
              <w:rPr>
                <w:rFonts w:ascii="宋体" w:hAnsi="宋体" w:cs="宋体"/>
                <w:color w:val="auto"/>
                <w:kern w:val="0"/>
                <w:sz w:val="24"/>
                <w:highlight w:val="none"/>
              </w:rPr>
            </w:pPr>
          </w:p>
        </w:tc>
        <w:tc>
          <w:tcPr>
            <w:tcW w:w="2126" w:type="dxa"/>
          </w:tcPr>
          <w:p w14:paraId="500044E1">
            <w:pPr>
              <w:shd w:val="clear" w:fill="FFFFFF" w:themeFill="background1"/>
              <w:spacing w:line="360" w:lineRule="auto"/>
              <w:jc w:val="center"/>
              <w:rPr>
                <w:rFonts w:ascii="宋体" w:hAnsi="宋体" w:cs="宋体"/>
                <w:color w:val="auto"/>
                <w:kern w:val="0"/>
                <w:sz w:val="24"/>
                <w:highlight w:val="none"/>
              </w:rPr>
            </w:pPr>
          </w:p>
        </w:tc>
        <w:tc>
          <w:tcPr>
            <w:tcW w:w="1463" w:type="dxa"/>
          </w:tcPr>
          <w:p w14:paraId="196710F9">
            <w:pPr>
              <w:shd w:val="clear" w:fill="FFFFFF" w:themeFill="background1"/>
              <w:spacing w:line="360" w:lineRule="auto"/>
              <w:jc w:val="center"/>
              <w:rPr>
                <w:rFonts w:ascii="宋体" w:hAnsi="宋体" w:cs="宋体"/>
                <w:color w:val="auto"/>
                <w:kern w:val="0"/>
                <w:sz w:val="24"/>
                <w:highlight w:val="none"/>
              </w:rPr>
            </w:pPr>
          </w:p>
        </w:tc>
      </w:tr>
      <w:tr w14:paraId="1B6609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6082BCFD">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1701" w:type="dxa"/>
          </w:tcPr>
          <w:p w14:paraId="6AB0509A">
            <w:pPr>
              <w:shd w:val="clear" w:fill="FFFFFF" w:themeFill="background1"/>
              <w:spacing w:line="360" w:lineRule="auto"/>
              <w:jc w:val="center"/>
              <w:rPr>
                <w:rFonts w:ascii="宋体" w:hAnsi="宋体" w:cs="宋体"/>
                <w:color w:val="auto"/>
                <w:kern w:val="0"/>
                <w:sz w:val="24"/>
                <w:highlight w:val="none"/>
              </w:rPr>
            </w:pPr>
          </w:p>
        </w:tc>
        <w:tc>
          <w:tcPr>
            <w:tcW w:w="1843" w:type="dxa"/>
          </w:tcPr>
          <w:p w14:paraId="5BB1A51D">
            <w:pPr>
              <w:shd w:val="clear" w:fill="FFFFFF" w:themeFill="background1"/>
              <w:spacing w:line="360" w:lineRule="auto"/>
              <w:jc w:val="center"/>
              <w:rPr>
                <w:rFonts w:ascii="宋体" w:hAnsi="宋体" w:cs="宋体"/>
                <w:color w:val="auto"/>
                <w:kern w:val="0"/>
                <w:sz w:val="24"/>
                <w:highlight w:val="none"/>
              </w:rPr>
            </w:pPr>
          </w:p>
        </w:tc>
        <w:tc>
          <w:tcPr>
            <w:tcW w:w="1984" w:type="dxa"/>
          </w:tcPr>
          <w:p w14:paraId="5DEE63B5">
            <w:pPr>
              <w:shd w:val="clear" w:fill="FFFFFF" w:themeFill="background1"/>
              <w:spacing w:line="360" w:lineRule="auto"/>
              <w:jc w:val="center"/>
              <w:rPr>
                <w:rFonts w:ascii="宋体" w:hAnsi="宋体" w:cs="宋体"/>
                <w:color w:val="auto"/>
                <w:kern w:val="0"/>
                <w:sz w:val="24"/>
                <w:highlight w:val="none"/>
              </w:rPr>
            </w:pPr>
          </w:p>
        </w:tc>
        <w:tc>
          <w:tcPr>
            <w:tcW w:w="2126" w:type="dxa"/>
          </w:tcPr>
          <w:p w14:paraId="30091349">
            <w:pPr>
              <w:shd w:val="clear" w:fill="FFFFFF" w:themeFill="background1"/>
              <w:spacing w:line="360" w:lineRule="auto"/>
              <w:jc w:val="center"/>
              <w:rPr>
                <w:rFonts w:ascii="宋体" w:hAnsi="宋体" w:cs="宋体"/>
                <w:color w:val="auto"/>
                <w:kern w:val="0"/>
                <w:sz w:val="24"/>
                <w:highlight w:val="none"/>
              </w:rPr>
            </w:pPr>
          </w:p>
        </w:tc>
        <w:tc>
          <w:tcPr>
            <w:tcW w:w="1463" w:type="dxa"/>
          </w:tcPr>
          <w:p w14:paraId="2F4B680C">
            <w:pPr>
              <w:shd w:val="clear" w:fill="FFFFFF" w:themeFill="background1"/>
              <w:spacing w:line="360" w:lineRule="auto"/>
              <w:jc w:val="center"/>
              <w:rPr>
                <w:rFonts w:ascii="宋体" w:hAnsi="宋体" w:cs="宋体"/>
                <w:color w:val="auto"/>
                <w:kern w:val="0"/>
                <w:sz w:val="24"/>
                <w:highlight w:val="none"/>
              </w:rPr>
            </w:pPr>
          </w:p>
        </w:tc>
      </w:tr>
      <w:tr w14:paraId="45CC8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4AAF49FB">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1701" w:type="dxa"/>
          </w:tcPr>
          <w:p w14:paraId="3CE65B12">
            <w:pPr>
              <w:shd w:val="clear" w:fill="FFFFFF" w:themeFill="background1"/>
              <w:spacing w:line="360" w:lineRule="auto"/>
              <w:jc w:val="center"/>
              <w:rPr>
                <w:rFonts w:ascii="宋体" w:hAnsi="宋体" w:cs="宋体"/>
                <w:color w:val="auto"/>
                <w:kern w:val="0"/>
                <w:sz w:val="24"/>
                <w:highlight w:val="none"/>
              </w:rPr>
            </w:pPr>
          </w:p>
        </w:tc>
        <w:tc>
          <w:tcPr>
            <w:tcW w:w="1843" w:type="dxa"/>
          </w:tcPr>
          <w:p w14:paraId="3BD7B342">
            <w:pPr>
              <w:shd w:val="clear" w:fill="FFFFFF" w:themeFill="background1"/>
              <w:spacing w:line="360" w:lineRule="auto"/>
              <w:jc w:val="center"/>
              <w:rPr>
                <w:rFonts w:ascii="宋体" w:hAnsi="宋体" w:cs="宋体"/>
                <w:color w:val="auto"/>
                <w:kern w:val="0"/>
                <w:sz w:val="24"/>
                <w:highlight w:val="none"/>
              </w:rPr>
            </w:pPr>
          </w:p>
        </w:tc>
        <w:tc>
          <w:tcPr>
            <w:tcW w:w="1984" w:type="dxa"/>
          </w:tcPr>
          <w:p w14:paraId="0B303458">
            <w:pPr>
              <w:shd w:val="clear" w:fill="FFFFFF" w:themeFill="background1"/>
              <w:spacing w:line="360" w:lineRule="auto"/>
              <w:jc w:val="center"/>
              <w:rPr>
                <w:rFonts w:ascii="宋体" w:hAnsi="宋体" w:cs="宋体"/>
                <w:color w:val="auto"/>
                <w:kern w:val="0"/>
                <w:sz w:val="24"/>
                <w:highlight w:val="none"/>
              </w:rPr>
            </w:pPr>
          </w:p>
        </w:tc>
        <w:tc>
          <w:tcPr>
            <w:tcW w:w="2126" w:type="dxa"/>
          </w:tcPr>
          <w:p w14:paraId="0D4D0E54">
            <w:pPr>
              <w:shd w:val="clear" w:fill="FFFFFF" w:themeFill="background1"/>
              <w:spacing w:line="360" w:lineRule="auto"/>
              <w:jc w:val="center"/>
              <w:rPr>
                <w:rFonts w:ascii="宋体" w:hAnsi="宋体" w:cs="宋体"/>
                <w:color w:val="auto"/>
                <w:kern w:val="0"/>
                <w:sz w:val="24"/>
                <w:highlight w:val="none"/>
              </w:rPr>
            </w:pPr>
          </w:p>
        </w:tc>
        <w:tc>
          <w:tcPr>
            <w:tcW w:w="1463" w:type="dxa"/>
          </w:tcPr>
          <w:p w14:paraId="18A53FCC">
            <w:pPr>
              <w:shd w:val="clear" w:fill="FFFFFF" w:themeFill="background1"/>
              <w:spacing w:line="360" w:lineRule="auto"/>
              <w:jc w:val="center"/>
              <w:rPr>
                <w:rFonts w:ascii="宋体" w:hAnsi="宋体" w:cs="宋体"/>
                <w:color w:val="auto"/>
                <w:kern w:val="0"/>
                <w:sz w:val="24"/>
                <w:highlight w:val="none"/>
              </w:rPr>
            </w:pPr>
          </w:p>
        </w:tc>
      </w:tr>
      <w:tr w14:paraId="1A147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41690BEC">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1701" w:type="dxa"/>
          </w:tcPr>
          <w:p w14:paraId="79CA48C3">
            <w:pPr>
              <w:shd w:val="clear" w:fill="FFFFFF" w:themeFill="background1"/>
              <w:spacing w:line="360" w:lineRule="auto"/>
              <w:jc w:val="center"/>
              <w:rPr>
                <w:rFonts w:ascii="宋体" w:hAnsi="宋体" w:cs="宋体"/>
                <w:color w:val="auto"/>
                <w:kern w:val="0"/>
                <w:sz w:val="24"/>
                <w:highlight w:val="none"/>
              </w:rPr>
            </w:pPr>
          </w:p>
        </w:tc>
        <w:tc>
          <w:tcPr>
            <w:tcW w:w="1843" w:type="dxa"/>
          </w:tcPr>
          <w:p w14:paraId="5602BDF5">
            <w:pPr>
              <w:shd w:val="clear" w:fill="FFFFFF" w:themeFill="background1"/>
              <w:spacing w:line="360" w:lineRule="auto"/>
              <w:jc w:val="center"/>
              <w:rPr>
                <w:rFonts w:ascii="宋体" w:hAnsi="宋体" w:cs="宋体"/>
                <w:color w:val="auto"/>
                <w:kern w:val="0"/>
                <w:sz w:val="24"/>
                <w:highlight w:val="none"/>
              </w:rPr>
            </w:pPr>
          </w:p>
        </w:tc>
        <w:tc>
          <w:tcPr>
            <w:tcW w:w="1984" w:type="dxa"/>
          </w:tcPr>
          <w:p w14:paraId="3EB587D8">
            <w:pPr>
              <w:shd w:val="clear" w:fill="FFFFFF" w:themeFill="background1"/>
              <w:spacing w:line="360" w:lineRule="auto"/>
              <w:jc w:val="center"/>
              <w:rPr>
                <w:rFonts w:ascii="宋体" w:hAnsi="宋体" w:cs="宋体"/>
                <w:color w:val="auto"/>
                <w:kern w:val="0"/>
                <w:sz w:val="24"/>
                <w:highlight w:val="none"/>
              </w:rPr>
            </w:pPr>
          </w:p>
        </w:tc>
        <w:tc>
          <w:tcPr>
            <w:tcW w:w="2126" w:type="dxa"/>
          </w:tcPr>
          <w:p w14:paraId="79FFEB4D">
            <w:pPr>
              <w:shd w:val="clear" w:fill="FFFFFF" w:themeFill="background1"/>
              <w:spacing w:line="360" w:lineRule="auto"/>
              <w:jc w:val="center"/>
              <w:rPr>
                <w:rFonts w:ascii="宋体" w:hAnsi="宋体" w:cs="宋体"/>
                <w:color w:val="auto"/>
                <w:kern w:val="0"/>
                <w:sz w:val="24"/>
                <w:highlight w:val="none"/>
              </w:rPr>
            </w:pPr>
          </w:p>
        </w:tc>
        <w:tc>
          <w:tcPr>
            <w:tcW w:w="1463" w:type="dxa"/>
          </w:tcPr>
          <w:p w14:paraId="2246CF92">
            <w:pPr>
              <w:shd w:val="clear" w:fill="FFFFFF" w:themeFill="background1"/>
              <w:spacing w:line="360" w:lineRule="auto"/>
              <w:jc w:val="center"/>
              <w:rPr>
                <w:rFonts w:ascii="宋体" w:hAnsi="宋体" w:cs="宋体"/>
                <w:color w:val="auto"/>
                <w:kern w:val="0"/>
                <w:sz w:val="24"/>
                <w:highlight w:val="none"/>
              </w:rPr>
            </w:pPr>
          </w:p>
        </w:tc>
      </w:tr>
      <w:tr w14:paraId="6061D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6FB528FE">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1701" w:type="dxa"/>
          </w:tcPr>
          <w:p w14:paraId="1284F50E">
            <w:pPr>
              <w:shd w:val="clear" w:fill="FFFFFF" w:themeFill="background1"/>
              <w:spacing w:line="360" w:lineRule="auto"/>
              <w:jc w:val="center"/>
              <w:rPr>
                <w:rFonts w:ascii="宋体" w:hAnsi="宋体" w:cs="宋体"/>
                <w:color w:val="auto"/>
                <w:kern w:val="0"/>
                <w:sz w:val="24"/>
                <w:highlight w:val="none"/>
              </w:rPr>
            </w:pPr>
          </w:p>
        </w:tc>
        <w:tc>
          <w:tcPr>
            <w:tcW w:w="1843" w:type="dxa"/>
          </w:tcPr>
          <w:p w14:paraId="4F525E8F">
            <w:pPr>
              <w:shd w:val="clear" w:fill="FFFFFF" w:themeFill="background1"/>
              <w:spacing w:line="360" w:lineRule="auto"/>
              <w:jc w:val="center"/>
              <w:rPr>
                <w:rFonts w:ascii="宋体" w:hAnsi="宋体" w:cs="宋体"/>
                <w:color w:val="auto"/>
                <w:kern w:val="0"/>
                <w:sz w:val="24"/>
                <w:highlight w:val="none"/>
              </w:rPr>
            </w:pPr>
          </w:p>
        </w:tc>
        <w:tc>
          <w:tcPr>
            <w:tcW w:w="1984" w:type="dxa"/>
          </w:tcPr>
          <w:p w14:paraId="15FF41B4">
            <w:pPr>
              <w:shd w:val="clear" w:fill="FFFFFF" w:themeFill="background1"/>
              <w:spacing w:line="360" w:lineRule="auto"/>
              <w:jc w:val="center"/>
              <w:rPr>
                <w:rFonts w:ascii="宋体" w:hAnsi="宋体" w:cs="宋体"/>
                <w:color w:val="auto"/>
                <w:kern w:val="0"/>
                <w:sz w:val="24"/>
                <w:highlight w:val="none"/>
              </w:rPr>
            </w:pPr>
          </w:p>
        </w:tc>
        <w:tc>
          <w:tcPr>
            <w:tcW w:w="2126" w:type="dxa"/>
          </w:tcPr>
          <w:p w14:paraId="395C87FA">
            <w:pPr>
              <w:shd w:val="clear" w:fill="FFFFFF" w:themeFill="background1"/>
              <w:spacing w:line="360" w:lineRule="auto"/>
              <w:jc w:val="center"/>
              <w:rPr>
                <w:rFonts w:ascii="宋体" w:hAnsi="宋体" w:cs="宋体"/>
                <w:color w:val="auto"/>
                <w:kern w:val="0"/>
                <w:sz w:val="24"/>
                <w:highlight w:val="none"/>
              </w:rPr>
            </w:pPr>
          </w:p>
        </w:tc>
        <w:tc>
          <w:tcPr>
            <w:tcW w:w="1463" w:type="dxa"/>
          </w:tcPr>
          <w:p w14:paraId="01E6CACC">
            <w:pPr>
              <w:shd w:val="clear" w:fill="FFFFFF" w:themeFill="background1"/>
              <w:spacing w:line="360" w:lineRule="auto"/>
              <w:jc w:val="center"/>
              <w:rPr>
                <w:rFonts w:ascii="宋体" w:hAnsi="宋体" w:cs="宋体"/>
                <w:color w:val="auto"/>
                <w:kern w:val="0"/>
                <w:sz w:val="24"/>
                <w:highlight w:val="none"/>
              </w:rPr>
            </w:pPr>
          </w:p>
        </w:tc>
      </w:tr>
      <w:tr w14:paraId="64175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17" w:type="dxa"/>
            <w:vAlign w:val="center"/>
          </w:tcPr>
          <w:p w14:paraId="34E2D33E">
            <w:pPr>
              <w:shd w:val="clear" w:fill="FFFFFF" w:themeFill="background1"/>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1701" w:type="dxa"/>
          </w:tcPr>
          <w:p w14:paraId="17502173">
            <w:pPr>
              <w:shd w:val="clear" w:fill="FFFFFF" w:themeFill="background1"/>
              <w:spacing w:line="360" w:lineRule="auto"/>
              <w:jc w:val="center"/>
              <w:rPr>
                <w:rFonts w:ascii="宋体" w:hAnsi="宋体" w:cs="宋体"/>
                <w:color w:val="auto"/>
                <w:kern w:val="0"/>
                <w:sz w:val="24"/>
                <w:highlight w:val="none"/>
              </w:rPr>
            </w:pPr>
          </w:p>
        </w:tc>
        <w:tc>
          <w:tcPr>
            <w:tcW w:w="1843" w:type="dxa"/>
          </w:tcPr>
          <w:p w14:paraId="43CFDE58">
            <w:pPr>
              <w:shd w:val="clear" w:fill="FFFFFF" w:themeFill="background1"/>
              <w:spacing w:line="360" w:lineRule="auto"/>
              <w:jc w:val="center"/>
              <w:rPr>
                <w:rFonts w:ascii="宋体" w:hAnsi="宋体" w:cs="宋体"/>
                <w:color w:val="auto"/>
                <w:kern w:val="0"/>
                <w:sz w:val="24"/>
                <w:highlight w:val="none"/>
              </w:rPr>
            </w:pPr>
          </w:p>
        </w:tc>
        <w:tc>
          <w:tcPr>
            <w:tcW w:w="1984" w:type="dxa"/>
          </w:tcPr>
          <w:p w14:paraId="267E29CF">
            <w:pPr>
              <w:shd w:val="clear" w:fill="FFFFFF" w:themeFill="background1"/>
              <w:spacing w:line="360" w:lineRule="auto"/>
              <w:jc w:val="center"/>
              <w:rPr>
                <w:rFonts w:ascii="宋体" w:hAnsi="宋体" w:cs="宋体"/>
                <w:color w:val="auto"/>
                <w:kern w:val="0"/>
                <w:sz w:val="24"/>
                <w:highlight w:val="none"/>
              </w:rPr>
            </w:pPr>
          </w:p>
        </w:tc>
        <w:tc>
          <w:tcPr>
            <w:tcW w:w="2126" w:type="dxa"/>
          </w:tcPr>
          <w:p w14:paraId="5BAF252D">
            <w:pPr>
              <w:shd w:val="clear" w:fill="FFFFFF" w:themeFill="background1"/>
              <w:spacing w:line="360" w:lineRule="auto"/>
              <w:jc w:val="center"/>
              <w:rPr>
                <w:rFonts w:ascii="宋体" w:hAnsi="宋体" w:cs="宋体"/>
                <w:color w:val="auto"/>
                <w:kern w:val="0"/>
                <w:sz w:val="24"/>
                <w:highlight w:val="none"/>
              </w:rPr>
            </w:pPr>
          </w:p>
        </w:tc>
        <w:tc>
          <w:tcPr>
            <w:tcW w:w="1463" w:type="dxa"/>
          </w:tcPr>
          <w:p w14:paraId="7B0CA955">
            <w:pPr>
              <w:shd w:val="clear" w:fill="FFFFFF" w:themeFill="background1"/>
              <w:spacing w:line="360" w:lineRule="auto"/>
              <w:jc w:val="center"/>
              <w:rPr>
                <w:rFonts w:ascii="宋体" w:hAnsi="宋体" w:cs="宋体"/>
                <w:color w:val="auto"/>
                <w:kern w:val="0"/>
                <w:sz w:val="24"/>
                <w:highlight w:val="none"/>
              </w:rPr>
            </w:pPr>
          </w:p>
        </w:tc>
      </w:tr>
    </w:tbl>
    <w:p w14:paraId="22BF0BB7">
      <w:pPr>
        <w:shd w:val="clear" w:fill="FFFFFF" w:themeFill="background1"/>
        <w:spacing w:line="360" w:lineRule="auto"/>
        <w:jc w:val="left"/>
        <w:rPr>
          <w:rFonts w:ascii="宋体" w:hAnsi="宋体" w:cs="宋体"/>
          <w:color w:val="auto"/>
          <w:kern w:val="0"/>
          <w:sz w:val="24"/>
          <w:highlight w:val="none"/>
        </w:rPr>
        <w:sectPr>
          <w:pgSz w:w="11906" w:h="16838"/>
          <w:pgMar w:top="1134" w:right="1134" w:bottom="1134" w:left="1134" w:header="851" w:footer="992" w:gutter="0"/>
          <w:cols w:space="720" w:num="1"/>
          <w:docGrid w:type="lines" w:linePitch="312" w:charSpace="0"/>
        </w:sectPr>
      </w:pPr>
      <w:r>
        <w:rPr>
          <w:rFonts w:hint="eastAsia" w:ascii="宋体" w:hAnsi="宋体" w:cs="宋体"/>
          <w:color w:val="auto"/>
          <w:kern w:val="0"/>
          <w:sz w:val="24"/>
          <w:highlight w:val="none"/>
        </w:rPr>
        <w:t>备注：应如实填报信用评价等级使用情况。</w:t>
      </w:r>
    </w:p>
    <w:p w14:paraId="676685E7">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八-2、投标人的自评分表</w:t>
      </w:r>
    </w:p>
    <w:p w14:paraId="4EC19DFA">
      <w:pPr>
        <w:pStyle w:val="59"/>
        <w:shd w:val="clear" w:fill="FFFFFF" w:themeFill="background1"/>
        <w:jc w:val="center"/>
        <w:rPr>
          <w:rFonts w:ascii="宋体" w:hAnsi="宋体" w:cs="宋体"/>
          <w:b/>
          <w:bCs/>
          <w:color w:val="auto"/>
          <w:highlight w:val="none"/>
        </w:rPr>
      </w:pPr>
    </w:p>
    <w:p w14:paraId="77A3D1E0">
      <w:pPr>
        <w:pStyle w:val="59"/>
        <w:shd w:val="clear" w:fill="FFFFFF" w:themeFill="background1"/>
        <w:jc w:val="center"/>
        <w:rPr>
          <w:rFonts w:ascii="宋体" w:hAnsi="宋体" w:cs="宋体"/>
          <w:b/>
          <w:bCs/>
          <w:color w:val="auto"/>
          <w:highlight w:val="none"/>
        </w:rPr>
      </w:pPr>
    </w:p>
    <w:tbl>
      <w:tblPr>
        <w:tblStyle w:val="46"/>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1748"/>
        <w:gridCol w:w="1408"/>
        <w:gridCol w:w="1408"/>
        <w:gridCol w:w="1408"/>
        <w:gridCol w:w="1408"/>
        <w:gridCol w:w="1408"/>
      </w:tblGrid>
      <w:tr w14:paraId="2B51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066" w:type="dxa"/>
            <w:vAlign w:val="center"/>
          </w:tcPr>
          <w:p w14:paraId="52BB0BD5">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序号</w:t>
            </w:r>
          </w:p>
        </w:tc>
        <w:tc>
          <w:tcPr>
            <w:tcW w:w="1748" w:type="dxa"/>
            <w:vAlign w:val="center"/>
          </w:tcPr>
          <w:p w14:paraId="631DACE8">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评分因素</w:t>
            </w:r>
          </w:p>
        </w:tc>
        <w:tc>
          <w:tcPr>
            <w:tcW w:w="1408" w:type="dxa"/>
            <w:vAlign w:val="center"/>
          </w:tcPr>
          <w:p w14:paraId="52517CE1">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满分</w:t>
            </w:r>
          </w:p>
        </w:tc>
        <w:tc>
          <w:tcPr>
            <w:tcW w:w="1408" w:type="dxa"/>
            <w:vAlign w:val="center"/>
          </w:tcPr>
          <w:p w14:paraId="15E27EE1">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评分标准</w:t>
            </w:r>
          </w:p>
        </w:tc>
        <w:tc>
          <w:tcPr>
            <w:tcW w:w="1408" w:type="dxa"/>
            <w:vAlign w:val="center"/>
          </w:tcPr>
          <w:p w14:paraId="34976185">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自评分</w:t>
            </w:r>
          </w:p>
        </w:tc>
        <w:tc>
          <w:tcPr>
            <w:tcW w:w="1408" w:type="dxa"/>
            <w:vAlign w:val="center"/>
          </w:tcPr>
          <w:p w14:paraId="02F6A216">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评分情况</w:t>
            </w:r>
          </w:p>
          <w:p w14:paraId="3EE0B616">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说明</w:t>
            </w:r>
          </w:p>
        </w:tc>
        <w:tc>
          <w:tcPr>
            <w:tcW w:w="1408" w:type="dxa"/>
            <w:vAlign w:val="center"/>
          </w:tcPr>
          <w:p w14:paraId="5425E120">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页码索引</w:t>
            </w:r>
          </w:p>
        </w:tc>
      </w:tr>
      <w:tr w14:paraId="59F8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4E3176F3">
            <w:pPr>
              <w:pStyle w:val="59"/>
              <w:shd w:val="clear" w:fill="FFFFFF" w:themeFill="background1"/>
              <w:jc w:val="center"/>
              <w:rPr>
                <w:rFonts w:ascii="宋体" w:hAnsi="宋体" w:cs="宋体"/>
                <w:b/>
                <w:bCs/>
                <w:color w:val="auto"/>
                <w:highlight w:val="none"/>
              </w:rPr>
            </w:pPr>
          </w:p>
        </w:tc>
        <w:tc>
          <w:tcPr>
            <w:tcW w:w="1748" w:type="dxa"/>
          </w:tcPr>
          <w:p w14:paraId="1BC715B9">
            <w:pPr>
              <w:pStyle w:val="59"/>
              <w:shd w:val="clear" w:fill="FFFFFF" w:themeFill="background1"/>
              <w:jc w:val="center"/>
              <w:rPr>
                <w:rFonts w:ascii="宋体" w:hAnsi="宋体" w:cs="宋体"/>
                <w:b/>
                <w:bCs/>
                <w:color w:val="auto"/>
                <w:highlight w:val="none"/>
              </w:rPr>
            </w:pPr>
          </w:p>
        </w:tc>
        <w:tc>
          <w:tcPr>
            <w:tcW w:w="1408" w:type="dxa"/>
          </w:tcPr>
          <w:p w14:paraId="4A98C038">
            <w:pPr>
              <w:pStyle w:val="59"/>
              <w:shd w:val="clear" w:fill="FFFFFF" w:themeFill="background1"/>
              <w:jc w:val="center"/>
              <w:rPr>
                <w:rFonts w:ascii="宋体" w:hAnsi="宋体" w:cs="宋体"/>
                <w:b/>
                <w:bCs/>
                <w:color w:val="auto"/>
                <w:highlight w:val="none"/>
              </w:rPr>
            </w:pPr>
          </w:p>
        </w:tc>
        <w:tc>
          <w:tcPr>
            <w:tcW w:w="1408" w:type="dxa"/>
          </w:tcPr>
          <w:p w14:paraId="41DA4B79">
            <w:pPr>
              <w:pStyle w:val="59"/>
              <w:shd w:val="clear" w:fill="FFFFFF" w:themeFill="background1"/>
              <w:jc w:val="center"/>
              <w:rPr>
                <w:rFonts w:ascii="宋体" w:hAnsi="宋体" w:cs="宋体"/>
                <w:b/>
                <w:bCs/>
                <w:color w:val="auto"/>
                <w:highlight w:val="none"/>
              </w:rPr>
            </w:pPr>
          </w:p>
        </w:tc>
        <w:tc>
          <w:tcPr>
            <w:tcW w:w="1408" w:type="dxa"/>
          </w:tcPr>
          <w:p w14:paraId="0A5218CE">
            <w:pPr>
              <w:pStyle w:val="59"/>
              <w:shd w:val="clear" w:fill="FFFFFF" w:themeFill="background1"/>
              <w:jc w:val="center"/>
              <w:rPr>
                <w:rFonts w:ascii="宋体" w:hAnsi="宋体" w:cs="宋体"/>
                <w:b/>
                <w:bCs/>
                <w:color w:val="auto"/>
                <w:highlight w:val="none"/>
              </w:rPr>
            </w:pPr>
          </w:p>
        </w:tc>
        <w:tc>
          <w:tcPr>
            <w:tcW w:w="1408" w:type="dxa"/>
          </w:tcPr>
          <w:p w14:paraId="27D55342">
            <w:pPr>
              <w:pStyle w:val="59"/>
              <w:shd w:val="clear" w:fill="FFFFFF" w:themeFill="background1"/>
              <w:jc w:val="center"/>
              <w:rPr>
                <w:rFonts w:ascii="宋体" w:hAnsi="宋体" w:cs="宋体"/>
                <w:b/>
                <w:bCs/>
                <w:color w:val="auto"/>
                <w:highlight w:val="none"/>
              </w:rPr>
            </w:pPr>
          </w:p>
        </w:tc>
        <w:tc>
          <w:tcPr>
            <w:tcW w:w="1408" w:type="dxa"/>
          </w:tcPr>
          <w:p w14:paraId="74372BD4">
            <w:pPr>
              <w:pStyle w:val="59"/>
              <w:shd w:val="clear" w:fill="FFFFFF" w:themeFill="background1"/>
              <w:jc w:val="center"/>
              <w:rPr>
                <w:rFonts w:ascii="宋体" w:hAnsi="宋体" w:cs="宋体"/>
                <w:b/>
                <w:bCs/>
                <w:color w:val="auto"/>
                <w:highlight w:val="none"/>
              </w:rPr>
            </w:pPr>
          </w:p>
        </w:tc>
      </w:tr>
      <w:tr w14:paraId="3001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57B530EC">
            <w:pPr>
              <w:pStyle w:val="59"/>
              <w:shd w:val="clear" w:fill="FFFFFF" w:themeFill="background1"/>
              <w:jc w:val="center"/>
              <w:rPr>
                <w:rFonts w:ascii="宋体" w:hAnsi="宋体" w:cs="宋体"/>
                <w:b/>
                <w:bCs/>
                <w:color w:val="auto"/>
                <w:highlight w:val="none"/>
              </w:rPr>
            </w:pPr>
          </w:p>
        </w:tc>
        <w:tc>
          <w:tcPr>
            <w:tcW w:w="1748" w:type="dxa"/>
          </w:tcPr>
          <w:p w14:paraId="0D705BF7">
            <w:pPr>
              <w:pStyle w:val="59"/>
              <w:shd w:val="clear" w:fill="FFFFFF" w:themeFill="background1"/>
              <w:jc w:val="center"/>
              <w:rPr>
                <w:rFonts w:ascii="宋体" w:hAnsi="宋体" w:cs="宋体"/>
                <w:b/>
                <w:bCs/>
                <w:color w:val="auto"/>
                <w:highlight w:val="none"/>
              </w:rPr>
            </w:pPr>
          </w:p>
        </w:tc>
        <w:tc>
          <w:tcPr>
            <w:tcW w:w="1408" w:type="dxa"/>
          </w:tcPr>
          <w:p w14:paraId="77BF639E">
            <w:pPr>
              <w:pStyle w:val="59"/>
              <w:shd w:val="clear" w:fill="FFFFFF" w:themeFill="background1"/>
              <w:jc w:val="center"/>
              <w:rPr>
                <w:rFonts w:ascii="宋体" w:hAnsi="宋体" w:cs="宋体"/>
                <w:b/>
                <w:bCs/>
                <w:color w:val="auto"/>
                <w:highlight w:val="none"/>
              </w:rPr>
            </w:pPr>
          </w:p>
        </w:tc>
        <w:tc>
          <w:tcPr>
            <w:tcW w:w="1408" w:type="dxa"/>
          </w:tcPr>
          <w:p w14:paraId="7926024A">
            <w:pPr>
              <w:pStyle w:val="59"/>
              <w:shd w:val="clear" w:fill="FFFFFF" w:themeFill="background1"/>
              <w:jc w:val="center"/>
              <w:rPr>
                <w:rFonts w:ascii="宋体" w:hAnsi="宋体" w:cs="宋体"/>
                <w:b/>
                <w:bCs/>
                <w:color w:val="auto"/>
                <w:highlight w:val="none"/>
              </w:rPr>
            </w:pPr>
          </w:p>
        </w:tc>
        <w:tc>
          <w:tcPr>
            <w:tcW w:w="1408" w:type="dxa"/>
          </w:tcPr>
          <w:p w14:paraId="32C5097F">
            <w:pPr>
              <w:pStyle w:val="59"/>
              <w:shd w:val="clear" w:fill="FFFFFF" w:themeFill="background1"/>
              <w:jc w:val="center"/>
              <w:rPr>
                <w:rFonts w:ascii="宋体" w:hAnsi="宋体" w:cs="宋体"/>
                <w:b/>
                <w:bCs/>
                <w:color w:val="auto"/>
                <w:highlight w:val="none"/>
              </w:rPr>
            </w:pPr>
          </w:p>
        </w:tc>
        <w:tc>
          <w:tcPr>
            <w:tcW w:w="1408" w:type="dxa"/>
          </w:tcPr>
          <w:p w14:paraId="1B3ACE90">
            <w:pPr>
              <w:pStyle w:val="59"/>
              <w:shd w:val="clear" w:fill="FFFFFF" w:themeFill="background1"/>
              <w:jc w:val="center"/>
              <w:rPr>
                <w:rFonts w:ascii="宋体" w:hAnsi="宋体" w:cs="宋体"/>
                <w:b/>
                <w:bCs/>
                <w:color w:val="auto"/>
                <w:highlight w:val="none"/>
              </w:rPr>
            </w:pPr>
          </w:p>
        </w:tc>
        <w:tc>
          <w:tcPr>
            <w:tcW w:w="1408" w:type="dxa"/>
          </w:tcPr>
          <w:p w14:paraId="32F790A8">
            <w:pPr>
              <w:pStyle w:val="59"/>
              <w:shd w:val="clear" w:fill="FFFFFF" w:themeFill="background1"/>
              <w:jc w:val="center"/>
              <w:rPr>
                <w:rFonts w:ascii="宋体" w:hAnsi="宋体" w:cs="宋体"/>
                <w:b/>
                <w:bCs/>
                <w:color w:val="auto"/>
                <w:highlight w:val="none"/>
              </w:rPr>
            </w:pPr>
          </w:p>
        </w:tc>
      </w:tr>
      <w:tr w14:paraId="6BF4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44350A2C">
            <w:pPr>
              <w:pStyle w:val="59"/>
              <w:shd w:val="clear" w:fill="FFFFFF" w:themeFill="background1"/>
              <w:jc w:val="center"/>
              <w:rPr>
                <w:rFonts w:ascii="宋体" w:hAnsi="宋体" w:cs="宋体"/>
                <w:b/>
                <w:bCs/>
                <w:color w:val="auto"/>
                <w:highlight w:val="none"/>
              </w:rPr>
            </w:pPr>
          </w:p>
        </w:tc>
        <w:tc>
          <w:tcPr>
            <w:tcW w:w="1748" w:type="dxa"/>
          </w:tcPr>
          <w:p w14:paraId="2A2084B0">
            <w:pPr>
              <w:pStyle w:val="59"/>
              <w:shd w:val="clear" w:fill="FFFFFF" w:themeFill="background1"/>
              <w:jc w:val="center"/>
              <w:rPr>
                <w:rFonts w:ascii="宋体" w:hAnsi="宋体" w:cs="宋体"/>
                <w:b/>
                <w:bCs/>
                <w:color w:val="auto"/>
                <w:highlight w:val="none"/>
              </w:rPr>
            </w:pPr>
          </w:p>
        </w:tc>
        <w:tc>
          <w:tcPr>
            <w:tcW w:w="1408" w:type="dxa"/>
          </w:tcPr>
          <w:p w14:paraId="5778605B">
            <w:pPr>
              <w:pStyle w:val="59"/>
              <w:shd w:val="clear" w:fill="FFFFFF" w:themeFill="background1"/>
              <w:jc w:val="center"/>
              <w:rPr>
                <w:rFonts w:ascii="宋体" w:hAnsi="宋体" w:cs="宋体"/>
                <w:b/>
                <w:bCs/>
                <w:color w:val="auto"/>
                <w:highlight w:val="none"/>
              </w:rPr>
            </w:pPr>
          </w:p>
        </w:tc>
        <w:tc>
          <w:tcPr>
            <w:tcW w:w="1408" w:type="dxa"/>
          </w:tcPr>
          <w:p w14:paraId="7BCA81B2">
            <w:pPr>
              <w:pStyle w:val="59"/>
              <w:shd w:val="clear" w:fill="FFFFFF" w:themeFill="background1"/>
              <w:jc w:val="center"/>
              <w:rPr>
                <w:rFonts w:ascii="宋体" w:hAnsi="宋体" w:cs="宋体"/>
                <w:b/>
                <w:bCs/>
                <w:color w:val="auto"/>
                <w:highlight w:val="none"/>
              </w:rPr>
            </w:pPr>
          </w:p>
        </w:tc>
        <w:tc>
          <w:tcPr>
            <w:tcW w:w="1408" w:type="dxa"/>
          </w:tcPr>
          <w:p w14:paraId="0259C8A1">
            <w:pPr>
              <w:pStyle w:val="59"/>
              <w:shd w:val="clear" w:fill="FFFFFF" w:themeFill="background1"/>
              <w:jc w:val="center"/>
              <w:rPr>
                <w:rFonts w:ascii="宋体" w:hAnsi="宋体" w:cs="宋体"/>
                <w:b/>
                <w:bCs/>
                <w:color w:val="auto"/>
                <w:highlight w:val="none"/>
              </w:rPr>
            </w:pPr>
          </w:p>
        </w:tc>
        <w:tc>
          <w:tcPr>
            <w:tcW w:w="1408" w:type="dxa"/>
          </w:tcPr>
          <w:p w14:paraId="275934D7">
            <w:pPr>
              <w:pStyle w:val="59"/>
              <w:shd w:val="clear" w:fill="FFFFFF" w:themeFill="background1"/>
              <w:jc w:val="center"/>
              <w:rPr>
                <w:rFonts w:ascii="宋体" w:hAnsi="宋体" w:cs="宋体"/>
                <w:b/>
                <w:bCs/>
                <w:color w:val="auto"/>
                <w:highlight w:val="none"/>
              </w:rPr>
            </w:pPr>
          </w:p>
        </w:tc>
        <w:tc>
          <w:tcPr>
            <w:tcW w:w="1408" w:type="dxa"/>
          </w:tcPr>
          <w:p w14:paraId="1B9D273C">
            <w:pPr>
              <w:pStyle w:val="59"/>
              <w:shd w:val="clear" w:fill="FFFFFF" w:themeFill="background1"/>
              <w:jc w:val="center"/>
              <w:rPr>
                <w:rFonts w:ascii="宋体" w:hAnsi="宋体" w:cs="宋体"/>
                <w:b/>
                <w:bCs/>
                <w:color w:val="auto"/>
                <w:highlight w:val="none"/>
              </w:rPr>
            </w:pPr>
          </w:p>
        </w:tc>
      </w:tr>
      <w:tr w14:paraId="265D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2ABD25A7">
            <w:pPr>
              <w:pStyle w:val="59"/>
              <w:shd w:val="clear" w:fill="FFFFFF" w:themeFill="background1"/>
              <w:jc w:val="center"/>
              <w:rPr>
                <w:rFonts w:ascii="宋体" w:hAnsi="宋体" w:cs="宋体"/>
                <w:b/>
                <w:bCs/>
                <w:color w:val="auto"/>
                <w:highlight w:val="none"/>
              </w:rPr>
            </w:pPr>
          </w:p>
        </w:tc>
        <w:tc>
          <w:tcPr>
            <w:tcW w:w="1748" w:type="dxa"/>
          </w:tcPr>
          <w:p w14:paraId="3377E94C">
            <w:pPr>
              <w:pStyle w:val="59"/>
              <w:shd w:val="clear" w:fill="FFFFFF" w:themeFill="background1"/>
              <w:jc w:val="center"/>
              <w:rPr>
                <w:rFonts w:ascii="宋体" w:hAnsi="宋体" w:cs="宋体"/>
                <w:b/>
                <w:bCs/>
                <w:color w:val="auto"/>
                <w:highlight w:val="none"/>
              </w:rPr>
            </w:pPr>
          </w:p>
        </w:tc>
        <w:tc>
          <w:tcPr>
            <w:tcW w:w="1408" w:type="dxa"/>
          </w:tcPr>
          <w:p w14:paraId="297D8A9F">
            <w:pPr>
              <w:pStyle w:val="59"/>
              <w:shd w:val="clear" w:fill="FFFFFF" w:themeFill="background1"/>
              <w:jc w:val="center"/>
              <w:rPr>
                <w:rFonts w:ascii="宋体" w:hAnsi="宋体" w:cs="宋体"/>
                <w:b/>
                <w:bCs/>
                <w:color w:val="auto"/>
                <w:highlight w:val="none"/>
              </w:rPr>
            </w:pPr>
          </w:p>
        </w:tc>
        <w:tc>
          <w:tcPr>
            <w:tcW w:w="1408" w:type="dxa"/>
          </w:tcPr>
          <w:p w14:paraId="49DAC75C">
            <w:pPr>
              <w:pStyle w:val="59"/>
              <w:shd w:val="clear" w:fill="FFFFFF" w:themeFill="background1"/>
              <w:jc w:val="center"/>
              <w:rPr>
                <w:rFonts w:ascii="宋体" w:hAnsi="宋体" w:cs="宋体"/>
                <w:b/>
                <w:bCs/>
                <w:color w:val="auto"/>
                <w:highlight w:val="none"/>
              </w:rPr>
            </w:pPr>
          </w:p>
        </w:tc>
        <w:tc>
          <w:tcPr>
            <w:tcW w:w="1408" w:type="dxa"/>
          </w:tcPr>
          <w:p w14:paraId="431078F5">
            <w:pPr>
              <w:pStyle w:val="59"/>
              <w:shd w:val="clear" w:fill="FFFFFF" w:themeFill="background1"/>
              <w:jc w:val="center"/>
              <w:rPr>
                <w:rFonts w:ascii="宋体" w:hAnsi="宋体" w:cs="宋体"/>
                <w:b/>
                <w:bCs/>
                <w:color w:val="auto"/>
                <w:highlight w:val="none"/>
              </w:rPr>
            </w:pPr>
          </w:p>
        </w:tc>
        <w:tc>
          <w:tcPr>
            <w:tcW w:w="1408" w:type="dxa"/>
          </w:tcPr>
          <w:p w14:paraId="76844CE6">
            <w:pPr>
              <w:pStyle w:val="59"/>
              <w:shd w:val="clear" w:fill="FFFFFF" w:themeFill="background1"/>
              <w:jc w:val="center"/>
              <w:rPr>
                <w:rFonts w:ascii="宋体" w:hAnsi="宋体" w:cs="宋体"/>
                <w:b/>
                <w:bCs/>
                <w:color w:val="auto"/>
                <w:highlight w:val="none"/>
              </w:rPr>
            </w:pPr>
          </w:p>
        </w:tc>
        <w:tc>
          <w:tcPr>
            <w:tcW w:w="1408" w:type="dxa"/>
          </w:tcPr>
          <w:p w14:paraId="20314783">
            <w:pPr>
              <w:pStyle w:val="59"/>
              <w:shd w:val="clear" w:fill="FFFFFF" w:themeFill="background1"/>
              <w:jc w:val="center"/>
              <w:rPr>
                <w:rFonts w:ascii="宋体" w:hAnsi="宋体" w:cs="宋体"/>
                <w:b/>
                <w:bCs/>
                <w:color w:val="auto"/>
                <w:highlight w:val="none"/>
              </w:rPr>
            </w:pPr>
          </w:p>
        </w:tc>
      </w:tr>
      <w:tr w14:paraId="02D7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7186990B">
            <w:pPr>
              <w:pStyle w:val="59"/>
              <w:shd w:val="clear" w:fill="FFFFFF" w:themeFill="background1"/>
              <w:jc w:val="center"/>
              <w:rPr>
                <w:rFonts w:ascii="宋体" w:hAnsi="宋体" w:cs="宋体"/>
                <w:b/>
                <w:bCs/>
                <w:color w:val="auto"/>
                <w:highlight w:val="none"/>
              </w:rPr>
            </w:pPr>
          </w:p>
        </w:tc>
        <w:tc>
          <w:tcPr>
            <w:tcW w:w="1748" w:type="dxa"/>
          </w:tcPr>
          <w:p w14:paraId="0164C4AE">
            <w:pPr>
              <w:pStyle w:val="59"/>
              <w:shd w:val="clear" w:fill="FFFFFF" w:themeFill="background1"/>
              <w:jc w:val="center"/>
              <w:rPr>
                <w:rFonts w:ascii="宋体" w:hAnsi="宋体" w:cs="宋体"/>
                <w:b/>
                <w:bCs/>
                <w:color w:val="auto"/>
                <w:highlight w:val="none"/>
              </w:rPr>
            </w:pPr>
          </w:p>
        </w:tc>
        <w:tc>
          <w:tcPr>
            <w:tcW w:w="1408" w:type="dxa"/>
          </w:tcPr>
          <w:p w14:paraId="278576CF">
            <w:pPr>
              <w:pStyle w:val="59"/>
              <w:shd w:val="clear" w:fill="FFFFFF" w:themeFill="background1"/>
              <w:jc w:val="center"/>
              <w:rPr>
                <w:rFonts w:ascii="宋体" w:hAnsi="宋体" w:cs="宋体"/>
                <w:b/>
                <w:bCs/>
                <w:color w:val="auto"/>
                <w:highlight w:val="none"/>
              </w:rPr>
            </w:pPr>
          </w:p>
        </w:tc>
        <w:tc>
          <w:tcPr>
            <w:tcW w:w="1408" w:type="dxa"/>
          </w:tcPr>
          <w:p w14:paraId="40704387">
            <w:pPr>
              <w:pStyle w:val="59"/>
              <w:shd w:val="clear" w:fill="FFFFFF" w:themeFill="background1"/>
              <w:jc w:val="center"/>
              <w:rPr>
                <w:rFonts w:ascii="宋体" w:hAnsi="宋体" w:cs="宋体"/>
                <w:b/>
                <w:bCs/>
                <w:color w:val="auto"/>
                <w:highlight w:val="none"/>
              </w:rPr>
            </w:pPr>
          </w:p>
        </w:tc>
        <w:tc>
          <w:tcPr>
            <w:tcW w:w="1408" w:type="dxa"/>
          </w:tcPr>
          <w:p w14:paraId="61B662DF">
            <w:pPr>
              <w:pStyle w:val="59"/>
              <w:shd w:val="clear" w:fill="FFFFFF" w:themeFill="background1"/>
              <w:jc w:val="center"/>
              <w:rPr>
                <w:rFonts w:ascii="宋体" w:hAnsi="宋体" w:cs="宋体"/>
                <w:b/>
                <w:bCs/>
                <w:color w:val="auto"/>
                <w:highlight w:val="none"/>
              </w:rPr>
            </w:pPr>
          </w:p>
        </w:tc>
        <w:tc>
          <w:tcPr>
            <w:tcW w:w="1408" w:type="dxa"/>
          </w:tcPr>
          <w:p w14:paraId="31817680">
            <w:pPr>
              <w:pStyle w:val="59"/>
              <w:shd w:val="clear" w:fill="FFFFFF" w:themeFill="background1"/>
              <w:jc w:val="center"/>
              <w:rPr>
                <w:rFonts w:ascii="宋体" w:hAnsi="宋体" w:cs="宋体"/>
                <w:b/>
                <w:bCs/>
                <w:color w:val="auto"/>
                <w:highlight w:val="none"/>
              </w:rPr>
            </w:pPr>
          </w:p>
        </w:tc>
        <w:tc>
          <w:tcPr>
            <w:tcW w:w="1408" w:type="dxa"/>
          </w:tcPr>
          <w:p w14:paraId="7617E846">
            <w:pPr>
              <w:pStyle w:val="59"/>
              <w:shd w:val="clear" w:fill="FFFFFF" w:themeFill="background1"/>
              <w:jc w:val="center"/>
              <w:rPr>
                <w:rFonts w:ascii="宋体" w:hAnsi="宋体" w:cs="宋体"/>
                <w:b/>
                <w:bCs/>
                <w:color w:val="auto"/>
                <w:highlight w:val="none"/>
              </w:rPr>
            </w:pPr>
          </w:p>
        </w:tc>
      </w:tr>
      <w:tr w14:paraId="0D91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4A47DAB3">
            <w:pPr>
              <w:pStyle w:val="59"/>
              <w:shd w:val="clear" w:fill="FFFFFF" w:themeFill="background1"/>
              <w:jc w:val="center"/>
              <w:rPr>
                <w:rFonts w:ascii="宋体" w:hAnsi="宋体" w:cs="宋体"/>
                <w:b/>
                <w:bCs/>
                <w:color w:val="auto"/>
                <w:highlight w:val="none"/>
              </w:rPr>
            </w:pPr>
          </w:p>
        </w:tc>
        <w:tc>
          <w:tcPr>
            <w:tcW w:w="1748" w:type="dxa"/>
          </w:tcPr>
          <w:p w14:paraId="53A0DDB4">
            <w:pPr>
              <w:pStyle w:val="59"/>
              <w:shd w:val="clear" w:fill="FFFFFF" w:themeFill="background1"/>
              <w:jc w:val="center"/>
              <w:rPr>
                <w:rFonts w:ascii="宋体" w:hAnsi="宋体" w:cs="宋体"/>
                <w:b/>
                <w:bCs/>
                <w:color w:val="auto"/>
                <w:highlight w:val="none"/>
              </w:rPr>
            </w:pPr>
          </w:p>
        </w:tc>
        <w:tc>
          <w:tcPr>
            <w:tcW w:w="1408" w:type="dxa"/>
          </w:tcPr>
          <w:p w14:paraId="3654F687">
            <w:pPr>
              <w:pStyle w:val="59"/>
              <w:shd w:val="clear" w:fill="FFFFFF" w:themeFill="background1"/>
              <w:jc w:val="center"/>
              <w:rPr>
                <w:rFonts w:ascii="宋体" w:hAnsi="宋体" w:cs="宋体"/>
                <w:b/>
                <w:bCs/>
                <w:color w:val="auto"/>
                <w:highlight w:val="none"/>
              </w:rPr>
            </w:pPr>
          </w:p>
        </w:tc>
        <w:tc>
          <w:tcPr>
            <w:tcW w:w="1408" w:type="dxa"/>
          </w:tcPr>
          <w:p w14:paraId="514326B7">
            <w:pPr>
              <w:pStyle w:val="59"/>
              <w:shd w:val="clear" w:fill="FFFFFF" w:themeFill="background1"/>
              <w:jc w:val="center"/>
              <w:rPr>
                <w:rFonts w:ascii="宋体" w:hAnsi="宋体" w:cs="宋体"/>
                <w:b/>
                <w:bCs/>
                <w:color w:val="auto"/>
                <w:highlight w:val="none"/>
              </w:rPr>
            </w:pPr>
          </w:p>
        </w:tc>
        <w:tc>
          <w:tcPr>
            <w:tcW w:w="1408" w:type="dxa"/>
          </w:tcPr>
          <w:p w14:paraId="377027DB">
            <w:pPr>
              <w:pStyle w:val="59"/>
              <w:shd w:val="clear" w:fill="FFFFFF" w:themeFill="background1"/>
              <w:jc w:val="center"/>
              <w:rPr>
                <w:rFonts w:ascii="宋体" w:hAnsi="宋体" w:cs="宋体"/>
                <w:b/>
                <w:bCs/>
                <w:color w:val="auto"/>
                <w:highlight w:val="none"/>
              </w:rPr>
            </w:pPr>
          </w:p>
        </w:tc>
        <w:tc>
          <w:tcPr>
            <w:tcW w:w="1408" w:type="dxa"/>
          </w:tcPr>
          <w:p w14:paraId="11C4E509">
            <w:pPr>
              <w:pStyle w:val="59"/>
              <w:shd w:val="clear" w:fill="FFFFFF" w:themeFill="background1"/>
              <w:jc w:val="center"/>
              <w:rPr>
                <w:rFonts w:ascii="宋体" w:hAnsi="宋体" w:cs="宋体"/>
                <w:b/>
                <w:bCs/>
                <w:color w:val="auto"/>
                <w:highlight w:val="none"/>
              </w:rPr>
            </w:pPr>
          </w:p>
        </w:tc>
        <w:tc>
          <w:tcPr>
            <w:tcW w:w="1408" w:type="dxa"/>
          </w:tcPr>
          <w:p w14:paraId="672D3911">
            <w:pPr>
              <w:pStyle w:val="59"/>
              <w:shd w:val="clear" w:fill="FFFFFF" w:themeFill="background1"/>
              <w:jc w:val="center"/>
              <w:rPr>
                <w:rFonts w:ascii="宋体" w:hAnsi="宋体" w:cs="宋体"/>
                <w:b/>
                <w:bCs/>
                <w:color w:val="auto"/>
                <w:highlight w:val="none"/>
              </w:rPr>
            </w:pPr>
          </w:p>
        </w:tc>
      </w:tr>
      <w:tr w14:paraId="78A4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1066" w:type="dxa"/>
          </w:tcPr>
          <w:p w14:paraId="3CBDF1DB">
            <w:pPr>
              <w:pStyle w:val="59"/>
              <w:shd w:val="clear" w:fill="FFFFFF" w:themeFill="background1"/>
              <w:jc w:val="center"/>
              <w:rPr>
                <w:rFonts w:ascii="宋体" w:hAnsi="宋体" w:cs="宋体"/>
                <w:b/>
                <w:bCs/>
                <w:color w:val="auto"/>
                <w:highlight w:val="none"/>
              </w:rPr>
            </w:pPr>
          </w:p>
        </w:tc>
        <w:tc>
          <w:tcPr>
            <w:tcW w:w="1748" w:type="dxa"/>
          </w:tcPr>
          <w:p w14:paraId="06487CC5">
            <w:pPr>
              <w:pStyle w:val="59"/>
              <w:shd w:val="clear" w:fill="FFFFFF" w:themeFill="background1"/>
              <w:jc w:val="center"/>
              <w:rPr>
                <w:rFonts w:ascii="宋体" w:hAnsi="宋体" w:cs="宋体"/>
                <w:b/>
                <w:bCs/>
                <w:color w:val="auto"/>
                <w:highlight w:val="none"/>
              </w:rPr>
            </w:pPr>
          </w:p>
        </w:tc>
        <w:tc>
          <w:tcPr>
            <w:tcW w:w="1408" w:type="dxa"/>
          </w:tcPr>
          <w:p w14:paraId="7BE4F15B">
            <w:pPr>
              <w:pStyle w:val="59"/>
              <w:shd w:val="clear" w:fill="FFFFFF" w:themeFill="background1"/>
              <w:jc w:val="center"/>
              <w:rPr>
                <w:rFonts w:ascii="宋体" w:hAnsi="宋体" w:cs="宋体"/>
                <w:b/>
                <w:bCs/>
                <w:color w:val="auto"/>
                <w:highlight w:val="none"/>
              </w:rPr>
            </w:pPr>
          </w:p>
        </w:tc>
        <w:tc>
          <w:tcPr>
            <w:tcW w:w="1408" w:type="dxa"/>
          </w:tcPr>
          <w:p w14:paraId="49D201BC">
            <w:pPr>
              <w:pStyle w:val="59"/>
              <w:shd w:val="clear" w:fill="FFFFFF" w:themeFill="background1"/>
              <w:jc w:val="center"/>
              <w:rPr>
                <w:rFonts w:ascii="宋体" w:hAnsi="宋体" w:cs="宋体"/>
                <w:b/>
                <w:bCs/>
                <w:color w:val="auto"/>
                <w:highlight w:val="none"/>
              </w:rPr>
            </w:pPr>
          </w:p>
        </w:tc>
        <w:tc>
          <w:tcPr>
            <w:tcW w:w="1408" w:type="dxa"/>
          </w:tcPr>
          <w:p w14:paraId="495FBC19">
            <w:pPr>
              <w:pStyle w:val="59"/>
              <w:shd w:val="clear" w:fill="FFFFFF" w:themeFill="background1"/>
              <w:jc w:val="center"/>
              <w:rPr>
                <w:rFonts w:ascii="宋体" w:hAnsi="宋体" w:cs="宋体"/>
                <w:b/>
                <w:bCs/>
                <w:color w:val="auto"/>
                <w:highlight w:val="none"/>
              </w:rPr>
            </w:pPr>
          </w:p>
        </w:tc>
        <w:tc>
          <w:tcPr>
            <w:tcW w:w="1408" w:type="dxa"/>
          </w:tcPr>
          <w:p w14:paraId="5A0FD6BD">
            <w:pPr>
              <w:pStyle w:val="59"/>
              <w:shd w:val="clear" w:fill="FFFFFF" w:themeFill="background1"/>
              <w:jc w:val="center"/>
              <w:rPr>
                <w:rFonts w:ascii="宋体" w:hAnsi="宋体" w:cs="宋体"/>
                <w:b/>
                <w:bCs/>
                <w:color w:val="auto"/>
                <w:highlight w:val="none"/>
              </w:rPr>
            </w:pPr>
          </w:p>
        </w:tc>
        <w:tc>
          <w:tcPr>
            <w:tcW w:w="1408" w:type="dxa"/>
          </w:tcPr>
          <w:p w14:paraId="051F4A59">
            <w:pPr>
              <w:pStyle w:val="59"/>
              <w:shd w:val="clear" w:fill="FFFFFF" w:themeFill="background1"/>
              <w:jc w:val="center"/>
              <w:rPr>
                <w:rFonts w:ascii="宋体" w:hAnsi="宋体" w:cs="宋体"/>
                <w:b/>
                <w:bCs/>
                <w:color w:val="auto"/>
                <w:highlight w:val="none"/>
              </w:rPr>
            </w:pPr>
          </w:p>
        </w:tc>
      </w:tr>
      <w:tr w14:paraId="5C08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2814" w:type="dxa"/>
            <w:gridSpan w:val="2"/>
            <w:vAlign w:val="center"/>
          </w:tcPr>
          <w:p w14:paraId="10021BAA">
            <w:pPr>
              <w:pStyle w:val="59"/>
              <w:shd w:val="clear" w:fill="FFFFFF" w:themeFill="background1"/>
              <w:jc w:val="center"/>
              <w:rPr>
                <w:rFonts w:ascii="宋体" w:hAnsi="宋体" w:cs="宋体"/>
                <w:b/>
                <w:bCs/>
                <w:color w:val="auto"/>
                <w:highlight w:val="none"/>
              </w:rPr>
            </w:pPr>
            <w:r>
              <w:rPr>
                <w:rFonts w:hint="eastAsia" w:ascii="宋体" w:hAnsi="宋体" w:cs="宋体"/>
                <w:b/>
                <w:bCs/>
                <w:color w:val="auto"/>
                <w:highlight w:val="none"/>
              </w:rPr>
              <w:t>合计</w:t>
            </w:r>
          </w:p>
        </w:tc>
        <w:tc>
          <w:tcPr>
            <w:tcW w:w="1408" w:type="dxa"/>
          </w:tcPr>
          <w:p w14:paraId="78C9B165">
            <w:pPr>
              <w:pStyle w:val="59"/>
              <w:shd w:val="clear" w:fill="FFFFFF" w:themeFill="background1"/>
              <w:jc w:val="center"/>
              <w:rPr>
                <w:rFonts w:ascii="宋体" w:hAnsi="宋体" w:cs="宋体"/>
                <w:b/>
                <w:bCs/>
                <w:color w:val="auto"/>
                <w:highlight w:val="none"/>
              </w:rPr>
            </w:pPr>
          </w:p>
        </w:tc>
        <w:tc>
          <w:tcPr>
            <w:tcW w:w="1408" w:type="dxa"/>
          </w:tcPr>
          <w:p w14:paraId="651C7BCA">
            <w:pPr>
              <w:pStyle w:val="59"/>
              <w:shd w:val="clear" w:fill="FFFFFF" w:themeFill="background1"/>
              <w:jc w:val="center"/>
              <w:rPr>
                <w:rFonts w:ascii="宋体" w:hAnsi="宋体" w:cs="宋体"/>
                <w:b/>
                <w:bCs/>
                <w:color w:val="auto"/>
                <w:highlight w:val="none"/>
              </w:rPr>
            </w:pPr>
          </w:p>
        </w:tc>
        <w:tc>
          <w:tcPr>
            <w:tcW w:w="1408" w:type="dxa"/>
          </w:tcPr>
          <w:p w14:paraId="706A18A1">
            <w:pPr>
              <w:pStyle w:val="59"/>
              <w:shd w:val="clear" w:fill="FFFFFF" w:themeFill="background1"/>
              <w:jc w:val="center"/>
              <w:rPr>
                <w:rFonts w:ascii="宋体" w:hAnsi="宋体" w:cs="宋体"/>
                <w:b/>
                <w:bCs/>
                <w:color w:val="auto"/>
                <w:highlight w:val="none"/>
              </w:rPr>
            </w:pPr>
          </w:p>
        </w:tc>
        <w:tc>
          <w:tcPr>
            <w:tcW w:w="1408" w:type="dxa"/>
          </w:tcPr>
          <w:p w14:paraId="09BFC242">
            <w:pPr>
              <w:pStyle w:val="59"/>
              <w:shd w:val="clear" w:fill="FFFFFF" w:themeFill="background1"/>
              <w:jc w:val="center"/>
              <w:rPr>
                <w:rFonts w:ascii="宋体" w:hAnsi="宋体" w:cs="宋体"/>
                <w:b/>
                <w:bCs/>
                <w:color w:val="auto"/>
                <w:highlight w:val="none"/>
              </w:rPr>
            </w:pPr>
          </w:p>
        </w:tc>
        <w:tc>
          <w:tcPr>
            <w:tcW w:w="1408" w:type="dxa"/>
          </w:tcPr>
          <w:p w14:paraId="4ED20603">
            <w:pPr>
              <w:pStyle w:val="59"/>
              <w:shd w:val="clear" w:fill="FFFFFF" w:themeFill="background1"/>
              <w:jc w:val="center"/>
              <w:rPr>
                <w:rFonts w:ascii="宋体" w:hAnsi="宋体" w:cs="宋体"/>
                <w:b/>
                <w:bCs/>
                <w:color w:val="auto"/>
                <w:highlight w:val="none"/>
              </w:rPr>
            </w:pPr>
          </w:p>
        </w:tc>
      </w:tr>
    </w:tbl>
    <w:p w14:paraId="21B1146A">
      <w:pPr>
        <w:pStyle w:val="59"/>
        <w:shd w:val="clear" w:fill="FFFFFF" w:themeFill="background1"/>
        <w:jc w:val="left"/>
        <w:rPr>
          <w:rFonts w:ascii="宋体" w:hAnsi="宋体" w:cs="宋体"/>
          <w:b/>
          <w:bCs/>
          <w:color w:val="auto"/>
          <w:highlight w:val="none"/>
        </w:rPr>
      </w:pPr>
    </w:p>
    <w:p w14:paraId="742F745A">
      <w:pPr>
        <w:pStyle w:val="59"/>
        <w:shd w:val="clear" w:fill="FFFFFF" w:themeFill="background1"/>
        <w:jc w:val="left"/>
        <w:rPr>
          <w:rFonts w:ascii="宋体" w:hAnsi="宋体" w:cs="宋体"/>
          <w:b/>
          <w:bCs/>
          <w:color w:val="auto"/>
          <w:highlight w:val="none"/>
        </w:rPr>
      </w:pPr>
    </w:p>
    <w:p w14:paraId="21A2E85E">
      <w:pPr>
        <w:pStyle w:val="59"/>
        <w:shd w:val="clear" w:fill="FFFFFF" w:themeFill="background1"/>
        <w:jc w:val="left"/>
        <w:rPr>
          <w:rFonts w:ascii="宋体" w:hAnsi="宋体" w:cs="宋体"/>
          <w:b/>
          <w:bCs/>
          <w:color w:val="auto"/>
          <w:highlight w:val="none"/>
        </w:rPr>
      </w:pPr>
    </w:p>
    <w:p w14:paraId="1AA04866">
      <w:pPr>
        <w:pStyle w:val="59"/>
        <w:shd w:val="clear" w:fill="FFFFFF" w:themeFill="background1"/>
        <w:spacing w:line="480" w:lineRule="auto"/>
        <w:ind w:firstLine="4096" w:firstLineChars="1700"/>
        <w:jc w:val="left"/>
        <w:rPr>
          <w:rFonts w:ascii="宋体" w:hAnsi="宋体" w:cs="宋体"/>
          <w:b/>
          <w:bCs/>
          <w:color w:val="auto"/>
          <w:highlight w:val="none"/>
        </w:rPr>
      </w:pPr>
      <w:r>
        <w:rPr>
          <w:rFonts w:hint="eastAsia" w:ascii="宋体" w:hAnsi="宋体" w:cs="宋体"/>
          <w:b/>
          <w:bCs/>
          <w:color w:val="auto"/>
          <w:highlight w:val="none"/>
        </w:rPr>
        <w:t xml:space="preserve">投标人： </w:t>
      </w:r>
      <w:r>
        <w:rPr>
          <w:rFonts w:hint="eastAsia" w:ascii="宋体" w:hAnsi="宋体" w:cs="宋体"/>
          <w:b/>
          <w:bCs/>
          <w:color w:val="auto"/>
          <w:highlight w:val="none"/>
          <w:u w:val="single"/>
        </w:rPr>
        <w:t xml:space="preserve">                        </w:t>
      </w:r>
      <w:r>
        <w:rPr>
          <w:rFonts w:hint="eastAsia" w:ascii="宋体" w:hAnsi="宋体" w:cs="宋体"/>
          <w:b/>
          <w:bCs/>
          <w:color w:val="auto"/>
          <w:highlight w:val="none"/>
        </w:rPr>
        <w:t>(盖单位章)</w:t>
      </w:r>
    </w:p>
    <w:p w14:paraId="2B506DB9">
      <w:pPr>
        <w:pStyle w:val="59"/>
        <w:shd w:val="clear" w:fill="FFFFFF" w:themeFill="background1"/>
        <w:spacing w:line="480" w:lineRule="auto"/>
        <w:ind w:firstLine="4096" w:firstLineChars="1700"/>
        <w:jc w:val="left"/>
        <w:rPr>
          <w:rFonts w:ascii="宋体" w:hAnsi="宋体" w:cs="宋体"/>
          <w:b/>
          <w:bCs/>
          <w:color w:val="auto"/>
          <w:highlight w:val="none"/>
        </w:rPr>
        <w:sectPr>
          <w:pgSz w:w="11906" w:h="16838"/>
          <w:pgMar w:top="1134" w:right="1134" w:bottom="1134" w:left="1134" w:header="851" w:footer="992" w:gutter="0"/>
          <w:cols w:space="720" w:num="1"/>
          <w:docGrid w:type="lines" w:linePitch="312" w:charSpace="0"/>
        </w:sectPr>
      </w:pPr>
      <w:r>
        <w:rPr>
          <w:rFonts w:hint="eastAsia" w:ascii="宋体" w:hAnsi="宋体" w:cs="宋体"/>
          <w:b/>
          <w:bCs/>
          <w:color w:val="auto"/>
          <w:highlight w:val="none"/>
        </w:rPr>
        <w:t>法定代表人或其委托代理人：</w:t>
      </w:r>
      <w:r>
        <w:rPr>
          <w:rFonts w:hint="eastAsia" w:ascii="宋体" w:hAnsi="宋体" w:cs="宋体"/>
          <w:b/>
          <w:bCs/>
          <w:color w:val="auto"/>
          <w:highlight w:val="none"/>
          <w:u w:val="single"/>
        </w:rPr>
        <w:t xml:space="preserve">      </w:t>
      </w:r>
      <w:r>
        <w:rPr>
          <w:rFonts w:hint="eastAsia" w:ascii="宋体" w:hAnsi="宋体" w:cs="宋体"/>
          <w:b/>
          <w:bCs/>
          <w:color w:val="auto"/>
          <w:highlight w:val="none"/>
        </w:rPr>
        <w:t>（签字）</w:t>
      </w:r>
    </w:p>
    <w:p w14:paraId="1D16F5F9">
      <w:pPr>
        <w:shd w:val="clear" w:fill="FFFFFF" w:themeFill="background1"/>
        <w:spacing w:line="360" w:lineRule="auto"/>
        <w:jc w:val="center"/>
        <w:rPr>
          <w:rFonts w:ascii="宋体" w:hAnsi="宋体"/>
          <w:b/>
          <w:color w:val="auto"/>
          <w:sz w:val="32"/>
          <w:szCs w:val="32"/>
          <w:highlight w:val="none"/>
          <w:u w:val="single"/>
        </w:rPr>
      </w:pPr>
    </w:p>
    <w:p w14:paraId="1782DEC3">
      <w:pPr>
        <w:shd w:val="clear" w:fill="FFFFFF" w:themeFill="background1"/>
        <w:spacing w:line="360" w:lineRule="auto"/>
        <w:jc w:val="center"/>
        <w:rPr>
          <w:rFonts w:ascii="宋体" w:hAnsi="宋体"/>
          <w:b/>
          <w:color w:val="auto"/>
          <w:sz w:val="32"/>
          <w:szCs w:val="32"/>
          <w:highlight w:val="none"/>
          <w:u w:val="single"/>
        </w:rPr>
      </w:pPr>
    </w:p>
    <w:p w14:paraId="596BC87B">
      <w:pPr>
        <w:shd w:val="clear" w:fill="FFFFFF" w:themeFill="background1"/>
        <w:spacing w:line="360" w:lineRule="auto"/>
        <w:ind w:firstLine="883" w:firstLineChars="200"/>
        <w:jc w:val="center"/>
        <w:rPr>
          <w:rFonts w:ascii="宋体" w:hAnsi="宋体"/>
          <w:b/>
          <w:color w:val="auto"/>
          <w:sz w:val="44"/>
          <w:szCs w:val="44"/>
          <w:highlight w:val="none"/>
          <w:u w:val="single"/>
        </w:rPr>
      </w:pPr>
      <w:r>
        <w:rPr>
          <w:rFonts w:hint="eastAsia" w:ascii="宋体" w:hAnsi="宋体"/>
          <w:b/>
          <w:color w:val="auto"/>
          <w:sz w:val="44"/>
          <w:szCs w:val="44"/>
          <w:highlight w:val="none"/>
          <w:u w:val="single"/>
        </w:rPr>
        <w:t>广东省</w:t>
      </w:r>
    </w:p>
    <w:p w14:paraId="590229BB">
      <w:pPr>
        <w:shd w:val="clear" w:fill="FFFFFF" w:themeFill="background1"/>
        <w:spacing w:line="360" w:lineRule="auto"/>
        <w:ind w:firstLine="883" w:firstLineChars="200"/>
        <w:jc w:val="center"/>
        <w:rPr>
          <w:rFonts w:ascii="宋体" w:hAnsi="宋体"/>
          <w:b/>
          <w:color w:val="auto"/>
          <w:sz w:val="44"/>
          <w:szCs w:val="44"/>
          <w:highlight w:val="none"/>
          <w:u w:val="single"/>
        </w:rPr>
      </w:pPr>
    </w:p>
    <w:p w14:paraId="51A583B9">
      <w:pPr>
        <w:shd w:val="clear" w:fill="FFFFFF" w:themeFill="background1"/>
        <w:spacing w:line="360" w:lineRule="auto"/>
        <w:jc w:val="center"/>
        <w:rPr>
          <w:rFonts w:ascii="宋体" w:hAnsi="宋体" w:cs="宋体"/>
          <w:b/>
          <w:color w:val="auto"/>
          <w:sz w:val="32"/>
          <w:szCs w:val="32"/>
          <w:highlight w:val="none"/>
        </w:rPr>
      </w:pPr>
      <w:r>
        <w:rPr>
          <w:rFonts w:hint="eastAsia" w:ascii="宋体" w:hAnsi="宋体"/>
          <w:b/>
          <w:color w:val="auto"/>
          <w:sz w:val="44"/>
          <w:szCs w:val="44"/>
          <w:highlight w:val="none"/>
          <w:u w:val="single"/>
        </w:rPr>
        <w:t xml:space="preserve">     </w:t>
      </w:r>
      <w:r>
        <w:rPr>
          <w:rFonts w:ascii="宋体" w:hAnsi="宋体"/>
          <w:b/>
          <w:color w:val="auto"/>
          <w:sz w:val="44"/>
          <w:szCs w:val="44"/>
          <w:highlight w:val="none"/>
          <w:u w:val="single"/>
        </w:rPr>
        <w:t>（项目名称）</w:t>
      </w:r>
      <w:r>
        <w:rPr>
          <w:rFonts w:hint="eastAsia" w:ascii="宋体" w:hAnsi="宋体"/>
          <w:b/>
          <w:color w:val="auto"/>
          <w:sz w:val="44"/>
          <w:szCs w:val="44"/>
          <w:highlight w:val="none"/>
          <w:u w:val="single"/>
        </w:rPr>
        <w:t xml:space="preserve">    </w:t>
      </w:r>
      <w:r>
        <w:rPr>
          <w:rFonts w:hint="eastAsia" w:ascii="宋体" w:hAnsi="宋体"/>
          <w:b/>
          <w:color w:val="auto"/>
          <w:sz w:val="44"/>
          <w:szCs w:val="44"/>
          <w:highlight w:val="none"/>
        </w:rPr>
        <w:t>施工招标</w:t>
      </w:r>
    </w:p>
    <w:p w14:paraId="0406169D">
      <w:pPr>
        <w:shd w:val="clear" w:fill="FFFFFF" w:themeFill="background1"/>
        <w:spacing w:line="360" w:lineRule="auto"/>
        <w:ind w:firstLine="420" w:firstLineChars="200"/>
        <w:rPr>
          <w:rFonts w:ascii="宋体" w:hAnsi="宋体" w:cs="宋体"/>
          <w:color w:val="auto"/>
          <w:szCs w:val="21"/>
          <w:highlight w:val="none"/>
        </w:rPr>
      </w:pPr>
    </w:p>
    <w:p w14:paraId="7336D665">
      <w:pPr>
        <w:shd w:val="clear" w:fill="FFFFFF" w:themeFill="background1"/>
        <w:spacing w:line="360" w:lineRule="auto"/>
        <w:ind w:firstLine="420" w:firstLineChars="200"/>
        <w:rPr>
          <w:rFonts w:ascii="宋体" w:hAnsi="宋体" w:cs="宋体"/>
          <w:color w:val="auto"/>
          <w:szCs w:val="21"/>
          <w:highlight w:val="none"/>
        </w:rPr>
      </w:pPr>
    </w:p>
    <w:p w14:paraId="279481EE">
      <w:pPr>
        <w:shd w:val="clear" w:fill="FFFFFF" w:themeFill="background1"/>
        <w:spacing w:line="360" w:lineRule="auto"/>
        <w:jc w:val="center"/>
        <w:rPr>
          <w:rFonts w:ascii="宋体" w:hAnsi="宋体" w:cs="宋体"/>
          <w:b/>
          <w:color w:val="auto"/>
          <w:sz w:val="52"/>
          <w:szCs w:val="52"/>
          <w:highlight w:val="none"/>
        </w:rPr>
      </w:pPr>
    </w:p>
    <w:p w14:paraId="277E78DD">
      <w:pPr>
        <w:shd w:val="clear" w:fill="FFFFFF" w:themeFill="background1"/>
        <w:spacing w:line="360" w:lineRule="auto"/>
        <w:jc w:val="center"/>
        <w:rPr>
          <w:rFonts w:ascii="宋体" w:hAnsi="宋体" w:cs="宋体"/>
          <w:b/>
          <w:color w:val="auto"/>
          <w:sz w:val="52"/>
          <w:szCs w:val="52"/>
          <w:highlight w:val="none"/>
        </w:rPr>
      </w:pPr>
    </w:p>
    <w:p w14:paraId="2A2B6454">
      <w:pPr>
        <w:shd w:val="clear" w:fill="FFFFFF" w:themeFill="background1"/>
        <w:jc w:val="center"/>
        <w:rPr>
          <w:rFonts w:ascii="宋体" w:hAnsi="宋体" w:cs="宋体"/>
          <w:color w:val="auto"/>
          <w:sz w:val="52"/>
          <w:szCs w:val="52"/>
          <w:highlight w:val="none"/>
        </w:rPr>
      </w:pPr>
      <w:r>
        <w:rPr>
          <w:rFonts w:hint="eastAsia" w:ascii="宋体" w:hAnsi="宋体" w:cs="宋体"/>
          <w:color w:val="auto"/>
          <w:sz w:val="52"/>
          <w:szCs w:val="52"/>
          <w:highlight w:val="none"/>
        </w:rPr>
        <w:t>投 标 文 件</w:t>
      </w:r>
    </w:p>
    <w:p w14:paraId="3B3469EB">
      <w:pPr>
        <w:shd w:val="clear" w:fill="FFFFFF" w:themeFill="background1"/>
        <w:jc w:val="center"/>
        <w:rPr>
          <w:rFonts w:ascii="宋体" w:hAnsi="宋体" w:cs="宋体"/>
          <w:color w:val="auto"/>
          <w:sz w:val="32"/>
          <w:szCs w:val="32"/>
          <w:highlight w:val="none"/>
        </w:rPr>
      </w:pPr>
      <w:r>
        <w:rPr>
          <w:rFonts w:hint="eastAsia" w:ascii="宋体" w:hAnsi="宋体" w:cs="宋体"/>
          <w:color w:val="auto"/>
          <w:sz w:val="32"/>
          <w:szCs w:val="32"/>
          <w:highlight w:val="none"/>
        </w:rPr>
        <w:t>（第二个信封：报价文件）</w:t>
      </w:r>
    </w:p>
    <w:p w14:paraId="64246263">
      <w:pPr>
        <w:shd w:val="clear" w:fill="FFFFFF" w:themeFill="background1"/>
        <w:jc w:val="center"/>
        <w:rPr>
          <w:rFonts w:ascii="宋体" w:hAnsi="宋体" w:cs="宋体"/>
          <w:color w:val="auto"/>
          <w:sz w:val="44"/>
          <w:szCs w:val="44"/>
          <w:highlight w:val="none"/>
        </w:rPr>
      </w:pPr>
    </w:p>
    <w:p w14:paraId="09656FE6">
      <w:pPr>
        <w:shd w:val="clear" w:fill="FFFFFF" w:themeFill="background1"/>
        <w:spacing w:line="360" w:lineRule="auto"/>
        <w:rPr>
          <w:rFonts w:ascii="宋体" w:hAnsi="宋体" w:cs="宋体"/>
          <w:b/>
          <w:color w:val="auto"/>
          <w:sz w:val="32"/>
          <w:szCs w:val="32"/>
          <w:highlight w:val="none"/>
        </w:rPr>
      </w:pPr>
    </w:p>
    <w:p w14:paraId="5D8D8766">
      <w:pPr>
        <w:shd w:val="clear" w:fill="FFFFFF" w:themeFill="background1"/>
        <w:spacing w:line="360" w:lineRule="auto"/>
        <w:rPr>
          <w:rFonts w:ascii="宋体" w:hAnsi="宋体" w:cs="宋体"/>
          <w:b/>
          <w:color w:val="auto"/>
          <w:sz w:val="32"/>
          <w:szCs w:val="32"/>
          <w:highlight w:val="none"/>
        </w:rPr>
      </w:pPr>
    </w:p>
    <w:p w14:paraId="64B14976">
      <w:pPr>
        <w:shd w:val="clear" w:fill="FFFFFF" w:themeFill="background1"/>
        <w:spacing w:line="360" w:lineRule="auto"/>
        <w:rPr>
          <w:rFonts w:ascii="宋体" w:hAnsi="宋体" w:cs="宋体"/>
          <w:b/>
          <w:color w:val="auto"/>
          <w:sz w:val="32"/>
          <w:szCs w:val="32"/>
          <w:highlight w:val="none"/>
        </w:rPr>
      </w:pPr>
    </w:p>
    <w:p w14:paraId="634ED09C">
      <w:pPr>
        <w:shd w:val="clear" w:fill="FFFFFF" w:themeFill="background1"/>
        <w:spacing w:line="360" w:lineRule="auto"/>
        <w:rPr>
          <w:rFonts w:ascii="宋体" w:hAnsi="宋体" w:cs="宋体"/>
          <w:b/>
          <w:color w:val="auto"/>
          <w:sz w:val="32"/>
          <w:szCs w:val="32"/>
          <w:highlight w:val="none"/>
        </w:rPr>
      </w:pPr>
    </w:p>
    <w:p w14:paraId="7C86A307">
      <w:pPr>
        <w:shd w:val="clear" w:fill="FFFFFF" w:themeFill="background1"/>
        <w:spacing w:line="360" w:lineRule="auto"/>
        <w:rPr>
          <w:rFonts w:ascii="宋体" w:hAnsi="宋体" w:cs="宋体"/>
          <w:b/>
          <w:color w:val="auto"/>
          <w:sz w:val="32"/>
          <w:szCs w:val="32"/>
          <w:highlight w:val="none"/>
        </w:rPr>
      </w:pPr>
    </w:p>
    <w:p w14:paraId="73533C44">
      <w:pPr>
        <w:shd w:val="clear" w:fill="FFFFFF" w:themeFill="background1"/>
        <w:tabs>
          <w:tab w:val="left" w:pos="3342"/>
        </w:tabs>
        <w:spacing w:before="101" w:line="380" w:lineRule="auto"/>
        <w:ind w:left="2049" w:right="665" w:hanging="1663"/>
        <w:rPr>
          <w:rFonts w:ascii="宋体" w:hAnsi="宋体" w:cs="宋体"/>
          <w:color w:val="auto"/>
          <w:sz w:val="31"/>
          <w:szCs w:val="31"/>
          <w:highlight w:val="none"/>
        </w:rPr>
      </w:pPr>
      <w:r>
        <w:rPr>
          <w:rFonts w:ascii="宋体" w:hAnsi="宋体" w:cs="宋体"/>
          <w:color w:val="auto"/>
          <w:spacing w:val="-8"/>
          <w:sz w:val="31"/>
          <w:szCs w:val="31"/>
          <w:highlight w:val="none"/>
        </w:rPr>
        <w:t>投标人：</w:t>
      </w:r>
      <w:r>
        <w:rPr>
          <w:rFonts w:ascii="宋体" w:hAnsi="宋体" w:cs="宋体"/>
          <w:color w:val="auto"/>
          <w:spacing w:val="-8"/>
          <w:sz w:val="31"/>
          <w:szCs w:val="31"/>
          <w:highlight w:val="none"/>
          <w:u w:val="single"/>
        </w:rPr>
        <w:t xml:space="preserve">    </w:t>
      </w:r>
      <w:r>
        <w:rPr>
          <w:rFonts w:ascii="宋体" w:hAnsi="宋体" w:cs="宋体"/>
          <w:color w:val="auto"/>
          <w:spacing w:val="-6"/>
          <w:sz w:val="31"/>
          <w:szCs w:val="31"/>
          <w:highlight w:val="none"/>
          <w:u w:val="single"/>
        </w:rPr>
        <w:t xml:space="preserve"> </w:t>
      </w:r>
      <w:r>
        <w:rPr>
          <w:rFonts w:ascii="宋体" w:hAnsi="宋体" w:cs="宋体"/>
          <w:color w:val="auto"/>
          <w:spacing w:val="-4"/>
          <w:sz w:val="31"/>
          <w:szCs w:val="31"/>
          <w:highlight w:val="none"/>
          <w:u w:val="single"/>
        </w:rPr>
        <w:t xml:space="preserve">                           </w:t>
      </w:r>
      <w:r>
        <w:rPr>
          <w:rFonts w:ascii="宋体" w:hAnsi="宋体" w:cs="宋体"/>
          <w:color w:val="auto"/>
          <w:spacing w:val="-4"/>
          <w:sz w:val="31"/>
          <w:szCs w:val="31"/>
          <w:highlight w:val="none"/>
        </w:rPr>
        <w:t>(盖单位章)</w:t>
      </w:r>
      <w:r>
        <w:rPr>
          <w:rFonts w:ascii="宋体" w:hAnsi="宋体" w:cs="宋体"/>
          <w:color w:val="auto"/>
          <w:sz w:val="31"/>
          <w:szCs w:val="31"/>
          <w:highlight w:val="none"/>
        </w:rPr>
        <w:t xml:space="preserve"> </w:t>
      </w:r>
    </w:p>
    <w:p w14:paraId="39FBFB00">
      <w:pPr>
        <w:shd w:val="clear" w:fill="FFFFFF" w:themeFill="background1"/>
        <w:tabs>
          <w:tab w:val="left" w:pos="3342"/>
        </w:tabs>
        <w:spacing w:before="101" w:line="380" w:lineRule="auto"/>
        <w:ind w:left="2166" w:leftChars="751" w:right="665" w:hanging="589" w:hangingChars="190"/>
        <w:rPr>
          <w:rFonts w:ascii="宋体" w:hAnsi="宋体" w:cs="宋体"/>
          <w:color w:val="auto"/>
          <w:sz w:val="31"/>
          <w:szCs w:val="31"/>
          <w:highlight w:val="none"/>
        </w:rPr>
      </w:pPr>
      <w:r>
        <w:rPr>
          <w:rFonts w:ascii="宋体" w:hAnsi="宋体" w:cs="宋体"/>
          <w:color w:val="auto"/>
          <w:sz w:val="31"/>
          <w:szCs w:val="31"/>
          <w:highlight w:val="none"/>
          <w:u w:val="single"/>
        </w:rPr>
        <w:tab/>
      </w:r>
      <w:r>
        <w:rPr>
          <w:rFonts w:hint="eastAsia" w:ascii="宋体" w:hAnsi="宋体" w:cs="宋体"/>
          <w:color w:val="auto"/>
          <w:sz w:val="31"/>
          <w:szCs w:val="31"/>
          <w:highlight w:val="none"/>
          <w:u w:val="single"/>
        </w:rPr>
        <w:t xml:space="preserve">  </w:t>
      </w:r>
      <w:r>
        <w:rPr>
          <w:rFonts w:ascii="宋体" w:hAnsi="宋体" w:cs="宋体"/>
          <w:color w:val="auto"/>
          <w:spacing w:val="-7"/>
          <w:sz w:val="31"/>
          <w:szCs w:val="31"/>
          <w:highlight w:val="none"/>
        </w:rPr>
        <w:t>年</w:t>
      </w:r>
      <w:r>
        <w:rPr>
          <w:rFonts w:ascii="宋体" w:hAnsi="宋体" w:cs="宋体"/>
          <w:color w:val="auto"/>
          <w:spacing w:val="-7"/>
          <w:sz w:val="31"/>
          <w:szCs w:val="31"/>
          <w:highlight w:val="none"/>
          <w:u w:val="single"/>
        </w:rPr>
        <w:t xml:space="preserve">       </w:t>
      </w:r>
      <w:r>
        <w:rPr>
          <w:rFonts w:ascii="宋体" w:hAnsi="宋体" w:cs="宋体"/>
          <w:color w:val="auto"/>
          <w:spacing w:val="-7"/>
          <w:sz w:val="31"/>
          <w:szCs w:val="31"/>
          <w:highlight w:val="none"/>
        </w:rPr>
        <w:t xml:space="preserve"> 月</w:t>
      </w:r>
      <w:r>
        <w:rPr>
          <w:rFonts w:ascii="宋体" w:hAnsi="宋体" w:cs="宋体"/>
          <w:color w:val="auto"/>
          <w:spacing w:val="-7"/>
          <w:sz w:val="31"/>
          <w:szCs w:val="31"/>
          <w:highlight w:val="none"/>
          <w:u w:val="single"/>
        </w:rPr>
        <w:t xml:space="preserve">        </w:t>
      </w:r>
      <w:r>
        <w:rPr>
          <w:rFonts w:ascii="宋体" w:hAnsi="宋体" w:cs="宋体"/>
          <w:color w:val="auto"/>
          <w:spacing w:val="-5"/>
          <w:sz w:val="31"/>
          <w:szCs w:val="31"/>
          <w:highlight w:val="none"/>
        </w:rPr>
        <w:t>日</w:t>
      </w:r>
    </w:p>
    <w:p w14:paraId="0FE4B409">
      <w:pPr>
        <w:shd w:val="clear" w:fill="FFFFFF" w:themeFill="background1"/>
        <w:rPr>
          <w:color w:val="auto"/>
          <w:highlight w:val="none"/>
        </w:rPr>
        <w:sectPr>
          <w:footerReference r:id="rId17" w:type="default"/>
          <w:pgSz w:w="11900" w:h="16839"/>
          <w:pgMar w:top="947" w:right="1125" w:bottom="1134" w:left="1420" w:header="707" w:footer="974" w:gutter="0"/>
          <w:cols w:space="720" w:num="1"/>
        </w:sectPr>
      </w:pPr>
    </w:p>
    <w:p w14:paraId="0F334BC3">
      <w:pPr>
        <w:shd w:val="clear" w:fill="FFFFFF" w:themeFill="background1"/>
        <w:rPr>
          <w:rFonts w:ascii="宋体" w:hAnsi="宋体"/>
          <w:color w:val="auto"/>
          <w:sz w:val="24"/>
          <w:highlight w:val="none"/>
        </w:rPr>
      </w:pPr>
    </w:p>
    <w:p w14:paraId="09EEDBC5">
      <w:pPr>
        <w:shd w:val="clear" w:fill="FFFFFF" w:themeFill="background1"/>
        <w:jc w:val="center"/>
        <w:rPr>
          <w:rFonts w:ascii="宋体" w:hAnsi="宋体"/>
          <w:b/>
          <w:color w:val="auto"/>
          <w:sz w:val="44"/>
          <w:szCs w:val="44"/>
          <w:highlight w:val="none"/>
        </w:rPr>
      </w:pPr>
    </w:p>
    <w:p w14:paraId="4AB4235A">
      <w:pPr>
        <w:shd w:val="clear" w:fill="FFFFFF" w:themeFill="background1"/>
        <w:jc w:val="center"/>
        <w:rPr>
          <w:rFonts w:ascii="宋体" w:hAnsi="宋体"/>
          <w:b/>
          <w:color w:val="auto"/>
          <w:sz w:val="44"/>
          <w:szCs w:val="44"/>
          <w:highlight w:val="none"/>
        </w:rPr>
      </w:pPr>
    </w:p>
    <w:p w14:paraId="2202024F">
      <w:pPr>
        <w:shd w:val="clear" w:fill="FFFFFF" w:themeFill="background1"/>
        <w:jc w:val="center"/>
        <w:rPr>
          <w:rFonts w:ascii="宋体" w:hAnsi="宋体"/>
          <w:b/>
          <w:color w:val="auto"/>
          <w:sz w:val="44"/>
          <w:szCs w:val="44"/>
          <w:highlight w:val="none"/>
        </w:rPr>
      </w:pPr>
    </w:p>
    <w:p w14:paraId="796DAE59">
      <w:pPr>
        <w:pStyle w:val="55"/>
        <w:shd w:val="clear" w:fill="FFFFFF" w:themeFill="background1"/>
        <w:rPr>
          <w:rFonts w:ascii="宋体" w:hAnsi="宋体"/>
          <w:b/>
          <w:color w:val="auto"/>
          <w:sz w:val="44"/>
          <w:szCs w:val="44"/>
          <w:highlight w:val="none"/>
        </w:rPr>
      </w:pPr>
    </w:p>
    <w:p w14:paraId="3247810B">
      <w:pPr>
        <w:pStyle w:val="55"/>
        <w:shd w:val="clear" w:fill="FFFFFF" w:themeFill="background1"/>
        <w:rPr>
          <w:rFonts w:ascii="宋体" w:hAnsi="宋体"/>
          <w:b/>
          <w:color w:val="auto"/>
          <w:sz w:val="44"/>
          <w:szCs w:val="44"/>
          <w:highlight w:val="none"/>
        </w:rPr>
      </w:pPr>
    </w:p>
    <w:p w14:paraId="46EF3621">
      <w:pPr>
        <w:shd w:val="clear" w:fill="FFFFFF" w:themeFill="background1"/>
        <w:jc w:val="center"/>
        <w:rPr>
          <w:rFonts w:ascii="宋体" w:hAnsi="宋体"/>
          <w:b/>
          <w:color w:val="auto"/>
          <w:sz w:val="44"/>
          <w:szCs w:val="44"/>
          <w:highlight w:val="none"/>
        </w:rPr>
      </w:pPr>
    </w:p>
    <w:p w14:paraId="54F74797">
      <w:pPr>
        <w:shd w:val="clear" w:fill="FFFFFF" w:themeFill="background1"/>
        <w:jc w:val="center"/>
        <w:rPr>
          <w:rFonts w:ascii="宋体" w:hAnsi="宋体"/>
          <w:b/>
          <w:color w:val="auto"/>
          <w:sz w:val="36"/>
          <w:szCs w:val="36"/>
          <w:highlight w:val="none"/>
        </w:rPr>
      </w:pPr>
      <w:r>
        <w:rPr>
          <w:rFonts w:hint="eastAsia" w:ascii="宋体" w:hAnsi="宋体"/>
          <w:b/>
          <w:color w:val="auto"/>
          <w:sz w:val="36"/>
          <w:szCs w:val="36"/>
          <w:highlight w:val="none"/>
        </w:rPr>
        <w:t>目</w:t>
      </w:r>
      <w:r>
        <w:rPr>
          <w:rFonts w:hint="eastAsia" w:ascii="宋体" w:hAnsi="宋体"/>
          <w:b/>
          <w:color w:val="auto"/>
          <w:sz w:val="36"/>
          <w:szCs w:val="36"/>
          <w:highlight w:val="none"/>
        </w:rPr>
        <w:tab/>
      </w:r>
      <w:r>
        <w:rPr>
          <w:rFonts w:hint="eastAsia" w:ascii="宋体" w:hAnsi="宋体"/>
          <w:b/>
          <w:color w:val="auto"/>
          <w:sz w:val="36"/>
          <w:szCs w:val="36"/>
          <w:highlight w:val="none"/>
        </w:rPr>
        <w:t xml:space="preserve">      录</w:t>
      </w:r>
    </w:p>
    <w:p w14:paraId="315B8842">
      <w:pPr>
        <w:pStyle w:val="55"/>
        <w:shd w:val="clear" w:fill="FFFFFF" w:themeFill="background1"/>
        <w:rPr>
          <w:rFonts w:ascii="宋体" w:hAnsi="宋体"/>
          <w:b/>
          <w:color w:val="auto"/>
          <w:sz w:val="36"/>
          <w:szCs w:val="36"/>
          <w:highlight w:val="none"/>
        </w:rPr>
      </w:pPr>
    </w:p>
    <w:p w14:paraId="2CA076AE">
      <w:pPr>
        <w:shd w:val="clear" w:fill="FFFFFF" w:themeFill="background1"/>
        <w:jc w:val="center"/>
        <w:rPr>
          <w:rFonts w:ascii="宋体" w:hAnsi="宋体"/>
          <w:b/>
          <w:bCs/>
          <w:color w:val="auto"/>
          <w:sz w:val="28"/>
          <w:szCs w:val="28"/>
          <w:highlight w:val="none"/>
        </w:rPr>
      </w:pPr>
      <w:r>
        <w:rPr>
          <w:b/>
          <w:bCs/>
          <w:color w:val="auto"/>
          <w:sz w:val="28"/>
          <w:szCs w:val="28"/>
          <w:highlight w:val="none"/>
        </w:rPr>
        <w:t>第二个信封</w:t>
      </w:r>
      <w:r>
        <w:rPr>
          <w:rFonts w:hint="eastAsia"/>
          <w:b/>
          <w:bCs/>
          <w:color w:val="auto"/>
          <w:sz w:val="28"/>
          <w:szCs w:val="28"/>
          <w:highlight w:val="none"/>
        </w:rPr>
        <w:t>（</w:t>
      </w:r>
      <w:r>
        <w:rPr>
          <w:b/>
          <w:bCs/>
          <w:color w:val="auto"/>
          <w:sz w:val="28"/>
          <w:szCs w:val="28"/>
          <w:highlight w:val="none"/>
        </w:rPr>
        <w:t>报价文件</w:t>
      </w:r>
      <w:r>
        <w:rPr>
          <w:rFonts w:hint="eastAsia"/>
          <w:b/>
          <w:bCs/>
          <w:color w:val="auto"/>
          <w:sz w:val="28"/>
          <w:szCs w:val="28"/>
          <w:highlight w:val="none"/>
        </w:rPr>
        <w:t>）</w:t>
      </w:r>
    </w:p>
    <w:p w14:paraId="37272770">
      <w:pPr>
        <w:pStyle w:val="55"/>
        <w:shd w:val="clear" w:fill="FFFFFF" w:themeFill="background1"/>
        <w:rPr>
          <w:rFonts w:ascii="宋体" w:hAnsi="宋体"/>
          <w:b/>
          <w:color w:val="auto"/>
          <w:sz w:val="36"/>
          <w:szCs w:val="36"/>
          <w:highlight w:val="none"/>
        </w:rPr>
      </w:pPr>
    </w:p>
    <w:p w14:paraId="26A357A7">
      <w:pPr>
        <w:shd w:val="clear" w:fill="FFFFFF" w:themeFill="background1"/>
        <w:rPr>
          <w:rFonts w:ascii="宋体" w:hAnsi="宋体"/>
          <w:color w:val="auto"/>
          <w:sz w:val="24"/>
          <w:highlight w:val="none"/>
        </w:rPr>
      </w:pPr>
    </w:p>
    <w:p w14:paraId="4F9BEF0B">
      <w:pPr>
        <w:shd w:val="clear" w:fill="FFFFFF" w:themeFill="background1"/>
        <w:spacing w:line="360" w:lineRule="auto"/>
        <w:rPr>
          <w:rFonts w:ascii="宋体" w:hAnsi="宋体"/>
          <w:color w:val="auto"/>
          <w:sz w:val="24"/>
          <w:highlight w:val="none"/>
        </w:rPr>
      </w:pPr>
      <w:r>
        <w:rPr>
          <w:rFonts w:hint="eastAsia" w:ascii="宋体" w:hAnsi="宋体"/>
          <w:color w:val="auto"/>
          <w:sz w:val="24"/>
          <w:highlight w:val="none"/>
        </w:rPr>
        <w:t>一</w:t>
      </w:r>
      <w:r>
        <w:rPr>
          <w:rFonts w:ascii="宋体" w:hAnsi="宋体"/>
          <w:color w:val="auto"/>
          <w:sz w:val="24"/>
          <w:highlight w:val="none"/>
        </w:rPr>
        <w:t>、投标函</w:t>
      </w:r>
    </w:p>
    <w:p w14:paraId="0F1C6FA9">
      <w:pPr>
        <w:shd w:val="clear" w:fill="FFFFFF" w:themeFill="background1"/>
        <w:spacing w:line="360" w:lineRule="auto"/>
        <w:rPr>
          <w:rFonts w:ascii="宋体" w:hAnsi="宋体"/>
          <w:color w:val="auto"/>
          <w:szCs w:val="21"/>
          <w:highlight w:val="none"/>
        </w:rPr>
      </w:pPr>
      <w:r>
        <w:rPr>
          <w:rFonts w:ascii="宋体" w:hAnsi="宋体"/>
          <w:color w:val="auto"/>
          <w:sz w:val="24"/>
          <w:highlight w:val="none"/>
        </w:rPr>
        <w:t>二、</w:t>
      </w:r>
      <w:r>
        <w:rPr>
          <w:rFonts w:hint="eastAsia" w:ascii="宋体" w:hAnsi="宋体"/>
          <w:color w:val="auto"/>
          <w:sz w:val="24"/>
          <w:highlight w:val="none"/>
        </w:rPr>
        <w:t>已标价工程量清单</w:t>
      </w:r>
    </w:p>
    <w:p w14:paraId="7B86B97B">
      <w:pPr>
        <w:shd w:val="clear" w:fill="FFFFFF" w:themeFill="background1"/>
        <w:rPr>
          <w:rFonts w:ascii="宋体" w:hAnsi="宋体"/>
          <w:color w:val="auto"/>
          <w:sz w:val="24"/>
          <w:highlight w:val="none"/>
        </w:rPr>
      </w:pPr>
    </w:p>
    <w:p w14:paraId="1C3F5499">
      <w:pPr>
        <w:shd w:val="clear" w:fill="FFFFFF" w:themeFill="background1"/>
        <w:rPr>
          <w:rFonts w:ascii="宋体" w:hAnsi="宋体"/>
          <w:color w:val="auto"/>
          <w:sz w:val="24"/>
          <w:highlight w:val="none"/>
        </w:rPr>
      </w:pPr>
    </w:p>
    <w:p w14:paraId="7CC77791">
      <w:pPr>
        <w:shd w:val="clear" w:fill="FFFFFF" w:themeFill="background1"/>
        <w:jc w:val="center"/>
        <w:rPr>
          <w:rFonts w:ascii="宋体" w:hAnsi="宋体"/>
          <w:color w:val="auto"/>
          <w:sz w:val="24"/>
          <w:highlight w:val="none"/>
        </w:rPr>
      </w:pPr>
      <w:bookmarkStart w:id="1762" w:name="_Toc275856199"/>
      <w:r>
        <w:rPr>
          <w:rFonts w:ascii="宋体" w:hAnsi="宋体"/>
          <w:color w:val="auto"/>
          <w:sz w:val="24"/>
          <w:highlight w:val="none"/>
        </w:rPr>
        <w:br w:type="page"/>
      </w:r>
    </w:p>
    <w:bookmarkEnd w:id="1762"/>
    <w:p w14:paraId="2B83469C">
      <w:pPr>
        <w:shd w:val="clear" w:fill="FFFFFF" w:themeFill="background1"/>
        <w:jc w:val="center"/>
        <w:rPr>
          <w:rFonts w:ascii="宋体" w:hAnsi="宋体"/>
          <w:b/>
          <w:color w:val="auto"/>
          <w:sz w:val="32"/>
          <w:szCs w:val="32"/>
          <w:highlight w:val="none"/>
        </w:rPr>
      </w:pPr>
      <w:r>
        <w:rPr>
          <w:rFonts w:hint="eastAsia" w:ascii="宋体" w:hAnsi="宋体"/>
          <w:b/>
          <w:color w:val="auto"/>
          <w:sz w:val="32"/>
          <w:szCs w:val="32"/>
          <w:highlight w:val="none"/>
        </w:rPr>
        <w:t>一、投标函</w:t>
      </w:r>
    </w:p>
    <w:p w14:paraId="750352B0">
      <w:pPr>
        <w:shd w:val="clear" w:fill="FFFFFF" w:themeFill="background1"/>
        <w:jc w:val="center"/>
        <w:rPr>
          <w:rFonts w:ascii="宋体" w:hAnsi="宋体"/>
          <w:b/>
          <w:color w:val="auto"/>
          <w:sz w:val="28"/>
          <w:szCs w:val="28"/>
          <w:highlight w:val="none"/>
        </w:rPr>
      </w:pPr>
      <w:r>
        <w:rPr>
          <w:rFonts w:hint="eastAsia" w:ascii="宋体" w:hAnsi="宋体"/>
          <w:b/>
          <w:color w:val="auto"/>
          <w:sz w:val="28"/>
          <w:szCs w:val="28"/>
          <w:highlight w:val="none"/>
        </w:rPr>
        <w:t>（一）投 标 函</w:t>
      </w:r>
    </w:p>
    <w:p w14:paraId="504DF0EB">
      <w:pPr>
        <w:shd w:val="clear" w:fill="FFFFFF" w:themeFill="background1"/>
        <w:spacing w:line="360" w:lineRule="exact"/>
        <w:rPr>
          <w:rFonts w:ascii="宋体" w:hAnsi="宋体"/>
          <w:color w:val="auto"/>
          <w:sz w:val="24"/>
          <w:highlight w:val="none"/>
        </w:rPr>
      </w:pPr>
    </w:p>
    <w:p w14:paraId="55043324">
      <w:pPr>
        <w:shd w:val="clear" w:fill="FFFFFF" w:themeFill="background1"/>
        <w:spacing w:line="360" w:lineRule="auto"/>
        <w:rPr>
          <w:rFonts w:ascii="宋体" w:hAnsi="宋体"/>
          <w:color w:val="auto"/>
          <w:sz w:val="24"/>
          <w:highlight w:val="none"/>
        </w:rPr>
      </w:pPr>
      <w:r>
        <w:rPr>
          <w:rFonts w:hint="eastAsia" w:ascii="宋体" w:hAnsi="宋体"/>
          <w:color w:val="auto"/>
          <w:sz w:val="24"/>
          <w:highlight w:val="none"/>
          <w:u w:val="single"/>
        </w:rPr>
        <w:t xml:space="preserve">        　　    </w:t>
      </w:r>
      <w:r>
        <w:rPr>
          <w:rFonts w:ascii="宋体" w:hAnsi="宋体"/>
          <w:color w:val="auto"/>
          <w:sz w:val="24"/>
          <w:highlight w:val="none"/>
        </w:rPr>
        <w:t>（招标人名称）：</w:t>
      </w:r>
    </w:p>
    <w:p w14:paraId="77F84DB7">
      <w:pPr>
        <w:shd w:val="clear" w:fill="FFFFFF" w:themeFill="background1"/>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1.我方已仔细研究</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施工招标文件的全部内容（含补遗书第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号至第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号），在考察工程现场后，愿意以人民币</w:t>
      </w:r>
      <w:r>
        <w:rPr>
          <w:rFonts w:hint="eastAsia" w:ascii="宋体" w:hAnsi="宋体" w:cs="宋体"/>
          <w:color w:val="auto"/>
          <w:sz w:val="24"/>
          <w:highlight w:val="none"/>
          <w:u w:val="single"/>
        </w:rPr>
        <w:t>（大写）    （</w:t>
      </w:r>
      <w:r>
        <w:rPr>
          <w:rFonts w:ascii="宋体" w:hAnsi="宋体" w:cs="Arial"/>
          <w:color w:val="auto"/>
          <w:sz w:val="24"/>
          <w:highlight w:val="none"/>
          <w:u w:val="single"/>
        </w:rPr>
        <w:t>¥</w:t>
      </w:r>
      <w:r>
        <w:rPr>
          <w:rFonts w:hint="eastAsia" w:ascii="宋体" w:hAnsi="宋体" w:cs="Arial"/>
          <w:color w:val="auto"/>
          <w:sz w:val="24"/>
          <w:highlight w:val="none"/>
          <w:u w:val="single"/>
        </w:rPr>
        <w:t xml:space="preserve">    </w:t>
      </w:r>
      <w:r>
        <w:rPr>
          <w:rFonts w:hint="eastAsia" w:ascii="宋体" w:hAnsi="宋体" w:cs="宋体"/>
          <w:color w:val="auto"/>
          <w:sz w:val="24"/>
          <w:highlight w:val="none"/>
          <w:u w:val="single"/>
        </w:rPr>
        <w:t>元）</w:t>
      </w:r>
      <w:r>
        <w:rPr>
          <w:rFonts w:hint="eastAsia" w:ascii="宋体" w:hAnsi="宋体" w:cs="宋体"/>
          <w:color w:val="auto"/>
          <w:sz w:val="24"/>
          <w:highlight w:val="none"/>
        </w:rPr>
        <w:t>的投标总报价（或根据招标文件规定修正核实后确定的另一金额，其中，增值税税率为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），按合同约定实施和完成承包工程，修补工程中的任何缺陷。</w:t>
      </w:r>
    </w:p>
    <w:p w14:paraId="7B2047C4">
      <w:pPr>
        <w:shd w:val="clear" w:fill="FFFFFF" w:themeFill="background1"/>
        <w:spacing w:line="360" w:lineRule="auto"/>
        <w:rPr>
          <w:rFonts w:ascii="宋体" w:hAnsi="宋体"/>
          <w:color w:val="auto"/>
          <w:sz w:val="24"/>
          <w:highlight w:val="none"/>
        </w:rPr>
      </w:pPr>
      <w:r>
        <w:rPr>
          <w:rFonts w:hint="eastAsia" w:ascii="宋体" w:hAnsi="宋体" w:cs="宋体"/>
          <w:color w:val="auto"/>
          <w:sz w:val="24"/>
          <w:highlight w:val="none"/>
        </w:rPr>
        <w:t xml:space="preserve">    2.在合同协议书正式签署生效之前，本投标函连同你方的中标通知书将构成我们双方之间共同遵守的文件，对双方具有约束力。</w:t>
      </w:r>
    </w:p>
    <w:p w14:paraId="4AAFBC55">
      <w:pPr>
        <w:shd w:val="clear" w:fill="FFFFFF" w:themeFill="background1"/>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u w:val="single"/>
        </w:rPr>
        <w:t xml:space="preserve">                （其他补充说明）</w:t>
      </w:r>
      <w:r>
        <w:rPr>
          <w:rFonts w:hint="eastAsia" w:ascii="宋体" w:hAnsi="宋体" w:cs="宋体"/>
          <w:color w:val="auto"/>
          <w:sz w:val="24"/>
          <w:highlight w:val="none"/>
        </w:rPr>
        <w:t>。</w:t>
      </w:r>
    </w:p>
    <w:p w14:paraId="2743B62E">
      <w:pPr>
        <w:shd w:val="clear" w:fill="FFFFFF" w:themeFill="background1"/>
        <w:spacing w:line="360" w:lineRule="auto"/>
        <w:ind w:firstLine="420" w:firstLineChars="200"/>
        <w:rPr>
          <w:rFonts w:ascii="宋体" w:hAnsi="宋体"/>
          <w:color w:val="auto"/>
          <w:szCs w:val="21"/>
          <w:highlight w:val="none"/>
        </w:rPr>
      </w:pPr>
    </w:p>
    <w:p w14:paraId="28A238B5">
      <w:pPr>
        <w:shd w:val="clear" w:fill="FFFFFF" w:themeFill="background1"/>
        <w:spacing w:line="360" w:lineRule="auto"/>
        <w:ind w:firstLine="420" w:firstLineChars="200"/>
        <w:rPr>
          <w:rFonts w:ascii="宋体" w:hAnsi="宋体"/>
          <w:color w:val="auto"/>
          <w:szCs w:val="21"/>
          <w:highlight w:val="none"/>
        </w:rPr>
      </w:pPr>
    </w:p>
    <w:p w14:paraId="5A65DEE4">
      <w:pPr>
        <w:shd w:val="clear" w:fill="FFFFFF" w:themeFill="background1"/>
        <w:spacing w:line="360" w:lineRule="auto"/>
        <w:ind w:firstLine="420" w:firstLineChars="200"/>
        <w:rPr>
          <w:rFonts w:ascii="宋体" w:hAnsi="宋体"/>
          <w:color w:val="auto"/>
          <w:szCs w:val="21"/>
          <w:highlight w:val="none"/>
        </w:rPr>
      </w:pPr>
    </w:p>
    <w:p w14:paraId="156F0D7A">
      <w:pPr>
        <w:shd w:val="clear" w:fill="FFFFFF" w:themeFill="background1"/>
        <w:spacing w:line="360" w:lineRule="auto"/>
        <w:rPr>
          <w:rFonts w:ascii="宋体" w:hAnsi="宋体"/>
          <w:color w:val="auto"/>
          <w:szCs w:val="21"/>
          <w:highlight w:val="none"/>
        </w:rPr>
      </w:pPr>
    </w:p>
    <w:p w14:paraId="3FF6E702">
      <w:pPr>
        <w:shd w:val="clear" w:fill="FFFFFF" w:themeFill="background1"/>
        <w:tabs>
          <w:tab w:val="left" w:pos="2977"/>
          <w:tab w:val="left" w:pos="3261"/>
        </w:tabs>
        <w:spacing w:line="360" w:lineRule="auto"/>
        <w:rPr>
          <w:rFonts w:ascii="宋体" w:hAnsi="宋体"/>
          <w:color w:val="auto"/>
          <w:szCs w:val="21"/>
          <w:highlight w:val="none"/>
        </w:rPr>
      </w:pPr>
      <w:r>
        <w:rPr>
          <w:rFonts w:ascii="宋体" w:hAnsi="宋体"/>
          <w:color w:val="auto"/>
          <w:szCs w:val="21"/>
          <w:highlight w:val="none"/>
        </w:rPr>
        <w:t>投标人：（盖单位章）</w:t>
      </w:r>
    </w:p>
    <w:p w14:paraId="6BBF88E9">
      <w:pPr>
        <w:shd w:val="clear" w:fill="FFFFFF" w:themeFill="background1"/>
        <w:spacing w:line="360" w:lineRule="auto"/>
        <w:rPr>
          <w:rFonts w:ascii="宋体" w:hAnsi="宋体"/>
          <w:color w:val="auto"/>
          <w:szCs w:val="21"/>
          <w:highlight w:val="none"/>
        </w:rPr>
      </w:pPr>
      <w:r>
        <w:rPr>
          <w:rFonts w:ascii="宋体" w:hAnsi="宋体"/>
          <w:color w:val="auto"/>
          <w:szCs w:val="21"/>
          <w:highlight w:val="none"/>
        </w:rPr>
        <w:t>法定代表人或其委托代理人：（签字）</w:t>
      </w:r>
    </w:p>
    <w:p w14:paraId="3A52D0C7">
      <w:pPr>
        <w:pStyle w:val="55"/>
        <w:shd w:val="clear" w:fill="FFFFFF" w:themeFill="background1"/>
        <w:spacing w:line="360" w:lineRule="auto"/>
        <w:ind w:firstLine="0"/>
        <w:rPr>
          <w:rFonts w:ascii="宋体" w:hAnsi="宋体"/>
          <w:color w:val="auto"/>
          <w:szCs w:val="21"/>
          <w:highlight w:val="none"/>
        </w:rPr>
      </w:pPr>
      <w:r>
        <w:rPr>
          <w:rFonts w:ascii="宋体" w:hAnsi="宋体" w:cs="Times New Roman"/>
          <w:color w:val="auto"/>
          <w:sz w:val="21"/>
          <w:szCs w:val="21"/>
          <w:highlight w:val="none"/>
        </w:rPr>
        <w:t>地址：</w:t>
      </w:r>
    </w:p>
    <w:p w14:paraId="42F9CB4B">
      <w:pPr>
        <w:shd w:val="clear" w:fill="FFFFFF" w:themeFill="background1"/>
        <w:spacing w:line="360" w:lineRule="auto"/>
        <w:rPr>
          <w:rFonts w:ascii="宋体" w:hAnsi="宋体"/>
          <w:color w:val="auto"/>
          <w:szCs w:val="21"/>
          <w:highlight w:val="none"/>
        </w:rPr>
      </w:pPr>
      <w:r>
        <w:rPr>
          <w:rFonts w:ascii="宋体" w:hAnsi="宋体"/>
          <w:color w:val="auto"/>
          <w:szCs w:val="21"/>
          <w:highlight w:val="none"/>
        </w:rPr>
        <w:t>网址：</w:t>
      </w:r>
    </w:p>
    <w:p w14:paraId="64C7D76C">
      <w:pPr>
        <w:shd w:val="clear" w:fill="FFFFFF" w:themeFill="background1"/>
        <w:spacing w:line="360" w:lineRule="auto"/>
        <w:rPr>
          <w:rFonts w:ascii="宋体" w:hAnsi="宋体"/>
          <w:color w:val="auto"/>
          <w:szCs w:val="21"/>
          <w:highlight w:val="none"/>
        </w:rPr>
      </w:pPr>
      <w:r>
        <w:rPr>
          <w:rFonts w:ascii="宋体" w:hAnsi="宋体"/>
          <w:color w:val="auto"/>
          <w:szCs w:val="21"/>
          <w:highlight w:val="none"/>
        </w:rPr>
        <w:t>电话：</w:t>
      </w:r>
    </w:p>
    <w:p w14:paraId="2D497B55">
      <w:pPr>
        <w:shd w:val="clear" w:fill="FFFFFF" w:themeFill="background1"/>
        <w:spacing w:line="360" w:lineRule="auto"/>
        <w:rPr>
          <w:rFonts w:ascii="宋体" w:hAnsi="宋体"/>
          <w:color w:val="auto"/>
          <w:szCs w:val="21"/>
          <w:highlight w:val="none"/>
        </w:rPr>
      </w:pPr>
      <w:r>
        <w:rPr>
          <w:rFonts w:ascii="宋体" w:hAnsi="宋体"/>
          <w:color w:val="auto"/>
          <w:szCs w:val="21"/>
          <w:highlight w:val="none"/>
        </w:rPr>
        <w:t>传真：</w:t>
      </w:r>
    </w:p>
    <w:p w14:paraId="1FE024C8">
      <w:pPr>
        <w:shd w:val="clear" w:fill="FFFFFF" w:themeFill="background1"/>
        <w:spacing w:line="360" w:lineRule="auto"/>
        <w:rPr>
          <w:rFonts w:ascii="宋体" w:hAnsi="宋体"/>
          <w:color w:val="auto"/>
          <w:szCs w:val="21"/>
          <w:highlight w:val="none"/>
        </w:rPr>
      </w:pPr>
      <w:r>
        <w:rPr>
          <w:rFonts w:ascii="宋体" w:hAnsi="宋体"/>
          <w:color w:val="auto"/>
          <w:szCs w:val="21"/>
          <w:highlight w:val="none"/>
        </w:rPr>
        <w:t>邮政编码：</w:t>
      </w:r>
    </w:p>
    <w:p w14:paraId="3D8CCFD6">
      <w:pPr>
        <w:shd w:val="clear" w:fill="FFFFFF" w:themeFill="background1"/>
        <w:spacing w:line="360" w:lineRule="auto"/>
        <w:rPr>
          <w:rFonts w:ascii="宋体" w:hAnsi="宋体"/>
          <w:color w:val="auto"/>
          <w:szCs w:val="21"/>
          <w:highlight w:val="none"/>
        </w:rPr>
      </w:pPr>
    </w:p>
    <w:p w14:paraId="77DD9F45">
      <w:pPr>
        <w:shd w:val="clear" w:fill="FFFFFF" w:themeFill="background1"/>
        <w:ind w:firstLine="720" w:firstLineChars="300"/>
        <w:rPr>
          <w:rFonts w:ascii="宋体" w:hAnsi="宋体"/>
          <w:color w:val="auto"/>
          <w:szCs w:val="21"/>
          <w:highlight w:val="none"/>
        </w:rPr>
      </w:pPr>
      <w:r>
        <w:rPr>
          <w:rFonts w:ascii="宋体" w:hAnsi="宋体"/>
          <w:color w:val="auto"/>
          <w:sz w:val="24"/>
          <w:highlight w:val="none"/>
        </w:rPr>
        <w:t>年</w:t>
      </w:r>
      <w:r>
        <w:rPr>
          <w:rFonts w:hint="eastAsia" w:ascii="宋体" w:hAnsi="宋体"/>
          <w:color w:val="auto"/>
          <w:sz w:val="24"/>
          <w:highlight w:val="none"/>
        </w:rPr>
        <w:t xml:space="preserve">    </w:t>
      </w:r>
      <w:r>
        <w:rPr>
          <w:rFonts w:ascii="宋体" w:hAnsi="宋体"/>
          <w:color w:val="auto"/>
          <w:sz w:val="24"/>
          <w:highlight w:val="none"/>
        </w:rPr>
        <w:t>月</w:t>
      </w:r>
      <w:r>
        <w:rPr>
          <w:rFonts w:hint="eastAsia" w:ascii="宋体" w:hAnsi="宋体"/>
          <w:color w:val="auto"/>
          <w:sz w:val="24"/>
          <w:highlight w:val="none"/>
        </w:rPr>
        <w:t xml:space="preserve">    </w:t>
      </w:r>
      <w:r>
        <w:rPr>
          <w:rFonts w:ascii="宋体" w:hAnsi="宋体"/>
          <w:color w:val="auto"/>
          <w:sz w:val="24"/>
          <w:highlight w:val="none"/>
        </w:rPr>
        <w:t>日</w:t>
      </w:r>
    </w:p>
    <w:p w14:paraId="268CE7F6">
      <w:pPr>
        <w:shd w:val="clear" w:fill="FFFFFF" w:themeFill="background1"/>
        <w:rPr>
          <w:rFonts w:ascii="宋体" w:hAnsi="宋体"/>
          <w:color w:val="auto"/>
          <w:szCs w:val="21"/>
          <w:highlight w:val="none"/>
        </w:rPr>
      </w:pPr>
    </w:p>
    <w:p w14:paraId="65D55F9C">
      <w:pPr>
        <w:shd w:val="clear" w:fill="FFFFFF" w:themeFill="background1"/>
        <w:jc w:val="center"/>
        <w:rPr>
          <w:rFonts w:ascii="宋体" w:hAnsi="宋体"/>
          <w:b/>
          <w:color w:val="auto"/>
          <w:sz w:val="28"/>
          <w:szCs w:val="28"/>
          <w:highlight w:val="none"/>
        </w:rPr>
      </w:pPr>
      <w:bookmarkStart w:id="1763" w:name="_Toc275856200"/>
      <w:bookmarkEnd w:id="1763"/>
      <w:r>
        <w:rPr>
          <w:rFonts w:hint="eastAsia" w:ascii="宋体" w:hAnsi="宋体"/>
          <w:color w:val="auto"/>
          <w:szCs w:val="21"/>
          <w:highlight w:val="none"/>
        </w:rPr>
        <w:br w:type="page"/>
      </w:r>
      <w:r>
        <w:rPr>
          <w:rFonts w:hint="eastAsia" w:ascii="宋体" w:hAnsi="宋体"/>
          <w:b/>
          <w:color w:val="auto"/>
          <w:sz w:val="28"/>
          <w:szCs w:val="28"/>
          <w:highlight w:val="none"/>
        </w:rPr>
        <w:t>二</w:t>
      </w:r>
      <w:r>
        <w:rPr>
          <w:rFonts w:ascii="宋体" w:hAnsi="宋体"/>
          <w:b/>
          <w:color w:val="auto"/>
          <w:sz w:val="28"/>
          <w:szCs w:val="28"/>
          <w:highlight w:val="none"/>
        </w:rPr>
        <w:t>、已标价工程量清单</w:t>
      </w:r>
    </w:p>
    <w:p w14:paraId="73A0A33C">
      <w:pPr>
        <w:shd w:val="clear" w:fill="FFFFFF" w:themeFill="background1"/>
        <w:spacing w:line="360" w:lineRule="auto"/>
        <w:rPr>
          <w:rFonts w:ascii="宋体" w:hAnsi="宋体" w:cs="宋体"/>
          <w:color w:val="auto"/>
          <w:sz w:val="24"/>
          <w:highlight w:val="none"/>
        </w:rPr>
      </w:pPr>
    </w:p>
    <w:p w14:paraId="6AE0954B">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xml:space="preserve"> 工程量清单说明</w:t>
      </w:r>
    </w:p>
    <w:p w14:paraId="76B5FCC1">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1.1本工程量清单是根据招标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558CC2F2">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1.2本工程量清单应与招标文件中的投标人须知、通用合同条款、专用合同条款、工程量清单计量规则、技术规范及图纸等一起阅读和理解。</w:t>
      </w:r>
    </w:p>
    <w:p w14:paraId="54266D6D">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1.3</w:t>
      </w:r>
      <w:r>
        <w:rPr>
          <w:rFonts w:ascii="宋体" w:hAnsi="宋体"/>
          <w:color w:val="auto"/>
          <w:sz w:val="24"/>
          <w:highlight w:val="none"/>
        </w:rPr>
        <w:t>本工程量清单中所列工程数量是估算的或设计的预计数量，仅作为投标报价的共同基础，不能作为最终结算与支付的依据。实际支付应按实际完成的工程量， 由承包人按工程量清单计量规则规定的计量方法，以监理人认可的尺寸、断面计量，按本工程量清单的单价和总额价计算支付金额；或根据具体情况，按合同条款第 15.4 款的规定，按监理人确定的单价或总额价计算支付额。</w:t>
      </w:r>
    </w:p>
    <w:p w14:paraId="48AC48A4">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1.4</w:t>
      </w:r>
      <w:r>
        <w:rPr>
          <w:rFonts w:ascii="宋体" w:hAnsi="宋体"/>
          <w:color w:val="auto"/>
          <w:sz w:val="24"/>
          <w:highlight w:val="none"/>
        </w:rPr>
        <w:t>工程量清单各章是按第八章“工程量清单计量规则”、第七章“技术规范”的相应章次编号的，因此，工程量清单中各章的工程子目的范围与计量等应与“工程量清单计量规则”、“技术规范”相应章节的范围、计量与支付条款结合起来理解或解释。</w:t>
      </w:r>
    </w:p>
    <w:p w14:paraId="6521292F">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1.5</w:t>
      </w:r>
      <w:r>
        <w:rPr>
          <w:rFonts w:ascii="宋体" w:hAnsi="宋体"/>
          <w:color w:val="auto"/>
          <w:sz w:val="24"/>
          <w:highlight w:val="none"/>
        </w:rPr>
        <w:t>对作业和材料的一般说明或规定，未重复写入工程量清单内，在给工程量清单各子目标价前，应参阅第七章“技术规范”的有关内容。</w:t>
      </w:r>
    </w:p>
    <w:p w14:paraId="22D1EDF1">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1.6</w:t>
      </w:r>
      <w:r>
        <w:rPr>
          <w:rFonts w:ascii="宋体" w:hAnsi="宋体"/>
          <w:color w:val="auto"/>
          <w:sz w:val="24"/>
          <w:highlight w:val="none"/>
        </w:rPr>
        <w:t>工程量清单中所列工程量的变动，丝毫不会降低或影响合同条款的效力，也不免除承包人按规定的标准进行施工和修复缺陷的责任。</w:t>
      </w:r>
    </w:p>
    <w:p w14:paraId="5BF6323F">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1.7</w:t>
      </w:r>
      <w:r>
        <w:rPr>
          <w:rFonts w:ascii="宋体" w:hAnsi="宋体"/>
          <w:color w:val="auto"/>
          <w:sz w:val="24"/>
          <w:highlight w:val="none"/>
        </w:rPr>
        <w:t>图纸中所列的工程数量表及数量汇总表仅是提供资料，不是工程量清单的外延。当图纸与工程量清单所列数量不一致时，以工程量清单所列数量作为报价的依据。</w:t>
      </w:r>
    </w:p>
    <w:p w14:paraId="330972A6">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 xml:space="preserve"> 2.</w:t>
      </w:r>
      <w:r>
        <w:rPr>
          <w:rFonts w:ascii="宋体" w:hAnsi="宋体"/>
          <w:color w:val="auto"/>
          <w:sz w:val="24"/>
          <w:highlight w:val="none"/>
        </w:rPr>
        <w:t xml:space="preserve"> 投标报价说明</w:t>
      </w:r>
    </w:p>
    <w:p w14:paraId="485AA41E">
      <w:pPr>
        <w:shd w:val="clear" w:fill="FFFFFF" w:themeFill="background1"/>
        <w:spacing w:line="348" w:lineRule="auto"/>
        <w:rPr>
          <w:rFonts w:ascii="宋体" w:hAnsi="宋体"/>
          <w:color w:val="auto"/>
          <w:sz w:val="24"/>
          <w:highlight w:val="none"/>
        </w:rPr>
      </w:pPr>
      <w:r>
        <w:rPr>
          <w:rFonts w:hint="eastAsia" w:ascii="宋体" w:hAnsi="宋体"/>
          <w:color w:val="auto"/>
          <w:sz w:val="24"/>
          <w:highlight w:val="none"/>
        </w:rPr>
        <w:t xml:space="preserve">   2.1</w:t>
      </w:r>
      <w:r>
        <w:rPr>
          <w:rFonts w:ascii="宋体" w:hAnsi="宋体"/>
          <w:color w:val="auto"/>
          <w:sz w:val="24"/>
          <w:highlight w:val="none"/>
        </w:rPr>
        <w:t>工程量清单中的每一子目须填入单价或价格，且只允许有一个报价。</w:t>
      </w:r>
    </w:p>
    <w:p w14:paraId="25A512B3">
      <w:pPr>
        <w:shd w:val="clear" w:fill="FFFFFF" w:themeFill="background1"/>
        <w:spacing w:line="348" w:lineRule="auto"/>
        <w:rPr>
          <w:rFonts w:ascii="宋体" w:hAnsi="宋体"/>
          <w:color w:val="auto"/>
          <w:sz w:val="24"/>
          <w:highlight w:val="none"/>
        </w:rPr>
      </w:pPr>
      <w:r>
        <w:rPr>
          <w:rFonts w:hint="eastAsia" w:ascii="宋体" w:hAnsi="宋体"/>
          <w:color w:val="auto"/>
          <w:sz w:val="24"/>
          <w:highlight w:val="none"/>
        </w:rPr>
        <w:t xml:space="preserve">   2.2</w:t>
      </w:r>
      <w:r>
        <w:rPr>
          <w:rFonts w:ascii="宋体" w:hAnsi="宋体"/>
          <w:color w:val="auto"/>
          <w:sz w:val="24"/>
          <w:highlight w:val="none"/>
        </w:rPr>
        <w:t>除非合同另有规定，工程量清单中有标价的单价和总额价均已包括了为实施和完成合同工程所需的劳务、材料、机械、质检(自检)、安装、缺陷修复、管理、保险（建筑工程一切险及第三者责任险除外）、税费、利润等费用，以及合同明示或暗示的所有责任、义务和一般风险。</w:t>
      </w:r>
    </w:p>
    <w:p w14:paraId="51FDE5F5">
      <w:pPr>
        <w:shd w:val="clear" w:fill="FFFFFF" w:themeFill="background1"/>
        <w:spacing w:line="348" w:lineRule="auto"/>
        <w:rPr>
          <w:rFonts w:ascii="宋体" w:hAnsi="宋体"/>
          <w:color w:val="auto"/>
          <w:sz w:val="24"/>
          <w:highlight w:val="none"/>
        </w:rPr>
      </w:pPr>
      <w:r>
        <w:rPr>
          <w:rFonts w:hint="eastAsia" w:ascii="宋体" w:hAnsi="宋体"/>
          <w:color w:val="auto"/>
          <w:sz w:val="24"/>
          <w:highlight w:val="none"/>
        </w:rPr>
        <w:t xml:space="preserve">   2.3</w:t>
      </w:r>
      <w:r>
        <w:rPr>
          <w:rFonts w:ascii="宋体" w:hAnsi="宋体"/>
          <w:color w:val="auto"/>
          <w:sz w:val="24"/>
          <w:highlight w:val="none"/>
        </w:rPr>
        <w:t>工程量清单中投标人没有填入单价或价格的子目，其费用视为已分摊在工程量清单中其他相关子目的单价或价格之中。承包人必须按监理人指令完成工程量清单中未填入单价或价格的子目，但不能得到结算与支付。</w:t>
      </w:r>
    </w:p>
    <w:p w14:paraId="2270D698">
      <w:pPr>
        <w:shd w:val="clear" w:fill="FFFFFF" w:themeFill="background1"/>
        <w:spacing w:line="348" w:lineRule="auto"/>
        <w:rPr>
          <w:rFonts w:ascii="宋体" w:hAnsi="宋体"/>
          <w:color w:val="auto"/>
          <w:sz w:val="24"/>
          <w:highlight w:val="none"/>
        </w:rPr>
      </w:pPr>
      <w:r>
        <w:rPr>
          <w:rFonts w:hint="eastAsia" w:ascii="宋体" w:hAnsi="宋体"/>
          <w:color w:val="auto"/>
          <w:sz w:val="24"/>
          <w:highlight w:val="none"/>
        </w:rPr>
        <w:t xml:space="preserve">   2.4</w:t>
      </w:r>
      <w:r>
        <w:rPr>
          <w:rFonts w:ascii="宋体" w:hAnsi="宋体"/>
          <w:color w:val="auto"/>
          <w:sz w:val="24"/>
          <w:highlight w:val="none"/>
        </w:rPr>
        <w:t>符合合同条款规定的全部费用应认为已被计入有标价的工程量清单所列各子目之中，未列子目不予计量的工作，其费用应视为已分摊在本合同工程的有关子目的单价或总额价之中。</w:t>
      </w:r>
    </w:p>
    <w:p w14:paraId="66B4117A">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2.5</w:t>
      </w:r>
      <w:r>
        <w:rPr>
          <w:rFonts w:ascii="宋体" w:hAnsi="宋体"/>
          <w:color w:val="auto"/>
          <w:sz w:val="24"/>
          <w:highlight w:val="none"/>
        </w:rPr>
        <w:t>承包人用于本合同工程的各类装备的提供、运输、维护、拆卸、拼装等支付的费用，已包括在工程量清单的单价与总额价之中。</w:t>
      </w:r>
    </w:p>
    <w:p w14:paraId="1B1E9601">
      <w:pPr>
        <w:shd w:val="clear" w:fill="FFFFFF" w:themeFill="background1"/>
        <w:spacing w:line="348" w:lineRule="auto"/>
        <w:rPr>
          <w:rFonts w:ascii="宋体" w:hAnsi="宋体"/>
          <w:color w:val="auto"/>
          <w:sz w:val="24"/>
          <w:highlight w:val="none"/>
        </w:rPr>
      </w:pPr>
      <w:r>
        <w:rPr>
          <w:rFonts w:hint="eastAsia" w:ascii="宋体" w:hAnsi="宋体"/>
          <w:color w:val="auto"/>
          <w:sz w:val="24"/>
          <w:highlight w:val="none"/>
        </w:rPr>
        <w:t xml:space="preserve">    2.6</w:t>
      </w:r>
      <w:r>
        <w:rPr>
          <w:rFonts w:ascii="宋体" w:hAnsi="宋体"/>
          <w:color w:val="auto"/>
          <w:sz w:val="24"/>
          <w:highlight w:val="none"/>
        </w:rPr>
        <w:t>工程量清单中各项金额均以人民币(元)结算。</w:t>
      </w:r>
    </w:p>
    <w:p w14:paraId="0EBA336F">
      <w:pPr>
        <w:shd w:val="clear" w:fill="FFFFFF" w:themeFill="background1"/>
        <w:spacing w:line="348"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 xml:space="preserve"> 计日工说明</w:t>
      </w:r>
    </w:p>
    <w:p w14:paraId="01A4124F">
      <w:pPr>
        <w:shd w:val="clear" w:fill="FFFFFF" w:themeFill="background1"/>
        <w:spacing w:line="348" w:lineRule="auto"/>
        <w:ind w:firstLine="480" w:firstLineChars="200"/>
        <w:rPr>
          <w:rFonts w:ascii="宋体" w:hAnsi="宋体"/>
          <w:color w:val="auto"/>
          <w:sz w:val="24"/>
          <w:highlight w:val="none"/>
        </w:rPr>
      </w:pPr>
      <w:r>
        <w:rPr>
          <w:rFonts w:ascii="宋体" w:hAnsi="宋体"/>
          <w:color w:val="auto"/>
          <w:sz w:val="24"/>
          <w:highlight w:val="none"/>
        </w:rPr>
        <w:t>本款不适用。</w:t>
      </w:r>
    </w:p>
    <w:p w14:paraId="4E3A9E9E">
      <w:pPr>
        <w:shd w:val="clear" w:fill="FFFFFF" w:themeFill="background1"/>
        <w:spacing w:line="348"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 其他说明</w:t>
      </w:r>
    </w:p>
    <w:p w14:paraId="22265EA1">
      <w:pPr>
        <w:shd w:val="clear" w:fill="FFFFFF" w:themeFill="background1"/>
        <w:spacing w:line="348" w:lineRule="auto"/>
        <w:ind w:firstLine="460" w:firstLineChars="200"/>
        <w:rPr>
          <w:rFonts w:ascii="宋体" w:hAnsi="宋体"/>
          <w:color w:val="auto"/>
          <w:spacing w:val="-5"/>
          <w:sz w:val="24"/>
          <w:highlight w:val="none"/>
        </w:rPr>
      </w:pPr>
      <w:r>
        <w:rPr>
          <w:rFonts w:hint="eastAsia" w:ascii="宋体" w:hAnsi="宋体"/>
          <w:color w:val="auto"/>
          <w:spacing w:val="-5"/>
          <w:sz w:val="24"/>
          <w:highlight w:val="none"/>
        </w:rPr>
        <w:t>工程量清单中各个细目的报价与计量支付原则，详见招标文件第七章技术规范的工程量清单计量与支付规则。</w:t>
      </w:r>
    </w:p>
    <w:p w14:paraId="5CB3E59A">
      <w:pPr>
        <w:shd w:val="clear" w:fill="FFFFFF" w:themeFill="background1"/>
        <w:spacing w:line="348" w:lineRule="auto"/>
        <w:ind w:firstLine="480" w:firstLineChars="200"/>
        <w:rPr>
          <w:rFonts w:ascii="宋体" w:hAnsi="宋体"/>
          <w:color w:val="auto"/>
          <w:sz w:val="24"/>
          <w:highlight w:val="none"/>
        </w:rPr>
      </w:pPr>
      <w:r>
        <w:rPr>
          <w:rFonts w:hint="eastAsia" w:ascii="宋体" w:hAnsi="宋体" w:cs="宋体"/>
          <w:color w:val="auto"/>
          <w:sz w:val="24"/>
          <w:highlight w:val="none"/>
        </w:rPr>
        <w:t>5.</w:t>
      </w:r>
      <w:r>
        <w:rPr>
          <w:rFonts w:ascii="宋体" w:hAnsi="宋体"/>
          <w:color w:val="auto"/>
          <w:sz w:val="24"/>
          <w:highlight w:val="none"/>
        </w:rPr>
        <w:t xml:space="preserve"> 工程量清单</w:t>
      </w:r>
    </w:p>
    <w:p w14:paraId="4F5ECCA9">
      <w:pPr>
        <w:shd w:val="clear" w:fill="FFFFFF" w:themeFill="background1"/>
        <w:spacing w:line="348" w:lineRule="auto"/>
        <w:rPr>
          <w:rFonts w:ascii="宋体" w:hAnsi="宋体"/>
          <w:color w:val="auto"/>
          <w:sz w:val="24"/>
          <w:highlight w:val="none"/>
        </w:rPr>
      </w:pPr>
      <w:r>
        <w:rPr>
          <w:rFonts w:hint="eastAsia" w:ascii="宋体" w:hAnsi="宋体"/>
          <w:color w:val="auto"/>
          <w:sz w:val="24"/>
          <w:highlight w:val="none"/>
        </w:rPr>
        <w:t xml:space="preserve">    5.1</w:t>
      </w:r>
      <w:r>
        <w:rPr>
          <w:rFonts w:ascii="宋体" w:hAnsi="宋体"/>
          <w:color w:val="auto"/>
          <w:sz w:val="24"/>
          <w:highlight w:val="none"/>
        </w:rPr>
        <w:t>工程量清单表</w:t>
      </w:r>
    </w:p>
    <w:p w14:paraId="27AA2051">
      <w:pPr>
        <w:shd w:val="clear" w:fill="FFFFFF" w:themeFill="background1"/>
        <w:spacing w:line="348" w:lineRule="auto"/>
        <w:ind w:firstLine="460" w:firstLineChars="200"/>
        <w:rPr>
          <w:rFonts w:ascii="宋体" w:hAnsi="宋体"/>
          <w:color w:val="auto"/>
          <w:spacing w:val="-5"/>
          <w:sz w:val="24"/>
          <w:highlight w:val="none"/>
        </w:rPr>
      </w:pPr>
      <w:r>
        <w:rPr>
          <w:rFonts w:hint="eastAsia" w:ascii="宋体" w:hAnsi="宋体"/>
          <w:color w:val="auto"/>
          <w:spacing w:val="-5"/>
          <w:sz w:val="24"/>
          <w:highlight w:val="none"/>
        </w:rPr>
        <w:t>工程量清单具体应执行《广东省公路工程造价标准化管理指南》（粤交基〔2022〕483 号）及现行的《广东省执行交通运输部&lt;公路工程标准施工招标文件范本&gt;的补充规定》、《广东省公路工程施工招标清单预算管理规程》。如以上文件有修订，本范本则依照最新修订版本执行。</w:t>
      </w:r>
    </w:p>
    <w:p w14:paraId="2C54DD37">
      <w:pPr>
        <w:shd w:val="clear" w:fill="FFFFFF" w:themeFill="background1"/>
        <w:spacing w:line="348" w:lineRule="auto"/>
        <w:rPr>
          <w:rFonts w:ascii="宋体" w:hAnsi="宋体"/>
          <w:color w:val="auto"/>
          <w:spacing w:val="-5"/>
          <w:sz w:val="24"/>
          <w:highlight w:val="none"/>
        </w:rPr>
      </w:pPr>
    </w:p>
    <w:p w14:paraId="1FC91FD7">
      <w:pPr>
        <w:shd w:val="clear" w:fill="FFFFFF" w:themeFill="background1"/>
        <w:spacing w:line="348" w:lineRule="auto"/>
        <w:ind w:firstLine="480" w:firstLineChars="200"/>
        <w:rPr>
          <w:rFonts w:ascii="宋体" w:hAnsi="宋体" w:cs="宋体"/>
          <w:color w:val="auto"/>
          <w:sz w:val="24"/>
          <w:highlight w:val="none"/>
        </w:rPr>
      </w:pPr>
      <w:r>
        <w:rPr>
          <w:rFonts w:ascii="宋体" w:hAnsi="宋体" w:cs="宋体"/>
          <w:color w:val="auto"/>
          <w:sz w:val="24"/>
          <w:highlight w:val="none"/>
        </w:rPr>
        <w:t>备注：</w:t>
      </w:r>
      <w:r>
        <w:rPr>
          <w:rFonts w:hint="eastAsia" w:ascii="宋体" w:hAnsi="宋体" w:cs="宋体"/>
          <w:color w:val="auto"/>
          <w:sz w:val="24"/>
          <w:highlight w:val="none"/>
        </w:rPr>
        <w:t>投标人应按照第五章“工程量清单”的要求逐项填报工程量清单。工程量清单不需要附项目清单、分项清单及单价分析表，但投标人中标后，发包人可要求中标人提交项目清单、分项清单及单价分析表，中标人不得拒绝。</w:t>
      </w:r>
    </w:p>
    <w:p w14:paraId="6FBEFAD3">
      <w:pPr>
        <w:pStyle w:val="2"/>
        <w:shd w:val="clear" w:fill="FFFFFF" w:themeFill="background1"/>
        <w:rPr>
          <w:rFonts w:ascii="宋体" w:hAnsi="宋体" w:cs="宋体"/>
          <w:color w:val="auto"/>
          <w:sz w:val="24"/>
          <w:highlight w:val="none"/>
        </w:rPr>
      </w:pPr>
    </w:p>
    <w:p w14:paraId="2B164C3C">
      <w:pPr>
        <w:pStyle w:val="2"/>
        <w:shd w:val="clear" w:fill="FFFFFF" w:themeFill="background1"/>
        <w:rPr>
          <w:rFonts w:ascii="宋体" w:hAnsi="宋体" w:cs="宋体"/>
          <w:color w:val="auto"/>
          <w:sz w:val="24"/>
          <w:highlight w:val="none"/>
        </w:rPr>
      </w:pPr>
    </w:p>
    <w:sectPr>
      <w:footerReference r:id="rId19" w:type="first"/>
      <w:footerReference r:id="rId18" w:type="default"/>
      <w:footnotePr>
        <w:numFmt w:val="decimalEnclosedCircleChinese"/>
      </w:footnotePr>
      <w:pgSz w:w="11906" w:h="16838"/>
      <w:pgMar w:top="1038" w:right="924" w:bottom="936" w:left="1418" w:header="624" w:footer="59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Mono CJK JP Regular">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1C93">
    <w:pPr>
      <w:pStyle w:val="29"/>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0E4EC7">
                          <w:pPr>
                            <w:pStyle w:val="29"/>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4HjSsMBAACOAwAADgAAAGRycy9lMm9Eb2MueG1srVNLbtswEN0XyB0I&#10;7mPKRlE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MukT++hwrQnj4lxuHMDbs3sB3Qm2kMbTPoiIYJxVPd0UVcOkYj0qFyVZYEhgbH5gvjs+bkPEN9L&#10;Z0gyahpwfFlVfnyEOKbOKamadfdK6zxCbf9yIGbysNT72GOy4rAbJkI715yQT4+Tr6nFRadEP1gU&#10;Ni3JbITZ2E1GqgH+9hCxcO4noY5QUzEcU2Y0rVTagz/vOev5N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vgeNKwwEAAI4DAAAOAAAAAAAAAAEAIAAAAB4BAABkcnMvZTJvRG9jLnhtbFBL&#10;BQYAAAAABgAGAFkBAABTBQAAAAA=&#10;">
              <v:fill on="f" focussize="0,0"/>
              <v:stroke on="f"/>
              <v:imagedata o:title=""/>
              <o:lock v:ext="edit" aspectratio="f"/>
              <v:textbox inset="0mm,0mm,0mm,0mm" style="mso-fit-shape-to-text:t;">
                <w:txbxContent>
                  <w:p w14:paraId="4D0E4EC7">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5"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a:effectLst/>
                    </wps:spPr>
                    <wps:txbx>
                      <w:txbxContent>
                        <w:p w14:paraId="1662B821">
                          <w:pPr>
                            <w:snapToGrid w:val="0"/>
                            <w:rPr>
                              <w:sz w:val="18"/>
                            </w:rPr>
                          </w:pP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AzH&#10;gNQAAAADAQAADwAAAAAAAAABACAAAAAiAAAAZHJzL2Rvd25yZXYueG1sUEsBAhQAFAAAAAgAh07i&#10;QNpBr/XtAQAA0QMAAA4AAAAAAAAAAQAgAAAAIwEAAGRycy9lMm9Eb2MueG1sUEsFBgAAAAAGAAYA&#10;WQEAAIIFAAAAAA==&#10;">
              <v:fill on="f" focussize="0,0"/>
              <v:stroke on="f" weight="1.25pt"/>
              <v:imagedata o:title=""/>
              <o:lock v:ext="edit" aspectratio="f"/>
              <v:textbox inset="0mm,0mm,0mm,0mm" style="mso-fit-shape-to-text:t;">
                <w:txbxContent>
                  <w:p w14:paraId="1662B821">
                    <w:pPr>
                      <w:snapToGrid w:val="0"/>
                      <w:rPr>
                        <w:sz w:val="18"/>
                      </w:rPr>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6E175">
    <w:pPr>
      <w:pStyle w:val="29"/>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65F3E1EB">
                          <w:pPr>
                            <w:pStyle w:val="29"/>
                          </w:pPr>
                          <w:r>
                            <w:fldChar w:fldCharType="begin"/>
                          </w:r>
                          <w:r>
                            <w:instrText xml:space="preserve"> PAGE  \* MERGEFORMAT </w:instrText>
                          </w:r>
                          <w:r>
                            <w:fldChar w:fldCharType="separate"/>
                          </w:r>
                          <w:r>
                            <w:t>268</w:t>
                          </w:r>
                          <w:r>
                            <w:fldChar w:fldCharType="end"/>
                          </w:r>
                        </w:p>
                      </w:txbxContent>
                    </wps:txbx>
                    <wps:bodyPr wrap="none" lIns="0" tIns="0" rIns="0" bIns="0" upright="1">
                      <a:spAutoFit/>
                    </wps:bodyPr>
                  </wps:wsp>
                </a:graphicData>
              </a:graphic>
            </wp:anchor>
          </w:drawing>
        </mc:Choice>
        <mc:Fallback>
          <w:pict>
            <v:shape id="文本框 25"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&#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In3a/TAAAABQEAAA8AAAAAAAAAAQAgAAAAIgAAAGRy&#10;cy9kb3ducmV2LnhtbFBLAQIUABQAAAAIAIdO4kCqa+MH0QEAAKUDAAAOAAAAAAAAAAEAIAAAACIB&#10;AABkcnMvZTJvRG9jLnhtbFBLBQYAAAAABgAGAFkBAABlBQAAAAA=&#10;">
              <v:fill on="f" focussize="0,0"/>
              <v:stroke on="f" weight="1pt"/>
              <v:imagedata o:title=""/>
              <o:lock v:ext="edit" aspectratio="f"/>
              <v:textbox inset="0mm,0mm,0mm,0mm" style="mso-fit-shape-to-text:t;">
                <w:txbxContent>
                  <w:p w14:paraId="65F3E1EB">
                    <w:pPr>
                      <w:pStyle w:val="29"/>
                    </w:pPr>
                    <w:r>
                      <w:fldChar w:fldCharType="begin"/>
                    </w:r>
                    <w:r>
                      <w:instrText xml:space="preserve"> PAGE  \* MERGEFORMAT </w:instrText>
                    </w:r>
                    <w:r>
                      <w:fldChar w:fldCharType="separate"/>
                    </w:r>
                    <w:r>
                      <w:t>268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3A6F3">
    <w:pPr>
      <w:pStyle w:val="29"/>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56549">
    <w:pPr>
      <w:spacing w:line="196" w:lineRule="auto"/>
      <w:ind w:left="4382"/>
      <w:rPr>
        <w:rFonts w:eastAsia="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93FCB">
                          <w:pPr>
                            <w:pStyle w:val="29"/>
                          </w:pPr>
                          <w:r>
                            <w:fldChar w:fldCharType="begin"/>
                          </w:r>
                          <w:r>
                            <w:instrText xml:space="preserve"> PAGE  \* MERGEFORMAT </w:instrText>
                          </w:r>
                          <w:r>
                            <w:fldChar w:fldCharType="separate"/>
                          </w:r>
                          <w:r>
                            <w:t>269</w:t>
                          </w:r>
                          <w:r>
                            <w:fldChar w:fldCharType="end"/>
                          </w:r>
                        </w:p>
                      </w:txbxContent>
                    </wps:txbx>
                    <wps:bodyPr wrap="none" lIns="0" tIns="0" rIns="0" bIns="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gud/8IBAACOAwAADgAAAGRycy9lMm9Eb2MueG1srVPNjtMwEL4j8Q6W&#10;79Rpk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m+&#10;zv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YLnf/CAQAAjgMAAA4AAAAAAAAAAQAgAAAAHgEAAGRycy9lMm9Eb2MueG1sUEsF&#10;BgAAAAAGAAYAWQEAAFIFAAAAAA==&#10;">
              <v:fill on="f" focussize="0,0"/>
              <v:stroke on="f"/>
              <v:imagedata o:title=""/>
              <o:lock v:ext="edit" aspectratio="f"/>
              <v:textbox inset="0mm,0mm,0mm,0mm" style="mso-fit-shape-to-text:t;">
                <w:txbxContent>
                  <w:p w14:paraId="32793FCB">
                    <w:pPr>
                      <w:pStyle w:val="29"/>
                    </w:pPr>
                    <w:r>
                      <w:fldChar w:fldCharType="begin"/>
                    </w:r>
                    <w:r>
                      <w:instrText xml:space="preserve"> PAGE  \* MERGEFORMAT </w:instrText>
                    </w:r>
                    <w:r>
                      <w:fldChar w:fldCharType="separate"/>
                    </w:r>
                    <w:r>
                      <w:t>269</w:t>
                    </w:r>
                    <w:r>
                      <w:fldChar w:fldCharType="end"/>
                    </w:r>
                  </w:p>
                </w:txbxContent>
              </v:textbox>
            </v:shape>
          </w:pict>
        </mc:Fallback>
      </mc:AlternateContent>
    </w:r>
    <w:r>
      <w:rPr>
        <w:rFonts w:eastAsia="Times New Roman"/>
        <w:spacing w:val="5"/>
        <w:sz w:val="17"/>
        <w:szCs w:val="17"/>
      </w:rPr>
      <w:t>2</w:t>
    </w:r>
    <w:r>
      <w:rPr>
        <w:rFonts w:eastAsia="Times New Roman"/>
        <w:spacing w:val="3"/>
        <w:sz w:val="17"/>
        <w:szCs w:val="17"/>
      </w:rPr>
      <w:t>42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466A">
    <w:pPr>
      <w:pStyle w:val="29"/>
    </w:pPr>
    <w: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6EDB6CE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273</w:t>
                          </w:r>
                          <w:r>
                            <w:rPr>
                              <w:rFonts w:hint="eastAsia"/>
                              <w:sz w:val="18"/>
                            </w:rPr>
                            <w:fldChar w:fldCharType="end"/>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ifdr9MAAAAFAQAADwAAAAAAAAABACAAAAAiAAAAZHJz&#10;L2Rvd25yZXYueG1sUEsBAhQAFAAAAAgAh07iQOedMwvQAQAApQMAAA4AAAAAAAAAAQAgAAAAIgEA&#10;AGRycy9lMm9Eb2MueG1sUEsFBgAAAAAGAAYAWQEAAGQFAAAAAA==&#10;">
              <v:fill on="f" focussize="0,0"/>
              <v:stroke on="f" weight="1pt"/>
              <v:imagedata o:title=""/>
              <o:lock v:ext="edit" aspectratio="f"/>
              <v:textbox inset="0mm,0mm,0mm,0mm" style="mso-fit-shape-to-text:t;">
                <w:txbxContent>
                  <w:p w14:paraId="6EDB6CEF">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273</w:t>
                    </w:r>
                    <w:r>
                      <w:rPr>
                        <w:rFonts w:hint="eastAsia"/>
                        <w:sz w:val="18"/>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275C9">
    <w:pPr>
      <w:pStyle w:val="29"/>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-47625</wp:posOffset>
              </wp:positionV>
              <wp:extent cx="1115060" cy="157480"/>
              <wp:effectExtent l="0" t="0" r="0" b="0"/>
              <wp:wrapNone/>
              <wp:docPr id="13" name="文本框 14"/>
              <wp:cNvGraphicFramePr/>
              <a:graphic xmlns:a="http://schemas.openxmlformats.org/drawingml/2006/main">
                <a:graphicData uri="http://schemas.microsoft.com/office/word/2010/wordprocessingShape">
                  <wps:wsp>
                    <wps:cNvSpPr txBox="1"/>
                    <wps:spPr>
                      <a:xfrm>
                        <a:off x="0" y="0"/>
                        <a:ext cx="1115060" cy="157480"/>
                      </a:xfrm>
                      <a:prstGeom prst="rect">
                        <a:avLst/>
                      </a:prstGeom>
                      <a:noFill/>
                      <a:ln w="15875">
                        <a:noFill/>
                      </a:ln>
                      <a:effectLst/>
                    </wps:spPr>
                    <wps:txbx>
                      <w:txbxContent>
                        <w:p w14:paraId="4FB47895">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t>132</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wps:txbx>
                    <wps:bodyPr rot="0" vert="horz" wrap="none" lIns="0" tIns="0" rIns="0" bIns="0" anchor="t" anchorCtr="0">
                      <a:spAutoFit/>
                    </wps:bodyPr>
                  </wps:wsp>
                </a:graphicData>
              </a:graphic>
            </wp:anchor>
          </w:drawing>
        </mc:Choice>
        <mc:Fallback>
          <w:pict>
            <v:shape id="文本框 14" o:spid="_x0000_s1026" o:spt="202" type="#_x0000_t202" style="position:absolute;left:0pt;margin-top:-3.75pt;height:12.4pt;width:87.8pt;mso-position-horizontal:center;mso-position-horizontal-relative:margin;mso-wrap-style:none;z-index:251665408;mso-width-relative:page;mso-height-relative:page;" filled="f" stroked="f" coordsize="21600,21600" o:gfxdata="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2JpyzWAAAABgEAAA8AAAAAAAAAAQAgAAAAIgAAAGRycy9kb3ducmV2LnhtbFBLAQIUABQAAAAI&#10;AIdO4kCLgJXs7wEAANMDAAAOAAAAAAAAAAEAIAAAACUBAABkcnMvZTJvRG9jLnhtbFBLBQYAAAAA&#10;BgAGAFkBAACGBQAAAAA=&#10;">
              <v:fill on="f" focussize="0,0"/>
              <v:stroke on="f" weight="1.25pt"/>
              <v:imagedata o:title=""/>
              <o:lock v:ext="edit" aspectratio="f"/>
              <v:textbox inset="0mm,0mm,0mm,0mm" style="mso-fit-shape-to-text:t;">
                <w:txbxContent>
                  <w:p w14:paraId="4FB47895">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t>132</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71A72">
    <w:pPr>
      <w:pStyle w:val="2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50568A">
                          <w:pPr>
                            <w:pStyle w:val="29"/>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K+WNMIBAACOAwAADgAAAGRycy9lMm9Eb2MueG1srVPNjtMwEL4j8Q6W&#10;79RpJ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m+&#10;zv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SvljTCAQAAjgMAAA4AAAAAAAAAAQAgAAAAHgEAAGRycy9lMm9Eb2MueG1sUEsF&#10;BgAAAAAGAAYAWQEAAFIFAAAAAA==&#10;">
              <v:fill on="f" focussize="0,0"/>
              <v:stroke on="f"/>
              <v:imagedata o:title=""/>
              <o:lock v:ext="edit" aspectratio="f"/>
              <v:textbox inset="0mm,0mm,0mm,0mm" style="mso-fit-shape-to-text:t;">
                <w:txbxContent>
                  <w:p w14:paraId="7950568A">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a:effectLst/>
                    </wps:spPr>
                    <wps:txbx>
                      <w:txbxContent>
                        <w:p w14:paraId="37635446">
                          <w:pPr>
                            <w:snapToGrid w:val="0"/>
                            <w:rPr>
                              <w:sz w:val="18"/>
                            </w:rPr>
                          </w:pP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A&#10;DMeA1AAAAAMBAAAPAAAAAAAAAAEAIAAAACIAAABkcnMvZG93bnJldi54bWxQSwECFAAUAAAACACH&#10;TuJAge0wiu8BAADQAwAADgAAAAAAAAABACAAAAAjAQAAZHJzL2Uyb0RvYy54bWxQSwUGAAAAAAYA&#10;BgBZAQAAhAUAAAAA&#10;">
              <v:fill on="f" focussize="0,0"/>
              <v:stroke on="f" weight="1.25pt"/>
              <v:imagedata o:title=""/>
              <o:lock v:ext="edit" aspectratio="f"/>
              <v:textbox inset="0mm,0mm,0mm,0mm" style="mso-fit-shape-to-text:t;">
                <w:txbxContent>
                  <w:p w14:paraId="37635446">
                    <w:pPr>
                      <w:snapToGrid w:val="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68BB9">
    <w:pPr>
      <w:pStyle w:val="29"/>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55459D7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In3a/TAAAABQEAAA8AAAAAAAAAAQAgAAAAIgAAAGRy&#10;cy9kb3ducmV2LnhtbFBLAQIUABQAAAAIAIdO4kBEj5BM0QEAAKUDAAAOAAAAAAAAAAEAIAAAACIB&#10;AABkcnMvZTJvRG9jLnhtbFBLBQYAAAAABgAGAFkBAABlBQAAAAA=&#10;">
              <v:fill on="f" focussize="0,0"/>
              <v:stroke on="f" weight="1pt"/>
              <v:imagedata o:title=""/>
              <o:lock v:ext="edit" aspectratio="f"/>
              <v:textbox inset="0mm,0mm,0mm,0mm" style="mso-fit-shape-to-text:t;">
                <w:txbxContent>
                  <w:p w14:paraId="55459D7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24</w:t>
                    </w:r>
                    <w:r>
                      <w:rPr>
                        <w:rFonts w:hint="eastAsia"/>
                        <w:sz w:val="18"/>
                      </w:rPr>
                      <w:fldChar w:fldCharType="end"/>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E0D627">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Hpe0z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OHpe0zAgAAZQQAAA4AAAAAAAAAAQAgAAAAHwEAAGRycy9lMm9Eb2MueG1sUEsF&#10;BgAAAAAGAAYAWQEAAMQFAAAAAA==&#10;">
              <v:fill on="f" focussize="0,0"/>
              <v:stroke on="f" weight="0.5pt"/>
              <v:imagedata o:title=""/>
              <o:lock v:ext="edit" aspectratio="f"/>
              <v:textbox inset="0mm,0mm,0mm,0mm" style="mso-fit-shape-to-text:t;">
                <w:txbxContent>
                  <w:p w14:paraId="7BE0D627">
                    <w:pPr>
                      <w:snapToGrid w:val="0"/>
                      <w:rPr>
                        <w:sz w:val="18"/>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14935" cy="131445"/>
              <wp:effectExtent l="0" t="0" r="0" b="0"/>
              <wp:wrapNone/>
              <wp:docPr id="12" name="文本框 9"/>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15875">
                        <a:noFill/>
                      </a:ln>
                      <a:effectLst/>
                    </wps:spPr>
                    <wps:txbx>
                      <w:txbxContent>
                        <w:p w14:paraId="75F80534">
                          <w:pPr>
                            <w:snapToGrid w:val="0"/>
                            <w:rPr>
                              <w:sz w:val="18"/>
                            </w:rPr>
                          </w:pPr>
                        </w:p>
                      </w:txbxContent>
                    </wps:txbx>
                    <wps:bodyPr rot="0" vert="horz" wrap="none" lIns="0" tIns="0" rIns="0" bIns="0" anchor="t" anchorCtr="0">
                      <a:spAutoFit/>
                    </wps:bodyPr>
                  </wps:wsp>
                </a:graphicData>
              </a:graphic>
            </wp:anchor>
          </w:drawing>
        </mc:Choice>
        <mc:Fallback>
          <w:pict>
            <v:shape id="文本框 9" o:spid="_x0000_s1026" o:spt="202" type="#_x0000_t202" style="position:absolute;left:0pt;margin-top:0pt;height:10.35pt;width:9.05pt;mso-position-horizontal:center;mso-position-horizontal-relative:margin;mso-wrap-style:none;z-index:251671552;mso-width-relative:page;mso-height-relative:page;" filled="f" stroked="f" coordsize="21600,21600" o:gfxdata="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A&#10;DMeA1AAAAAMBAAAPAAAAAAAAAAEAIAAAACIAAABkcnMvZG93bnJldi54bWxQSwECFAAUAAAACACH&#10;TuJAk3abV+8BAADRAwAADgAAAAAAAAABACAAAAAjAQAAZHJzL2Uyb0RvYy54bWxQSwUGAAAAAAYA&#10;BgBZAQAAhAUAAAAA&#10;">
              <v:fill on="f" focussize="0,0"/>
              <v:stroke on="f" weight="1.25pt"/>
              <v:imagedata o:title=""/>
              <o:lock v:ext="edit" aspectratio="f"/>
              <v:textbox inset="0mm,0mm,0mm,0mm" style="mso-fit-shape-to-text:t;">
                <w:txbxContent>
                  <w:p w14:paraId="75F80534">
                    <w:pPr>
                      <w:snapToGrid w:val="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114AD">
    <w:pPr>
      <w:pStyle w:val="29"/>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1377E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H/8cy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08f/xzICAABlBAAADgAAAAAAAAABACAAAAAfAQAAZHJzL2Uyb0RvYy54bWxQSwUG&#10;AAAAAAYABgBZAQAAwwUAAAAA&#10;">
              <v:fill on="f" focussize="0,0"/>
              <v:stroke on="f" weight="0.5pt"/>
              <v:imagedata o:title=""/>
              <o:lock v:ext="edit" aspectratio="f"/>
              <v:textbox inset="0mm,0mm,0mm,0mm" style="mso-fit-shape-to-text:t;">
                <w:txbxContent>
                  <w:p w14:paraId="4A1377E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8021B">
    <w:pPr>
      <w:pStyle w:val="29"/>
    </w:pPr>
    <w: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5A7139A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wrap="none" lIns="0" tIns="0" rIns="0" bIns="0" upright="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In3a/TAAAABQEAAA8AAAAAAAAAAQAgAAAAIgAAAGRy&#10;cy9kb3ducmV2LnhtbFBLAQIUABQAAAAIAIdO4kDt0oyA0QEAAKUDAAAOAAAAAAAAAAEAIAAAACIB&#10;AABkcnMvZTJvRG9jLnhtbFBLBQYAAAAABgAGAFkBAABlBQAAAAA=&#10;">
              <v:fill on="f" focussize="0,0"/>
              <v:stroke on="f" weight="1pt"/>
              <v:imagedata o:title=""/>
              <o:lock v:ext="edit" aspectratio="f"/>
              <v:textbox inset="0mm,0mm,0mm,0mm" style="mso-fit-shape-to-text:t;">
                <w:txbxContent>
                  <w:p w14:paraId="5A7139A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-11430</wp:posOffset>
              </wp:positionV>
              <wp:extent cx="1143000" cy="297180"/>
              <wp:effectExtent l="0" t="0" r="0" b="0"/>
              <wp:wrapNone/>
              <wp:docPr id="8" name="文本框 17"/>
              <wp:cNvGraphicFramePr/>
              <a:graphic xmlns:a="http://schemas.openxmlformats.org/drawingml/2006/main">
                <a:graphicData uri="http://schemas.microsoft.com/office/word/2010/wordprocessingShape">
                  <wps:wsp>
                    <wps:cNvSpPr txBox="1"/>
                    <wps:spPr>
                      <a:xfrm>
                        <a:off x="0" y="0"/>
                        <a:ext cx="1143000" cy="297180"/>
                      </a:xfrm>
                      <a:prstGeom prst="rect">
                        <a:avLst/>
                      </a:prstGeom>
                      <a:noFill/>
                      <a:ln w="15875">
                        <a:noFill/>
                      </a:ln>
                      <a:effectLst/>
                    </wps:spPr>
                    <wps:txbx>
                      <w:txbxContent>
                        <w:p w14:paraId="15B0A848">
                          <w:pPr>
                            <w:pStyle w:val="29"/>
                          </w:pPr>
                        </w:p>
                      </w:txbxContent>
                    </wps:txbx>
                    <wps:bodyPr rot="0" vert="horz" wrap="square" lIns="0" tIns="0" rIns="0" bIns="0" anchor="t" anchorCtr="0"/>
                  </wps:wsp>
                </a:graphicData>
              </a:graphic>
            </wp:anchor>
          </w:drawing>
        </mc:Choice>
        <mc:Fallback>
          <w:pict>
            <v:shape id="文本框 17" o:spid="_x0000_s1026" o:spt="202" type="#_x0000_t202" style="position:absolute;left:0pt;margin-top:-0.9pt;height:23.4pt;width:90pt;mso-position-horizontal:center;mso-position-horizontal-relative:margin;z-index:251666432;mso-width-relative:page;mso-height-relative:page;" filled="f" stroked="f" coordsize="21600,21600" o:gfxdata="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wjZsbVAAAABgEA&#10;AA8AAAAAAAAAAQAgAAAAIgAAAGRycy9kb3ducmV2LnhtbFBLAQIUABQAAAAIAIdO4kBJFhII5AEA&#10;ALoDAAAOAAAAAAAAAAEAIAAAACQBAABkcnMvZTJvRG9jLnhtbFBLBQYAAAAABgAGAFkBAAB6BQAA&#10;AAA=&#10;">
              <v:fill on="f" focussize="0,0"/>
              <v:stroke on="f" weight="1.25pt"/>
              <v:imagedata o:title=""/>
              <o:lock v:ext="edit" aspectratio="f"/>
              <v:textbox inset="0mm,0mm,0mm,0mm">
                <w:txbxContent>
                  <w:p w14:paraId="15B0A848">
                    <w:pPr>
                      <w:pStyle w:val="29"/>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FCDA6">
    <w:pPr>
      <w:pStyle w:val="29"/>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58EB5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60</w:t>
                          </w:r>
                          <w:r>
                            <w:rPr>
                              <w:rFonts w:hint="eastAsia"/>
                              <w:sz w:val="18"/>
                            </w:rPr>
                            <w:fldChar w:fldCharType="end"/>
                          </w:r>
                        </w:p>
                      </w:txbxContent>
                    </wps:txbx>
                    <wps:bodyPr wrap="none" lIns="0" tIns="0" rIns="0" bIns="0" upright="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F3MqidIBAACkAwAADgAAAAAAAAABACAAAAAfAQAA&#10;ZHJzL2Uyb0RvYy54bWxQSwUGAAAAAAYABgBZAQAAYwUAAAAA&#10;">
              <v:fill on="f" focussize="0,0"/>
              <v:stroke on="f" weight="0.5pt"/>
              <v:imagedata o:title=""/>
              <o:lock v:ext="edit" aspectratio="f"/>
              <v:textbox inset="0mm,0mm,0mm,0mm" style="mso-fit-shape-to-text:t;">
                <w:txbxContent>
                  <w:p w14:paraId="058EB59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60</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26A87">
    <w:pPr>
      <w:pStyle w:val="29"/>
      <w:ind w:firstLine="4590" w:firstLineChars="2550"/>
      <w:rPr>
        <w:color w:val="FFFFFF"/>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029D8C93">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0</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wps:txbx>
                    <wps:bodyPr rot="0"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aYJL0wAA&#10;AAUBAAAPAAAAAAAAAAEAIAAAACIAAABkcnMvZG93bnJldi54bWxQSwECFAAUAAAACACHTuJAI4/A&#10;FeoBAADSAwAADgAAAAAAAAABACAAAAAiAQAAZHJzL2Uyb0RvYy54bWxQSwUGAAAAAAYABgBZAQAA&#10;fgUAAAAA&#10;">
              <v:fill on="f" focussize="0,0"/>
              <v:stroke on="f" weight="1.25pt"/>
              <v:imagedata o:title=""/>
              <o:lock v:ext="edit" aspectratio="f"/>
              <v:textbox inset="0mm,0mm,0mm,0mm" style="mso-fit-shape-to-text:t;">
                <w:txbxContent>
                  <w:p w14:paraId="029D8C93">
                    <w:pPr>
                      <w:snapToGrid w:val="0"/>
                      <w:rPr>
                        <w:sz w:val="18"/>
                      </w:rPr>
                    </w:pPr>
                    <w:r>
                      <w:rPr>
                        <w:rFonts w:hint="eastAsia"/>
                        <w:sz w:val="18"/>
                      </w:rPr>
                      <w:t>第</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0</w:t>
                    </w:r>
                    <w:r>
                      <w:rPr>
                        <w:rFonts w:hint="eastAsia"/>
                        <w:sz w:val="18"/>
                      </w:rPr>
                      <w:fldChar w:fldCharType="end"/>
                    </w:r>
                    <w:r>
                      <w:rPr>
                        <w:rFonts w:hint="eastAsia"/>
                        <w:sz w:val="18"/>
                      </w:rPr>
                      <w:t>页共</w:t>
                    </w:r>
                    <w:r>
                      <w:fldChar w:fldCharType="begin"/>
                    </w:r>
                    <w:r>
                      <w:instrText xml:space="preserve"> NUMPAGES  \* MERGEFORMAT </w:instrText>
                    </w:r>
                    <w:r>
                      <w:fldChar w:fldCharType="separate"/>
                    </w:r>
                    <w:r>
                      <w:rPr>
                        <w:sz w:val="18"/>
                      </w:rPr>
                      <w:t>263</w:t>
                    </w:r>
                    <w:r>
                      <w:rPr>
                        <w:sz w:val="18"/>
                      </w:rPr>
                      <w:fldChar w:fldCharType="end"/>
                    </w:r>
                    <w:r>
                      <w:rPr>
                        <w:rFonts w:hint="eastAsia"/>
                        <w:sz w:val="18"/>
                      </w:rPr>
                      <w:t>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EABE4">
    <w:pPr>
      <w:pStyle w:val="29"/>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08314">
                          <w:pPr>
                            <w:pStyle w:val="29"/>
                          </w:pPr>
                          <w:r>
                            <w:fldChar w:fldCharType="begin"/>
                          </w:r>
                          <w:r>
                            <w:instrText xml:space="preserve"> PAGE  \* MERGEFORMAT </w:instrText>
                          </w:r>
                          <w:r>
                            <w:fldChar w:fldCharType="separate"/>
                          </w:r>
                          <w:r>
                            <w:t>245</w:t>
                          </w:r>
                          <w:r>
                            <w:fldChar w:fldCharType="end"/>
                          </w:r>
                        </w:p>
                      </w:txbxContent>
                    </wps:txbx>
                    <wps:bodyPr wrap="none" lIns="0" tIns="0" rIns="0" bIns="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CwgPvTCAQAAjgMAAA4AAAAAAAAAAQAgAAAAHgEAAGRycy9lMm9Eb2MueG1sUEsF&#10;BgAAAAAGAAYAWQEAAFIFAAAAAA==&#10;">
              <v:fill on="f" focussize="0,0"/>
              <v:stroke on="f"/>
              <v:imagedata o:title=""/>
              <o:lock v:ext="edit" aspectratio="f"/>
              <v:textbox inset="0mm,0mm,0mm,0mm" style="mso-fit-shape-to-text:t;">
                <w:txbxContent>
                  <w:p w14:paraId="0B408314">
                    <w:pPr>
                      <w:pStyle w:val="29"/>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41365">
    <w:pPr>
      <w:pStyle w:val="2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54BD8F32">
                          <w:pPr>
                            <w:pStyle w:val="29"/>
                          </w:pPr>
                          <w:r>
                            <w:fldChar w:fldCharType="begin"/>
                          </w:r>
                          <w:r>
                            <w:instrText xml:space="preserve"> PAGE  \* MERGEFORMAT </w:instrText>
                          </w:r>
                          <w:r>
                            <w:fldChar w:fldCharType="separate"/>
                          </w:r>
                          <w:r>
                            <w:t>260</w:t>
                          </w:r>
                          <w:r>
                            <w:fldChar w:fldCharType="end"/>
                          </w:r>
                        </w:p>
                      </w:txbxContent>
                    </wps:txbx>
                    <wps:bodyPr wrap="none" lIns="0" tIns="0" rIns="0" bIns="0" upright="1">
                      <a:spAutoFit/>
                    </wps:bodyPr>
                  </wps:wsp>
                </a:graphicData>
              </a:graphic>
            </wp:anchor>
          </w:drawing>
        </mc:Choice>
        <mc:Fallback>
          <w:pict>
            <v:shape id="文本框 2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&#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In3a/TAAAABQEAAA8AAAAAAAAAAQAgAAAAIgAAAGRy&#10;cy9kb3ducmV2LnhtbFBLAQIUABQAAAAIAIdO4kANrMiI0QEAAKQDAAAOAAAAAAAAAAEAIAAAACIB&#10;AABkcnMvZTJvRG9jLnhtbFBLBQYAAAAABgAGAFkBAABlBQAAAAA=&#10;">
              <v:fill on="f" focussize="0,0"/>
              <v:stroke on="f" weight="1pt"/>
              <v:imagedata o:title=""/>
              <o:lock v:ext="edit" aspectratio="f"/>
              <v:textbox inset="0mm,0mm,0mm,0mm" style="mso-fit-shape-to-text:t;">
                <w:txbxContent>
                  <w:p w14:paraId="54BD8F32">
                    <w:pPr>
                      <w:pStyle w:val="29"/>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6DED2">
    <w:pPr>
      <w:pStyle w:val="30"/>
      <w:pBdr>
        <w:bottom w:val="none" w:color="auto" w:sz="0" w:space="1"/>
      </w:pBdr>
      <w:tabs>
        <w:tab w:val="left" w:pos="2059"/>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93A26">
    <w:pPr>
      <w:pStyle w:val="3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109F8">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A56F56"/>
    <w:multiLevelType w:val="singleLevel"/>
    <w:tmpl w:val="B4A56F56"/>
    <w:lvl w:ilvl="0" w:tentative="0">
      <w:start w:val="7"/>
      <w:numFmt w:val="chineseCounting"/>
      <w:suff w:val="nothing"/>
      <w:lvlText w:val="%1、"/>
      <w:lvlJc w:val="left"/>
      <w:rPr>
        <w:rFonts w:hint="eastAsia"/>
      </w:rPr>
    </w:lvl>
  </w:abstractNum>
  <w:abstractNum w:abstractNumId="1">
    <w:nsid w:val="CC52B4EA"/>
    <w:multiLevelType w:val="multilevel"/>
    <w:tmpl w:val="CC52B4EA"/>
    <w:lvl w:ilvl="0" w:tentative="0">
      <w:start w:val="1"/>
      <w:numFmt w:val="decimal"/>
      <w:lvlText w:val="%1."/>
      <w:lvlJc w:val="left"/>
      <w:pPr>
        <w:ind w:left="719"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CC6B917F"/>
    <w:multiLevelType w:val="singleLevel"/>
    <w:tmpl w:val="CC6B917F"/>
    <w:lvl w:ilvl="0" w:tentative="0">
      <w:start w:val="1"/>
      <w:numFmt w:val="decimal"/>
      <w:suff w:val="nothing"/>
      <w:lvlText w:val="%1）"/>
      <w:lvlJc w:val="left"/>
    </w:lvl>
  </w:abstractNum>
  <w:abstractNum w:abstractNumId="3">
    <w:nsid w:val="E17B46C6"/>
    <w:multiLevelType w:val="singleLevel"/>
    <w:tmpl w:val="E17B46C6"/>
    <w:lvl w:ilvl="0" w:tentative="0">
      <w:start w:val="9"/>
      <w:numFmt w:val="decimal"/>
      <w:lvlText w:val="%1)"/>
      <w:lvlJc w:val="left"/>
      <w:pPr>
        <w:tabs>
          <w:tab w:val="left" w:pos="312"/>
        </w:tabs>
      </w:pPr>
    </w:lvl>
  </w:abstractNum>
  <w:abstractNum w:abstractNumId="4">
    <w:nsid w:val="00000004"/>
    <w:multiLevelType w:val="multilevel"/>
    <w:tmpl w:val="00000004"/>
    <w:lvl w:ilvl="0" w:tentative="0">
      <w:start w:val="1"/>
      <w:numFmt w:val="decimal"/>
      <w:lvlText w:val="（%1）"/>
      <w:lvlJc w:val="left"/>
      <w:pPr>
        <w:tabs>
          <w:tab w:val="left" w:pos="1430"/>
        </w:tabs>
        <w:ind w:left="1430" w:hanging="720"/>
      </w:pPr>
      <w:rPr>
        <w:rFonts w:hint="default"/>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5">
    <w:nsid w:val="00000008"/>
    <w:multiLevelType w:val="multilevel"/>
    <w:tmpl w:val="00000008"/>
    <w:lvl w:ilvl="0" w:tentative="0">
      <w:start w:val="1"/>
      <w:numFmt w:val="decimal"/>
      <w:lvlText w:val="(%1)"/>
      <w:lvlJc w:val="left"/>
      <w:pPr>
        <w:tabs>
          <w:tab w:val="left" w:pos="675"/>
        </w:tabs>
        <w:ind w:left="675" w:hanging="360"/>
      </w:pPr>
      <w:rPr>
        <w:rFonts w:hint="default"/>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6">
    <w:nsid w:val="0000000B"/>
    <w:multiLevelType w:val="multilevel"/>
    <w:tmpl w:val="0000000B"/>
    <w:lvl w:ilvl="0" w:tentative="0">
      <w:start w:val="1"/>
      <w:numFmt w:val="chineseCountingThousand"/>
      <w:suff w:val="space"/>
      <w:lvlText w:val="第%1章"/>
      <w:lvlJc w:val="left"/>
      <w:pPr>
        <w:ind w:left="567" w:hanging="279"/>
      </w:pPr>
      <w:rPr>
        <w:rFonts w:hint="eastAsia" w:ascii="宋体" w:hAnsi="Times New Roman" w:eastAsia="宋体"/>
        <w:b/>
        <w:i w:val="0"/>
        <w:spacing w:val="0"/>
        <w:sz w:val="44"/>
      </w:rPr>
    </w:lvl>
    <w:lvl w:ilvl="1" w:tentative="0">
      <w:start w:val="1"/>
      <w:numFmt w:val="decimal"/>
      <w:suff w:val="space"/>
      <w:lvlText w:val="%2."/>
      <w:lvlJc w:val="left"/>
      <w:pPr>
        <w:ind w:left="454" w:hanging="454"/>
      </w:pPr>
      <w:rPr>
        <w:rFonts w:hint="eastAsia" w:ascii="宋体" w:hAnsi="Times New Roman" w:eastAsia="宋体"/>
        <w:b/>
        <w:i w:val="0"/>
        <w:sz w:val="32"/>
      </w:rPr>
    </w:lvl>
    <w:lvl w:ilvl="2" w:tentative="0">
      <w:start w:val="1"/>
      <w:numFmt w:val="decimal"/>
      <w:suff w:val="space"/>
      <w:lvlText w:val="%2.%3"/>
      <w:lvlJc w:val="left"/>
      <w:pPr>
        <w:ind w:left="454" w:hanging="454"/>
      </w:pPr>
      <w:rPr>
        <w:rFonts w:hint="eastAsia" w:ascii="宋体" w:hAnsi="Times New Roman" w:eastAsia="宋体"/>
        <w:b/>
        <w:i w:val="0"/>
        <w:sz w:val="28"/>
      </w:rPr>
    </w:lvl>
    <w:lvl w:ilvl="3" w:tentative="0">
      <w:start w:val="1"/>
      <w:numFmt w:val="decimal"/>
      <w:suff w:val="space"/>
      <w:lvlText w:val="%2.%3.%4"/>
      <w:lvlJc w:val="left"/>
      <w:pPr>
        <w:ind w:left="284" w:hanging="284"/>
      </w:pPr>
      <w:rPr>
        <w:rFonts w:hint="eastAsia" w:ascii="宋体" w:hAnsi="Times New Roman" w:eastAsia="宋体"/>
        <w:b/>
        <w:i w:val="0"/>
        <w:sz w:val="28"/>
      </w:rPr>
    </w:lvl>
    <w:lvl w:ilvl="4" w:tentative="0">
      <w:start w:val="1"/>
      <w:numFmt w:val="decimal"/>
      <w:suff w:val="space"/>
      <w:lvlText w:val="%2.%3.%4.%5"/>
      <w:lvlJc w:val="left"/>
      <w:pPr>
        <w:ind w:left="284" w:hanging="284"/>
      </w:pPr>
      <w:rPr>
        <w:rFonts w:hint="eastAsia" w:ascii="宋体" w:hAnsi="Times New Roman" w:eastAsia="宋体"/>
        <w:b/>
        <w:i w:val="0"/>
        <w:sz w:val="28"/>
        <w:u w:val="none"/>
      </w:rPr>
    </w:lvl>
    <w:lvl w:ilvl="5" w:tentative="0">
      <w:start w:val="1"/>
      <w:numFmt w:val="decimal"/>
      <w:lvlRestart w:val="0"/>
      <w:suff w:val="space"/>
      <w:lvlText w:val="1.1.1.1.1.%6%5"/>
      <w:lvlJc w:val="left"/>
      <w:pPr>
        <w:ind w:left="0" w:firstLine="0"/>
      </w:pPr>
      <w:rPr>
        <w:rFonts w:hint="eastAsia" w:ascii="宋体" w:hAnsi="Times New Roman" w:eastAsia="宋体"/>
        <w:b/>
        <w:i w:val="0"/>
        <w:sz w:val="28"/>
      </w:rPr>
    </w:lvl>
    <w:lvl w:ilvl="6" w:tentative="0">
      <w:start w:val="1"/>
      <w:numFmt w:val="none"/>
      <w:suff w:val="nothing"/>
      <w:lvlText w:val=""/>
      <w:lvlJc w:val="left"/>
      <w:pPr>
        <w:ind w:left="0" w:firstLine="0"/>
      </w:pPr>
    </w:lvl>
    <w:lvl w:ilvl="7" w:tentative="0">
      <w:start w:val="1"/>
      <w:numFmt w:val="none"/>
      <w:pStyle w:val="10"/>
      <w:suff w:val="nothing"/>
      <w:lvlText w:val=""/>
      <w:lvlJc w:val="left"/>
      <w:pPr>
        <w:ind w:left="0" w:firstLine="0"/>
      </w:pPr>
    </w:lvl>
    <w:lvl w:ilvl="8" w:tentative="0">
      <w:start w:val="1"/>
      <w:numFmt w:val="none"/>
      <w:suff w:val="nothing"/>
      <w:lvlText w:val=""/>
      <w:lvlJc w:val="left"/>
      <w:pPr>
        <w:ind w:left="0" w:firstLine="0"/>
      </w:pPr>
    </w:lvl>
  </w:abstractNum>
  <w:abstractNum w:abstractNumId="7">
    <w:nsid w:val="0000000E"/>
    <w:multiLevelType w:val="singleLevel"/>
    <w:tmpl w:val="0000000E"/>
    <w:lvl w:ilvl="0" w:tentative="0">
      <w:start w:val="1"/>
      <w:numFmt w:val="chineseCounting"/>
      <w:pStyle w:val="14"/>
      <w:suff w:val="space"/>
      <w:lvlText w:val="第%1章"/>
      <w:lvlJc w:val="left"/>
    </w:lvl>
  </w:abstractNum>
  <w:abstractNum w:abstractNumId="8">
    <w:nsid w:val="00000013"/>
    <w:multiLevelType w:val="multilevel"/>
    <w:tmpl w:val="000000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00000017"/>
    <w:multiLevelType w:val="multilevel"/>
    <w:tmpl w:val="0000001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8"/>
    <w:multiLevelType w:val="multilevel"/>
    <w:tmpl w:val="0000001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1C"/>
    <w:multiLevelType w:val="multilevel"/>
    <w:tmpl w:val="0000001C"/>
    <w:lvl w:ilvl="0" w:tentative="0">
      <w:start w:val="1"/>
      <w:numFmt w:val="decimal"/>
      <w:lvlText w:val="(%1)"/>
      <w:lvlJc w:val="left"/>
      <w:pPr>
        <w:tabs>
          <w:tab w:val="left" w:pos="360"/>
        </w:tabs>
        <w:ind w:left="360" w:hanging="360"/>
      </w:pPr>
      <w:rPr>
        <w:rFonts w:hint="default" w:ascii="宋体" w:hAnsi="宋体" w:eastAsia="宋体" w:cs="宋体"/>
      </w:rPr>
    </w:lvl>
    <w:lvl w:ilvl="1" w:tentative="0">
      <w:start w:val="1"/>
      <w:numFmt w:val="lowerLetter"/>
      <w:lvlText w:val="%2)"/>
      <w:lvlJc w:val="left"/>
      <w:pPr>
        <w:tabs>
          <w:tab w:val="left" w:pos="840"/>
        </w:tabs>
        <w:ind w:left="840" w:hanging="420"/>
      </w:pPr>
      <w:rPr>
        <w:rFonts w:hint="default" w:ascii="宋体" w:hAnsi="宋体" w:eastAsia="宋体" w:cs="宋体"/>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D"/>
    <w:multiLevelType w:val="multilevel"/>
    <w:tmpl w:val="0000001D"/>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78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0000001F"/>
    <w:multiLevelType w:val="multilevel"/>
    <w:tmpl w:val="0000001F"/>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20"/>
    <w:multiLevelType w:val="multilevel"/>
    <w:tmpl w:val="00000020"/>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5">
    <w:nsid w:val="00000024"/>
    <w:multiLevelType w:val="multilevel"/>
    <w:tmpl w:val="00000024"/>
    <w:lvl w:ilvl="0" w:tentative="0">
      <w:start w:val="2"/>
      <w:numFmt w:val="decimal"/>
      <w:lvlText w:val="%1"/>
      <w:lvlJc w:val="left"/>
      <w:pPr>
        <w:tabs>
          <w:tab w:val="left" w:pos="360"/>
        </w:tabs>
        <w:ind w:left="360" w:hanging="360"/>
      </w:pPr>
      <w:rPr>
        <w:rFonts w:hint="default"/>
      </w:rPr>
    </w:lvl>
    <w:lvl w:ilvl="1" w:tentative="0">
      <w:start w:val="5"/>
      <w:numFmt w:val="decimal"/>
      <w:lvlText w:val="%1.%2"/>
      <w:lvlJc w:val="left"/>
      <w:pPr>
        <w:tabs>
          <w:tab w:val="left" w:pos="785"/>
        </w:tabs>
        <w:ind w:left="785" w:hanging="360"/>
      </w:pPr>
      <w:rPr>
        <w:rFonts w:hint="default"/>
      </w:rPr>
    </w:lvl>
    <w:lvl w:ilvl="2" w:tentative="0">
      <w:start w:val="1"/>
      <w:numFmt w:val="decimal"/>
      <w:lvlText w:val="%1.%2.%3"/>
      <w:lvlJc w:val="left"/>
      <w:pPr>
        <w:tabs>
          <w:tab w:val="left" w:pos="1570"/>
        </w:tabs>
        <w:ind w:left="1570" w:hanging="720"/>
      </w:pPr>
      <w:rPr>
        <w:rFonts w:hint="default"/>
      </w:rPr>
    </w:lvl>
    <w:lvl w:ilvl="3" w:tentative="0">
      <w:start w:val="1"/>
      <w:numFmt w:val="decimal"/>
      <w:lvlText w:val="%1.%2.%3.%4"/>
      <w:lvlJc w:val="left"/>
      <w:pPr>
        <w:tabs>
          <w:tab w:val="left" w:pos="1995"/>
        </w:tabs>
        <w:ind w:left="1995" w:hanging="720"/>
      </w:pPr>
      <w:rPr>
        <w:rFonts w:hint="default"/>
      </w:rPr>
    </w:lvl>
    <w:lvl w:ilvl="4" w:tentative="0">
      <w:start w:val="1"/>
      <w:numFmt w:val="decimal"/>
      <w:lvlText w:val="%1.%2.%3.%4.%5"/>
      <w:lvlJc w:val="left"/>
      <w:pPr>
        <w:tabs>
          <w:tab w:val="left" w:pos="2780"/>
        </w:tabs>
        <w:ind w:left="2780" w:hanging="1080"/>
      </w:pPr>
      <w:rPr>
        <w:rFonts w:hint="default"/>
      </w:rPr>
    </w:lvl>
    <w:lvl w:ilvl="5" w:tentative="0">
      <w:start w:val="1"/>
      <w:numFmt w:val="decimal"/>
      <w:lvlText w:val="%1.%2.%3.%4.%5.%6"/>
      <w:lvlJc w:val="left"/>
      <w:pPr>
        <w:tabs>
          <w:tab w:val="left" w:pos="3205"/>
        </w:tabs>
        <w:ind w:left="3205" w:hanging="1080"/>
      </w:pPr>
      <w:rPr>
        <w:rFonts w:hint="default"/>
      </w:rPr>
    </w:lvl>
    <w:lvl w:ilvl="6" w:tentative="0">
      <w:start w:val="1"/>
      <w:numFmt w:val="decimal"/>
      <w:lvlText w:val="%1.%2.%3.%4.%5.%6.%7"/>
      <w:lvlJc w:val="left"/>
      <w:pPr>
        <w:tabs>
          <w:tab w:val="left" w:pos="3990"/>
        </w:tabs>
        <w:ind w:left="3990" w:hanging="1440"/>
      </w:pPr>
      <w:rPr>
        <w:rFonts w:hint="default"/>
      </w:rPr>
    </w:lvl>
    <w:lvl w:ilvl="7" w:tentative="0">
      <w:start w:val="1"/>
      <w:numFmt w:val="decimal"/>
      <w:lvlText w:val="%1.%2.%3.%4.%5.%6.%7.%8"/>
      <w:lvlJc w:val="left"/>
      <w:pPr>
        <w:tabs>
          <w:tab w:val="left" w:pos="4415"/>
        </w:tabs>
        <w:ind w:left="4415" w:hanging="1440"/>
      </w:pPr>
      <w:rPr>
        <w:rFonts w:hint="default"/>
      </w:rPr>
    </w:lvl>
    <w:lvl w:ilvl="8" w:tentative="0">
      <w:start w:val="1"/>
      <w:numFmt w:val="decimal"/>
      <w:lvlText w:val="%1.%2.%3.%4.%5.%6.%7.%8.%9"/>
      <w:lvlJc w:val="left"/>
      <w:pPr>
        <w:tabs>
          <w:tab w:val="left" w:pos="5200"/>
        </w:tabs>
        <w:ind w:left="5200" w:hanging="1800"/>
      </w:pPr>
      <w:rPr>
        <w:rFonts w:hint="default"/>
      </w:rPr>
    </w:lvl>
  </w:abstractNum>
  <w:abstractNum w:abstractNumId="16">
    <w:nsid w:val="04742A9C"/>
    <w:multiLevelType w:val="singleLevel"/>
    <w:tmpl w:val="04742A9C"/>
    <w:lvl w:ilvl="0" w:tentative="0">
      <w:start w:val="4"/>
      <w:numFmt w:val="chineseCounting"/>
      <w:suff w:val="nothing"/>
      <w:lvlText w:val="%1、"/>
      <w:lvlJc w:val="left"/>
      <w:rPr>
        <w:rFonts w:hint="eastAsia"/>
      </w:rPr>
    </w:lvl>
  </w:abstractNum>
  <w:abstractNum w:abstractNumId="17">
    <w:nsid w:val="5AAF1C38"/>
    <w:multiLevelType w:val="multilevel"/>
    <w:tmpl w:val="5AAF1C38"/>
    <w:lvl w:ilvl="0" w:tentative="0">
      <w:start w:val="1"/>
      <w:numFmt w:val="chineseCountingThousand"/>
      <w:suff w:val="space"/>
      <w:lvlText w:val="第%1章  "/>
      <w:lvlJc w:val="left"/>
      <w:pPr>
        <w:ind w:left="0" w:firstLine="0"/>
      </w:pPr>
      <w:rPr>
        <w:rFonts w:hint="eastAsia"/>
      </w:rPr>
    </w:lvl>
    <w:lvl w:ilvl="1" w:tentative="0">
      <w:start w:val="1"/>
      <w:numFmt w:val="decimal"/>
      <w:pStyle w:val="69"/>
      <w:suff w:val="space"/>
      <w:lvlText w:val="%2."/>
      <w:lvlJc w:val="left"/>
      <w:pPr>
        <w:tabs>
          <w:tab w:val="left" w:pos="0"/>
        </w:tabs>
        <w:ind w:left="284" w:firstLine="0"/>
      </w:pPr>
      <w:rPr>
        <w:rFonts w:hint="eastAsia" w:ascii="宋体" w:hAnsi="宋体" w:eastAsia="宋体" w:cs="宋体"/>
      </w:rPr>
    </w:lvl>
    <w:lvl w:ilvl="2" w:tentative="0">
      <w:start w:val="1"/>
      <w:numFmt w:val="decimal"/>
      <w:pStyle w:val="71"/>
      <w:suff w:val="space"/>
      <w:lvlText w:val="%2.%3"/>
      <w:lvlJc w:val="left"/>
      <w:pPr>
        <w:tabs>
          <w:tab w:val="left" w:pos="0"/>
        </w:tabs>
        <w:ind w:left="425" w:hanging="425"/>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8">
    <w:nsid w:val="64059543"/>
    <w:multiLevelType w:val="singleLevel"/>
    <w:tmpl w:val="64059543"/>
    <w:lvl w:ilvl="0" w:tentative="0">
      <w:start w:val="2"/>
      <w:numFmt w:val="decimal"/>
      <w:suff w:val="nothing"/>
      <w:lvlText w:val="%1．"/>
      <w:lvlJc w:val="left"/>
    </w:lvl>
  </w:abstractNum>
  <w:abstractNum w:abstractNumId="19">
    <w:nsid w:val="643377FD"/>
    <w:multiLevelType w:val="singleLevel"/>
    <w:tmpl w:val="643377FD"/>
    <w:lvl w:ilvl="0" w:tentative="0">
      <w:start w:val="1"/>
      <w:numFmt w:val="lowerLetter"/>
      <w:suff w:val="nothing"/>
      <w:lvlText w:val="%1、"/>
      <w:lvlJc w:val="left"/>
    </w:lvl>
  </w:abstractNum>
  <w:abstractNum w:abstractNumId="20">
    <w:nsid w:val="64338314"/>
    <w:multiLevelType w:val="singleLevel"/>
    <w:tmpl w:val="64338314"/>
    <w:lvl w:ilvl="0" w:tentative="0">
      <w:start w:val="2"/>
      <w:numFmt w:val="decimal"/>
      <w:suff w:val="nothing"/>
      <w:lvlText w:val="（%1）"/>
      <w:lvlJc w:val="left"/>
    </w:lvl>
  </w:abstractNum>
  <w:abstractNum w:abstractNumId="21">
    <w:nsid w:val="64338395"/>
    <w:multiLevelType w:val="singleLevel"/>
    <w:tmpl w:val="64338395"/>
    <w:lvl w:ilvl="0" w:tentative="0">
      <w:start w:val="5"/>
      <w:numFmt w:val="decimal"/>
      <w:suff w:val="nothing"/>
      <w:lvlText w:val="（%1）"/>
      <w:lvlJc w:val="left"/>
    </w:lvl>
  </w:abstractNum>
  <w:abstractNum w:abstractNumId="22">
    <w:nsid w:val="643388B3"/>
    <w:multiLevelType w:val="singleLevel"/>
    <w:tmpl w:val="643388B3"/>
    <w:lvl w:ilvl="0" w:tentative="0">
      <w:start w:val="1"/>
      <w:numFmt w:val="decimal"/>
      <w:suff w:val="nothing"/>
      <w:lvlText w:val="（%1）"/>
      <w:lvlJc w:val="left"/>
    </w:lvl>
  </w:abstractNum>
  <w:abstractNum w:abstractNumId="23">
    <w:nsid w:val="643388EF"/>
    <w:multiLevelType w:val="singleLevel"/>
    <w:tmpl w:val="643388EF"/>
    <w:lvl w:ilvl="0" w:tentative="0">
      <w:start w:val="1"/>
      <w:numFmt w:val="decimal"/>
      <w:suff w:val="nothing"/>
      <w:lvlText w:val="（%1）"/>
      <w:lvlJc w:val="left"/>
    </w:lvl>
  </w:abstractNum>
  <w:abstractNum w:abstractNumId="24">
    <w:nsid w:val="64338920"/>
    <w:multiLevelType w:val="singleLevel"/>
    <w:tmpl w:val="64338920"/>
    <w:lvl w:ilvl="0" w:tentative="0">
      <w:start w:val="1"/>
      <w:numFmt w:val="chineseCounting"/>
      <w:suff w:val="nothing"/>
      <w:lvlText w:val="（%1）"/>
      <w:lvlJc w:val="left"/>
    </w:lvl>
  </w:abstractNum>
  <w:abstractNum w:abstractNumId="25">
    <w:nsid w:val="66709935"/>
    <w:multiLevelType w:val="singleLevel"/>
    <w:tmpl w:val="66709935"/>
    <w:lvl w:ilvl="0" w:tentative="0">
      <w:start w:val="8"/>
      <w:numFmt w:val="decimal"/>
      <w:suff w:val="nothing"/>
      <w:lvlText w:val="%1．"/>
      <w:lvlJc w:val="left"/>
    </w:lvl>
  </w:abstractNum>
  <w:abstractNum w:abstractNumId="26">
    <w:nsid w:val="72388122"/>
    <w:multiLevelType w:val="singleLevel"/>
    <w:tmpl w:val="72388122"/>
    <w:lvl w:ilvl="0" w:tentative="0">
      <w:start w:val="11"/>
      <w:numFmt w:val="decimal"/>
      <w:lvlText w:val="%1."/>
      <w:lvlJc w:val="left"/>
      <w:pPr>
        <w:tabs>
          <w:tab w:val="left" w:pos="312"/>
        </w:tabs>
      </w:pPr>
    </w:lvl>
  </w:abstractNum>
  <w:abstractNum w:abstractNumId="27">
    <w:nsid w:val="740654F9"/>
    <w:multiLevelType w:val="singleLevel"/>
    <w:tmpl w:val="740654F9"/>
    <w:lvl w:ilvl="0" w:tentative="0">
      <w:start w:val="1"/>
      <w:numFmt w:val="decimal"/>
      <w:suff w:val="nothing"/>
      <w:lvlText w:val="（%1）"/>
      <w:lvlJc w:val="left"/>
    </w:lvl>
  </w:abstractNum>
  <w:abstractNum w:abstractNumId="28">
    <w:nsid w:val="7F1B7743"/>
    <w:multiLevelType w:val="multilevel"/>
    <w:tmpl w:val="7F1B7743"/>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6"/>
  </w:num>
  <w:num w:numId="2">
    <w:abstractNumId w:val="7"/>
  </w:num>
  <w:num w:numId="3">
    <w:abstractNumId w:val="17"/>
  </w:num>
  <w:num w:numId="4">
    <w:abstractNumId w:val="25"/>
  </w:num>
  <w:num w:numId="5">
    <w:abstractNumId w:val="4"/>
  </w:num>
  <w:num w:numId="6">
    <w:abstractNumId w:val="27"/>
  </w:num>
  <w:num w:numId="7">
    <w:abstractNumId w:val="19"/>
  </w:num>
  <w:num w:numId="8">
    <w:abstractNumId w:val="26"/>
  </w:num>
  <w:num w:numId="9">
    <w:abstractNumId w:val="18"/>
  </w:num>
  <w:num w:numId="10">
    <w:abstractNumId w:val="1"/>
  </w:num>
  <w:num w:numId="11">
    <w:abstractNumId w:val="20"/>
  </w:num>
  <w:num w:numId="12">
    <w:abstractNumId w:val="21"/>
  </w:num>
  <w:num w:numId="13">
    <w:abstractNumId w:val="22"/>
  </w:num>
  <w:num w:numId="14">
    <w:abstractNumId w:val="23"/>
  </w:num>
  <w:num w:numId="15">
    <w:abstractNumId w:val="24"/>
  </w:num>
  <w:num w:numId="16">
    <w:abstractNumId w:val="28"/>
  </w:num>
  <w:num w:numId="17">
    <w:abstractNumId w:val="5"/>
  </w:num>
  <w:num w:numId="18">
    <w:abstractNumId w:val="13"/>
  </w:num>
  <w:num w:numId="19">
    <w:abstractNumId w:val="9"/>
  </w:num>
  <w:num w:numId="20">
    <w:abstractNumId w:val="2"/>
  </w:num>
  <w:num w:numId="21">
    <w:abstractNumId w:val="3"/>
  </w:num>
  <w:num w:numId="22">
    <w:abstractNumId w:val="10"/>
  </w:num>
  <w:num w:numId="23">
    <w:abstractNumId w:val="11"/>
  </w:num>
  <w:num w:numId="24">
    <w:abstractNumId w:val="14"/>
  </w:num>
  <w:num w:numId="25">
    <w:abstractNumId w:val="12"/>
  </w:num>
  <w:num w:numId="26">
    <w:abstractNumId w:val="15"/>
  </w:num>
  <w:num w:numId="27">
    <w:abstractNumId w:val="8"/>
  </w:num>
  <w:num w:numId="28">
    <w:abstractNumId w:val="1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hideSpellingError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3YmY4ZmQ2Y2RhNThjY2JhMzI3NmFjZjM2YTY5MTgifQ=="/>
  </w:docVars>
  <w:rsids>
    <w:rsidRoot w:val="00172A27"/>
    <w:rsid w:val="00000151"/>
    <w:rsid w:val="00000AE6"/>
    <w:rsid w:val="00002CFC"/>
    <w:rsid w:val="00004A77"/>
    <w:rsid w:val="00005D9A"/>
    <w:rsid w:val="00005F60"/>
    <w:rsid w:val="0000612D"/>
    <w:rsid w:val="00007098"/>
    <w:rsid w:val="00007502"/>
    <w:rsid w:val="00010CA9"/>
    <w:rsid w:val="00011DA3"/>
    <w:rsid w:val="00012481"/>
    <w:rsid w:val="000133F5"/>
    <w:rsid w:val="00013AEB"/>
    <w:rsid w:val="000145E8"/>
    <w:rsid w:val="00015040"/>
    <w:rsid w:val="00015931"/>
    <w:rsid w:val="000171CB"/>
    <w:rsid w:val="0001796D"/>
    <w:rsid w:val="000208BC"/>
    <w:rsid w:val="000209DC"/>
    <w:rsid w:val="00024A69"/>
    <w:rsid w:val="000301DE"/>
    <w:rsid w:val="0003212A"/>
    <w:rsid w:val="000327BC"/>
    <w:rsid w:val="000327CC"/>
    <w:rsid w:val="00034ACB"/>
    <w:rsid w:val="00034B07"/>
    <w:rsid w:val="000373E8"/>
    <w:rsid w:val="000375DC"/>
    <w:rsid w:val="000404B0"/>
    <w:rsid w:val="000409AC"/>
    <w:rsid w:val="00041F75"/>
    <w:rsid w:val="00042B0F"/>
    <w:rsid w:val="000430F3"/>
    <w:rsid w:val="000442EC"/>
    <w:rsid w:val="00045648"/>
    <w:rsid w:val="0004586E"/>
    <w:rsid w:val="00045F85"/>
    <w:rsid w:val="00047D26"/>
    <w:rsid w:val="00047D6D"/>
    <w:rsid w:val="00052B6F"/>
    <w:rsid w:val="00052CBA"/>
    <w:rsid w:val="000531FC"/>
    <w:rsid w:val="0005433E"/>
    <w:rsid w:val="00055C88"/>
    <w:rsid w:val="0005635C"/>
    <w:rsid w:val="00056C24"/>
    <w:rsid w:val="00060CB6"/>
    <w:rsid w:val="000619E6"/>
    <w:rsid w:val="00061A6D"/>
    <w:rsid w:val="00062C84"/>
    <w:rsid w:val="00062CDB"/>
    <w:rsid w:val="00063A72"/>
    <w:rsid w:val="00064226"/>
    <w:rsid w:val="0006467C"/>
    <w:rsid w:val="00064691"/>
    <w:rsid w:val="00065568"/>
    <w:rsid w:val="00071D95"/>
    <w:rsid w:val="00073A85"/>
    <w:rsid w:val="0007502F"/>
    <w:rsid w:val="00076847"/>
    <w:rsid w:val="00076AF7"/>
    <w:rsid w:val="000815EB"/>
    <w:rsid w:val="00084446"/>
    <w:rsid w:val="0008573A"/>
    <w:rsid w:val="000866BA"/>
    <w:rsid w:val="000901EA"/>
    <w:rsid w:val="00090C03"/>
    <w:rsid w:val="0009136E"/>
    <w:rsid w:val="00092E73"/>
    <w:rsid w:val="000938F7"/>
    <w:rsid w:val="00094099"/>
    <w:rsid w:val="0009520D"/>
    <w:rsid w:val="000964FA"/>
    <w:rsid w:val="0009724E"/>
    <w:rsid w:val="000A04A7"/>
    <w:rsid w:val="000A13E1"/>
    <w:rsid w:val="000A4773"/>
    <w:rsid w:val="000A4CE5"/>
    <w:rsid w:val="000A4D64"/>
    <w:rsid w:val="000B0C96"/>
    <w:rsid w:val="000B0D8E"/>
    <w:rsid w:val="000B10DF"/>
    <w:rsid w:val="000B4A5B"/>
    <w:rsid w:val="000B65B1"/>
    <w:rsid w:val="000B7036"/>
    <w:rsid w:val="000C0059"/>
    <w:rsid w:val="000C0CD8"/>
    <w:rsid w:val="000C1008"/>
    <w:rsid w:val="000C31E9"/>
    <w:rsid w:val="000C41E1"/>
    <w:rsid w:val="000C4F1C"/>
    <w:rsid w:val="000C566B"/>
    <w:rsid w:val="000C6C82"/>
    <w:rsid w:val="000C7DA5"/>
    <w:rsid w:val="000D02A0"/>
    <w:rsid w:val="000D0B73"/>
    <w:rsid w:val="000D1897"/>
    <w:rsid w:val="000D4F62"/>
    <w:rsid w:val="000D5747"/>
    <w:rsid w:val="000D5B2F"/>
    <w:rsid w:val="000D7D43"/>
    <w:rsid w:val="000E003D"/>
    <w:rsid w:val="000E0A9A"/>
    <w:rsid w:val="000E1771"/>
    <w:rsid w:val="000E23D1"/>
    <w:rsid w:val="000E28F5"/>
    <w:rsid w:val="000E2FE5"/>
    <w:rsid w:val="000E33A6"/>
    <w:rsid w:val="000E33DA"/>
    <w:rsid w:val="000E432A"/>
    <w:rsid w:val="000E5BEF"/>
    <w:rsid w:val="000E66A5"/>
    <w:rsid w:val="000E7ADB"/>
    <w:rsid w:val="000F01A6"/>
    <w:rsid w:val="000F1FEE"/>
    <w:rsid w:val="000F284D"/>
    <w:rsid w:val="000F2ADD"/>
    <w:rsid w:val="000F2D22"/>
    <w:rsid w:val="000F5CFF"/>
    <w:rsid w:val="001020AF"/>
    <w:rsid w:val="001027FC"/>
    <w:rsid w:val="00102D03"/>
    <w:rsid w:val="00103723"/>
    <w:rsid w:val="00105355"/>
    <w:rsid w:val="00106F86"/>
    <w:rsid w:val="00107AA5"/>
    <w:rsid w:val="00111011"/>
    <w:rsid w:val="00111023"/>
    <w:rsid w:val="00111A9B"/>
    <w:rsid w:val="0011506F"/>
    <w:rsid w:val="00120715"/>
    <w:rsid w:val="00120CA6"/>
    <w:rsid w:val="001216DD"/>
    <w:rsid w:val="001223C2"/>
    <w:rsid w:val="00126D03"/>
    <w:rsid w:val="00127723"/>
    <w:rsid w:val="00127F21"/>
    <w:rsid w:val="00130605"/>
    <w:rsid w:val="00130C2F"/>
    <w:rsid w:val="001312EC"/>
    <w:rsid w:val="00134281"/>
    <w:rsid w:val="00134902"/>
    <w:rsid w:val="00135D3B"/>
    <w:rsid w:val="00136C80"/>
    <w:rsid w:val="00137701"/>
    <w:rsid w:val="001411B2"/>
    <w:rsid w:val="0014138D"/>
    <w:rsid w:val="0014171E"/>
    <w:rsid w:val="00141CEE"/>
    <w:rsid w:val="00141E40"/>
    <w:rsid w:val="001441DD"/>
    <w:rsid w:val="001471E9"/>
    <w:rsid w:val="001477B5"/>
    <w:rsid w:val="00147998"/>
    <w:rsid w:val="0015088B"/>
    <w:rsid w:val="00150E02"/>
    <w:rsid w:val="0015183B"/>
    <w:rsid w:val="00152BDA"/>
    <w:rsid w:val="00154F4C"/>
    <w:rsid w:val="00155AE1"/>
    <w:rsid w:val="00157BED"/>
    <w:rsid w:val="00161306"/>
    <w:rsid w:val="0016186D"/>
    <w:rsid w:val="001646E4"/>
    <w:rsid w:val="00164CCE"/>
    <w:rsid w:val="00166264"/>
    <w:rsid w:val="0016686E"/>
    <w:rsid w:val="001728E2"/>
    <w:rsid w:val="00172A27"/>
    <w:rsid w:val="00172C98"/>
    <w:rsid w:val="001743CA"/>
    <w:rsid w:val="00174703"/>
    <w:rsid w:val="001747D8"/>
    <w:rsid w:val="00177A9F"/>
    <w:rsid w:val="00180BCD"/>
    <w:rsid w:val="001812C0"/>
    <w:rsid w:val="00181693"/>
    <w:rsid w:val="00184128"/>
    <w:rsid w:val="00184E5C"/>
    <w:rsid w:val="00184E71"/>
    <w:rsid w:val="00184FDD"/>
    <w:rsid w:val="00187610"/>
    <w:rsid w:val="001879CA"/>
    <w:rsid w:val="001909A4"/>
    <w:rsid w:val="0019322A"/>
    <w:rsid w:val="001974D3"/>
    <w:rsid w:val="001A394B"/>
    <w:rsid w:val="001A3D34"/>
    <w:rsid w:val="001A4C09"/>
    <w:rsid w:val="001A660B"/>
    <w:rsid w:val="001A719C"/>
    <w:rsid w:val="001A759D"/>
    <w:rsid w:val="001A7A90"/>
    <w:rsid w:val="001B251D"/>
    <w:rsid w:val="001B36A2"/>
    <w:rsid w:val="001B3C99"/>
    <w:rsid w:val="001B4536"/>
    <w:rsid w:val="001B5E91"/>
    <w:rsid w:val="001B60DF"/>
    <w:rsid w:val="001B6335"/>
    <w:rsid w:val="001C125D"/>
    <w:rsid w:val="001C1FD8"/>
    <w:rsid w:val="001C2B43"/>
    <w:rsid w:val="001C469C"/>
    <w:rsid w:val="001C7DAB"/>
    <w:rsid w:val="001D11E0"/>
    <w:rsid w:val="001D294A"/>
    <w:rsid w:val="001D2DE7"/>
    <w:rsid w:val="001D4572"/>
    <w:rsid w:val="001D4BFA"/>
    <w:rsid w:val="001D4FBC"/>
    <w:rsid w:val="001D6704"/>
    <w:rsid w:val="001D73B8"/>
    <w:rsid w:val="001E12B4"/>
    <w:rsid w:val="001E237E"/>
    <w:rsid w:val="001E2D1D"/>
    <w:rsid w:val="001E3ADE"/>
    <w:rsid w:val="001E3C65"/>
    <w:rsid w:val="001E3CD0"/>
    <w:rsid w:val="001E46FD"/>
    <w:rsid w:val="001E5D6D"/>
    <w:rsid w:val="001E61D6"/>
    <w:rsid w:val="001F4606"/>
    <w:rsid w:val="001F4A17"/>
    <w:rsid w:val="001F51C4"/>
    <w:rsid w:val="001F6285"/>
    <w:rsid w:val="001F62C8"/>
    <w:rsid w:val="0020049C"/>
    <w:rsid w:val="00201E35"/>
    <w:rsid w:val="002022FE"/>
    <w:rsid w:val="00203D85"/>
    <w:rsid w:val="002040D5"/>
    <w:rsid w:val="0020505E"/>
    <w:rsid w:val="0020531F"/>
    <w:rsid w:val="00205A20"/>
    <w:rsid w:val="00205FBA"/>
    <w:rsid w:val="0020604E"/>
    <w:rsid w:val="002077CB"/>
    <w:rsid w:val="00207E85"/>
    <w:rsid w:val="002111D6"/>
    <w:rsid w:val="00211CE3"/>
    <w:rsid w:val="00212A88"/>
    <w:rsid w:val="00213BDD"/>
    <w:rsid w:val="0021403D"/>
    <w:rsid w:val="00214C79"/>
    <w:rsid w:val="00214C88"/>
    <w:rsid w:val="00215993"/>
    <w:rsid w:val="002160A2"/>
    <w:rsid w:val="00216336"/>
    <w:rsid w:val="002167B9"/>
    <w:rsid w:val="00217C99"/>
    <w:rsid w:val="00221164"/>
    <w:rsid w:val="0022292E"/>
    <w:rsid w:val="0022463C"/>
    <w:rsid w:val="00224F4D"/>
    <w:rsid w:val="002253EB"/>
    <w:rsid w:val="002276A9"/>
    <w:rsid w:val="00233863"/>
    <w:rsid w:val="00235411"/>
    <w:rsid w:val="00236486"/>
    <w:rsid w:val="00237130"/>
    <w:rsid w:val="002375E6"/>
    <w:rsid w:val="0024010A"/>
    <w:rsid w:val="00240378"/>
    <w:rsid w:val="002404F7"/>
    <w:rsid w:val="002419EE"/>
    <w:rsid w:val="00241F62"/>
    <w:rsid w:val="00242803"/>
    <w:rsid w:val="00243FCB"/>
    <w:rsid w:val="002440FF"/>
    <w:rsid w:val="00245CB2"/>
    <w:rsid w:val="00245D36"/>
    <w:rsid w:val="002469F9"/>
    <w:rsid w:val="00250B23"/>
    <w:rsid w:val="00252EE0"/>
    <w:rsid w:val="00256508"/>
    <w:rsid w:val="002577BF"/>
    <w:rsid w:val="00257EED"/>
    <w:rsid w:val="002603C1"/>
    <w:rsid w:val="002610CB"/>
    <w:rsid w:val="002614CC"/>
    <w:rsid w:val="00261C61"/>
    <w:rsid w:val="00263185"/>
    <w:rsid w:val="00264463"/>
    <w:rsid w:val="002644DE"/>
    <w:rsid w:val="00265CA3"/>
    <w:rsid w:val="002673CB"/>
    <w:rsid w:val="00267477"/>
    <w:rsid w:val="0027060C"/>
    <w:rsid w:val="0027155C"/>
    <w:rsid w:val="00271C1F"/>
    <w:rsid w:val="002722D4"/>
    <w:rsid w:val="002733E2"/>
    <w:rsid w:val="0027378E"/>
    <w:rsid w:val="00273FF6"/>
    <w:rsid w:val="00274DBC"/>
    <w:rsid w:val="0027538C"/>
    <w:rsid w:val="00275B21"/>
    <w:rsid w:val="00280292"/>
    <w:rsid w:val="00280A1A"/>
    <w:rsid w:val="00284768"/>
    <w:rsid w:val="0028742E"/>
    <w:rsid w:val="00287431"/>
    <w:rsid w:val="0028779F"/>
    <w:rsid w:val="00290F66"/>
    <w:rsid w:val="00291466"/>
    <w:rsid w:val="00291FD1"/>
    <w:rsid w:val="00292246"/>
    <w:rsid w:val="0029343C"/>
    <w:rsid w:val="002944C8"/>
    <w:rsid w:val="0029524E"/>
    <w:rsid w:val="00295EEA"/>
    <w:rsid w:val="00296158"/>
    <w:rsid w:val="0029758D"/>
    <w:rsid w:val="002A15DA"/>
    <w:rsid w:val="002A183F"/>
    <w:rsid w:val="002A192E"/>
    <w:rsid w:val="002A1FD9"/>
    <w:rsid w:val="002A677A"/>
    <w:rsid w:val="002A73F5"/>
    <w:rsid w:val="002A7F5D"/>
    <w:rsid w:val="002B38B8"/>
    <w:rsid w:val="002B3D0C"/>
    <w:rsid w:val="002B4429"/>
    <w:rsid w:val="002B4B1B"/>
    <w:rsid w:val="002B623C"/>
    <w:rsid w:val="002C07ED"/>
    <w:rsid w:val="002C07EE"/>
    <w:rsid w:val="002C3BB1"/>
    <w:rsid w:val="002C57C4"/>
    <w:rsid w:val="002C621C"/>
    <w:rsid w:val="002C711C"/>
    <w:rsid w:val="002D1689"/>
    <w:rsid w:val="002D1966"/>
    <w:rsid w:val="002D24D5"/>
    <w:rsid w:val="002D4CDF"/>
    <w:rsid w:val="002D5AF8"/>
    <w:rsid w:val="002D7868"/>
    <w:rsid w:val="002D7EE2"/>
    <w:rsid w:val="002E0C04"/>
    <w:rsid w:val="002E253D"/>
    <w:rsid w:val="002E2D3F"/>
    <w:rsid w:val="002E427F"/>
    <w:rsid w:val="002E4298"/>
    <w:rsid w:val="002E4E87"/>
    <w:rsid w:val="002E4E8E"/>
    <w:rsid w:val="002E768E"/>
    <w:rsid w:val="002F3C6E"/>
    <w:rsid w:val="002F4D33"/>
    <w:rsid w:val="002F59DC"/>
    <w:rsid w:val="002F5F37"/>
    <w:rsid w:val="002F6265"/>
    <w:rsid w:val="002F6CB9"/>
    <w:rsid w:val="00300FCD"/>
    <w:rsid w:val="00301DF8"/>
    <w:rsid w:val="00302B90"/>
    <w:rsid w:val="003078D2"/>
    <w:rsid w:val="00310B31"/>
    <w:rsid w:val="0031351C"/>
    <w:rsid w:val="003217B4"/>
    <w:rsid w:val="003234BE"/>
    <w:rsid w:val="00323ED7"/>
    <w:rsid w:val="00331189"/>
    <w:rsid w:val="00332789"/>
    <w:rsid w:val="00334E65"/>
    <w:rsid w:val="0033572A"/>
    <w:rsid w:val="00335762"/>
    <w:rsid w:val="00335D2D"/>
    <w:rsid w:val="00336D28"/>
    <w:rsid w:val="003410D7"/>
    <w:rsid w:val="00341347"/>
    <w:rsid w:val="00341EFD"/>
    <w:rsid w:val="0034327B"/>
    <w:rsid w:val="0034415A"/>
    <w:rsid w:val="00345DD6"/>
    <w:rsid w:val="0034765C"/>
    <w:rsid w:val="003510C0"/>
    <w:rsid w:val="003520FE"/>
    <w:rsid w:val="003531FD"/>
    <w:rsid w:val="00355A80"/>
    <w:rsid w:val="00355C7F"/>
    <w:rsid w:val="00356938"/>
    <w:rsid w:val="003571B9"/>
    <w:rsid w:val="00361206"/>
    <w:rsid w:val="00361A85"/>
    <w:rsid w:val="00362B12"/>
    <w:rsid w:val="00362DBA"/>
    <w:rsid w:val="00366E6D"/>
    <w:rsid w:val="00371788"/>
    <w:rsid w:val="00371FC6"/>
    <w:rsid w:val="0037429D"/>
    <w:rsid w:val="00375654"/>
    <w:rsid w:val="00376A9E"/>
    <w:rsid w:val="00376E44"/>
    <w:rsid w:val="00380ED3"/>
    <w:rsid w:val="00381040"/>
    <w:rsid w:val="0038199A"/>
    <w:rsid w:val="00382360"/>
    <w:rsid w:val="003842DC"/>
    <w:rsid w:val="00386CCE"/>
    <w:rsid w:val="003875B7"/>
    <w:rsid w:val="00390491"/>
    <w:rsid w:val="00390EF4"/>
    <w:rsid w:val="003913EE"/>
    <w:rsid w:val="00391A6B"/>
    <w:rsid w:val="00392F1B"/>
    <w:rsid w:val="0039382B"/>
    <w:rsid w:val="00393AF1"/>
    <w:rsid w:val="00395821"/>
    <w:rsid w:val="00397018"/>
    <w:rsid w:val="003A0AAE"/>
    <w:rsid w:val="003A1A50"/>
    <w:rsid w:val="003A26CC"/>
    <w:rsid w:val="003A2AB1"/>
    <w:rsid w:val="003A3BC6"/>
    <w:rsid w:val="003A46B3"/>
    <w:rsid w:val="003A7325"/>
    <w:rsid w:val="003A7E2D"/>
    <w:rsid w:val="003B0DBC"/>
    <w:rsid w:val="003B2229"/>
    <w:rsid w:val="003B3416"/>
    <w:rsid w:val="003B4484"/>
    <w:rsid w:val="003B4642"/>
    <w:rsid w:val="003B5754"/>
    <w:rsid w:val="003B5C9A"/>
    <w:rsid w:val="003B5DCC"/>
    <w:rsid w:val="003C182C"/>
    <w:rsid w:val="003C2652"/>
    <w:rsid w:val="003C3A29"/>
    <w:rsid w:val="003C431B"/>
    <w:rsid w:val="003C64F7"/>
    <w:rsid w:val="003C76CE"/>
    <w:rsid w:val="003C79A3"/>
    <w:rsid w:val="003C7A10"/>
    <w:rsid w:val="003D20AF"/>
    <w:rsid w:val="003D32CB"/>
    <w:rsid w:val="003D365A"/>
    <w:rsid w:val="003D3BCE"/>
    <w:rsid w:val="003D52BD"/>
    <w:rsid w:val="003D7C55"/>
    <w:rsid w:val="003E16D9"/>
    <w:rsid w:val="003E3B7F"/>
    <w:rsid w:val="003E565C"/>
    <w:rsid w:val="003E5967"/>
    <w:rsid w:val="003E7F5A"/>
    <w:rsid w:val="003F104B"/>
    <w:rsid w:val="003F1298"/>
    <w:rsid w:val="003F170E"/>
    <w:rsid w:val="003F4E37"/>
    <w:rsid w:val="003F5271"/>
    <w:rsid w:val="00400A5B"/>
    <w:rsid w:val="00403AEE"/>
    <w:rsid w:val="00405CE2"/>
    <w:rsid w:val="004065A1"/>
    <w:rsid w:val="004068AD"/>
    <w:rsid w:val="00410C32"/>
    <w:rsid w:val="00411722"/>
    <w:rsid w:val="0041219F"/>
    <w:rsid w:val="00412419"/>
    <w:rsid w:val="00412863"/>
    <w:rsid w:val="00412BF6"/>
    <w:rsid w:val="004130AC"/>
    <w:rsid w:val="00414B29"/>
    <w:rsid w:val="00414E9C"/>
    <w:rsid w:val="00417B46"/>
    <w:rsid w:val="004200FC"/>
    <w:rsid w:val="00421800"/>
    <w:rsid w:val="004234B6"/>
    <w:rsid w:val="004238F2"/>
    <w:rsid w:val="0042559D"/>
    <w:rsid w:val="00426534"/>
    <w:rsid w:val="004266E6"/>
    <w:rsid w:val="00431036"/>
    <w:rsid w:val="00432115"/>
    <w:rsid w:val="00432A72"/>
    <w:rsid w:val="00433B5D"/>
    <w:rsid w:val="00434BD1"/>
    <w:rsid w:val="004354B2"/>
    <w:rsid w:val="00435BFE"/>
    <w:rsid w:val="004430A4"/>
    <w:rsid w:val="00443189"/>
    <w:rsid w:val="004440C4"/>
    <w:rsid w:val="00444AD7"/>
    <w:rsid w:val="00444CB9"/>
    <w:rsid w:val="00445D18"/>
    <w:rsid w:val="00451AB8"/>
    <w:rsid w:val="004537BA"/>
    <w:rsid w:val="004544B6"/>
    <w:rsid w:val="0045470D"/>
    <w:rsid w:val="00457AF9"/>
    <w:rsid w:val="00462714"/>
    <w:rsid w:val="00463598"/>
    <w:rsid w:val="00464C4C"/>
    <w:rsid w:val="00464CCE"/>
    <w:rsid w:val="00472144"/>
    <w:rsid w:val="00473A0E"/>
    <w:rsid w:val="00473B61"/>
    <w:rsid w:val="004740A8"/>
    <w:rsid w:val="00474F15"/>
    <w:rsid w:val="00480D0F"/>
    <w:rsid w:val="00481180"/>
    <w:rsid w:val="00481793"/>
    <w:rsid w:val="00482711"/>
    <w:rsid w:val="00482CF6"/>
    <w:rsid w:val="00483D07"/>
    <w:rsid w:val="00484D5C"/>
    <w:rsid w:val="00484DE8"/>
    <w:rsid w:val="00485546"/>
    <w:rsid w:val="00486364"/>
    <w:rsid w:val="004874D5"/>
    <w:rsid w:val="00487580"/>
    <w:rsid w:val="00496A24"/>
    <w:rsid w:val="00497298"/>
    <w:rsid w:val="0049782F"/>
    <w:rsid w:val="004A063F"/>
    <w:rsid w:val="004A0B5F"/>
    <w:rsid w:val="004A2184"/>
    <w:rsid w:val="004A3761"/>
    <w:rsid w:val="004A3D2E"/>
    <w:rsid w:val="004A410E"/>
    <w:rsid w:val="004A6092"/>
    <w:rsid w:val="004A6C4E"/>
    <w:rsid w:val="004B0205"/>
    <w:rsid w:val="004B04AE"/>
    <w:rsid w:val="004B3700"/>
    <w:rsid w:val="004B3B4B"/>
    <w:rsid w:val="004B6C42"/>
    <w:rsid w:val="004C000D"/>
    <w:rsid w:val="004C13CA"/>
    <w:rsid w:val="004C1640"/>
    <w:rsid w:val="004C3C58"/>
    <w:rsid w:val="004C5058"/>
    <w:rsid w:val="004C64B4"/>
    <w:rsid w:val="004D1CE8"/>
    <w:rsid w:val="004D3DD0"/>
    <w:rsid w:val="004D4BA4"/>
    <w:rsid w:val="004D64F6"/>
    <w:rsid w:val="004E036E"/>
    <w:rsid w:val="004E3161"/>
    <w:rsid w:val="004E47E7"/>
    <w:rsid w:val="004E60ED"/>
    <w:rsid w:val="004E6924"/>
    <w:rsid w:val="004E72B9"/>
    <w:rsid w:val="004F1CA9"/>
    <w:rsid w:val="004F1F08"/>
    <w:rsid w:val="004F3B38"/>
    <w:rsid w:val="004F486A"/>
    <w:rsid w:val="004F6400"/>
    <w:rsid w:val="004F6CE7"/>
    <w:rsid w:val="004F75EF"/>
    <w:rsid w:val="00501093"/>
    <w:rsid w:val="00502AF4"/>
    <w:rsid w:val="00504845"/>
    <w:rsid w:val="00506059"/>
    <w:rsid w:val="0051037E"/>
    <w:rsid w:val="00512693"/>
    <w:rsid w:val="005126D0"/>
    <w:rsid w:val="0051363B"/>
    <w:rsid w:val="00514D2D"/>
    <w:rsid w:val="00515174"/>
    <w:rsid w:val="00515E93"/>
    <w:rsid w:val="00516166"/>
    <w:rsid w:val="00516FB3"/>
    <w:rsid w:val="00520558"/>
    <w:rsid w:val="00522FF6"/>
    <w:rsid w:val="0052438B"/>
    <w:rsid w:val="00535059"/>
    <w:rsid w:val="00535396"/>
    <w:rsid w:val="0053598F"/>
    <w:rsid w:val="00540158"/>
    <w:rsid w:val="00540A9A"/>
    <w:rsid w:val="00540EFC"/>
    <w:rsid w:val="00542733"/>
    <w:rsid w:val="00542BA4"/>
    <w:rsid w:val="00543769"/>
    <w:rsid w:val="00544A1E"/>
    <w:rsid w:val="00545B57"/>
    <w:rsid w:val="00547C7C"/>
    <w:rsid w:val="005503FF"/>
    <w:rsid w:val="00550BC6"/>
    <w:rsid w:val="00551B71"/>
    <w:rsid w:val="00552046"/>
    <w:rsid w:val="0055797F"/>
    <w:rsid w:val="00557A13"/>
    <w:rsid w:val="005605A8"/>
    <w:rsid w:val="0056113F"/>
    <w:rsid w:val="00565B42"/>
    <w:rsid w:val="00566A07"/>
    <w:rsid w:val="005671B3"/>
    <w:rsid w:val="005672FA"/>
    <w:rsid w:val="005719ED"/>
    <w:rsid w:val="005730AC"/>
    <w:rsid w:val="005748D1"/>
    <w:rsid w:val="0057598B"/>
    <w:rsid w:val="00575C99"/>
    <w:rsid w:val="005762F5"/>
    <w:rsid w:val="005765EF"/>
    <w:rsid w:val="00580FC0"/>
    <w:rsid w:val="00582A21"/>
    <w:rsid w:val="005844FA"/>
    <w:rsid w:val="00590F57"/>
    <w:rsid w:val="00590FAC"/>
    <w:rsid w:val="00591201"/>
    <w:rsid w:val="00591828"/>
    <w:rsid w:val="00592894"/>
    <w:rsid w:val="005933D9"/>
    <w:rsid w:val="00597C67"/>
    <w:rsid w:val="005A006E"/>
    <w:rsid w:val="005A0C43"/>
    <w:rsid w:val="005A21D5"/>
    <w:rsid w:val="005A66AB"/>
    <w:rsid w:val="005B061E"/>
    <w:rsid w:val="005B0FCE"/>
    <w:rsid w:val="005B1A45"/>
    <w:rsid w:val="005C00C0"/>
    <w:rsid w:val="005C0BD1"/>
    <w:rsid w:val="005C1ED1"/>
    <w:rsid w:val="005C267C"/>
    <w:rsid w:val="005C4C29"/>
    <w:rsid w:val="005C5ECE"/>
    <w:rsid w:val="005C7DE6"/>
    <w:rsid w:val="005D03E0"/>
    <w:rsid w:val="005D22D3"/>
    <w:rsid w:val="005D4A02"/>
    <w:rsid w:val="005D66C9"/>
    <w:rsid w:val="005E06CC"/>
    <w:rsid w:val="005E3278"/>
    <w:rsid w:val="005E4675"/>
    <w:rsid w:val="005F01B7"/>
    <w:rsid w:val="005F0640"/>
    <w:rsid w:val="005F212B"/>
    <w:rsid w:val="005F2BC7"/>
    <w:rsid w:val="005F39FA"/>
    <w:rsid w:val="005F3C10"/>
    <w:rsid w:val="005F496B"/>
    <w:rsid w:val="005F4DC9"/>
    <w:rsid w:val="005F5787"/>
    <w:rsid w:val="005F59E7"/>
    <w:rsid w:val="00600C9B"/>
    <w:rsid w:val="00602384"/>
    <w:rsid w:val="006024FA"/>
    <w:rsid w:val="0060333C"/>
    <w:rsid w:val="006033E1"/>
    <w:rsid w:val="00603757"/>
    <w:rsid w:val="00605CC1"/>
    <w:rsid w:val="00612006"/>
    <w:rsid w:val="0061290F"/>
    <w:rsid w:val="00612C6C"/>
    <w:rsid w:val="006134DA"/>
    <w:rsid w:val="00614F2D"/>
    <w:rsid w:val="006150CF"/>
    <w:rsid w:val="006169FF"/>
    <w:rsid w:val="00617357"/>
    <w:rsid w:val="00617650"/>
    <w:rsid w:val="00617B64"/>
    <w:rsid w:val="00617E95"/>
    <w:rsid w:val="00621951"/>
    <w:rsid w:val="0062493F"/>
    <w:rsid w:val="006252AB"/>
    <w:rsid w:val="00625372"/>
    <w:rsid w:val="0063118F"/>
    <w:rsid w:val="00633611"/>
    <w:rsid w:val="00635F76"/>
    <w:rsid w:val="00636D65"/>
    <w:rsid w:val="0064086E"/>
    <w:rsid w:val="00641D41"/>
    <w:rsid w:val="00642767"/>
    <w:rsid w:val="00642B44"/>
    <w:rsid w:val="006452DB"/>
    <w:rsid w:val="00646DF1"/>
    <w:rsid w:val="0065009B"/>
    <w:rsid w:val="006527F5"/>
    <w:rsid w:val="00652B86"/>
    <w:rsid w:val="00652CE7"/>
    <w:rsid w:val="00655183"/>
    <w:rsid w:val="006613EC"/>
    <w:rsid w:val="00661A50"/>
    <w:rsid w:val="00661BFA"/>
    <w:rsid w:val="006622B8"/>
    <w:rsid w:val="00662314"/>
    <w:rsid w:val="0066277F"/>
    <w:rsid w:val="00662F23"/>
    <w:rsid w:val="00663822"/>
    <w:rsid w:val="00664203"/>
    <w:rsid w:val="0066436D"/>
    <w:rsid w:val="0066475F"/>
    <w:rsid w:val="006658F6"/>
    <w:rsid w:val="00665AD5"/>
    <w:rsid w:val="0067097E"/>
    <w:rsid w:val="00674C5D"/>
    <w:rsid w:val="00675479"/>
    <w:rsid w:val="006755F9"/>
    <w:rsid w:val="00676969"/>
    <w:rsid w:val="006778DC"/>
    <w:rsid w:val="00677AFA"/>
    <w:rsid w:val="00680420"/>
    <w:rsid w:val="00681337"/>
    <w:rsid w:val="00684310"/>
    <w:rsid w:val="00684443"/>
    <w:rsid w:val="00687A04"/>
    <w:rsid w:val="006910D5"/>
    <w:rsid w:val="00691BF6"/>
    <w:rsid w:val="00691CC7"/>
    <w:rsid w:val="0069215C"/>
    <w:rsid w:val="00693997"/>
    <w:rsid w:val="00693DFD"/>
    <w:rsid w:val="00693E9F"/>
    <w:rsid w:val="0069725F"/>
    <w:rsid w:val="006A065F"/>
    <w:rsid w:val="006A12D2"/>
    <w:rsid w:val="006A2181"/>
    <w:rsid w:val="006A2456"/>
    <w:rsid w:val="006A3354"/>
    <w:rsid w:val="006A49D4"/>
    <w:rsid w:val="006A5A17"/>
    <w:rsid w:val="006A63C7"/>
    <w:rsid w:val="006A7567"/>
    <w:rsid w:val="006B1983"/>
    <w:rsid w:val="006B3231"/>
    <w:rsid w:val="006B3CC1"/>
    <w:rsid w:val="006B5073"/>
    <w:rsid w:val="006B765B"/>
    <w:rsid w:val="006B7C11"/>
    <w:rsid w:val="006C1F30"/>
    <w:rsid w:val="006C211D"/>
    <w:rsid w:val="006C33BD"/>
    <w:rsid w:val="006C38CF"/>
    <w:rsid w:val="006C41E0"/>
    <w:rsid w:val="006C5170"/>
    <w:rsid w:val="006C61AA"/>
    <w:rsid w:val="006D0506"/>
    <w:rsid w:val="006D1D93"/>
    <w:rsid w:val="006D3176"/>
    <w:rsid w:val="006D3190"/>
    <w:rsid w:val="006D4294"/>
    <w:rsid w:val="006D4C69"/>
    <w:rsid w:val="006D57AA"/>
    <w:rsid w:val="006D615D"/>
    <w:rsid w:val="006E039C"/>
    <w:rsid w:val="006E1CF9"/>
    <w:rsid w:val="006E2117"/>
    <w:rsid w:val="006E275C"/>
    <w:rsid w:val="006E39C2"/>
    <w:rsid w:val="006E4070"/>
    <w:rsid w:val="006E6ECB"/>
    <w:rsid w:val="006F074E"/>
    <w:rsid w:val="006F2E32"/>
    <w:rsid w:val="006F375E"/>
    <w:rsid w:val="006F4E96"/>
    <w:rsid w:val="006F57D5"/>
    <w:rsid w:val="006F59BE"/>
    <w:rsid w:val="006F6666"/>
    <w:rsid w:val="006F7E4C"/>
    <w:rsid w:val="00700425"/>
    <w:rsid w:val="00702B82"/>
    <w:rsid w:val="00703BEF"/>
    <w:rsid w:val="007042A4"/>
    <w:rsid w:val="0070695A"/>
    <w:rsid w:val="007069C0"/>
    <w:rsid w:val="00711853"/>
    <w:rsid w:val="0071199E"/>
    <w:rsid w:val="007121A2"/>
    <w:rsid w:val="00713720"/>
    <w:rsid w:val="00713BE8"/>
    <w:rsid w:val="00720E49"/>
    <w:rsid w:val="00721C24"/>
    <w:rsid w:val="007222B7"/>
    <w:rsid w:val="00723509"/>
    <w:rsid w:val="00723BFA"/>
    <w:rsid w:val="00723F3B"/>
    <w:rsid w:val="00723F4B"/>
    <w:rsid w:val="00724A4B"/>
    <w:rsid w:val="00724C63"/>
    <w:rsid w:val="007268C7"/>
    <w:rsid w:val="00727D5D"/>
    <w:rsid w:val="00732F61"/>
    <w:rsid w:val="0073380C"/>
    <w:rsid w:val="00734C54"/>
    <w:rsid w:val="00736A02"/>
    <w:rsid w:val="007462A0"/>
    <w:rsid w:val="00750139"/>
    <w:rsid w:val="00750A0E"/>
    <w:rsid w:val="00750F47"/>
    <w:rsid w:val="00751DD1"/>
    <w:rsid w:val="00753141"/>
    <w:rsid w:val="00753281"/>
    <w:rsid w:val="00753428"/>
    <w:rsid w:val="0075400B"/>
    <w:rsid w:val="007556C5"/>
    <w:rsid w:val="00755F3D"/>
    <w:rsid w:val="007626AF"/>
    <w:rsid w:val="007636DD"/>
    <w:rsid w:val="00766582"/>
    <w:rsid w:val="00767C3E"/>
    <w:rsid w:val="00770B0B"/>
    <w:rsid w:val="00775600"/>
    <w:rsid w:val="00775914"/>
    <w:rsid w:val="00776CA4"/>
    <w:rsid w:val="00785DDD"/>
    <w:rsid w:val="007872B1"/>
    <w:rsid w:val="007903FA"/>
    <w:rsid w:val="0079159E"/>
    <w:rsid w:val="00791D3D"/>
    <w:rsid w:val="007948F6"/>
    <w:rsid w:val="00794A1D"/>
    <w:rsid w:val="00794C79"/>
    <w:rsid w:val="00795DBB"/>
    <w:rsid w:val="007960F0"/>
    <w:rsid w:val="007A14B7"/>
    <w:rsid w:val="007A1E40"/>
    <w:rsid w:val="007A1FBC"/>
    <w:rsid w:val="007A455A"/>
    <w:rsid w:val="007A494F"/>
    <w:rsid w:val="007B0CC5"/>
    <w:rsid w:val="007B0EEA"/>
    <w:rsid w:val="007B4931"/>
    <w:rsid w:val="007B6781"/>
    <w:rsid w:val="007C407D"/>
    <w:rsid w:val="007C416E"/>
    <w:rsid w:val="007C4E73"/>
    <w:rsid w:val="007C5824"/>
    <w:rsid w:val="007C5BF2"/>
    <w:rsid w:val="007C6FB1"/>
    <w:rsid w:val="007D1D1B"/>
    <w:rsid w:val="007D25C7"/>
    <w:rsid w:val="007D5978"/>
    <w:rsid w:val="007D7086"/>
    <w:rsid w:val="007D7252"/>
    <w:rsid w:val="007D7C1A"/>
    <w:rsid w:val="007E03E4"/>
    <w:rsid w:val="007E0D8A"/>
    <w:rsid w:val="007E1354"/>
    <w:rsid w:val="007E1D6B"/>
    <w:rsid w:val="007E2C2F"/>
    <w:rsid w:val="007E352C"/>
    <w:rsid w:val="007E4575"/>
    <w:rsid w:val="007E4C49"/>
    <w:rsid w:val="007E531C"/>
    <w:rsid w:val="007E552D"/>
    <w:rsid w:val="007F25AD"/>
    <w:rsid w:val="007F273E"/>
    <w:rsid w:val="007F281B"/>
    <w:rsid w:val="007F3D51"/>
    <w:rsid w:val="007F721F"/>
    <w:rsid w:val="007F7DE3"/>
    <w:rsid w:val="00800450"/>
    <w:rsid w:val="008007AC"/>
    <w:rsid w:val="008011C7"/>
    <w:rsid w:val="00802062"/>
    <w:rsid w:val="0080250D"/>
    <w:rsid w:val="0080289D"/>
    <w:rsid w:val="0080386D"/>
    <w:rsid w:val="00804171"/>
    <w:rsid w:val="00805410"/>
    <w:rsid w:val="00806FA2"/>
    <w:rsid w:val="008077A9"/>
    <w:rsid w:val="008078FE"/>
    <w:rsid w:val="00810210"/>
    <w:rsid w:val="0081055C"/>
    <w:rsid w:val="008149FB"/>
    <w:rsid w:val="00814D7B"/>
    <w:rsid w:val="00815855"/>
    <w:rsid w:val="00815B30"/>
    <w:rsid w:val="00816AAD"/>
    <w:rsid w:val="00817364"/>
    <w:rsid w:val="00817C46"/>
    <w:rsid w:val="00817CF5"/>
    <w:rsid w:val="008213F4"/>
    <w:rsid w:val="00821AD6"/>
    <w:rsid w:val="00822728"/>
    <w:rsid w:val="00823C90"/>
    <w:rsid w:val="00823D6E"/>
    <w:rsid w:val="008241EC"/>
    <w:rsid w:val="00824524"/>
    <w:rsid w:val="0082604E"/>
    <w:rsid w:val="00826E2A"/>
    <w:rsid w:val="00831DF1"/>
    <w:rsid w:val="008323FF"/>
    <w:rsid w:val="00833E8B"/>
    <w:rsid w:val="00833F93"/>
    <w:rsid w:val="00834409"/>
    <w:rsid w:val="008400CF"/>
    <w:rsid w:val="008438C9"/>
    <w:rsid w:val="00843C7D"/>
    <w:rsid w:val="00843FD3"/>
    <w:rsid w:val="00846380"/>
    <w:rsid w:val="00846CC6"/>
    <w:rsid w:val="008519D7"/>
    <w:rsid w:val="008522AE"/>
    <w:rsid w:val="00854769"/>
    <w:rsid w:val="00854977"/>
    <w:rsid w:val="008576C6"/>
    <w:rsid w:val="00860B0F"/>
    <w:rsid w:val="00860EB3"/>
    <w:rsid w:val="0086108D"/>
    <w:rsid w:val="00862937"/>
    <w:rsid w:val="00865FC1"/>
    <w:rsid w:val="00873A5A"/>
    <w:rsid w:val="00874560"/>
    <w:rsid w:val="008763B2"/>
    <w:rsid w:val="008810E9"/>
    <w:rsid w:val="008823A1"/>
    <w:rsid w:val="00882664"/>
    <w:rsid w:val="00883460"/>
    <w:rsid w:val="00885F36"/>
    <w:rsid w:val="00886440"/>
    <w:rsid w:val="00887AB9"/>
    <w:rsid w:val="00890CF1"/>
    <w:rsid w:val="00890DF6"/>
    <w:rsid w:val="00892286"/>
    <w:rsid w:val="0089609F"/>
    <w:rsid w:val="0089630A"/>
    <w:rsid w:val="00896A29"/>
    <w:rsid w:val="00896DD0"/>
    <w:rsid w:val="00896DD6"/>
    <w:rsid w:val="008A0221"/>
    <w:rsid w:val="008A1807"/>
    <w:rsid w:val="008A188A"/>
    <w:rsid w:val="008A4D0A"/>
    <w:rsid w:val="008A60B3"/>
    <w:rsid w:val="008A6181"/>
    <w:rsid w:val="008A6D2E"/>
    <w:rsid w:val="008A7196"/>
    <w:rsid w:val="008A7C54"/>
    <w:rsid w:val="008B4239"/>
    <w:rsid w:val="008B4A37"/>
    <w:rsid w:val="008B5983"/>
    <w:rsid w:val="008B5C0D"/>
    <w:rsid w:val="008B7636"/>
    <w:rsid w:val="008B7DD4"/>
    <w:rsid w:val="008C1A07"/>
    <w:rsid w:val="008C1D06"/>
    <w:rsid w:val="008C4005"/>
    <w:rsid w:val="008C49C5"/>
    <w:rsid w:val="008D0CDA"/>
    <w:rsid w:val="008D40E9"/>
    <w:rsid w:val="008D558B"/>
    <w:rsid w:val="008E151C"/>
    <w:rsid w:val="008E2307"/>
    <w:rsid w:val="008E63E0"/>
    <w:rsid w:val="008E713C"/>
    <w:rsid w:val="008F0F30"/>
    <w:rsid w:val="008F2563"/>
    <w:rsid w:val="008F329A"/>
    <w:rsid w:val="008F3D93"/>
    <w:rsid w:val="008F4677"/>
    <w:rsid w:val="008F7E11"/>
    <w:rsid w:val="00900438"/>
    <w:rsid w:val="00900D36"/>
    <w:rsid w:val="00901011"/>
    <w:rsid w:val="0090110D"/>
    <w:rsid w:val="00901C5B"/>
    <w:rsid w:val="00901D62"/>
    <w:rsid w:val="0090392C"/>
    <w:rsid w:val="00906416"/>
    <w:rsid w:val="009103D3"/>
    <w:rsid w:val="00910EE0"/>
    <w:rsid w:val="0091213A"/>
    <w:rsid w:val="009152E5"/>
    <w:rsid w:val="00916B52"/>
    <w:rsid w:val="00916EB9"/>
    <w:rsid w:val="0092033A"/>
    <w:rsid w:val="0092735C"/>
    <w:rsid w:val="00930058"/>
    <w:rsid w:val="00930A61"/>
    <w:rsid w:val="00931C30"/>
    <w:rsid w:val="00932A6F"/>
    <w:rsid w:val="00934319"/>
    <w:rsid w:val="00934928"/>
    <w:rsid w:val="00934AB5"/>
    <w:rsid w:val="00934AE5"/>
    <w:rsid w:val="009354DB"/>
    <w:rsid w:val="009365DC"/>
    <w:rsid w:val="009440EC"/>
    <w:rsid w:val="0094480B"/>
    <w:rsid w:val="00944A0A"/>
    <w:rsid w:val="0094655B"/>
    <w:rsid w:val="0094663A"/>
    <w:rsid w:val="00946725"/>
    <w:rsid w:val="00946B97"/>
    <w:rsid w:val="00946F87"/>
    <w:rsid w:val="00950488"/>
    <w:rsid w:val="00951086"/>
    <w:rsid w:val="009547AC"/>
    <w:rsid w:val="00955A1D"/>
    <w:rsid w:val="0095633F"/>
    <w:rsid w:val="009568A6"/>
    <w:rsid w:val="00956A1C"/>
    <w:rsid w:val="00957A3D"/>
    <w:rsid w:val="00957E94"/>
    <w:rsid w:val="0096229B"/>
    <w:rsid w:val="009629BC"/>
    <w:rsid w:val="00964ECB"/>
    <w:rsid w:val="009677C8"/>
    <w:rsid w:val="0097042A"/>
    <w:rsid w:val="00971634"/>
    <w:rsid w:val="00972358"/>
    <w:rsid w:val="00972526"/>
    <w:rsid w:val="0097259B"/>
    <w:rsid w:val="009738B8"/>
    <w:rsid w:val="00973BBA"/>
    <w:rsid w:val="00974101"/>
    <w:rsid w:val="00974AD6"/>
    <w:rsid w:val="00974B67"/>
    <w:rsid w:val="009758E0"/>
    <w:rsid w:val="00976487"/>
    <w:rsid w:val="009770D4"/>
    <w:rsid w:val="009800D3"/>
    <w:rsid w:val="00980255"/>
    <w:rsid w:val="0098281C"/>
    <w:rsid w:val="00982D39"/>
    <w:rsid w:val="00985E65"/>
    <w:rsid w:val="0098635A"/>
    <w:rsid w:val="0098795C"/>
    <w:rsid w:val="0099010A"/>
    <w:rsid w:val="00991479"/>
    <w:rsid w:val="0099375B"/>
    <w:rsid w:val="0099390E"/>
    <w:rsid w:val="00997785"/>
    <w:rsid w:val="009A085C"/>
    <w:rsid w:val="009A32FB"/>
    <w:rsid w:val="009A3693"/>
    <w:rsid w:val="009A5448"/>
    <w:rsid w:val="009A7FE2"/>
    <w:rsid w:val="009B1E85"/>
    <w:rsid w:val="009B2A1D"/>
    <w:rsid w:val="009B301D"/>
    <w:rsid w:val="009B4356"/>
    <w:rsid w:val="009B452D"/>
    <w:rsid w:val="009B471E"/>
    <w:rsid w:val="009B6B03"/>
    <w:rsid w:val="009C01BC"/>
    <w:rsid w:val="009C3500"/>
    <w:rsid w:val="009C44B7"/>
    <w:rsid w:val="009C5FE3"/>
    <w:rsid w:val="009C6097"/>
    <w:rsid w:val="009D0CA8"/>
    <w:rsid w:val="009D2977"/>
    <w:rsid w:val="009D440F"/>
    <w:rsid w:val="009D4765"/>
    <w:rsid w:val="009D52AA"/>
    <w:rsid w:val="009D6242"/>
    <w:rsid w:val="009D725E"/>
    <w:rsid w:val="009D74FD"/>
    <w:rsid w:val="009E0161"/>
    <w:rsid w:val="009E0426"/>
    <w:rsid w:val="009E1403"/>
    <w:rsid w:val="009E199B"/>
    <w:rsid w:val="009E4B5D"/>
    <w:rsid w:val="009E5840"/>
    <w:rsid w:val="009E6C54"/>
    <w:rsid w:val="009E70B3"/>
    <w:rsid w:val="009F1535"/>
    <w:rsid w:val="009F1BE2"/>
    <w:rsid w:val="009F4147"/>
    <w:rsid w:val="009F648C"/>
    <w:rsid w:val="009F742D"/>
    <w:rsid w:val="00A032FC"/>
    <w:rsid w:val="00A05297"/>
    <w:rsid w:val="00A053DE"/>
    <w:rsid w:val="00A06B02"/>
    <w:rsid w:val="00A10443"/>
    <w:rsid w:val="00A12C3E"/>
    <w:rsid w:val="00A12CEC"/>
    <w:rsid w:val="00A139AB"/>
    <w:rsid w:val="00A13C26"/>
    <w:rsid w:val="00A14D57"/>
    <w:rsid w:val="00A15A4B"/>
    <w:rsid w:val="00A17DB4"/>
    <w:rsid w:val="00A24C79"/>
    <w:rsid w:val="00A25DE6"/>
    <w:rsid w:val="00A3127C"/>
    <w:rsid w:val="00A32894"/>
    <w:rsid w:val="00A3346F"/>
    <w:rsid w:val="00A33AEE"/>
    <w:rsid w:val="00A3580F"/>
    <w:rsid w:val="00A358EA"/>
    <w:rsid w:val="00A36539"/>
    <w:rsid w:val="00A40D14"/>
    <w:rsid w:val="00A4276A"/>
    <w:rsid w:val="00A433EF"/>
    <w:rsid w:val="00A43C9C"/>
    <w:rsid w:val="00A43ECF"/>
    <w:rsid w:val="00A44D81"/>
    <w:rsid w:val="00A4543E"/>
    <w:rsid w:val="00A45B85"/>
    <w:rsid w:val="00A46FBF"/>
    <w:rsid w:val="00A53879"/>
    <w:rsid w:val="00A56C04"/>
    <w:rsid w:val="00A572E7"/>
    <w:rsid w:val="00A57A10"/>
    <w:rsid w:val="00A61397"/>
    <w:rsid w:val="00A618FC"/>
    <w:rsid w:val="00A61FF9"/>
    <w:rsid w:val="00A628E0"/>
    <w:rsid w:val="00A62C47"/>
    <w:rsid w:val="00A63BB9"/>
    <w:rsid w:val="00A63BE7"/>
    <w:rsid w:val="00A642C3"/>
    <w:rsid w:val="00A64EC3"/>
    <w:rsid w:val="00A70570"/>
    <w:rsid w:val="00A7114E"/>
    <w:rsid w:val="00A7153E"/>
    <w:rsid w:val="00A71A77"/>
    <w:rsid w:val="00A72883"/>
    <w:rsid w:val="00A730A8"/>
    <w:rsid w:val="00A73579"/>
    <w:rsid w:val="00A7425F"/>
    <w:rsid w:val="00A742C6"/>
    <w:rsid w:val="00A74724"/>
    <w:rsid w:val="00A74B05"/>
    <w:rsid w:val="00A75075"/>
    <w:rsid w:val="00A75520"/>
    <w:rsid w:val="00A758A7"/>
    <w:rsid w:val="00A759A7"/>
    <w:rsid w:val="00A76060"/>
    <w:rsid w:val="00A76190"/>
    <w:rsid w:val="00A76B65"/>
    <w:rsid w:val="00A76EF1"/>
    <w:rsid w:val="00A83B71"/>
    <w:rsid w:val="00A849F0"/>
    <w:rsid w:val="00A876FD"/>
    <w:rsid w:val="00A90FD8"/>
    <w:rsid w:val="00A9420B"/>
    <w:rsid w:val="00A94534"/>
    <w:rsid w:val="00A9648B"/>
    <w:rsid w:val="00A97092"/>
    <w:rsid w:val="00A97914"/>
    <w:rsid w:val="00AA0550"/>
    <w:rsid w:val="00AA1CD4"/>
    <w:rsid w:val="00AA24BF"/>
    <w:rsid w:val="00AA2693"/>
    <w:rsid w:val="00AA3EAE"/>
    <w:rsid w:val="00AA4520"/>
    <w:rsid w:val="00AA4609"/>
    <w:rsid w:val="00AA74AB"/>
    <w:rsid w:val="00AB14CA"/>
    <w:rsid w:val="00AB3DB4"/>
    <w:rsid w:val="00AB58A1"/>
    <w:rsid w:val="00AC06B1"/>
    <w:rsid w:val="00AC16E6"/>
    <w:rsid w:val="00AC1DD5"/>
    <w:rsid w:val="00AC2423"/>
    <w:rsid w:val="00AC4518"/>
    <w:rsid w:val="00AC56E8"/>
    <w:rsid w:val="00AC5DBA"/>
    <w:rsid w:val="00AC5FC8"/>
    <w:rsid w:val="00AD0064"/>
    <w:rsid w:val="00AD0B43"/>
    <w:rsid w:val="00AD0BDC"/>
    <w:rsid w:val="00AD21D6"/>
    <w:rsid w:val="00AD361F"/>
    <w:rsid w:val="00AD40F0"/>
    <w:rsid w:val="00AD422A"/>
    <w:rsid w:val="00AD45CE"/>
    <w:rsid w:val="00AD4AF7"/>
    <w:rsid w:val="00AE0070"/>
    <w:rsid w:val="00AE1103"/>
    <w:rsid w:val="00AE15E8"/>
    <w:rsid w:val="00AE3B99"/>
    <w:rsid w:val="00AE3C32"/>
    <w:rsid w:val="00AE5044"/>
    <w:rsid w:val="00AF3FAC"/>
    <w:rsid w:val="00AF5703"/>
    <w:rsid w:val="00AF57A0"/>
    <w:rsid w:val="00AF58AC"/>
    <w:rsid w:val="00AF62AA"/>
    <w:rsid w:val="00AF6DB4"/>
    <w:rsid w:val="00B0011C"/>
    <w:rsid w:val="00B00C2F"/>
    <w:rsid w:val="00B013C0"/>
    <w:rsid w:val="00B01670"/>
    <w:rsid w:val="00B018F1"/>
    <w:rsid w:val="00B07113"/>
    <w:rsid w:val="00B11127"/>
    <w:rsid w:val="00B125C5"/>
    <w:rsid w:val="00B1346A"/>
    <w:rsid w:val="00B135EF"/>
    <w:rsid w:val="00B13F8F"/>
    <w:rsid w:val="00B1474A"/>
    <w:rsid w:val="00B16C1E"/>
    <w:rsid w:val="00B17501"/>
    <w:rsid w:val="00B2122C"/>
    <w:rsid w:val="00B2130E"/>
    <w:rsid w:val="00B2140A"/>
    <w:rsid w:val="00B22255"/>
    <w:rsid w:val="00B2255F"/>
    <w:rsid w:val="00B2330D"/>
    <w:rsid w:val="00B263DD"/>
    <w:rsid w:val="00B30CE7"/>
    <w:rsid w:val="00B3287D"/>
    <w:rsid w:val="00B33056"/>
    <w:rsid w:val="00B33474"/>
    <w:rsid w:val="00B34656"/>
    <w:rsid w:val="00B34C4F"/>
    <w:rsid w:val="00B361CA"/>
    <w:rsid w:val="00B41DD0"/>
    <w:rsid w:val="00B42136"/>
    <w:rsid w:val="00B44586"/>
    <w:rsid w:val="00B45AEA"/>
    <w:rsid w:val="00B5175F"/>
    <w:rsid w:val="00B51BC6"/>
    <w:rsid w:val="00B520E4"/>
    <w:rsid w:val="00B5320A"/>
    <w:rsid w:val="00B54D36"/>
    <w:rsid w:val="00B6108E"/>
    <w:rsid w:val="00B619AB"/>
    <w:rsid w:val="00B61E04"/>
    <w:rsid w:val="00B629D5"/>
    <w:rsid w:val="00B6392B"/>
    <w:rsid w:val="00B64092"/>
    <w:rsid w:val="00B6451F"/>
    <w:rsid w:val="00B64C42"/>
    <w:rsid w:val="00B65EFC"/>
    <w:rsid w:val="00B667EA"/>
    <w:rsid w:val="00B67E93"/>
    <w:rsid w:val="00B722AA"/>
    <w:rsid w:val="00B7346C"/>
    <w:rsid w:val="00B734E9"/>
    <w:rsid w:val="00B753ED"/>
    <w:rsid w:val="00B7543C"/>
    <w:rsid w:val="00B7635F"/>
    <w:rsid w:val="00B769DB"/>
    <w:rsid w:val="00B80971"/>
    <w:rsid w:val="00B81C75"/>
    <w:rsid w:val="00B82799"/>
    <w:rsid w:val="00B82928"/>
    <w:rsid w:val="00B82C2C"/>
    <w:rsid w:val="00B82FBC"/>
    <w:rsid w:val="00B847F7"/>
    <w:rsid w:val="00B85790"/>
    <w:rsid w:val="00B86CA6"/>
    <w:rsid w:val="00B87654"/>
    <w:rsid w:val="00B94752"/>
    <w:rsid w:val="00B96796"/>
    <w:rsid w:val="00B97B0D"/>
    <w:rsid w:val="00BA0003"/>
    <w:rsid w:val="00BA041E"/>
    <w:rsid w:val="00BA08F9"/>
    <w:rsid w:val="00BA16B5"/>
    <w:rsid w:val="00BA2DE7"/>
    <w:rsid w:val="00BA3B80"/>
    <w:rsid w:val="00BA511A"/>
    <w:rsid w:val="00BA51EB"/>
    <w:rsid w:val="00BA56C0"/>
    <w:rsid w:val="00BA5A5D"/>
    <w:rsid w:val="00BA6642"/>
    <w:rsid w:val="00BA6F55"/>
    <w:rsid w:val="00BB09D5"/>
    <w:rsid w:val="00BB20AA"/>
    <w:rsid w:val="00BB2A7D"/>
    <w:rsid w:val="00BB4260"/>
    <w:rsid w:val="00BB4E73"/>
    <w:rsid w:val="00BB5073"/>
    <w:rsid w:val="00BB5DF0"/>
    <w:rsid w:val="00BB6265"/>
    <w:rsid w:val="00BB7770"/>
    <w:rsid w:val="00BB78B2"/>
    <w:rsid w:val="00BB7D57"/>
    <w:rsid w:val="00BC05A3"/>
    <w:rsid w:val="00BC0990"/>
    <w:rsid w:val="00BC0DFA"/>
    <w:rsid w:val="00BC3580"/>
    <w:rsid w:val="00BC6BE1"/>
    <w:rsid w:val="00BD16BD"/>
    <w:rsid w:val="00BD3739"/>
    <w:rsid w:val="00BD4232"/>
    <w:rsid w:val="00BD524B"/>
    <w:rsid w:val="00BD56FD"/>
    <w:rsid w:val="00BD7800"/>
    <w:rsid w:val="00BE08DA"/>
    <w:rsid w:val="00BE0F6F"/>
    <w:rsid w:val="00BE15E7"/>
    <w:rsid w:val="00BE1726"/>
    <w:rsid w:val="00BE1922"/>
    <w:rsid w:val="00BE2A58"/>
    <w:rsid w:val="00BE357C"/>
    <w:rsid w:val="00BE521C"/>
    <w:rsid w:val="00BE79B8"/>
    <w:rsid w:val="00BF0A82"/>
    <w:rsid w:val="00BF2DB6"/>
    <w:rsid w:val="00BF57B4"/>
    <w:rsid w:val="00BF6057"/>
    <w:rsid w:val="00BF71BF"/>
    <w:rsid w:val="00C006AA"/>
    <w:rsid w:val="00C0531D"/>
    <w:rsid w:val="00C07E2A"/>
    <w:rsid w:val="00C07EEA"/>
    <w:rsid w:val="00C10787"/>
    <w:rsid w:val="00C11588"/>
    <w:rsid w:val="00C128FD"/>
    <w:rsid w:val="00C13D59"/>
    <w:rsid w:val="00C140BB"/>
    <w:rsid w:val="00C150E0"/>
    <w:rsid w:val="00C177D3"/>
    <w:rsid w:val="00C1788E"/>
    <w:rsid w:val="00C20188"/>
    <w:rsid w:val="00C206F8"/>
    <w:rsid w:val="00C21960"/>
    <w:rsid w:val="00C233FC"/>
    <w:rsid w:val="00C23D08"/>
    <w:rsid w:val="00C2712F"/>
    <w:rsid w:val="00C3051F"/>
    <w:rsid w:val="00C34258"/>
    <w:rsid w:val="00C34ACE"/>
    <w:rsid w:val="00C35180"/>
    <w:rsid w:val="00C36BDE"/>
    <w:rsid w:val="00C37035"/>
    <w:rsid w:val="00C37D25"/>
    <w:rsid w:val="00C4147F"/>
    <w:rsid w:val="00C422E6"/>
    <w:rsid w:val="00C42732"/>
    <w:rsid w:val="00C42A55"/>
    <w:rsid w:val="00C452FE"/>
    <w:rsid w:val="00C503CF"/>
    <w:rsid w:val="00C50AAF"/>
    <w:rsid w:val="00C50E00"/>
    <w:rsid w:val="00C511E0"/>
    <w:rsid w:val="00C515CE"/>
    <w:rsid w:val="00C51F95"/>
    <w:rsid w:val="00C52613"/>
    <w:rsid w:val="00C53C9F"/>
    <w:rsid w:val="00C54057"/>
    <w:rsid w:val="00C559C1"/>
    <w:rsid w:val="00C55D0C"/>
    <w:rsid w:val="00C61969"/>
    <w:rsid w:val="00C62A47"/>
    <w:rsid w:val="00C63087"/>
    <w:rsid w:val="00C634DC"/>
    <w:rsid w:val="00C64595"/>
    <w:rsid w:val="00C6494E"/>
    <w:rsid w:val="00C64A0F"/>
    <w:rsid w:val="00C70FF6"/>
    <w:rsid w:val="00C712DB"/>
    <w:rsid w:val="00C736C8"/>
    <w:rsid w:val="00C739D6"/>
    <w:rsid w:val="00C740BB"/>
    <w:rsid w:val="00C764B0"/>
    <w:rsid w:val="00C765A2"/>
    <w:rsid w:val="00C7771E"/>
    <w:rsid w:val="00C81AA5"/>
    <w:rsid w:val="00C825DE"/>
    <w:rsid w:val="00C8379F"/>
    <w:rsid w:val="00C84E92"/>
    <w:rsid w:val="00C858C1"/>
    <w:rsid w:val="00C86BC4"/>
    <w:rsid w:val="00C86E9B"/>
    <w:rsid w:val="00C87A9B"/>
    <w:rsid w:val="00C931B7"/>
    <w:rsid w:val="00C95FC7"/>
    <w:rsid w:val="00C9735C"/>
    <w:rsid w:val="00C97B6C"/>
    <w:rsid w:val="00CA0376"/>
    <w:rsid w:val="00CA04B7"/>
    <w:rsid w:val="00CA0928"/>
    <w:rsid w:val="00CA09B2"/>
    <w:rsid w:val="00CA12FD"/>
    <w:rsid w:val="00CA33DB"/>
    <w:rsid w:val="00CA39FA"/>
    <w:rsid w:val="00CA4231"/>
    <w:rsid w:val="00CA60E9"/>
    <w:rsid w:val="00CA72BF"/>
    <w:rsid w:val="00CA74DA"/>
    <w:rsid w:val="00CB04E8"/>
    <w:rsid w:val="00CB0F54"/>
    <w:rsid w:val="00CB108C"/>
    <w:rsid w:val="00CB15A0"/>
    <w:rsid w:val="00CB22DE"/>
    <w:rsid w:val="00CB41C1"/>
    <w:rsid w:val="00CB4EE1"/>
    <w:rsid w:val="00CB5017"/>
    <w:rsid w:val="00CB6073"/>
    <w:rsid w:val="00CB6FCA"/>
    <w:rsid w:val="00CC014D"/>
    <w:rsid w:val="00CC160C"/>
    <w:rsid w:val="00CC53AA"/>
    <w:rsid w:val="00CC6C5C"/>
    <w:rsid w:val="00CD0575"/>
    <w:rsid w:val="00CD13B5"/>
    <w:rsid w:val="00CD2BDA"/>
    <w:rsid w:val="00CD4194"/>
    <w:rsid w:val="00CD553B"/>
    <w:rsid w:val="00CD6434"/>
    <w:rsid w:val="00CD6A57"/>
    <w:rsid w:val="00CE0BC0"/>
    <w:rsid w:val="00CE1700"/>
    <w:rsid w:val="00CE177D"/>
    <w:rsid w:val="00CE47CF"/>
    <w:rsid w:val="00CE53AE"/>
    <w:rsid w:val="00CE60BC"/>
    <w:rsid w:val="00CF2827"/>
    <w:rsid w:val="00CF44F3"/>
    <w:rsid w:val="00CF5613"/>
    <w:rsid w:val="00CF61C7"/>
    <w:rsid w:val="00CF7DEC"/>
    <w:rsid w:val="00D0303A"/>
    <w:rsid w:val="00D05F01"/>
    <w:rsid w:val="00D076D1"/>
    <w:rsid w:val="00D10463"/>
    <w:rsid w:val="00D11B31"/>
    <w:rsid w:val="00D11E6A"/>
    <w:rsid w:val="00D12905"/>
    <w:rsid w:val="00D12D14"/>
    <w:rsid w:val="00D1428A"/>
    <w:rsid w:val="00D15D84"/>
    <w:rsid w:val="00D17A85"/>
    <w:rsid w:val="00D212EE"/>
    <w:rsid w:val="00D213A1"/>
    <w:rsid w:val="00D21B28"/>
    <w:rsid w:val="00D23C58"/>
    <w:rsid w:val="00D263D9"/>
    <w:rsid w:val="00D30B8B"/>
    <w:rsid w:val="00D310B4"/>
    <w:rsid w:val="00D3716A"/>
    <w:rsid w:val="00D375C7"/>
    <w:rsid w:val="00D37E7F"/>
    <w:rsid w:val="00D37F76"/>
    <w:rsid w:val="00D410AD"/>
    <w:rsid w:val="00D41631"/>
    <w:rsid w:val="00D41A03"/>
    <w:rsid w:val="00D42097"/>
    <w:rsid w:val="00D42653"/>
    <w:rsid w:val="00D42788"/>
    <w:rsid w:val="00D431F8"/>
    <w:rsid w:val="00D43C1F"/>
    <w:rsid w:val="00D440CE"/>
    <w:rsid w:val="00D4413C"/>
    <w:rsid w:val="00D52F66"/>
    <w:rsid w:val="00D53AFA"/>
    <w:rsid w:val="00D55E01"/>
    <w:rsid w:val="00D576E0"/>
    <w:rsid w:val="00D57C35"/>
    <w:rsid w:val="00D61C77"/>
    <w:rsid w:val="00D61DB0"/>
    <w:rsid w:val="00D61FA6"/>
    <w:rsid w:val="00D626EA"/>
    <w:rsid w:val="00D639DB"/>
    <w:rsid w:val="00D63AAC"/>
    <w:rsid w:val="00D649BE"/>
    <w:rsid w:val="00D64F32"/>
    <w:rsid w:val="00D65383"/>
    <w:rsid w:val="00D674DE"/>
    <w:rsid w:val="00D67C80"/>
    <w:rsid w:val="00D702E7"/>
    <w:rsid w:val="00D70578"/>
    <w:rsid w:val="00D71A59"/>
    <w:rsid w:val="00D71FAC"/>
    <w:rsid w:val="00D738AF"/>
    <w:rsid w:val="00D74876"/>
    <w:rsid w:val="00D75D57"/>
    <w:rsid w:val="00D764A2"/>
    <w:rsid w:val="00D76A0B"/>
    <w:rsid w:val="00D7795E"/>
    <w:rsid w:val="00D82A36"/>
    <w:rsid w:val="00D9032B"/>
    <w:rsid w:val="00D90456"/>
    <w:rsid w:val="00D90771"/>
    <w:rsid w:val="00D90D89"/>
    <w:rsid w:val="00D90F55"/>
    <w:rsid w:val="00D91855"/>
    <w:rsid w:val="00D92253"/>
    <w:rsid w:val="00D9296E"/>
    <w:rsid w:val="00D95C8F"/>
    <w:rsid w:val="00D967C8"/>
    <w:rsid w:val="00D97A81"/>
    <w:rsid w:val="00DA136E"/>
    <w:rsid w:val="00DA17EA"/>
    <w:rsid w:val="00DA2288"/>
    <w:rsid w:val="00DA30F3"/>
    <w:rsid w:val="00DA46E2"/>
    <w:rsid w:val="00DA7E4C"/>
    <w:rsid w:val="00DB0CAE"/>
    <w:rsid w:val="00DB1F99"/>
    <w:rsid w:val="00DB22A2"/>
    <w:rsid w:val="00DB4A34"/>
    <w:rsid w:val="00DB5284"/>
    <w:rsid w:val="00DB5338"/>
    <w:rsid w:val="00DB5C6A"/>
    <w:rsid w:val="00DB6219"/>
    <w:rsid w:val="00DB7663"/>
    <w:rsid w:val="00DC0DB8"/>
    <w:rsid w:val="00DC2AF2"/>
    <w:rsid w:val="00DC2CB0"/>
    <w:rsid w:val="00DC35DB"/>
    <w:rsid w:val="00DC3B29"/>
    <w:rsid w:val="00DC58A9"/>
    <w:rsid w:val="00DD0C82"/>
    <w:rsid w:val="00DD3427"/>
    <w:rsid w:val="00DD41CB"/>
    <w:rsid w:val="00DD55B2"/>
    <w:rsid w:val="00DD6413"/>
    <w:rsid w:val="00DE03CA"/>
    <w:rsid w:val="00DE0F69"/>
    <w:rsid w:val="00DE39A4"/>
    <w:rsid w:val="00DE3EA8"/>
    <w:rsid w:val="00DE3FAF"/>
    <w:rsid w:val="00DE4625"/>
    <w:rsid w:val="00DE46F0"/>
    <w:rsid w:val="00DE7100"/>
    <w:rsid w:val="00DF0C92"/>
    <w:rsid w:val="00DF2607"/>
    <w:rsid w:val="00DF6365"/>
    <w:rsid w:val="00DF68D3"/>
    <w:rsid w:val="00DF6E3F"/>
    <w:rsid w:val="00E00AC8"/>
    <w:rsid w:val="00E00C22"/>
    <w:rsid w:val="00E02930"/>
    <w:rsid w:val="00E07383"/>
    <w:rsid w:val="00E116F3"/>
    <w:rsid w:val="00E117E4"/>
    <w:rsid w:val="00E1321E"/>
    <w:rsid w:val="00E15781"/>
    <w:rsid w:val="00E15C93"/>
    <w:rsid w:val="00E15EEE"/>
    <w:rsid w:val="00E15FF0"/>
    <w:rsid w:val="00E1712C"/>
    <w:rsid w:val="00E20C9B"/>
    <w:rsid w:val="00E2230B"/>
    <w:rsid w:val="00E230E2"/>
    <w:rsid w:val="00E24ECC"/>
    <w:rsid w:val="00E2549F"/>
    <w:rsid w:val="00E25E50"/>
    <w:rsid w:val="00E26A05"/>
    <w:rsid w:val="00E26F2B"/>
    <w:rsid w:val="00E2752E"/>
    <w:rsid w:val="00E32C70"/>
    <w:rsid w:val="00E34DD4"/>
    <w:rsid w:val="00E35F96"/>
    <w:rsid w:val="00E37DA2"/>
    <w:rsid w:val="00E4055D"/>
    <w:rsid w:val="00E407DF"/>
    <w:rsid w:val="00E414F3"/>
    <w:rsid w:val="00E41879"/>
    <w:rsid w:val="00E420A6"/>
    <w:rsid w:val="00E421F7"/>
    <w:rsid w:val="00E42D6F"/>
    <w:rsid w:val="00E45B71"/>
    <w:rsid w:val="00E51670"/>
    <w:rsid w:val="00E520CC"/>
    <w:rsid w:val="00E53188"/>
    <w:rsid w:val="00E565CD"/>
    <w:rsid w:val="00E619A3"/>
    <w:rsid w:val="00E6462D"/>
    <w:rsid w:val="00E64AD3"/>
    <w:rsid w:val="00E66671"/>
    <w:rsid w:val="00E668C1"/>
    <w:rsid w:val="00E70E14"/>
    <w:rsid w:val="00E71E60"/>
    <w:rsid w:val="00E725F7"/>
    <w:rsid w:val="00E758E9"/>
    <w:rsid w:val="00E7609F"/>
    <w:rsid w:val="00E776B6"/>
    <w:rsid w:val="00E800C0"/>
    <w:rsid w:val="00E81211"/>
    <w:rsid w:val="00E81392"/>
    <w:rsid w:val="00E82633"/>
    <w:rsid w:val="00E83232"/>
    <w:rsid w:val="00E84FD2"/>
    <w:rsid w:val="00E851A1"/>
    <w:rsid w:val="00E87466"/>
    <w:rsid w:val="00E87760"/>
    <w:rsid w:val="00E90BB7"/>
    <w:rsid w:val="00E9342A"/>
    <w:rsid w:val="00E94075"/>
    <w:rsid w:val="00E94A0E"/>
    <w:rsid w:val="00E968D0"/>
    <w:rsid w:val="00E978E4"/>
    <w:rsid w:val="00EA0219"/>
    <w:rsid w:val="00EA244F"/>
    <w:rsid w:val="00EA3B22"/>
    <w:rsid w:val="00EA408A"/>
    <w:rsid w:val="00EA4D41"/>
    <w:rsid w:val="00EA5041"/>
    <w:rsid w:val="00EB18BB"/>
    <w:rsid w:val="00EB3DB3"/>
    <w:rsid w:val="00EB4763"/>
    <w:rsid w:val="00EB5A51"/>
    <w:rsid w:val="00EB67D8"/>
    <w:rsid w:val="00EB698E"/>
    <w:rsid w:val="00EC188B"/>
    <w:rsid w:val="00EC31A6"/>
    <w:rsid w:val="00EC33B9"/>
    <w:rsid w:val="00EC3AC2"/>
    <w:rsid w:val="00EC3E40"/>
    <w:rsid w:val="00EC4268"/>
    <w:rsid w:val="00EC4362"/>
    <w:rsid w:val="00EC5493"/>
    <w:rsid w:val="00EC610E"/>
    <w:rsid w:val="00ED022D"/>
    <w:rsid w:val="00ED08F0"/>
    <w:rsid w:val="00ED3AD5"/>
    <w:rsid w:val="00ED3CFA"/>
    <w:rsid w:val="00ED42B4"/>
    <w:rsid w:val="00EE26EA"/>
    <w:rsid w:val="00EE27F6"/>
    <w:rsid w:val="00EE39F3"/>
    <w:rsid w:val="00EE3EEB"/>
    <w:rsid w:val="00EE42F5"/>
    <w:rsid w:val="00EE56FE"/>
    <w:rsid w:val="00EE6398"/>
    <w:rsid w:val="00EF5A24"/>
    <w:rsid w:val="00EF603B"/>
    <w:rsid w:val="00EF656F"/>
    <w:rsid w:val="00F0214D"/>
    <w:rsid w:val="00F03F4D"/>
    <w:rsid w:val="00F05212"/>
    <w:rsid w:val="00F1065D"/>
    <w:rsid w:val="00F1224F"/>
    <w:rsid w:val="00F122AB"/>
    <w:rsid w:val="00F13A78"/>
    <w:rsid w:val="00F1551F"/>
    <w:rsid w:val="00F20B73"/>
    <w:rsid w:val="00F20CBD"/>
    <w:rsid w:val="00F21308"/>
    <w:rsid w:val="00F217C0"/>
    <w:rsid w:val="00F21A54"/>
    <w:rsid w:val="00F22291"/>
    <w:rsid w:val="00F2240F"/>
    <w:rsid w:val="00F2316B"/>
    <w:rsid w:val="00F25500"/>
    <w:rsid w:val="00F26399"/>
    <w:rsid w:val="00F268B6"/>
    <w:rsid w:val="00F274AA"/>
    <w:rsid w:val="00F27C49"/>
    <w:rsid w:val="00F30931"/>
    <w:rsid w:val="00F31E80"/>
    <w:rsid w:val="00F32D94"/>
    <w:rsid w:val="00F331C8"/>
    <w:rsid w:val="00F3446B"/>
    <w:rsid w:val="00F35765"/>
    <w:rsid w:val="00F36541"/>
    <w:rsid w:val="00F37517"/>
    <w:rsid w:val="00F409FC"/>
    <w:rsid w:val="00F40AC3"/>
    <w:rsid w:val="00F41B3D"/>
    <w:rsid w:val="00F41C2F"/>
    <w:rsid w:val="00F426C6"/>
    <w:rsid w:val="00F47669"/>
    <w:rsid w:val="00F500EB"/>
    <w:rsid w:val="00F50A08"/>
    <w:rsid w:val="00F50F62"/>
    <w:rsid w:val="00F55D76"/>
    <w:rsid w:val="00F55E0A"/>
    <w:rsid w:val="00F55FB4"/>
    <w:rsid w:val="00F5655B"/>
    <w:rsid w:val="00F575D4"/>
    <w:rsid w:val="00F57B45"/>
    <w:rsid w:val="00F6055F"/>
    <w:rsid w:val="00F6157E"/>
    <w:rsid w:val="00F63D88"/>
    <w:rsid w:val="00F65082"/>
    <w:rsid w:val="00F66E5F"/>
    <w:rsid w:val="00F671FA"/>
    <w:rsid w:val="00F70E59"/>
    <w:rsid w:val="00F7122C"/>
    <w:rsid w:val="00F71D2E"/>
    <w:rsid w:val="00F72553"/>
    <w:rsid w:val="00F72DB0"/>
    <w:rsid w:val="00F807C7"/>
    <w:rsid w:val="00F808C6"/>
    <w:rsid w:val="00F810BB"/>
    <w:rsid w:val="00F815DC"/>
    <w:rsid w:val="00F81B5E"/>
    <w:rsid w:val="00F81DE4"/>
    <w:rsid w:val="00F822B8"/>
    <w:rsid w:val="00F8632E"/>
    <w:rsid w:val="00F867BB"/>
    <w:rsid w:val="00F86D2A"/>
    <w:rsid w:val="00F907EB"/>
    <w:rsid w:val="00F90EFA"/>
    <w:rsid w:val="00F934D7"/>
    <w:rsid w:val="00F9358D"/>
    <w:rsid w:val="00F96D53"/>
    <w:rsid w:val="00F97099"/>
    <w:rsid w:val="00F975D3"/>
    <w:rsid w:val="00F978CD"/>
    <w:rsid w:val="00FA1242"/>
    <w:rsid w:val="00FA1CEB"/>
    <w:rsid w:val="00FA2303"/>
    <w:rsid w:val="00FA3F98"/>
    <w:rsid w:val="00FA4E63"/>
    <w:rsid w:val="00FA548C"/>
    <w:rsid w:val="00FA5B6C"/>
    <w:rsid w:val="00FA6E76"/>
    <w:rsid w:val="00FA7479"/>
    <w:rsid w:val="00FB02B6"/>
    <w:rsid w:val="00FB23E4"/>
    <w:rsid w:val="00FB3BB2"/>
    <w:rsid w:val="00FC01B3"/>
    <w:rsid w:val="00FC03C1"/>
    <w:rsid w:val="00FC06AE"/>
    <w:rsid w:val="00FC27B3"/>
    <w:rsid w:val="00FC2C3E"/>
    <w:rsid w:val="00FC4E5A"/>
    <w:rsid w:val="00FC5386"/>
    <w:rsid w:val="00FC6088"/>
    <w:rsid w:val="00FC7C36"/>
    <w:rsid w:val="00FD06FF"/>
    <w:rsid w:val="00FD3150"/>
    <w:rsid w:val="00FD38E8"/>
    <w:rsid w:val="00FD43CB"/>
    <w:rsid w:val="00FD5076"/>
    <w:rsid w:val="00FD5486"/>
    <w:rsid w:val="00FD5899"/>
    <w:rsid w:val="00FD7175"/>
    <w:rsid w:val="00FE038B"/>
    <w:rsid w:val="00FE09D4"/>
    <w:rsid w:val="00FE114B"/>
    <w:rsid w:val="00FE1D5F"/>
    <w:rsid w:val="00FE3EEF"/>
    <w:rsid w:val="00FE5FB6"/>
    <w:rsid w:val="00FE6F61"/>
    <w:rsid w:val="00FE7DE1"/>
    <w:rsid w:val="00FF088A"/>
    <w:rsid w:val="00FF0967"/>
    <w:rsid w:val="00FF0E8A"/>
    <w:rsid w:val="00FF1A75"/>
    <w:rsid w:val="00FF215C"/>
    <w:rsid w:val="010D765D"/>
    <w:rsid w:val="011428D2"/>
    <w:rsid w:val="011557B2"/>
    <w:rsid w:val="01272A80"/>
    <w:rsid w:val="0138518F"/>
    <w:rsid w:val="013D4B60"/>
    <w:rsid w:val="017E0CD4"/>
    <w:rsid w:val="017E2A82"/>
    <w:rsid w:val="01A6243B"/>
    <w:rsid w:val="01A975FA"/>
    <w:rsid w:val="01B17AD3"/>
    <w:rsid w:val="01C628A7"/>
    <w:rsid w:val="01FF3414"/>
    <w:rsid w:val="020B4B2E"/>
    <w:rsid w:val="0224187C"/>
    <w:rsid w:val="02276623"/>
    <w:rsid w:val="02305C5A"/>
    <w:rsid w:val="023A275E"/>
    <w:rsid w:val="023D61D9"/>
    <w:rsid w:val="024834EF"/>
    <w:rsid w:val="024C396F"/>
    <w:rsid w:val="02863C9B"/>
    <w:rsid w:val="0288005D"/>
    <w:rsid w:val="02AD361F"/>
    <w:rsid w:val="02DF0FEC"/>
    <w:rsid w:val="02EC325F"/>
    <w:rsid w:val="02EE5F03"/>
    <w:rsid w:val="030435CA"/>
    <w:rsid w:val="0316724E"/>
    <w:rsid w:val="031F6D59"/>
    <w:rsid w:val="034104E4"/>
    <w:rsid w:val="034512CF"/>
    <w:rsid w:val="03630182"/>
    <w:rsid w:val="0369718D"/>
    <w:rsid w:val="036D416B"/>
    <w:rsid w:val="036E7F6D"/>
    <w:rsid w:val="037B07B2"/>
    <w:rsid w:val="039667A2"/>
    <w:rsid w:val="039C6BC9"/>
    <w:rsid w:val="03A91F09"/>
    <w:rsid w:val="03B66504"/>
    <w:rsid w:val="03C42215"/>
    <w:rsid w:val="03D06AB2"/>
    <w:rsid w:val="03D51B83"/>
    <w:rsid w:val="03E43EA8"/>
    <w:rsid w:val="03F238EF"/>
    <w:rsid w:val="03F24DC6"/>
    <w:rsid w:val="03F37758"/>
    <w:rsid w:val="03F509F2"/>
    <w:rsid w:val="03FE70CA"/>
    <w:rsid w:val="04390B08"/>
    <w:rsid w:val="043D6C25"/>
    <w:rsid w:val="044D0E2E"/>
    <w:rsid w:val="04657F2A"/>
    <w:rsid w:val="04673937"/>
    <w:rsid w:val="04697A1A"/>
    <w:rsid w:val="04966335"/>
    <w:rsid w:val="04B02985"/>
    <w:rsid w:val="04B564EB"/>
    <w:rsid w:val="04BC5D9C"/>
    <w:rsid w:val="04D66B2B"/>
    <w:rsid w:val="04E968FD"/>
    <w:rsid w:val="050D470B"/>
    <w:rsid w:val="05103C33"/>
    <w:rsid w:val="05120DCD"/>
    <w:rsid w:val="052727D2"/>
    <w:rsid w:val="053955AF"/>
    <w:rsid w:val="0541626C"/>
    <w:rsid w:val="05512F6C"/>
    <w:rsid w:val="056702C8"/>
    <w:rsid w:val="05682476"/>
    <w:rsid w:val="05780411"/>
    <w:rsid w:val="057D43FA"/>
    <w:rsid w:val="058D2943"/>
    <w:rsid w:val="059102CD"/>
    <w:rsid w:val="05C15431"/>
    <w:rsid w:val="05E01F5E"/>
    <w:rsid w:val="0601352E"/>
    <w:rsid w:val="062A31D9"/>
    <w:rsid w:val="06382080"/>
    <w:rsid w:val="06954AF6"/>
    <w:rsid w:val="06A21D17"/>
    <w:rsid w:val="06A719C5"/>
    <w:rsid w:val="06B32B01"/>
    <w:rsid w:val="06B45C87"/>
    <w:rsid w:val="06B73083"/>
    <w:rsid w:val="06BA469C"/>
    <w:rsid w:val="06C059F0"/>
    <w:rsid w:val="06D84272"/>
    <w:rsid w:val="06DA3CF9"/>
    <w:rsid w:val="06F53549"/>
    <w:rsid w:val="06FB1C97"/>
    <w:rsid w:val="07351E35"/>
    <w:rsid w:val="07907A6C"/>
    <w:rsid w:val="07923111"/>
    <w:rsid w:val="079408E9"/>
    <w:rsid w:val="07BD5C46"/>
    <w:rsid w:val="07CD3169"/>
    <w:rsid w:val="07D24151"/>
    <w:rsid w:val="07D72C7B"/>
    <w:rsid w:val="07EB22D1"/>
    <w:rsid w:val="08003304"/>
    <w:rsid w:val="08067789"/>
    <w:rsid w:val="0825330C"/>
    <w:rsid w:val="084A1F11"/>
    <w:rsid w:val="084E4E5E"/>
    <w:rsid w:val="084F33CB"/>
    <w:rsid w:val="08500CCB"/>
    <w:rsid w:val="085C4738"/>
    <w:rsid w:val="086B2D25"/>
    <w:rsid w:val="08BB45BC"/>
    <w:rsid w:val="08C173D5"/>
    <w:rsid w:val="08EB4EA1"/>
    <w:rsid w:val="08F63846"/>
    <w:rsid w:val="08FA2F86"/>
    <w:rsid w:val="08FC6C67"/>
    <w:rsid w:val="090175E7"/>
    <w:rsid w:val="09176653"/>
    <w:rsid w:val="09205831"/>
    <w:rsid w:val="093F3C94"/>
    <w:rsid w:val="09493552"/>
    <w:rsid w:val="094A5C8C"/>
    <w:rsid w:val="095A5B83"/>
    <w:rsid w:val="0965293E"/>
    <w:rsid w:val="097C1E98"/>
    <w:rsid w:val="099077F7"/>
    <w:rsid w:val="09B02E2E"/>
    <w:rsid w:val="09B763F1"/>
    <w:rsid w:val="09BF66C0"/>
    <w:rsid w:val="09C120A6"/>
    <w:rsid w:val="09CB4CD3"/>
    <w:rsid w:val="09D136C7"/>
    <w:rsid w:val="09D45935"/>
    <w:rsid w:val="09DF5ED2"/>
    <w:rsid w:val="0A085E4A"/>
    <w:rsid w:val="0A111F7C"/>
    <w:rsid w:val="0A1C1A19"/>
    <w:rsid w:val="0A481C84"/>
    <w:rsid w:val="0A4843DF"/>
    <w:rsid w:val="0A4C1970"/>
    <w:rsid w:val="0A6A1286"/>
    <w:rsid w:val="0A7361E8"/>
    <w:rsid w:val="0A7553ED"/>
    <w:rsid w:val="0A8A7BC6"/>
    <w:rsid w:val="0A8E519B"/>
    <w:rsid w:val="0A917D7D"/>
    <w:rsid w:val="0A957D67"/>
    <w:rsid w:val="0AA35975"/>
    <w:rsid w:val="0AA96BA7"/>
    <w:rsid w:val="0AD52896"/>
    <w:rsid w:val="0ADC1380"/>
    <w:rsid w:val="0AE47E42"/>
    <w:rsid w:val="0B2428ED"/>
    <w:rsid w:val="0B262E7E"/>
    <w:rsid w:val="0B321B7D"/>
    <w:rsid w:val="0B60746C"/>
    <w:rsid w:val="0B7218AA"/>
    <w:rsid w:val="0B756CA4"/>
    <w:rsid w:val="0B9B3DDB"/>
    <w:rsid w:val="0B9D61FB"/>
    <w:rsid w:val="0BBC0D77"/>
    <w:rsid w:val="0BC31119"/>
    <w:rsid w:val="0BD31C1D"/>
    <w:rsid w:val="0BDB4C3A"/>
    <w:rsid w:val="0BE5635A"/>
    <w:rsid w:val="0C0C564E"/>
    <w:rsid w:val="0C121766"/>
    <w:rsid w:val="0C252478"/>
    <w:rsid w:val="0C3D753B"/>
    <w:rsid w:val="0C623AA6"/>
    <w:rsid w:val="0C654F6B"/>
    <w:rsid w:val="0C803008"/>
    <w:rsid w:val="0C8542F1"/>
    <w:rsid w:val="0C88211D"/>
    <w:rsid w:val="0C9E222B"/>
    <w:rsid w:val="0CCF4ADA"/>
    <w:rsid w:val="0CD41B17"/>
    <w:rsid w:val="0CEB4D54"/>
    <w:rsid w:val="0CF9617A"/>
    <w:rsid w:val="0CFD51A3"/>
    <w:rsid w:val="0D47792E"/>
    <w:rsid w:val="0D6F24EF"/>
    <w:rsid w:val="0D703BC7"/>
    <w:rsid w:val="0D97603C"/>
    <w:rsid w:val="0DA6583B"/>
    <w:rsid w:val="0DBC0E93"/>
    <w:rsid w:val="0DC33667"/>
    <w:rsid w:val="0DED416A"/>
    <w:rsid w:val="0E030797"/>
    <w:rsid w:val="0E0620AA"/>
    <w:rsid w:val="0E1718FF"/>
    <w:rsid w:val="0E305629"/>
    <w:rsid w:val="0E52151F"/>
    <w:rsid w:val="0E5911AE"/>
    <w:rsid w:val="0E75310C"/>
    <w:rsid w:val="0E763D1A"/>
    <w:rsid w:val="0E842585"/>
    <w:rsid w:val="0E8518F4"/>
    <w:rsid w:val="0E966D0C"/>
    <w:rsid w:val="0EB601BD"/>
    <w:rsid w:val="0EC47E38"/>
    <w:rsid w:val="0ED85EC8"/>
    <w:rsid w:val="0EEC0897"/>
    <w:rsid w:val="0F052A35"/>
    <w:rsid w:val="0F056591"/>
    <w:rsid w:val="0F0E792B"/>
    <w:rsid w:val="0F2B0C29"/>
    <w:rsid w:val="0F346E76"/>
    <w:rsid w:val="0F652341"/>
    <w:rsid w:val="0F78713B"/>
    <w:rsid w:val="0F8926C1"/>
    <w:rsid w:val="0F8A1812"/>
    <w:rsid w:val="0F9E75F8"/>
    <w:rsid w:val="0FB3423F"/>
    <w:rsid w:val="0FD540C6"/>
    <w:rsid w:val="0FDC721A"/>
    <w:rsid w:val="0FFA025E"/>
    <w:rsid w:val="10061EB8"/>
    <w:rsid w:val="10256796"/>
    <w:rsid w:val="103C1EC8"/>
    <w:rsid w:val="103F5AD3"/>
    <w:rsid w:val="1041184B"/>
    <w:rsid w:val="104B091B"/>
    <w:rsid w:val="105855AB"/>
    <w:rsid w:val="107446C0"/>
    <w:rsid w:val="1086368C"/>
    <w:rsid w:val="108F405E"/>
    <w:rsid w:val="109D078F"/>
    <w:rsid w:val="10A67900"/>
    <w:rsid w:val="10B85FB1"/>
    <w:rsid w:val="10C82F4E"/>
    <w:rsid w:val="10D0776E"/>
    <w:rsid w:val="10EF12A7"/>
    <w:rsid w:val="10EF56FD"/>
    <w:rsid w:val="10F74FC2"/>
    <w:rsid w:val="10F90377"/>
    <w:rsid w:val="110034B4"/>
    <w:rsid w:val="110F36F7"/>
    <w:rsid w:val="11146EB1"/>
    <w:rsid w:val="111C1C2B"/>
    <w:rsid w:val="112703B8"/>
    <w:rsid w:val="115B4E23"/>
    <w:rsid w:val="115B5A86"/>
    <w:rsid w:val="115D1DA6"/>
    <w:rsid w:val="11651A69"/>
    <w:rsid w:val="117169C2"/>
    <w:rsid w:val="11757DC9"/>
    <w:rsid w:val="117711F5"/>
    <w:rsid w:val="11773A95"/>
    <w:rsid w:val="11805C0F"/>
    <w:rsid w:val="119B6B11"/>
    <w:rsid w:val="11AB70D0"/>
    <w:rsid w:val="11D53C86"/>
    <w:rsid w:val="11DD55A3"/>
    <w:rsid w:val="11E6296C"/>
    <w:rsid w:val="11EA1D1F"/>
    <w:rsid w:val="11ED7E0F"/>
    <w:rsid w:val="11FF497A"/>
    <w:rsid w:val="12106784"/>
    <w:rsid w:val="12170AB5"/>
    <w:rsid w:val="12293685"/>
    <w:rsid w:val="124342E7"/>
    <w:rsid w:val="12443874"/>
    <w:rsid w:val="12494D8E"/>
    <w:rsid w:val="12633CFA"/>
    <w:rsid w:val="126E56A8"/>
    <w:rsid w:val="127500BF"/>
    <w:rsid w:val="127A580F"/>
    <w:rsid w:val="128B537C"/>
    <w:rsid w:val="12D12D85"/>
    <w:rsid w:val="12D24757"/>
    <w:rsid w:val="12D92CED"/>
    <w:rsid w:val="12E844A3"/>
    <w:rsid w:val="12F519A1"/>
    <w:rsid w:val="12F60BEA"/>
    <w:rsid w:val="12FA3A33"/>
    <w:rsid w:val="12FE1529"/>
    <w:rsid w:val="13001549"/>
    <w:rsid w:val="13033AD5"/>
    <w:rsid w:val="13085C6B"/>
    <w:rsid w:val="131C75ED"/>
    <w:rsid w:val="13294F44"/>
    <w:rsid w:val="1337424A"/>
    <w:rsid w:val="133D279D"/>
    <w:rsid w:val="133F3C27"/>
    <w:rsid w:val="134E4840"/>
    <w:rsid w:val="13581C27"/>
    <w:rsid w:val="13587D14"/>
    <w:rsid w:val="135B70C7"/>
    <w:rsid w:val="13625F4D"/>
    <w:rsid w:val="136B6F2A"/>
    <w:rsid w:val="13712447"/>
    <w:rsid w:val="1378132E"/>
    <w:rsid w:val="13854A5E"/>
    <w:rsid w:val="13877AAA"/>
    <w:rsid w:val="13916E35"/>
    <w:rsid w:val="13B14921"/>
    <w:rsid w:val="13B919E1"/>
    <w:rsid w:val="13BA2040"/>
    <w:rsid w:val="13DD60F3"/>
    <w:rsid w:val="13F70688"/>
    <w:rsid w:val="13FF3637"/>
    <w:rsid w:val="1409109F"/>
    <w:rsid w:val="14191ADB"/>
    <w:rsid w:val="142B3F97"/>
    <w:rsid w:val="14564EA2"/>
    <w:rsid w:val="14616CA9"/>
    <w:rsid w:val="14754DDE"/>
    <w:rsid w:val="1476355A"/>
    <w:rsid w:val="14810258"/>
    <w:rsid w:val="148A5718"/>
    <w:rsid w:val="14A821D5"/>
    <w:rsid w:val="14D37DF5"/>
    <w:rsid w:val="14E835ED"/>
    <w:rsid w:val="1506268B"/>
    <w:rsid w:val="15272F18"/>
    <w:rsid w:val="1529799F"/>
    <w:rsid w:val="15396F94"/>
    <w:rsid w:val="153D13FE"/>
    <w:rsid w:val="154776F1"/>
    <w:rsid w:val="15482C41"/>
    <w:rsid w:val="15974250"/>
    <w:rsid w:val="159E1662"/>
    <w:rsid w:val="15B12FCF"/>
    <w:rsid w:val="15D911DF"/>
    <w:rsid w:val="15DA4B83"/>
    <w:rsid w:val="15ED5A58"/>
    <w:rsid w:val="15EE5FD1"/>
    <w:rsid w:val="15F52D8A"/>
    <w:rsid w:val="1602382A"/>
    <w:rsid w:val="162C6CB2"/>
    <w:rsid w:val="163568A5"/>
    <w:rsid w:val="163F119F"/>
    <w:rsid w:val="16504596"/>
    <w:rsid w:val="16604583"/>
    <w:rsid w:val="166E068F"/>
    <w:rsid w:val="16734728"/>
    <w:rsid w:val="16777ECD"/>
    <w:rsid w:val="16866209"/>
    <w:rsid w:val="1699418F"/>
    <w:rsid w:val="16AF7627"/>
    <w:rsid w:val="16B30809"/>
    <w:rsid w:val="16B32D77"/>
    <w:rsid w:val="16B45AF2"/>
    <w:rsid w:val="16C1304D"/>
    <w:rsid w:val="170D23EB"/>
    <w:rsid w:val="171040E0"/>
    <w:rsid w:val="17195B93"/>
    <w:rsid w:val="17197905"/>
    <w:rsid w:val="17212B98"/>
    <w:rsid w:val="172B2E75"/>
    <w:rsid w:val="176C5A76"/>
    <w:rsid w:val="17856C06"/>
    <w:rsid w:val="179C4A76"/>
    <w:rsid w:val="179C6471"/>
    <w:rsid w:val="17A10052"/>
    <w:rsid w:val="17BE19D3"/>
    <w:rsid w:val="17C646BB"/>
    <w:rsid w:val="17D22FC7"/>
    <w:rsid w:val="17E551B2"/>
    <w:rsid w:val="17EC44B9"/>
    <w:rsid w:val="17FC2CB3"/>
    <w:rsid w:val="18015D13"/>
    <w:rsid w:val="18032DE8"/>
    <w:rsid w:val="180B47A6"/>
    <w:rsid w:val="18132377"/>
    <w:rsid w:val="181D1C4C"/>
    <w:rsid w:val="18416B0B"/>
    <w:rsid w:val="18420655"/>
    <w:rsid w:val="184F055A"/>
    <w:rsid w:val="18575D65"/>
    <w:rsid w:val="18694749"/>
    <w:rsid w:val="186F023A"/>
    <w:rsid w:val="18711A73"/>
    <w:rsid w:val="187A7FF0"/>
    <w:rsid w:val="1884144D"/>
    <w:rsid w:val="188761F2"/>
    <w:rsid w:val="188931D2"/>
    <w:rsid w:val="188932F1"/>
    <w:rsid w:val="18901D2C"/>
    <w:rsid w:val="18AA4093"/>
    <w:rsid w:val="18B54B84"/>
    <w:rsid w:val="18BB3C2D"/>
    <w:rsid w:val="18BF1EA7"/>
    <w:rsid w:val="18C3639C"/>
    <w:rsid w:val="18C43B6B"/>
    <w:rsid w:val="18D655F1"/>
    <w:rsid w:val="18DE7568"/>
    <w:rsid w:val="18E4469E"/>
    <w:rsid w:val="18E87F50"/>
    <w:rsid w:val="18ED6702"/>
    <w:rsid w:val="18FD4947"/>
    <w:rsid w:val="190A1374"/>
    <w:rsid w:val="190C1BE7"/>
    <w:rsid w:val="193F5973"/>
    <w:rsid w:val="19442A4D"/>
    <w:rsid w:val="19492AEA"/>
    <w:rsid w:val="194D3AC9"/>
    <w:rsid w:val="196855D2"/>
    <w:rsid w:val="19685F9C"/>
    <w:rsid w:val="197762DD"/>
    <w:rsid w:val="197D5C29"/>
    <w:rsid w:val="19965BB4"/>
    <w:rsid w:val="199B7E1F"/>
    <w:rsid w:val="19D96C4F"/>
    <w:rsid w:val="19E81A6C"/>
    <w:rsid w:val="19EB65F6"/>
    <w:rsid w:val="19EF4EF7"/>
    <w:rsid w:val="19F12F16"/>
    <w:rsid w:val="19F418BE"/>
    <w:rsid w:val="1A002777"/>
    <w:rsid w:val="1A0717BC"/>
    <w:rsid w:val="1A1B30B1"/>
    <w:rsid w:val="1A223D60"/>
    <w:rsid w:val="1A2608AF"/>
    <w:rsid w:val="1A361CF4"/>
    <w:rsid w:val="1A385A6D"/>
    <w:rsid w:val="1A473F02"/>
    <w:rsid w:val="1A4C5819"/>
    <w:rsid w:val="1A542F59"/>
    <w:rsid w:val="1A560F87"/>
    <w:rsid w:val="1A6F5C0A"/>
    <w:rsid w:val="1A75281D"/>
    <w:rsid w:val="1A79786D"/>
    <w:rsid w:val="1A807F7F"/>
    <w:rsid w:val="1A872550"/>
    <w:rsid w:val="1A9224D0"/>
    <w:rsid w:val="1AC06D68"/>
    <w:rsid w:val="1B1153AE"/>
    <w:rsid w:val="1B2E7BE8"/>
    <w:rsid w:val="1B32070E"/>
    <w:rsid w:val="1B3404EA"/>
    <w:rsid w:val="1B431208"/>
    <w:rsid w:val="1B651A0F"/>
    <w:rsid w:val="1B65257F"/>
    <w:rsid w:val="1B6D5BEA"/>
    <w:rsid w:val="1B7178E4"/>
    <w:rsid w:val="1B8D5D0B"/>
    <w:rsid w:val="1B990926"/>
    <w:rsid w:val="1BD7136C"/>
    <w:rsid w:val="1BE67190"/>
    <w:rsid w:val="1BE6757E"/>
    <w:rsid w:val="1BEF0C63"/>
    <w:rsid w:val="1C005643"/>
    <w:rsid w:val="1C141D47"/>
    <w:rsid w:val="1C270694"/>
    <w:rsid w:val="1C2F1807"/>
    <w:rsid w:val="1C3103F6"/>
    <w:rsid w:val="1C4155A7"/>
    <w:rsid w:val="1C417326"/>
    <w:rsid w:val="1C531F97"/>
    <w:rsid w:val="1C6074FD"/>
    <w:rsid w:val="1C7550F6"/>
    <w:rsid w:val="1C906479"/>
    <w:rsid w:val="1C962F1E"/>
    <w:rsid w:val="1CBD29F9"/>
    <w:rsid w:val="1CBF2050"/>
    <w:rsid w:val="1CF03102"/>
    <w:rsid w:val="1CF05B1D"/>
    <w:rsid w:val="1CF163A7"/>
    <w:rsid w:val="1CFE4D5B"/>
    <w:rsid w:val="1D035BF9"/>
    <w:rsid w:val="1D0820A6"/>
    <w:rsid w:val="1D136646"/>
    <w:rsid w:val="1D2C2268"/>
    <w:rsid w:val="1D484219"/>
    <w:rsid w:val="1D4E55A7"/>
    <w:rsid w:val="1D551D12"/>
    <w:rsid w:val="1D5D664C"/>
    <w:rsid w:val="1D5E2780"/>
    <w:rsid w:val="1D65543B"/>
    <w:rsid w:val="1D79243E"/>
    <w:rsid w:val="1D813BCE"/>
    <w:rsid w:val="1DA577ED"/>
    <w:rsid w:val="1DBA69FC"/>
    <w:rsid w:val="1DF3112A"/>
    <w:rsid w:val="1DF747CB"/>
    <w:rsid w:val="1E0823F2"/>
    <w:rsid w:val="1E0F11DA"/>
    <w:rsid w:val="1E260E83"/>
    <w:rsid w:val="1E2701AC"/>
    <w:rsid w:val="1E276399"/>
    <w:rsid w:val="1E340C41"/>
    <w:rsid w:val="1E3A3CAF"/>
    <w:rsid w:val="1E4720E7"/>
    <w:rsid w:val="1E4B0FF8"/>
    <w:rsid w:val="1E592A0F"/>
    <w:rsid w:val="1E5D4E56"/>
    <w:rsid w:val="1E6B2139"/>
    <w:rsid w:val="1E7A374E"/>
    <w:rsid w:val="1E7C1C53"/>
    <w:rsid w:val="1E89335F"/>
    <w:rsid w:val="1E8E0351"/>
    <w:rsid w:val="1E924AE7"/>
    <w:rsid w:val="1EAE6E23"/>
    <w:rsid w:val="1ECC0E79"/>
    <w:rsid w:val="1EDA3FAB"/>
    <w:rsid w:val="1EE477A0"/>
    <w:rsid w:val="1EF17ACF"/>
    <w:rsid w:val="1EF46FC2"/>
    <w:rsid w:val="1EF74148"/>
    <w:rsid w:val="1F0B19A2"/>
    <w:rsid w:val="1F0E3240"/>
    <w:rsid w:val="1F1C16B0"/>
    <w:rsid w:val="1F3D59A5"/>
    <w:rsid w:val="1F420031"/>
    <w:rsid w:val="1F4257E9"/>
    <w:rsid w:val="1F6850E2"/>
    <w:rsid w:val="1F6C3A98"/>
    <w:rsid w:val="1F6E0D89"/>
    <w:rsid w:val="1F7D25DA"/>
    <w:rsid w:val="1FA63BE5"/>
    <w:rsid w:val="1FB3239E"/>
    <w:rsid w:val="1FBB0D34"/>
    <w:rsid w:val="1FBB33C8"/>
    <w:rsid w:val="1FC624D8"/>
    <w:rsid w:val="1FCD0DC2"/>
    <w:rsid w:val="1FDC30F1"/>
    <w:rsid w:val="1FE00A4B"/>
    <w:rsid w:val="1FE50445"/>
    <w:rsid w:val="1FFE2851"/>
    <w:rsid w:val="20014FB8"/>
    <w:rsid w:val="201E5705"/>
    <w:rsid w:val="204809D3"/>
    <w:rsid w:val="20505BEE"/>
    <w:rsid w:val="205138AB"/>
    <w:rsid w:val="20683984"/>
    <w:rsid w:val="207F1198"/>
    <w:rsid w:val="2087794C"/>
    <w:rsid w:val="20CC0941"/>
    <w:rsid w:val="20D128F2"/>
    <w:rsid w:val="20E51308"/>
    <w:rsid w:val="20F3093F"/>
    <w:rsid w:val="20F76B2D"/>
    <w:rsid w:val="21016FB2"/>
    <w:rsid w:val="21091931"/>
    <w:rsid w:val="213E2EA1"/>
    <w:rsid w:val="2149055F"/>
    <w:rsid w:val="215F4227"/>
    <w:rsid w:val="216F0F77"/>
    <w:rsid w:val="217336E6"/>
    <w:rsid w:val="2194799D"/>
    <w:rsid w:val="21B909B9"/>
    <w:rsid w:val="21BA2AC2"/>
    <w:rsid w:val="21DC13D3"/>
    <w:rsid w:val="21E21C0E"/>
    <w:rsid w:val="21E53673"/>
    <w:rsid w:val="21F5141A"/>
    <w:rsid w:val="21FB74E7"/>
    <w:rsid w:val="220152DE"/>
    <w:rsid w:val="22122B72"/>
    <w:rsid w:val="22302631"/>
    <w:rsid w:val="223175B2"/>
    <w:rsid w:val="223A312F"/>
    <w:rsid w:val="224D7B7A"/>
    <w:rsid w:val="225059CB"/>
    <w:rsid w:val="22631AF5"/>
    <w:rsid w:val="226A3A35"/>
    <w:rsid w:val="22712C34"/>
    <w:rsid w:val="227C4964"/>
    <w:rsid w:val="229413BA"/>
    <w:rsid w:val="22A86252"/>
    <w:rsid w:val="22AA4925"/>
    <w:rsid w:val="22B642F4"/>
    <w:rsid w:val="22BC02B2"/>
    <w:rsid w:val="22C0677F"/>
    <w:rsid w:val="22DE5F28"/>
    <w:rsid w:val="22E505A2"/>
    <w:rsid w:val="22F866E1"/>
    <w:rsid w:val="230230BC"/>
    <w:rsid w:val="23107AAF"/>
    <w:rsid w:val="231E149A"/>
    <w:rsid w:val="231F6668"/>
    <w:rsid w:val="23362282"/>
    <w:rsid w:val="233E248C"/>
    <w:rsid w:val="234D19E9"/>
    <w:rsid w:val="234F0B1A"/>
    <w:rsid w:val="235B0B5A"/>
    <w:rsid w:val="2372597F"/>
    <w:rsid w:val="2374166C"/>
    <w:rsid w:val="23807611"/>
    <w:rsid w:val="238920BB"/>
    <w:rsid w:val="239A32F4"/>
    <w:rsid w:val="23B2153A"/>
    <w:rsid w:val="23BE1A45"/>
    <w:rsid w:val="23BE276C"/>
    <w:rsid w:val="23C6058D"/>
    <w:rsid w:val="23D76713"/>
    <w:rsid w:val="23DD042B"/>
    <w:rsid w:val="23E17175"/>
    <w:rsid w:val="241F1A4B"/>
    <w:rsid w:val="24206146"/>
    <w:rsid w:val="24223E87"/>
    <w:rsid w:val="24341609"/>
    <w:rsid w:val="243C316D"/>
    <w:rsid w:val="24421B74"/>
    <w:rsid w:val="244301A5"/>
    <w:rsid w:val="24457B3A"/>
    <w:rsid w:val="24506626"/>
    <w:rsid w:val="245406CC"/>
    <w:rsid w:val="248875F1"/>
    <w:rsid w:val="24905AE4"/>
    <w:rsid w:val="249E6E2F"/>
    <w:rsid w:val="24A00DDE"/>
    <w:rsid w:val="24B108F5"/>
    <w:rsid w:val="24C46FB6"/>
    <w:rsid w:val="24DC44D8"/>
    <w:rsid w:val="24F20F0E"/>
    <w:rsid w:val="250332B8"/>
    <w:rsid w:val="25074187"/>
    <w:rsid w:val="25331BC4"/>
    <w:rsid w:val="25373650"/>
    <w:rsid w:val="2558601D"/>
    <w:rsid w:val="259A75DB"/>
    <w:rsid w:val="25BE07F9"/>
    <w:rsid w:val="25BF40E0"/>
    <w:rsid w:val="25CB47A5"/>
    <w:rsid w:val="25E83EE0"/>
    <w:rsid w:val="26087016"/>
    <w:rsid w:val="26543C2E"/>
    <w:rsid w:val="265C4507"/>
    <w:rsid w:val="26605B6C"/>
    <w:rsid w:val="26704790"/>
    <w:rsid w:val="268222D7"/>
    <w:rsid w:val="2685203A"/>
    <w:rsid w:val="26914E82"/>
    <w:rsid w:val="26950AE8"/>
    <w:rsid w:val="26983290"/>
    <w:rsid w:val="269D5F7D"/>
    <w:rsid w:val="26A128C9"/>
    <w:rsid w:val="26FB0253"/>
    <w:rsid w:val="270A569F"/>
    <w:rsid w:val="27133AE9"/>
    <w:rsid w:val="27164841"/>
    <w:rsid w:val="271D04C4"/>
    <w:rsid w:val="272022CB"/>
    <w:rsid w:val="273852FE"/>
    <w:rsid w:val="273F4CB5"/>
    <w:rsid w:val="27460068"/>
    <w:rsid w:val="274B4C71"/>
    <w:rsid w:val="27506C7C"/>
    <w:rsid w:val="2753161C"/>
    <w:rsid w:val="27590D31"/>
    <w:rsid w:val="275D221F"/>
    <w:rsid w:val="27840065"/>
    <w:rsid w:val="278542BB"/>
    <w:rsid w:val="27886D81"/>
    <w:rsid w:val="27C2106B"/>
    <w:rsid w:val="27C54369"/>
    <w:rsid w:val="2811449B"/>
    <w:rsid w:val="285511EC"/>
    <w:rsid w:val="285C6DCA"/>
    <w:rsid w:val="28965D63"/>
    <w:rsid w:val="28B70B59"/>
    <w:rsid w:val="28C50E13"/>
    <w:rsid w:val="290477A4"/>
    <w:rsid w:val="29121862"/>
    <w:rsid w:val="29127DD1"/>
    <w:rsid w:val="29142C02"/>
    <w:rsid w:val="2918110F"/>
    <w:rsid w:val="2919237C"/>
    <w:rsid w:val="29235B3A"/>
    <w:rsid w:val="292C162F"/>
    <w:rsid w:val="293E274E"/>
    <w:rsid w:val="2950368E"/>
    <w:rsid w:val="29594084"/>
    <w:rsid w:val="29843A9B"/>
    <w:rsid w:val="29862A2C"/>
    <w:rsid w:val="29890093"/>
    <w:rsid w:val="298D3BAC"/>
    <w:rsid w:val="298E3718"/>
    <w:rsid w:val="29986A8C"/>
    <w:rsid w:val="29A22F02"/>
    <w:rsid w:val="29AF6857"/>
    <w:rsid w:val="29C82EAF"/>
    <w:rsid w:val="29EB2594"/>
    <w:rsid w:val="29EC5D17"/>
    <w:rsid w:val="29ED1066"/>
    <w:rsid w:val="2A007C29"/>
    <w:rsid w:val="2A043BBD"/>
    <w:rsid w:val="2A0D6D35"/>
    <w:rsid w:val="2A17737B"/>
    <w:rsid w:val="2A2008D8"/>
    <w:rsid w:val="2A214516"/>
    <w:rsid w:val="2A3C5105"/>
    <w:rsid w:val="2A430052"/>
    <w:rsid w:val="2A500BB0"/>
    <w:rsid w:val="2A584D21"/>
    <w:rsid w:val="2A614B6C"/>
    <w:rsid w:val="2A616F93"/>
    <w:rsid w:val="2A64367C"/>
    <w:rsid w:val="2A663F31"/>
    <w:rsid w:val="2A6910D3"/>
    <w:rsid w:val="2A6B0855"/>
    <w:rsid w:val="2A6B54EF"/>
    <w:rsid w:val="2A8F792B"/>
    <w:rsid w:val="2A923A78"/>
    <w:rsid w:val="2A954815"/>
    <w:rsid w:val="2A9807F2"/>
    <w:rsid w:val="2A9C4B34"/>
    <w:rsid w:val="2AA83702"/>
    <w:rsid w:val="2ABC3F27"/>
    <w:rsid w:val="2AD90BA6"/>
    <w:rsid w:val="2AE00186"/>
    <w:rsid w:val="2AF14141"/>
    <w:rsid w:val="2B134799"/>
    <w:rsid w:val="2B20653D"/>
    <w:rsid w:val="2B266F08"/>
    <w:rsid w:val="2B44352B"/>
    <w:rsid w:val="2B587219"/>
    <w:rsid w:val="2B601926"/>
    <w:rsid w:val="2B6835F0"/>
    <w:rsid w:val="2B6A7A50"/>
    <w:rsid w:val="2B6C7799"/>
    <w:rsid w:val="2B8D23FE"/>
    <w:rsid w:val="2B940739"/>
    <w:rsid w:val="2B954674"/>
    <w:rsid w:val="2BAB173B"/>
    <w:rsid w:val="2BAF4E36"/>
    <w:rsid w:val="2BF95ED1"/>
    <w:rsid w:val="2C016606"/>
    <w:rsid w:val="2C090ED9"/>
    <w:rsid w:val="2C191269"/>
    <w:rsid w:val="2C1D00E0"/>
    <w:rsid w:val="2C1F4CDE"/>
    <w:rsid w:val="2C3F012B"/>
    <w:rsid w:val="2C5405D1"/>
    <w:rsid w:val="2C583D4C"/>
    <w:rsid w:val="2C7E2E47"/>
    <w:rsid w:val="2C7F1DCF"/>
    <w:rsid w:val="2C83526D"/>
    <w:rsid w:val="2C8D7E9A"/>
    <w:rsid w:val="2C992645"/>
    <w:rsid w:val="2C9A590A"/>
    <w:rsid w:val="2CA759EA"/>
    <w:rsid w:val="2CA86A82"/>
    <w:rsid w:val="2CB10CA8"/>
    <w:rsid w:val="2CDA515E"/>
    <w:rsid w:val="2CE37ABA"/>
    <w:rsid w:val="2D4B7B48"/>
    <w:rsid w:val="2D535EA7"/>
    <w:rsid w:val="2D5F5D06"/>
    <w:rsid w:val="2D6B4743"/>
    <w:rsid w:val="2D6C2E14"/>
    <w:rsid w:val="2D766B80"/>
    <w:rsid w:val="2D8044D3"/>
    <w:rsid w:val="2DA12813"/>
    <w:rsid w:val="2DC14B08"/>
    <w:rsid w:val="2DCD0A11"/>
    <w:rsid w:val="2DE84A63"/>
    <w:rsid w:val="2DEB621C"/>
    <w:rsid w:val="2E0E6DB8"/>
    <w:rsid w:val="2E1D2F05"/>
    <w:rsid w:val="2E22169E"/>
    <w:rsid w:val="2E224612"/>
    <w:rsid w:val="2E231110"/>
    <w:rsid w:val="2E350E71"/>
    <w:rsid w:val="2E3660F5"/>
    <w:rsid w:val="2E415370"/>
    <w:rsid w:val="2E68632E"/>
    <w:rsid w:val="2E7701B7"/>
    <w:rsid w:val="2E811F00"/>
    <w:rsid w:val="2E823EE8"/>
    <w:rsid w:val="2E930EF9"/>
    <w:rsid w:val="2EB140C2"/>
    <w:rsid w:val="2EB57F44"/>
    <w:rsid w:val="2ED10DA9"/>
    <w:rsid w:val="2ED15B5F"/>
    <w:rsid w:val="2EE221E3"/>
    <w:rsid w:val="2F364819"/>
    <w:rsid w:val="2F642F4F"/>
    <w:rsid w:val="2F7305E4"/>
    <w:rsid w:val="2F803204"/>
    <w:rsid w:val="2FB3060A"/>
    <w:rsid w:val="2FB93134"/>
    <w:rsid w:val="2FC17E5A"/>
    <w:rsid w:val="2FCE5B1E"/>
    <w:rsid w:val="2FD858D0"/>
    <w:rsid w:val="2FDE7753"/>
    <w:rsid w:val="2FEF0361"/>
    <w:rsid w:val="2FF614EE"/>
    <w:rsid w:val="301A2140"/>
    <w:rsid w:val="302A1EA4"/>
    <w:rsid w:val="30436A9A"/>
    <w:rsid w:val="304C34A3"/>
    <w:rsid w:val="30611B3E"/>
    <w:rsid w:val="306959DD"/>
    <w:rsid w:val="307216B2"/>
    <w:rsid w:val="307C26FF"/>
    <w:rsid w:val="30A048EF"/>
    <w:rsid w:val="30A21987"/>
    <w:rsid w:val="30AD5BBE"/>
    <w:rsid w:val="30AD61C5"/>
    <w:rsid w:val="30B12B1F"/>
    <w:rsid w:val="30DA2523"/>
    <w:rsid w:val="30E01C54"/>
    <w:rsid w:val="30FE25A7"/>
    <w:rsid w:val="30FF6E8C"/>
    <w:rsid w:val="31140E1D"/>
    <w:rsid w:val="311F752F"/>
    <w:rsid w:val="31244B45"/>
    <w:rsid w:val="312C4A57"/>
    <w:rsid w:val="312E593C"/>
    <w:rsid w:val="316D52EA"/>
    <w:rsid w:val="31785216"/>
    <w:rsid w:val="318E3088"/>
    <w:rsid w:val="31944A9C"/>
    <w:rsid w:val="31A17F44"/>
    <w:rsid w:val="32096215"/>
    <w:rsid w:val="320E5953"/>
    <w:rsid w:val="322E5409"/>
    <w:rsid w:val="323954D8"/>
    <w:rsid w:val="323B2882"/>
    <w:rsid w:val="323B6B7B"/>
    <w:rsid w:val="3248318A"/>
    <w:rsid w:val="324B5172"/>
    <w:rsid w:val="325C38FB"/>
    <w:rsid w:val="32655415"/>
    <w:rsid w:val="326C7130"/>
    <w:rsid w:val="328161FB"/>
    <w:rsid w:val="329B2319"/>
    <w:rsid w:val="32A93554"/>
    <w:rsid w:val="32D11EE7"/>
    <w:rsid w:val="32F22ABF"/>
    <w:rsid w:val="332A6465"/>
    <w:rsid w:val="33314EDB"/>
    <w:rsid w:val="334A0FC5"/>
    <w:rsid w:val="334C0506"/>
    <w:rsid w:val="335675DB"/>
    <w:rsid w:val="33567C45"/>
    <w:rsid w:val="338036E9"/>
    <w:rsid w:val="338E62A6"/>
    <w:rsid w:val="339252DF"/>
    <w:rsid w:val="3393661B"/>
    <w:rsid w:val="33941379"/>
    <w:rsid w:val="33970F14"/>
    <w:rsid w:val="33A93C7C"/>
    <w:rsid w:val="33AE1321"/>
    <w:rsid w:val="33CB3314"/>
    <w:rsid w:val="33D90146"/>
    <w:rsid w:val="33DA1999"/>
    <w:rsid w:val="33E71C2A"/>
    <w:rsid w:val="33FA5C92"/>
    <w:rsid w:val="341C2288"/>
    <w:rsid w:val="341F37EA"/>
    <w:rsid w:val="343155AF"/>
    <w:rsid w:val="34485A7E"/>
    <w:rsid w:val="34512F0D"/>
    <w:rsid w:val="345B1B40"/>
    <w:rsid w:val="346239BA"/>
    <w:rsid w:val="346425D6"/>
    <w:rsid w:val="346F3383"/>
    <w:rsid w:val="348F7181"/>
    <w:rsid w:val="34BB131C"/>
    <w:rsid w:val="34C854C1"/>
    <w:rsid w:val="34CB0A62"/>
    <w:rsid w:val="34D42007"/>
    <w:rsid w:val="34E14FC2"/>
    <w:rsid w:val="34FC06A8"/>
    <w:rsid w:val="34FD7B87"/>
    <w:rsid w:val="35006F50"/>
    <w:rsid w:val="35155F52"/>
    <w:rsid w:val="35373099"/>
    <w:rsid w:val="353D61D5"/>
    <w:rsid w:val="354155DB"/>
    <w:rsid w:val="354237EC"/>
    <w:rsid w:val="356A456C"/>
    <w:rsid w:val="35765D46"/>
    <w:rsid w:val="359C1008"/>
    <w:rsid w:val="35A2045C"/>
    <w:rsid w:val="35B932C7"/>
    <w:rsid w:val="35D51966"/>
    <w:rsid w:val="35F4580E"/>
    <w:rsid w:val="361D6083"/>
    <w:rsid w:val="363160E8"/>
    <w:rsid w:val="36330CB4"/>
    <w:rsid w:val="364A608C"/>
    <w:rsid w:val="364C21A1"/>
    <w:rsid w:val="368E7F7A"/>
    <w:rsid w:val="36981915"/>
    <w:rsid w:val="36A7267E"/>
    <w:rsid w:val="36C02DE4"/>
    <w:rsid w:val="36C46063"/>
    <w:rsid w:val="36EF0964"/>
    <w:rsid w:val="36FA12C5"/>
    <w:rsid w:val="372E0D47"/>
    <w:rsid w:val="373C1E47"/>
    <w:rsid w:val="37487137"/>
    <w:rsid w:val="374B2E2B"/>
    <w:rsid w:val="374F291D"/>
    <w:rsid w:val="376F784C"/>
    <w:rsid w:val="37753AFC"/>
    <w:rsid w:val="37816E64"/>
    <w:rsid w:val="379E4B3A"/>
    <w:rsid w:val="37AE31C5"/>
    <w:rsid w:val="37E7226A"/>
    <w:rsid w:val="37F708BD"/>
    <w:rsid w:val="37FB44BE"/>
    <w:rsid w:val="37FE3B62"/>
    <w:rsid w:val="3807365F"/>
    <w:rsid w:val="38074CAF"/>
    <w:rsid w:val="38841206"/>
    <w:rsid w:val="38842B21"/>
    <w:rsid w:val="388A0F0C"/>
    <w:rsid w:val="388F1F05"/>
    <w:rsid w:val="389A280A"/>
    <w:rsid w:val="38A5656B"/>
    <w:rsid w:val="38B22A36"/>
    <w:rsid w:val="38B842AB"/>
    <w:rsid w:val="38C200F3"/>
    <w:rsid w:val="38E21299"/>
    <w:rsid w:val="38E82A6A"/>
    <w:rsid w:val="38E91841"/>
    <w:rsid w:val="38EA21D0"/>
    <w:rsid w:val="38ED5E93"/>
    <w:rsid w:val="390031DA"/>
    <w:rsid w:val="39006B5D"/>
    <w:rsid w:val="390B4877"/>
    <w:rsid w:val="391334D5"/>
    <w:rsid w:val="39745EB7"/>
    <w:rsid w:val="398E2379"/>
    <w:rsid w:val="39904FFE"/>
    <w:rsid w:val="39967A4F"/>
    <w:rsid w:val="39A64349"/>
    <w:rsid w:val="39AA21F8"/>
    <w:rsid w:val="39B373A8"/>
    <w:rsid w:val="39C848E7"/>
    <w:rsid w:val="39D32535"/>
    <w:rsid w:val="39D569DC"/>
    <w:rsid w:val="39E60BE9"/>
    <w:rsid w:val="39F66885"/>
    <w:rsid w:val="3A173289"/>
    <w:rsid w:val="3A2002B9"/>
    <w:rsid w:val="3A3404B8"/>
    <w:rsid w:val="3A5969D7"/>
    <w:rsid w:val="3A615D93"/>
    <w:rsid w:val="3A655FB2"/>
    <w:rsid w:val="3A7D0EFD"/>
    <w:rsid w:val="3A8A2CAF"/>
    <w:rsid w:val="3A8C79E3"/>
    <w:rsid w:val="3A98147F"/>
    <w:rsid w:val="3AA8258A"/>
    <w:rsid w:val="3AB00351"/>
    <w:rsid w:val="3AB02FA5"/>
    <w:rsid w:val="3AE6228D"/>
    <w:rsid w:val="3B1E031B"/>
    <w:rsid w:val="3B20012B"/>
    <w:rsid w:val="3B285155"/>
    <w:rsid w:val="3B3A7D13"/>
    <w:rsid w:val="3B3C43AA"/>
    <w:rsid w:val="3B3F279C"/>
    <w:rsid w:val="3B472B34"/>
    <w:rsid w:val="3B567FF1"/>
    <w:rsid w:val="3B5A4D5F"/>
    <w:rsid w:val="3B7558E0"/>
    <w:rsid w:val="3B9F3746"/>
    <w:rsid w:val="3BAF5DD3"/>
    <w:rsid w:val="3BB56AC5"/>
    <w:rsid w:val="3BB64CFB"/>
    <w:rsid w:val="3BCD723F"/>
    <w:rsid w:val="3BE473AB"/>
    <w:rsid w:val="3C101301"/>
    <w:rsid w:val="3C1A63FE"/>
    <w:rsid w:val="3C2A1B75"/>
    <w:rsid w:val="3C455744"/>
    <w:rsid w:val="3C5107B8"/>
    <w:rsid w:val="3C5938F5"/>
    <w:rsid w:val="3C59458E"/>
    <w:rsid w:val="3C5B4AA8"/>
    <w:rsid w:val="3C6A70E9"/>
    <w:rsid w:val="3C6C46B1"/>
    <w:rsid w:val="3C87185B"/>
    <w:rsid w:val="3C9568F7"/>
    <w:rsid w:val="3CBC1F12"/>
    <w:rsid w:val="3CBD1D89"/>
    <w:rsid w:val="3CDD2030"/>
    <w:rsid w:val="3CE942B0"/>
    <w:rsid w:val="3CF47E52"/>
    <w:rsid w:val="3D001E69"/>
    <w:rsid w:val="3D040AF0"/>
    <w:rsid w:val="3D1309DC"/>
    <w:rsid w:val="3D197528"/>
    <w:rsid w:val="3D29054B"/>
    <w:rsid w:val="3D3954D4"/>
    <w:rsid w:val="3D497C25"/>
    <w:rsid w:val="3D4D0ABF"/>
    <w:rsid w:val="3D526936"/>
    <w:rsid w:val="3D5C0FE1"/>
    <w:rsid w:val="3D5D11C3"/>
    <w:rsid w:val="3D75235E"/>
    <w:rsid w:val="3D787C3F"/>
    <w:rsid w:val="3D85696B"/>
    <w:rsid w:val="3D8B21D4"/>
    <w:rsid w:val="3D931F15"/>
    <w:rsid w:val="3D954ED7"/>
    <w:rsid w:val="3DB650F7"/>
    <w:rsid w:val="3DBE1EF0"/>
    <w:rsid w:val="3DD218ED"/>
    <w:rsid w:val="3E1D7988"/>
    <w:rsid w:val="3E2640C3"/>
    <w:rsid w:val="3E2829A7"/>
    <w:rsid w:val="3E3A7756"/>
    <w:rsid w:val="3E3D28CD"/>
    <w:rsid w:val="3E490C82"/>
    <w:rsid w:val="3E5766DA"/>
    <w:rsid w:val="3EA87EB5"/>
    <w:rsid w:val="3EAD5738"/>
    <w:rsid w:val="3EAE43A0"/>
    <w:rsid w:val="3EC82FB3"/>
    <w:rsid w:val="3ECD4126"/>
    <w:rsid w:val="3EF04A2D"/>
    <w:rsid w:val="3EF42816"/>
    <w:rsid w:val="3EF43DA9"/>
    <w:rsid w:val="3EFE3805"/>
    <w:rsid w:val="3F054809"/>
    <w:rsid w:val="3F280936"/>
    <w:rsid w:val="3F340649"/>
    <w:rsid w:val="3F3643C1"/>
    <w:rsid w:val="3F394E34"/>
    <w:rsid w:val="3F5C0D92"/>
    <w:rsid w:val="3F5D31CC"/>
    <w:rsid w:val="3F892368"/>
    <w:rsid w:val="3F937B2C"/>
    <w:rsid w:val="3FA21419"/>
    <w:rsid w:val="3FC65745"/>
    <w:rsid w:val="3FCB1064"/>
    <w:rsid w:val="3FD37A21"/>
    <w:rsid w:val="3FD528D1"/>
    <w:rsid w:val="3FE060DB"/>
    <w:rsid w:val="3FEF7A43"/>
    <w:rsid w:val="3FF72BDD"/>
    <w:rsid w:val="400C1023"/>
    <w:rsid w:val="40122FCF"/>
    <w:rsid w:val="40185875"/>
    <w:rsid w:val="40391D8F"/>
    <w:rsid w:val="4041301D"/>
    <w:rsid w:val="40770E48"/>
    <w:rsid w:val="407B0539"/>
    <w:rsid w:val="407F2D00"/>
    <w:rsid w:val="409107DD"/>
    <w:rsid w:val="40AB5008"/>
    <w:rsid w:val="40D300F5"/>
    <w:rsid w:val="40D979B2"/>
    <w:rsid w:val="40DE01D9"/>
    <w:rsid w:val="40ED0A97"/>
    <w:rsid w:val="40F830F8"/>
    <w:rsid w:val="41021F4C"/>
    <w:rsid w:val="4113523C"/>
    <w:rsid w:val="41144C6A"/>
    <w:rsid w:val="411B73DB"/>
    <w:rsid w:val="4125450C"/>
    <w:rsid w:val="41524DB6"/>
    <w:rsid w:val="415D7063"/>
    <w:rsid w:val="41794ED2"/>
    <w:rsid w:val="418737DA"/>
    <w:rsid w:val="41973F00"/>
    <w:rsid w:val="41A536F9"/>
    <w:rsid w:val="41AC7E24"/>
    <w:rsid w:val="41B95DF1"/>
    <w:rsid w:val="41C41EBD"/>
    <w:rsid w:val="41D854BE"/>
    <w:rsid w:val="420328B9"/>
    <w:rsid w:val="42112457"/>
    <w:rsid w:val="42166241"/>
    <w:rsid w:val="422F5E98"/>
    <w:rsid w:val="42546C14"/>
    <w:rsid w:val="425C6C61"/>
    <w:rsid w:val="427F1BDB"/>
    <w:rsid w:val="428048E1"/>
    <w:rsid w:val="42823509"/>
    <w:rsid w:val="4295155E"/>
    <w:rsid w:val="429A21D8"/>
    <w:rsid w:val="42AD5D08"/>
    <w:rsid w:val="42B2644E"/>
    <w:rsid w:val="42B51F06"/>
    <w:rsid w:val="42CA5FA0"/>
    <w:rsid w:val="43192030"/>
    <w:rsid w:val="43204077"/>
    <w:rsid w:val="43212C92"/>
    <w:rsid w:val="43287DFF"/>
    <w:rsid w:val="432A2749"/>
    <w:rsid w:val="43382DA2"/>
    <w:rsid w:val="437004DF"/>
    <w:rsid w:val="43717A0B"/>
    <w:rsid w:val="43A67007"/>
    <w:rsid w:val="43A86F10"/>
    <w:rsid w:val="43B330A8"/>
    <w:rsid w:val="43CA157C"/>
    <w:rsid w:val="43E721D3"/>
    <w:rsid w:val="43EC32A0"/>
    <w:rsid w:val="43ED075C"/>
    <w:rsid w:val="43F54197"/>
    <w:rsid w:val="440E57F4"/>
    <w:rsid w:val="444609F6"/>
    <w:rsid w:val="446A2412"/>
    <w:rsid w:val="446D2DC8"/>
    <w:rsid w:val="44725AF2"/>
    <w:rsid w:val="449A4B87"/>
    <w:rsid w:val="449A6418"/>
    <w:rsid w:val="44BA4FD7"/>
    <w:rsid w:val="44BE4BBC"/>
    <w:rsid w:val="44BE5822"/>
    <w:rsid w:val="44D42EB9"/>
    <w:rsid w:val="44D51F86"/>
    <w:rsid w:val="44D631F8"/>
    <w:rsid w:val="44E663D7"/>
    <w:rsid w:val="44FD4B3A"/>
    <w:rsid w:val="450E4321"/>
    <w:rsid w:val="451F3201"/>
    <w:rsid w:val="452837C5"/>
    <w:rsid w:val="455D1FCD"/>
    <w:rsid w:val="455F6FCB"/>
    <w:rsid w:val="456F6ED9"/>
    <w:rsid w:val="457D0FE9"/>
    <w:rsid w:val="45844238"/>
    <w:rsid w:val="458539AC"/>
    <w:rsid w:val="458B4DE9"/>
    <w:rsid w:val="45916115"/>
    <w:rsid w:val="4592754D"/>
    <w:rsid w:val="45A02A9B"/>
    <w:rsid w:val="45C71DDB"/>
    <w:rsid w:val="45D60EF0"/>
    <w:rsid w:val="45D87CB9"/>
    <w:rsid w:val="45DA5C79"/>
    <w:rsid w:val="45F33346"/>
    <w:rsid w:val="45F8591F"/>
    <w:rsid w:val="460346FB"/>
    <w:rsid w:val="46466103"/>
    <w:rsid w:val="464E28BD"/>
    <w:rsid w:val="465A0CE8"/>
    <w:rsid w:val="46636835"/>
    <w:rsid w:val="46733DB2"/>
    <w:rsid w:val="46773555"/>
    <w:rsid w:val="46A07194"/>
    <w:rsid w:val="46A95479"/>
    <w:rsid w:val="46AE4DD2"/>
    <w:rsid w:val="46B0341C"/>
    <w:rsid w:val="46B34549"/>
    <w:rsid w:val="46B95A90"/>
    <w:rsid w:val="46BA4959"/>
    <w:rsid w:val="46C73B51"/>
    <w:rsid w:val="46D15EB0"/>
    <w:rsid w:val="46D82400"/>
    <w:rsid w:val="46EF0EC3"/>
    <w:rsid w:val="4710374A"/>
    <w:rsid w:val="4729480B"/>
    <w:rsid w:val="473A2575"/>
    <w:rsid w:val="474B45FC"/>
    <w:rsid w:val="47590C4D"/>
    <w:rsid w:val="4765490F"/>
    <w:rsid w:val="47705BB8"/>
    <w:rsid w:val="47D318F9"/>
    <w:rsid w:val="47E04A28"/>
    <w:rsid w:val="47E744AA"/>
    <w:rsid w:val="47FC77AB"/>
    <w:rsid w:val="480451D0"/>
    <w:rsid w:val="48063D5E"/>
    <w:rsid w:val="48162150"/>
    <w:rsid w:val="48167AE8"/>
    <w:rsid w:val="482A3CF7"/>
    <w:rsid w:val="483738A3"/>
    <w:rsid w:val="48761A95"/>
    <w:rsid w:val="48777F4D"/>
    <w:rsid w:val="488162D3"/>
    <w:rsid w:val="488779FB"/>
    <w:rsid w:val="48887540"/>
    <w:rsid w:val="48A42FAD"/>
    <w:rsid w:val="48D32BDC"/>
    <w:rsid w:val="48E54625"/>
    <w:rsid w:val="48EA66D8"/>
    <w:rsid w:val="48FA6D19"/>
    <w:rsid w:val="4914489A"/>
    <w:rsid w:val="49184DB0"/>
    <w:rsid w:val="491C0184"/>
    <w:rsid w:val="493039E2"/>
    <w:rsid w:val="4947077A"/>
    <w:rsid w:val="494805CB"/>
    <w:rsid w:val="494D6D05"/>
    <w:rsid w:val="49535B70"/>
    <w:rsid w:val="495938AA"/>
    <w:rsid w:val="495B08F6"/>
    <w:rsid w:val="49782884"/>
    <w:rsid w:val="497F0713"/>
    <w:rsid w:val="498A016F"/>
    <w:rsid w:val="49A04CC0"/>
    <w:rsid w:val="49A061BE"/>
    <w:rsid w:val="49A27D5F"/>
    <w:rsid w:val="49A36CE7"/>
    <w:rsid w:val="49A4245E"/>
    <w:rsid w:val="49B1684A"/>
    <w:rsid w:val="49E5749A"/>
    <w:rsid w:val="49F37F0C"/>
    <w:rsid w:val="49FA4639"/>
    <w:rsid w:val="49FE6B2E"/>
    <w:rsid w:val="4A370F44"/>
    <w:rsid w:val="4A772AFC"/>
    <w:rsid w:val="4A834233"/>
    <w:rsid w:val="4B014E39"/>
    <w:rsid w:val="4B04271D"/>
    <w:rsid w:val="4B2A05A0"/>
    <w:rsid w:val="4B3A23F9"/>
    <w:rsid w:val="4B44006C"/>
    <w:rsid w:val="4B4627DA"/>
    <w:rsid w:val="4B716E2D"/>
    <w:rsid w:val="4B863B11"/>
    <w:rsid w:val="4B94369C"/>
    <w:rsid w:val="4BAE5327"/>
    <w:rsid w:val="4BB67896"/>
    <w:rsid w:val="4BD27220"/>
    <w:rsid w:val="4BF2341E"/>
    <w:rsid w:val="4BFA282F"/>
    <w:rsid w:val="4BFB2A5E"/>
    <w:rsid w:val="4BFB556E"/>
    <w:rsid w:val="4C15710C"/>
    <w:rsid w:val="4C1E3C30"/>
    <w:rsid w:val="4C271CF5"/>
    <w:rsid w:val="4C3D6D8F"/>
    <w:rsid w:val="4C51276D"/>
    <w:rsid w:val="4C612351"/>
    <w:rsid w:val="4CA35AB2"/>
    <w:rsid w:val="4CA5064C"/>
    <w:rsid w:val="4CCE2BC8"/>
    <w:rsid w:val="4CCE5C39"/>
    <w:rsid w:val="4CD15548"/>
    <w:rsid w:val="4CD35265"/>
    <w:rsid w:val="4CF15365"/>
    <w:rsid w:val="4D0C12F6"/>
    <w:rsid w:val="4D134C44"/>
    <w:rsid w:val="4D2A6BE7"/>
    <w:rsid w:val="4D4574CF"/>
    <w:rsid w:val="4D494DA1"/>
    <w:rsid w:val="4D4B1038"/>
    <w:rsid w:val="4D4C7C7F"/>
    <w:rsid w:val="4D4D23A2"/>
    <w:rsid w:val="4D5819A6"/>
    <w:rsid w:val="4D637E12"/>
    <w:rsid w:val="4DB4130B"/>
    <w:rsid w:val="4DB50A61"/>
    <w:rsid w:val="4DB528BE"/>
    <w:rsid w:val="4DBA440F"/>
    <w:rsid w:val="4DBF35A7"/>
    <w:rsid w:val="4DD57BC2"/>
    <w:rsid w:val="4DED2BA0"/>
    <w:rsid w:val="4E384E18"/>
    <w:rsid w:val="4E3C59C3"/>
    <w:rsid w:val="4E4A7541"/>
    <w:rsid w:val="4E505B47"/>
    <w:rsid w:val="4E524648"/>
    <w:rsid w:val="4E6A2BCE"/>
    <w:rsid w:val="4E7229C4"/>
    <w:rsid w:val="4E765BA1"/>
    <w:rsid w:val="4E9C79A7"/>
    <w:rsid w:val="4E9D7347"/>
    <w:rsid w:val="4EB42C0C"/>
    <w:rsid w:val="4EC418FE"/>
    <w:rsid w:val="4ED24B8F"/>
    <w:rsid w:val="4EF23C29"/>
    <w:rsid w:val="4EFE38D4"/>
    <w:rsid w:val="4EFE5390"/>
    <w:rsid w:val="4F177F55"/>
    <w:rsid w:val="4F192C84"/>
    <w:rsid w:val="4F1D6A04"/>
    <w:rsid w:val="4F351C75"/>
    <w:rsid w:val="4F371313"/>
    <w:rsid w:val="4F3C40D8"/>
    <w:rsid w:val="4F64497A"/>
    <w:rsid w:val="4F675ED1"/>
    <w:rsid w:val="4FAC1446"/>
    <w:rsid w:val="4FBC4E36"/>
    <w:rsid w:val="4FD318AB"/>
    <w:rsid w:val="4FD87D0C"/>
    <w:rsid w:val="502D2C76"/>
    <w:rsid w:val="504466D4"/>
    <w:rsid w:val="50485D02"/>
    <w:rsid w:val="50593A6B"/>
    <w:rsid w:val="505D33F6"/>
    <w:rsid w:val="506373B6"/>
    <w:rsid w:val="5066262C"/>
    <w:rsid w:val="507A65AB"/>
    <w:rsid w:val="50862061"/>
    <w:rsid w:val="508C2401"/>
    <w:rsid w:val="509C5AEA"/>
    <w:rsid w:val="50AC243E"/>
    <w:rsid w:val="50AD6FAB"/>
    <w:rsid w:val="50E23A41"/>
    <w:rsid w:val="50E96241"/>
    <w:rsid w:val="51095DF3"/>
    <w:rsid w:val="511E4826"/>
    <w:rsid w:val="512548F2"/>
    <w:rsid w:val="512879D2"/>
    <w:rsid w:val="512F31D9"/>
    <w:rsid w:val="513D0E6F"/>
    <w:rsid w:val="514A4F1E"/>
    <w:rsid w:val="514C4457"/>
    <w:rsid w:val="51566FA2"/>
    <w:rsid w:val="517A6384"/>
    <w:rsid w:val="519252C5"/>
    <w:rsid w:val="51A451BA"/>
    <w:rsid w:val="51AF03DA"/>
    <w:rsid w:val="51B05DB2"/>
    <w:rsid w:val="51BF0246"/>
    <w:rsid w:val="51C4517F"/>
    <w:rsid w:val="51C759C9"/>
    <w:rsid w:val="51EB11CD"/>
    <w:rsid w:val="51F8488A"/>
    <w:rsid w:val="52082D3C"/>
    <w:rsid w:val="52222EB5"/>
    <w:rsid w:val="52321763"/>
    <w:rsid w:val="523A1735"/>
    <w:rsid w:val="524A0F73"/>
    <w:rsid w:val="524C41A5"/>
    <w:rsid w:val="52697C55"/>
    <w:rsid w:val="529B31C7"/>
    <w:rsid w:val="52A13B73"/>
    <w:rsid w:val="52A24537"/>
    <w:rsid w:val="52ED6FB1"/>
    <w:rsid w:val="52FB049E"/>
    <w:rsid w:val="52FC6541"/>
    <w:rsid w:val="53016F33"/>
    <w:rsid w:val="53065675"/>
    <w:rsid w:val="533146A8"/>
    <w:rsid w:val="533B3826"/>
    <w:rsid w:val="534A7FE3"/>
    <w:rsid w:val="534F0BAB"/>
    <w:rsid w:val="536F7A4A"/>
    <w:rsid w:val="53A771E4"/>
    <w:rsid w:val="53B06C4C"/>
    <w:rsid w:val="53C53E12"/>
    <w:rsid w:val="53C5766A"/>
    <w:rsid w:val="53E421E6"/>
    <w:rsid w:val="53F54A09"/>
    <w:rsid w:val="540061C5"/>
    <w:rsid w:val="54030264"/>
    <w:rsid w:val="540627A3"/>
    <w:rsid w:val="54163097"/>
    <w:rsid w:val="544F7544"/>
    <w:rsid w:val="545D3F1C"/>
    <w:rsid w:val="546B4490"/>
    <w:rsid w:val="546C7AF6"/>
    <w:rsid w:val="54753AA5"/>
    <w:rsid w:val="54754BEC"/>
    <w:rsid w:val="54830907"/>
    <w:rsid w:val="54837309"/>
    <w:rsid w:val="54CC31B5"/>
    <w:rsid w:val="54EC025D"/>
    <w:rsid w:val="54F53A05"/>
    <w:rsid w:val="550A2531"/>
    <w:rsid w:val="550C72B7"/>
    <w:rsid w:val="55321795"/>
    <w:rsid w:val="554259E1"/>
    <w:rsid w:val="554B168C"/>
    <w:rsid w:val="55553E18"/>
    <w:rsid w:val="55595E36"/>
    <w:rsid w:val="555F38B9"/>
    <w:rsid w:val="55633C1C"/>
    <w:rsid w:val="556825AC"/>
    <w:rsid w:val="5576055B"/>
    <w:rsid w:val="557E12E2"/>
    <w:rsid w:val="55A501C4"/>
    <w:rsid w:val="55AF7E22"/>
    <w:rsid w:val="55BA66A9"/>
    <w:rsid w:val="55BB0B81"/>
    <w:rsid w:val="55C43A6D"/>
    <w:rsid w:val="55D85898"/>
    <w:rsid w:val="55E87B1A"/>
    <w:rsid w:val="56010B19"/>
    <w:rsid w:val="564505A1"/>
    <w:rsid w:val="564A6B43"/>
    <w:rsid w:val="565C2231"/>
    <w:rsid w:val="565F394E"/>
    <w:rsid w:val="56777FC3"/>
    <w:rsid w:val="568A6C6F"/>
    <w:rsid w:val="56933A4F"/>
    <w:rsid w:val="569B2050"/>
    <w:rsid w:val="56A83D23"/>
    <w:rsid w:val="56C21867"/>
    <w:rsid w:val="57084AE0"/>
    <w:rsid w:val="57164A47"/>
    <w:rsid w:val="571C3D6B"/>
    <w:rsid w:val="571F452A"/>
    <w:rsid w:val="571F7891"/>
    <w:rsid w:val="572343A9"/>
    <w:rsid w:val="572D48DD"/>
    <w:rsid w:val="572D5C52"/>
    <w:rsid w:val="57553846"/>
    <w:rsid w:val="5756180B"/>
    <w:rsid w:val="5762159B"/>
    <w:rsid w:val="577216B2"/>
    <w:rsid w:val="579509C7"/>
    <w:rsid w:val="579D553A"/>
    <w:rsid w:val="57A973C0"/>
    <w:rsid w:val="57AD7AE7"/>
    <w:rsid w:val="57B57363"/>
    <w:rsid w:val="57B62CE2"/>
    <w:rsid w:val="57B92419"/>
    <w:rsid w:val="57BA5086"/>
    <w:rsid w:val="57C10684"/>
    <w:rsid w:val="57CC2F54"/>
    <w:rsid w:val="57CC7219"/>
    <w:rsid w:val="57CF18FE"/>
    <w:rsid w:val="57D369BC"/>
    <w:rsid w:val="57DA7B88"/>
    <w:rsid w:val="57E2382A"/>
    <w:rsid w:val="57E36310"/>
    <w:rsid w:val="57E43CE6"/>
    <w:rsid w:val="58067046"/>
    <w:rsid w:val="580738AF"/>
    <w:rsid w:val="582346FA"/>
    <w:rsid w:val="58277A16"/>
    <w:rsid w:val="58310E71"/>
    <w:rsid w:val="58437985"/>
    <w:rsid w:val="585E590B"/>
    <w:rsid w:val="58B24473"/>
    <w:rsid w:val="58C06DD0"/>
    <w:rsid w:val="58CE6FC1"/>
    <w:rsid w:val="58D13E39"/>
    <w:rsid w:val="58E5035E"/>
    <w:rsid w:val="58FA6008"/>
    <w:rsid w:val="590734FB"/>
    <w:rsid w:val="591907F4"/>
    <w:rsid w:val="59260BAB"/>
    <w:rsid w:val="592F7A5F"/>
    <w:rsid w:val="593836A9"/>
    <w:rsid w:val="594B0F85"/>
    <w:rsid w:val="594F4847"/>
    <w:rsid w:val="59567793"/>
    <w:rsid w:val="595A43BE"/>
    <w:rsid w:val="599B50F5"/>
    <w:rsid w:val="59B14918"/>
    <w:rsid w:val="59C96D08"/>
    <w:rsid w:val="59D61290"/>
    <w:rsid w:val="59DF6694"/>
    <w:rsid w:val="5A0E69B6"/>
    <w:rsid w:val="5A0F163F"/>
    <w:rsid w:val="5A167109"/>
    <w:rsid w:val="5A236E98"/>
    <w:rsid w:val="5A5C23B6"/>
    <w:rsid w:val="5A960290"/>
    <w:rsid w:val="5AAE70AA"/>
    <w:rsid w:val="5ADC2449"/>
    <w:rsid w:val="5AFB40DB"/>
    <w:rsid w:val="5B0A6270"/>
    <w:rsid w:val="5B4A4C11"/>
    <w:rsid w:val="5B4B66A7"/>
    <w:rsid w:val="5B74386F"/>
    <w:rsid w:val="5B881776"/>
    <w:rsid w:val="5B8A5692"/>
    <w:rsid w:val="5B8C30E2"/>
    <w:rsid w:val="5B8F6505"/>
    <w:rsid w:val="5BAD71F7"/>
    <w:rsid w:val="5BB57706"/>
    <w:rsid w:val="5BF46D3E"/>
    <w:rsid w:val="5C012D4D"/>
    <w:rsid w:val="5C2D0EE9"/>
    <w:rsid w:val="5C553C81"/>
    <w:rsid w:val="5C6A19F9"/>
    <w:rsid w:val="5C6B2683"/>
    <w:rsid w:val="5C75274A"/>
    <w:rsid w:val="5C7C6288"/>
    <w:rsid w:val="5C890AEE"/>
    <w:rsid w:val="5C9B365E"/>
    <w:rsid w:val="5CA014D0"/>
    <w:rsid w:val="5CB151DB"/>
    <w:rsid w:val="5CB80C32"/>
    <w:rsid w:val="5CBF734C"/>
    <w:rsid w:val="5CCC1228"/>
    <w:rsid w:val="5CD147E7"/>
    <w:rsid w:val="5CD25402"/>
    <w:rsid w:val="5CE449B3"/>
    <w:rsid w:val="5CE97BA7"/>
    <w:rsid w:val="5CFD7258"/>
    <w:rsid w:val="5D1A4582"/>
    <w:rsid w:val="5D2C7548"/>
    <w:rsid w:val="5D4351CF"/>
    <w:rsid w:val="5DA830AD"/>
    <w:rsid w:val="5DC80482"/>
    <w:rsid w:val="5DD4742E"/>
    <w:rsid w:val="5DE64A71"/>
    <w:rsid w:val="5DE64B7D"/>
    <w:rsid w:val="5E08142B"/>
    <w:rsid w:val="5E0A7679"/>
    <w:rsid w:val="5E253B1C"/>
    <w:rsid w:val="5E254310"/>
    <w:rsid w:val="5E34491B"/>
    <w:rsid w:val="5E5000B4"/>
    <w:rsid w:val="5E52592E"/>
    <w:rsid w:val="5E5D7F21"/>
    <w:rsid w:val="5E714676"/>
    <w:rsid w:val="5E7E6D93"/>
    <w:rsid w:val="5E9E02C7"/>
    <w:rsid w:val="5EA552F2"/>
    <w:rsid w:val="5EBA18C1"/>
    <w:rsid w:val="5EBC0561"/>
    <w:rsid w:val="5EC11B7F"/>
    <w:rsid w:val="5ED0552E"/>
    <w:rsid w:val="5EE43A05"/>
    <w:rsid w:val="5EF4181F"/>
    <w:rsid w:val="5F311F0D"/>
    <w:rsid w:val="5F376D86"/>
    <w:rsid w:val="5F48187B"/>
    <w:rsid w:val="5F571ABE"/>
    <w:rsid w:val="5F7E1A8C"/>
    <w:rsid w:val="5F8B5DFF"/>
    <w:rsid w:val="5F904BC5"/>
    <w:rsid w:val="5FA35296"/>
    <w:rsid w:val="5FA55B60"/>
    <w:rsid w:val="5FAF18FA"/>
    <w:rsid w:val="5FCA2AC0"/>
    <w:rsid w:val="5FCC305F"/>
    <w:rsid w:val="5FE0450C"/>
    <w:rsid w:val="60011A2A"/>
    <w:rsid w:val="60042075"/>
    <w:rsid w:val="602D281F"/>
    <w:rsid w:val="602D3ADF"/>
    <w:rsid w:val="603E2C7E"/>
    <w:rsid w:val="60571300"/>
    <w:rsid w:val="606D72B0"/>
    <w:rsid w:val="6075257A"/>
    <w:rsid w:val="607C7302"/>
    <w:rsid w:val="607D01A8"/>
    <w:rsid w:val="60814B98"/>
    <w:rsid w:val="608647FB"/>
    <w:rsid w:val="60B506D1"/>
    <w:rsid w:val="60BC5C6D"/>
    <w:rsid w:val="60CB69E6"/>
    <w:rsid w:val="60D33784"/>
    <w:rsid w:val="60D57D69"/>
    <w:rsid w:val="60EC35BF"/>
    <w:rsid w:val="60FF065F"/>
    <w:rsid w:val="610120A5"/>
    <w:rsid w:val="61102184"/>
    <w:rsid w:val="61123C94"/>
    <w:rsid w:val="612B4734"/>
    <w:rsid w:val="61711018"/>
    <w:rsid w:val="617F2857"/>
    <w:rsid w:val="61843050"/>
    <w:rsid w:val="61864830"/>
    <w:rsid w:val="61900DCF"/>
    <w:rsid w:val="619A276D"/>
    <w:rsid w:val="61A11B98"/>
    <w:rsid w:val="61AA41D8"/>
    <w:rsid w:val="61AB534D"/>
    <w:rsid w:val="61B4420E"/>
    <w:rsid w:val="61B551C2"/>
    <w:rsid w:val="61BB06B6"/>
    <w:rsid w:val="61C45773"/>
    <w:rsid w:val="61F71336"/>
    <w:rsid w:val="622C3736"/>
    <w:rsid w:val="62314848"/>
    <w:rsid w:val="623E3C23"/>
    <w:rsid w:val="624E31D0"/>
    <w:rsid w:val="62622DFB"/>
    <w:rsid w:val="627363E3"/>
    <w:rsid w:val="62754788"/>
    <w:rsid w:val="627703DF"/>
    <w:rsid w:val="62786AC1"/>
    <w:rsid w:val="62B06379"/>
    <w:rsid w:val="62C06CDE"/>
    <w:rsid w:val="62C14866"/>
    <w:rsid w:val="62C751AC"/>
    <w:rsid w:val="62D548D4"/>
    <w:rsid w:val="62DD052C"/>
    <w:rsid w:val="62E21FE6"/>
    <w:rsid w:val="632D66D7"/>
    <w:rsid w:val="634D2A92"/>
    <w:rsid w:val="635348C2"/>
    <w:rsid w:val="636C18B0"/>
    <w:rsid w:val="637864A7"/>
    <w:rsid w:val="637A5594"/>
    <w:rsid w:val="637F25EE"/>
    <w:rsid w:val="638A4E16"/>
    <w:rsid w:val="63C17E4E"/>
    <w:rsid w:val="63C31359"/>
    <w:rsid w:val="63CE60C7"/>
    <w:rsid w:val="63D211A0"/>
    <w:rsid w:val="63D31079"/>
    <w:rsid w:val="64085FE2"/>
    <w:rsid w:val="640B10C9"/>
    <w:rsid w:val="641205E0"/>
    <w:rsid w:val="641B2B1B"/>
    <w:rsid w:val="6432186F"/>
    <w:rsid w:val="643423CE"/>
    <w:rsid w:val="64364712"/>
    <w:rsid w:val="64406FC4"/>
    <w:rsid w:val="6445282D"/>
    <w:rsid w:val="644F5CEA"/>
    <w:rsid w:val="645171A5"/>
    <w:rsid w:val="64591E34"/>
    <w:rsid w:val="646E4F44"/>
    <w:rsid w:val="646F086E"/>
    <w:rsid w:val="64915A24"/>
    <w:rsid w:val="64A26B90"/>
    <w:rsid w:val="64AB6568"/>
    <w:rsid w:val="64C30E6C"/>
    <w:rsid w:val="64C33752"/>
    <w:rsid w:val="64D200A7"/>
    <w:rsid w:val="64DB1ED4"/>
    <w:rsid w:val="64DE5BE0"/>
    <w:rsid w:val="64E82BC8"/>
    <w:rsid w:val="65093FB7"/>
    <w:rsid w:val="65183A9D"/>
    <w:rsid w:val="6520139B"/>
    <w:rsid w:val="652354C5"/>
    <w:rsid w:val="6524339F"/>
    <w:rsid w:val="65256C99"/>
    <w:rsid w:val="65355DF9"/>
    <w:rsid w:val="65532DA0"/>
    <w:rsid w:val="65610603"/>
    <w:rsid w:val="656A6EA9"/>
    <w:rsid w:val="657E5DC6"/>
    <w:rsid w:val="65A00B3D"/>
    <w:rsid w:val="65AD581B"/>
    <w:rsid w:val="66061B48"/>
    <w:rsid w:val="662C6A34"/>
    <w:rsid w:val="664277CD"/>
    <w:rsid w:val="66632596"/>
    <w:rsid w:val="6695111E"/>
    <w:rsid w:val="66974E96"/>
    <w:rsid w:val="670F0ED0"/>
    <w:rsid w:val="671543CB"/>
    <w:rsid w:val="671E7669"/>
    <w:rsid w:val="67546F50"/>
    <w:rsid w:val="675B346C"/>
    <w:rsid w:val="676E57FB"/>
    <w:rsid w:val="677C4AF0"/>
    <w:rsid w:val="677C5A1E"/>
    <w:rsid w:val="678C552E"/>
    <w:rsid w:val="67920713"/>
    <w:rsid w:val="67A22C39"/>
    <w:rsid w:val="67A36CA4"/>
    <w:rsid w:val="67B101D9"/>
    <w:rsid w:val="67B32D00"/>
    <w:rsid w:val="67C432B5"/>
    <w:rsid w:val="67C51CD1"/>
    <w:rsid w:val="67CA3576"/>
    <w:rsid w:val="680F708F"/>
    <w:rsid w:val="68245CC5"/>
    <w:rsid w:val="68755B25"/>
    <w:rsid w:val="688431F8"/>
    <w:rsid w:val="689768A9"/>
    <w:rsid w:val="68DA10C7"/>
    <w:rsid w:val="68DE00A5"/>
    <w:rsid w:val="68E414FB"/>
    <w:rsid w:val="69024E7D"/>
    <w:rsid w:val="690422F9"/>
    <w:rsid w:val="691D2949"/>
    <w:rsid w:val="692B3EEB"/>
    <w:rsid w:val="692F4137"/>
    <w:rsid w:val="69511659"/>
    <w:rsid w:val="695F01B3"/>
    <w:rsid w:val="69652819"/>
    <w:rsid w:val="69740E9C"/>
    <w:rsid w:val="697B2A2E"/>
    <w:rsid w:val="698B3B86"/>
    <w:rsid w:val="699464E8"/>
    <w:rsid w:val="6998164F"/>
    <w:rsid w:val="699A7177"/>
    <w:rsid w:val="69A14E6A"/>
    <w:rsid w:val="69AA4EE0"/>
    <w:rsid w:val="69C82FD4"/>
    <w:rsid w:val="69F63CC2"/>
    <w:rsid w:val="69F76F06"/>
    <w:rsid w:val="69F95788"/>
    <w:rsid w:val="6A111A69"/>
    <w:rsid w:val="6A3912BA"/>
    <w:rsid w:val="6A394390"/>
    <w:rsid w:val="6A3B3C33"/>
    <w:rsid w:val="6A3D46F4"/>
    <w:rsid w:val="6A4315BC"/>
    <w:rsid w:val="6A476285"/>
    <w:rsid w:val="6A6A21F1"/>
    <w:rsid w:val="6A9260A0"/>
    <w:rsid w:val="6ABF2745"/>
    <w:rsid w:val="6AC052DF"/>
    <w:rsid w:val="6AC364B9"/>
    <w:rsid w:val="6AE44704"/>
    <w:rsid w:val="6AE54422"/>
    <w:rsid w:val="6AF16CA1"/>
    <w:rsid w:val="6B0A346D"/>
    <w:rsid w:val="6B1C2F58"/>
    <w:rsid w:val="6B2253AA"/>
    <w:rsid w:val="6B286A04"/>
    <w:rsid w:val="6B465884"/>
    <w:rsid w:val="6B74167C"/>
    <w:rsid w:val="6B8D3D19"/>
    <w:rsid w:val="6B936732"/>
    <w:rsid w:val="6B936945"/>
    <w:rsid w:val="6B96571C"/>
    <w:rsid w:val="6B9F1C3E"/>
    <w:rsid w:val="6BC64C77"/>
    <w:rsid w:val="6BC66E8F"/>
    <w:rsid w:val="6C0F274B"/>
    <w:rsid w:val="6C134FBF"/>
    <w:rsid w:val="6C5F6456"/>
    <w:rsid w:val="6C627CF4"/>
    <w:rsid w:val="6C6A090B"/>
    <w:rsid w:val="6C6D2921"/>
    <w:rsid w:val="6C73344A"/>
    <w:rsid w:val="6C746E94"/>
    <w:rsid w:val="6C7546AC"/>
    <w:rsid w:val="6C8031E6"/>
    <w:rsid w:val="6C8C60E1"/>
    <w:rsid w:val="6C8D4CF2"/>
    <w:rsid w:val="6CBE0C4D"/>
    <w:rsid w:val="6CCB3AEB"/>
    <w:rsid w:val="6CD10828"/>
    <w:rsid w:val="6CFC50C6"/>
    <w:rsid w:val="6D0A63C2"/>
    <w:rsid w:val="6D1024A0"/>
    <w:rsid w:val="6D1A5002"/>
    <w:rsid w:val="6D435C50"/>
    <w:rsid w:val="6D4C602D"/>
    <w:rsid w:val="6D613BD6"/>
    <w:rsid w:val="6D8406BF"/>
    <w:rsid w:val="6D84290A"/>
    <w:rsid w:val="6D8A5D00"/>
    <w:rsid w:val="6D8E6FF3"/>
    <w:rsid w:val="6D943BF5"/>
    <w:rsid w:val="6D9F66CF"/>
    <w:rsid w:val="6DA343EE"/>
    <w:rsid w:val="6DA4704F"/>
    <w:rsid w:val="6DA472EF"/>
    <w:rsid w:val="6DBA33C6"/>
    <w:rsid w:val="6DCC18C9"/>
    <w:rsid w:val="6DDF442E"/>
    <w:rsid w:val="6DE4571A"/>
    <w:rsid w:val="6DF66946"/>
    <w:rsid w:val="6DFD138C"/>
    <w:rsid w:val="6E071901"/>
    <w:rsid w:val="6E0728D3"/>
    <w:rsid w:val="6E1D791F"/>
    <w:rsid w:val="6E2C6902"/>
    <w:rsid w:val="6E4678CD"/>
    <w:rsid w:val="6E511782"/>
    <w:rsid w:val="6E5813AF"/>
    <w:rsid w:val="6E6E2980"/>
    <w:rsid w:val="6E8F004B"/>
    <w:rsid w:val="6EAC7DB2"/>
    <w:rsid w:val="6EBE1783"/>
    <w:rsid w:val="6ED924EF"/>
    <w:rsid w:val="6EF92F92"/>
    <w:rsid w:val="6F1B634E"/>
    <w:rsid w:val="6F2179F2"/>
    <w:rsid w:val="6F2B2066"/>
    <w:rsid w:val="6F3632F9"/>
    <w:rsid w:val="6F497D22"/>
    <w:rsid w:val="6F50628D"/>
    <w:rsid w:val="6F585DD6"/>
    <w:rsid w:val="6F7B6738"/>
    <w:rsid w:val="6F832748"/>
    <w:rsid w:val="6FC85E76"/>
    <w:rsid w:val="6FD664F7"/>
    <w:rsid w:val="6FD874F0"/>
    <w:rsid w:val="701200B7"/>
    <w:rsid w:val="701B2694"/>
    <w:rsid w:val="70333E81"/>
    <w:rsid w:val="70334479"/>
    <w:rsid w:val="706031F7"/>
    <w:rsid w:val="70671D7D"/>
    <w:rsid w:val="706A5BC3"/>
    <w:rsid w:val="707D6FDF"/>
    <w:rsid w:val="70824DD6"/>
    <w:rsid w:val="70930914"/>
    <w:rsid w:val="70931E99"/>
    <w:rsid w:val="70A35B88"/>
    <w:rsid w:val="70B91B22"/>
    <w:rsid w:val="70DA7C73"/>
    <w:rsid w:val="70DF1913"/>
    <w:rsid w:val="70DF571C"/>
    <w:rsid w:val="70E21403"/>
    <w:rsid w:val="70EC49AE"/>
    <w:rsid w:val="70F21646"/>
    <w:rsid w:val="70FA17E5"/>
    <w:rsid w:val="7102107D"/>
    <w:rsid w:val="71241A1C"/>
    <w:rsid w:val="71466F47"/>
    <w:rsid w:val="71650526"/>
    <w:rsid w:val="716D5171"/>
    <w:rsid w:val="716F2C97"/>
    <w:rsid w:val="71785BF6"/>
    <w:rsid w:val="718017AD"/>
    <w:rsid w:val="71954192"/>
    <w:rsid w:val="71954FDA"/>
    <w:rsid w:val="71A63DB4"/>
    <w:rsid w:val="71A861A9"/>
    <w:rsid w:val="71AD7C63"/>
    <w:rsid w:val="71B22C2F"/>
    <w:rsid w:val="71CE7119"/>
    <w:rsid w:val="71DA1B12"/>
    <w:rsid w:val="71EC253A"/>
    <w:rsid w:val="7212699F"/>
    <w:rsid w:val="72181065"/>
    <w:rsid w:val="7225308B"/>
    <w:rsid w:val="7237359E"/>
    <w:rsid w:val="724C0C12"/>
    <w:rsid w:val="72526028"/>
    <w:rsid w:val="72555A55"/>
    <w:rsid w:val="72586C7B"/>
    <w:rsid w:val="72646574"/>
    <w:rsid w:val="72797CB1"/>
    <w:rsid w:val="72982221"/>
    <w:rsid w:val="72AA4D7A"/>
    <w:rsid w:val="72BD03A7"/>
    <w:rsid w:val="72C14665"/>
    <w:rsid w:val="72D65B7D"/>
    <w:rsid w:val="72FC49FE"/>
    <w:rsid w:val="73086358"/>
    <w:rsid w:val="730D6C0C"/>
    <w:rsid w:val="732D4A53"/>
    <w:rsid w:val="7330362D"/>
    <w:rsid w:val="733851B2"/>
    <w:rsid w:val="733B500C"/>
    <w:rsid w:val="734F204B"/>
    <w:rsid w:val="73770529"/>
    <w:rsid w:val="73800B33"/>
    <w:rsid w:val="73804C5E"/>
    <w:rsid w:val="7381115D"/>
    <w:rsid w:val="738B680C"/>
    <w:rsid w:val="73A57998"/>
    <w:rsid w:val="73C03C7E"/>
    <w:rsid w:val="73C97E80"/>
    <w:rsid w:val="73E111AC"/>
    <w:rsid w:val="74086509"/>
    <w:rsid w:val="740F250F"/>
    <w:rsid w:val="74323B10"/>
    <w:rsid w:val="7439758C"/>
    <w:rsid w:val="74406B6D"/>
    <w:rsid w:val="74640AAD"/>
    <w:rsid w:val="747E0B22"/>
    <w:rsid w:val="74891470"/>
    <w:rsid w:val="74934EEE"/>
    <w:rsid w:val="74BD3280"/>
    <w:rsid w:val="74FE7006"/>
    <w:rsid w:val="75196DE5"/>
    <w:rsid w:val="7521181E"/>
    <w:rsid w:val="756264EB"/>
    <w:rsid w:val="756579A3"/>
    <w:rsid w:val="758331B5"/>
    <w:rsid w:val="75871421"/>
    <w:rsid w:val="758D7B90"/>
    <w:rsid w:val="758E41ED"/>
    <w:rsid w:val="75A35ED5"/>
    <w:rsid w:val="75A52DA7"/>
    <w:rsid w:val="75BB4E6B"/>
    <w:rsid w:val="75D14529"/>
    <w:rsid w:val="75D719B2"/>
    <w:rsid w:val="75D752AF"/>
    <w:rsid w:val="75DA62B7"/>
    <w:rsid w:val="75E36C9A"/>
    <w:rsid w:val="760B4F58"/>
    <w:rsid w:val="76127425"/>
    <w:rsid w:val="76161FE7"/>
    <w:rsid w:val="7616399E"/>
    <w:rsid w:val="76177D7F"/>
    <w:rsid w:val="76481D09"/>
    <w:rsid w:val="765A4445"/>
    <w:rsid w:val="76665235"/>
    <w:rsid w:val="769C4061"/>
    <w:rsid w:val="769F4581"/>
    <w:rsid w:val="76A66638"/>
    <w:rsid w:val="76AB2C13"/>
    <w:rsid w:val="76B1227C"/>
    <w:rsid w:val="76BF2EA4"/>
    <w:rsid w:val="76DA7E70"/>
    <w:rsid w:val="76FA4CC1"/>
    <w:rsid w:val="770B16B4"/>
    <w:rsid w:val="770F092C"/>
    <w:rsid w:val="771A35DE"/>
    <w:rsid w:val="771D68DA"/>
    <w:rsid w:val="77215189"/>
    <w:rsid w:val="77381D7D"/>
    <w:rsid w:val="77414905"/>
    <w:rsid w:val="774310DC"/>
    <w:rsid w:val="77495D38"/>
    <w:rsid w:val="776369E5"/>
    <w:rsid w:val="777165EE"/>
    <w:rsid w:val="77B5498B"/>
    <w:rsid w:val="77C3048F"/>
    <w:rsid w:val="77CC3857"/>
    <w:rsid w:val="77CE6299"/>
    <w:rsid w:val="77E617D9"/>
    <w:rsid w:val="781420EA"/>
    <w:rsid w:val="78225ACD"/>
    <w:rsid w:val="782B3690"/>
    <w:rsid w:val="78342545"/>
    <w:rsid w:val="784A1D68"/>
    <w:rsid w:val="785E4EE7"/>
    <w:rsid w:val="786C3FC5"/>
    <w:rsid w:val="78B74E51"/>
    <w:rsid w:val="78DA57B9"/>
    <w:rsid w:val="79241281"/>
    <w:rsid w:val="7925066A"/>
    <w:rsid w:val="792C0369"/>
    <w:rsid w:val="793547C6"/>
    <w:rsid w:val="79441595"/>
    <w:rsid w:val="79542A76"/>
    <w:rsid w:val="796D19BF"/>
    <w:rsid w:val="79842B92"/>
    <w:rsid w:val="79981665"/>
    <w:rsid w:val="79B02BFF"/>
    <w:rsid w:val="79B61120"/>
    <w:rsid w:val="79BB3FE5"/>
    <w:rsid w:val="79C30024"/>
    <w:rsid w:val="79D51B05"/>
    <w:rsid w:val="79E87A8A"/>
    <w:rsid w:val="79EB1329"/>
    <w:rsid w:val="7A0615F6"/>
    <w:rsid w:val="7A16135A"/>
    <w:rsid w:val="7A167146"/>
    <w:rsid w:val="7A187C44"/>
    <w:rsid w:val="7A1C2659"/>
    <w:rsid w:val="7A323B65"/>
    <w:rsid w:val="7A481DF0"/>
    <w:rsid w:val="7A5616AF"/>
    <w:rsid w:val="7A6835EA"/>
    <w:rsid w:val="7A7728CB"/>
    <w:rsid w:val="7A8111B2"/>
    <w:rsid w:val="7A84375F"/>
    <w:rsid w:val="7A953818"/>
    <w:rsid w:val="7A957049"/>
    <w:rsid w:val="7A957BAA"/>
    <w:rsid w:val="7AA9197D"/>
    <w:rsid w:val="7AB14634"/>
    <w:rsid w:val="7AB61937"/>
    <w:rsid w:val="7ACF6AF1"/>
    <w:rsid w:val="7AE704B1"/>
    <w:rsid w:val="7AEB45F7"/>
    <w:rsid w:val="7AFD574C"/>
    <w:rsid w:val="7B00756F"/>
    <w:rsid w:val="7B205CC3"/>
    <w:rsid w:val="7B4B600C"/>
    <w:rsid w:val="7B4E115C"/>
    <w:rsid w:val="7B58185E"/>
    <w:rsid w:val="7B6B0973"/>
    <w:rsid w:val="7B6D7075"/>
    <w:rsid w:val="7B832B77"/>
    <w:rsid w:val="7B9A08EC"/>
    <w:rsid w:val="7BA774D1"/>
    <w:rsid w:val="7BBA497F"/>
    <w:rsid w:val="7BBD74D2"/>
    <w:rsid w:val="7BCB1412"/>
    <w:rsid w:val="7BED2FF3"/>
    <w:rsid w:val="7BEF49C3"/>
    <w:rsid w:val="7C1879B2"/>
    <w:rsid w:val="7C365845"/>
    <w:rsid w:val="7C60493E"/>
    <w:rsid w:val="7C7D3800"/>
    <w:rsid w:val="7C7F7D49"/>
    <w:rsid w:val="7CAE09CB"/>
    <w:rsid w:val="7CB8291D"/>
    <w:rsid w:val="7CD03434"/>
    <w:rsid w:val="7CD07BCF"/>
    <w:rsid w:val="7CD47EDB"/>
    <w:rsid w:val="7D086B79"/>
    <w:rsid w:val="7D145441"/>
    <w:rsid w:val="7D175464"/>
    <w:rsid w:val="7D300BC9"/>
    <w:rsid w:val="7D4C2883"/>
    <w:rsid w:val="7D54159C"/>
    <w:rsid w:val="7D5B4A17"/>
    <w:rsid w:val="7D5E440D"/>
    <w:rsid w:val="7D66553F"/>
    <w:rsid w:val="7D796C4C"/>
    <w:rsid w:val="7D8362EE"/>
    <w:rsid w:val="7D882FD3"/>
    <w:rsid w:val="7D8B7BCC"/>
    <w:rsid w:val="7DC10E09"/>
    <w:rsid w:val="7DCB6E8A"/>
    <w:rsid w:val="7DE20FA2"/>
    <w:rsid w:val="7DFE03FA"/>
    <w:rsid w:val="7E105802"/>
    <w:rsid w:val="7E1F77F3"/>
    <w:rsid w:val="7E4F632A"/>
    <w:rsid w:val="7E63122D"/>
    <w:rsid w:val="7E686E19"/>
    <w:rsid w:val="7E706E61"/>
    <w:rsid w:val="7E737A61"/>
    <w:rsid w:val="7E7D54BB"/>
    <w:rsid w:val="7E896F3F"/>
    <w:rsid w:val="7E8A476F"/>
    <w:rsid w:val="7EAC7030"/>
    <w:rsid w:val="7EBB42CC"/>
    <w:rsid w:val="7EBE55CA"/>
    <w:rsid w:val="7ECE0404"/>
    <w:rsid w:val="7EF56987"/>
    <w:rsid w:val="7EFE4F4F"/>
    <w:rsid w:val="7F0C19DE"/>
    <w:rsid w:val="7F1447AA"/>
    <w:rsid w:val="7F343527"/>
    <w:rsid w:val="7F431B5D"/>
    <w:rsid w:val="7F6E0A32"/>
    <w:rsid w:val="7F7B6BEB"/>
    <w:rsid w:val="7FBB179D"/>
    <w:rsid w:val="7FC306CA"/>
    <w:rsid w:val="7FD1331A"/>
    <w:rsid w:val="7FD95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uiPriority="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6"/>
    <w:autoRedefine/>
    <w:qFormat/>
    <w:uiPriority w:val="0"/>
    <w:pPr>
      <w:keepNext/>
      <w:keepLines/>
      <w:spacing w:line="578" w:lineRule="auto"/>
      <w:outlineLvl w:val="0"/>
    </w:pPr>
    <w:rPr>
      <w:b/>
      <w:bCs/>
      <w:kern w:val="44"/>
      <w:sz w:val="44"/>
      <w:szCs w:val="44"/>
    </w:rPr>
  </w:style>
  <w:style w:type="paragraph" w:styleId="5">
    <w:name w:val="heading 2"/>
    <w:basedOn w:val="1"/>
    <w:next w:val="1"/>
    <w:link w:val="56"/>
    <w:autoRedefine/>
    <w:qFormat/>
    <w:uiPriority w:val="0"/>
    <w:pPr>
      <w:keepNext/>
      <w:keepLines/>
      <w:spacing w:line="416" w:lineRule="auto"/>
      <w:outlineLvl w:val="1"/>
    </w:pPr>
    <w:rPr>
      <w:rFonts w:ascii="Arial" w:hAnsi="Arial" w:eastAsia="黑体"/>
      <w:b/>
      <w:bCs/>
      <w:sz w:val="32"/>
      <w:szCs w:val="32"/>
    </w:rPr>
  </w:style>
  <w:style w:type="paragraph" w:styleId="6">
    <w:name w:val="heading 3"/>
    <w:basedOn w:val="1"/>
    <w:next w:val="1"/>
    <w:link w:val="90"/>
    <w:autoRedefine/>
    <w:qFormat/>
    <w:uiPriority w:val="0"/>
    <w:pPr>
      <w:keepNext/>
      <w:keepLines/>
      <w:spacing w:line="416" w:lineRule="auto"/>
      <w:outlineLvl w:val="2"/>
    </w:pPr>
    <w:rPr>
      <w:b/>
      <w:bCs/>
      <w:sz w:val="32"/>
      <w:szCs w:val="32"/>
    </w:rPr>
  </w:style>
  <w:style w:type="paragraph" w:styleId="7">
    <w:name w:val="heading 4"/>
    <w:basedOn w:val="1"/>
    <w:next w:val="1"/>
    <w:link w:val="97"/>
    <w:autoRedefine/>
    <w:qFormat/>
    <w:uiPriority w:val="0"/>
    <w:pPr>
      <w:keepNext/>
      <w:keepLines/>
      <w:spacing w:line="376" w:lineRule="auto"/>
      <w:outlineLvl w:val="3"/>
    </w:pPr>
    <w:rPr>
      <w:rFonts w:ascii="Arial" w:hAnsi="Arial" w:eastAsia="黑体"/>
      <w:b/>
      <w:bCs/>
      <w:sz w:val="28"/>
      <w:szCs w:val="28"/>
    </w:rPr>
  </w:style>
  <w:style w:type="paragraph" w:styleId="8">
    <w:name w:val="heading 5"/>
    <w:basedOn w:val="1"/>
    <w:next w:val="1"/>
    <w:autoRedefine/>
    <w:qFormat/>
    <w:uiPriority w:val="0"/>
    <w:pPr>
      <w:keepNext/>
      <w:keepLines/>
      <w:spacing w:line="372" w:lineRule="auto"/>
      <w:outlineLvl w:val="4"/>
    </w:pPr>
    <w:rPr>
      <w:b/>
      <w:sz w:val="28"/>
    </w:rPr>
  </w:style>
  <w:style w:type="paragraph" w:styleId="9">
    <w:name w:val="heading 6"/>
    <w:basedOn w:val="1"/>
    <w:next w:val="1"/>
    <w:autoRedefine/>
    <w:qFormat/>
    <w:uiPriority w:val="0"/>
    <w:pPr>
      <w:keepNext/>
      <w:keepLines/>
      <w:widowControl/>
      <w:tabs>
        <w:tab w:val="left" w:pos="1440"/>
      </w:tabs>
      <w:spacing w:line="320" w:lineRule="auto"/>
      <w:ind w:left="1152" w:hanging="1152"/>
      <w:jc w:val="left"/>
      <w:outlineLvl w:val="5"/>
    </w:pPr>
    <w:rPr>
      <w:rFonts w:ascii="Arial" w:hAnsi="Arial" w:eastAsia="黑体"/>
      <w:b/>
      <w:bCs/>
      <w:sz w:val="24"/>
    </w:rPr>
  </w:style>
  <w:style w:type="paragraph" w:styleId="10">
    <w:name w:val="heading 8"/>
    <w:basedOn w:val="1"/>
    <w:next w:val="1"/>
    <w:autoRedefine/>
    <w:qFormat/>
    <w:uiPriority w:val="0"/>
    <w:pPr>
      <w:keepNext/>
      <w:keepLines/>
      <w:numPr>
        <w:ilvl w:val="7"/>
        <w:numId w:val="1"/>
      </w:numPr>
      <w:spacing w:line="312" w:lineRule="auto"/>
      <w:outlineLvl w:val="7"/>
    </w:pPr>
    <w:rPr>
      <w:rFonts w:ascii="Arial" w:hAnsi="Arial" w:eastAsia="黑体"/>
      <w:kern w:val="0"/>
      <w:sz w:val="24"/>
      <w:szCs w:val="20"/>
    </w:rPr>
  </w:style>
  <w:style w:type="paragraph" w:styleId="11">
    <w:name w:val="heading 9"/>
    <w:basedOn w:val="1"/>
    <w:next w:val="1"/>
    <w:autoRedefine/>
    <w:qFormat/>
    <w:uiPriority w:val="0"/>
    <w:pPr>
      <w:ind w:left="438"/>
      <w:outlineLvl w:val="8"/>
    </w:pPr>
    <w:rPr>
      <w:rFonts w:ascii="Noto Sans Mono CJK JP Regular" w:hAnsi="Noto Sans Mono CJK JP Regular" w:eastAsia="Noto Sans Mono CJK JP Regular" w:cs="Noto Sans Mono CJK JP Regular"/>
      <w:sz w:val="24"/>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customStyle="1" w:styleId="2">
    <w:name w:val="样式 宋体 行距: 1.5 倍行距"/>
    <w:basedOn w:val="3"/>
    <w:next w:val="1"/>
    <w:autoRedefine/>
    <w:qFormat/>
    <w:uiPriority w:val="0"/>
    <w:pPr>
      <w:jc w:val="center"/>
    </w:pPr>
    <w:rPr>
      <w:b/>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autoRedefine/>
    <w:qFormat/>
    <w:uiPriority w:val="0"/>
    <w:pPr>
      <w:widowControl w:val="0"/>
      <w:jc w:val="both"/>
    </w:pPr>
    <w:rPr>
      <w:rFonts w:ascii="Calibri" w:hAnsi="Calibri" w:eastAsia="宋体" w:cs="黑体"/>
      <w:kern w:val="2"/>
      <w:sz w:val="21"/>
      <w:szCs w:val="24"/>
      <w:lang w:val="en-US" w:eastAsia="zh-CN" w:bidi="ar-SA"/>
    </w:rPr>
  </w:style>
  <w:style w:type="paragraph" w:styleId="12">
    <w:name w:val="toc 7"/>
    <w:basedOn w:val="1"/>
    <w:next w:val="1"/>
    <w:autoRedefine/>
    <w:qFormat/>
    <w:uiPriority w:val="39"/>
    <w:pPr>
      <w:ind w:left="2520" w:leftChars="1200"/>
    </w:pPr>
    <w:rPr>
      <w:rFonts w:ascii="Calibri" w:hAnsi="Calibri"/>
      <w:szCs w:val="22"/>
    </w:rPr>
  </w:style>
  <w:style w:type="paragraph" w:styleId="13">
    <w:name w:val="Normal Indent"/>
    <w:basedOn w:val="1"/>
    <w:autoRedefine/>
    <w:qFormat/>
    <w:uiPriority w:val="0"/>
    <w:pPr>
      <w:ind w:firstLine="420" w:firstLineChars="200"/>
    </w:pPr>
  </w:style>
  <w:style w:type="paragraph" w:styleId="14">
    <w:name w:val="List Bullet"/>
    <w:basedOn w:val="1"/>
    <w:autoRedefine/>
    <w:qFormat/>
    <w:uiPriority w:val="0"/>
    <w:pPr>
      <w:numPr>
        <w:ilvl w:val="0"/>
        <w:numId w:val="2"/>
      </w:numPr>
      <w:tabs>
        <w:tab w:val="left" w:pos="360"/>
      </w:tabs>
    </w:pPr>
  </w:style>
  <w:style w:type="paragraph" w:styleId="15">
    <w:name w:val="Document Map"/>
    <w:basedOn w:val="1"/>
    <w:autoRedefine/>
    <w:qFormat/>
    <w:uiPriority w:val="0"/>
    <w:pPr>
      <w:shd w:val="clear" w:color="auto" w:fill="000080"/>
    </w:pPr>
  </w:style>
  <w:style w:type="paragraph" w:styleId="16">
    <w:name w:val="annotation text"/>
    <w:basedOn w:val="1"/>
    <w:link w:val="91"/>
    <w:autoRedefine/>
    <w:qFormat/>
    <w:uiPriority w:val="0"/>
    <w:pPr>
      <w:jc w:val="left"/>
    </w:pPr>
  </w:style>
  <w:style w:type="paragraph" w:styleId="17">
    <w:name w:val="Body Text 3"/>
    <w:basedOn w:val="1"/>
    <w:link w:val="92"/>
    <w:autoRedefine/>
    <w:qFormat/>
    <w:uiPriority w:val="0"/>
    <w:rPr>
      <w:rFonts w:ascii="宋体"/>
      <w:sz w:val="24"/>
    </w:rPr>
  </w:style>
  <w:style w:type="paragraph" w:styleId="18">
    <w:name w:val="Body Text"/>
    <w:basedOn w:val="1"/>
    <w:link w:val="94"/>
    <w:autoRedefine/>
    <w:qFormat/>
    <w:uiPriority w:val="0"/>
  </w:style>
  <w:style w:type="paragraph" w:styleId="19">
    <w:name w:val="Body Text Indent"/>
    <w:basedOn w:val="1"/>
    <w:autoRedefine/>
    <w:qFormat/>
    <w:uiPriority w:val="0"/>
    <w:pPr>
      <w:adjustRightInd w:val="0"/>
      <w:spacing w:after="120" w:line="420" w:lineRule="atLeast"/>
      <w:ind w:left="420" w:firstLine="454"/>
    </w:pPr>
    <w:rPr>
      <w:kern w:val="0"/>
      <w:szCs w:val="20"/>
    </w:rPr>
  </w:style>
  <w:style w:type="paragraph" w:styleId="20">
    <w:name w:val="index 4"/>
    <w:basedOn w:val="1"/>
    <w:next w:val="1"/>
    <w:autoRedefine/>
    <w:qFormat/>
    <w:uiPriority w:val="0"/>
    <w:pPr>
      <w:ind w:left="600" w:leftChars="600"/>
    </w:pPr>
  </w:style>
  <w:style w:type="paragraph" w:styleId="21">
    <w:name w:val="toc 5"/>
    <w:basedOn w:val="1"/>
    <w:next w:val="1"/>
    <w:link w:val="87"/>
    <w:autoRedefine/>
    <w:qFormat/>
    <w:uiPriority w:val="39"/>
    <w:pPr>
      <w:ind w:left="1680" w:leftChars="800"/>
    </w:pPr>
    <w:rPr>
      <w:kern w:val="0"/>
      <w:sz w:val="20"/>
      <w:szCs w:val="22"/>
    </w:rPr>
  </w:style>
  <w:style w:type="paragraph" w:styleId="22">
    <w:name w:val="toc 3"/>
    <w:basedOn w:val="1"/>
    <w:next w:val="1"/>
    <w:autoRedefine/>
    <w:qFormat/>
    <w:uiPriority w:val="39"/>
    <w:pPr>
      <w:ind w:left="840" w:leftChars="400"/>
    </w:pPr>
  </w:style>
  <w:style w:type="paragraph" w:styleId="23">
    <w:name w:val="Plain Text"/>
    <w:basedOn w:val="1"/>
    <w:autoRedefine/>
    <w:qFormat/>
    <w:uiPriority w:val="0"/>
    <w:rPr>
      <w:rFonts w:ascii="宋体" w:hAnsi="Courier New"/>
      <w:szCs w:val="20"/>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index 3"/>
    <w:basedOn w:val="1"/>
    <w:next w:val="1"/>
    <w:autoRedefine/>
    <w:qFormat/>
    <w:uiPriority w:val="0"/>
    <w:pPr>
      <w:ind w:left="400" w:leftChars="400"/>
    </w:pPr>
  </w:style>
  <w:style w:type="paragraph" w:styleId="26">
    <w:name w:val="Date"/>
    <w:basedOn w:val="1"/>
    <w:next w:val="1"/>
    <w:autoRedefine/>
    <w:qFormat/>
    <w:uiPriority w:val="0"/>
    <w:pPr>
      <w:ind w:left="100" w:leftChars="2500"/>
    </w:pPr>
  </w:style>
  <w:style w:type="paragraph" w:styleId="27">
    <w:name w:val="endnote text"/>
    <w:basedOn w:val="1"/>
    <w:autoRedefine/>
    <w:qFormat/>
    <w:uiPriority w:val="0"/>
    <w:pPr>
      <w:snapToGrid w:val="0"/>
      <w:jc w:val="left"/>
    </w:pPr>
  </w:style>
  <w:style w:type="paragraph" w:styleId="28">
    <w:name w:val="Balloon Text"/>
    <w:basedOn w:val="1"/>
    <w:autoRedefine/>
    <w:qFormat/>
    <w:uiPriority w:val="0"/>
    <w:rPr>
      <w:sz w:val="18"/>
      <w:szCs w:val="18"/>
    </w:rPr>
  </w:style>
  <w:style w:type="paragraph" w:styleId="29">
    <w:name w:val="footer"/>
    <w:basedOn w:val="1"/>
    <w:link w:val="99"/>
    <w:autoRedefine/>
    <w:qFormat/>
    <w:uiPriority w:val="0"/>
    <w:pPr>
      <w:tabs>
        <w:tab w:val="center" w:pos="4153"/>
        <w:tab w:val="right" w:pos="8306"/>
      </w:tabs>
      <w:snapToGrid w:val="0"/>
      <w:jc w:val="left"/>
    </w:pPr>
    <w:rPr>
      <w:sz w:val="18"/>
      <w:szCs w:val="18"/>
    </w:rPr>
  </w:style>
  <w:style w:type="paragraph" w:styleId="30">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autoRedefine/>
    <w:qFormat/>
    <w:uiPriority w:val="39"/>
  </w:style>
  <w:style w:type="paragraph" w:styleId="32">
    <w:name w:val="toc 4"/>
    <w:basedOn w:val="1"/>
    <w:next w:val="1"/>
    <w:autoRedefine/>
    <w:qFormat/>
    <w:uiPriority w:val="39"/>
    <w:pPr>
      <w:ind w:left="1260" w:leftChars="600"/>
    </w:pPr>
    <w:rPr>
      <w:rFonts w:ascii="Calibri" w:hAnsi="Calibri"/>
      <w:szCs w:val="22"/>
    </w:rPr>
  </w:style>
  <w:style w:type="paragraph" w:styleId="33">
    <w:name w:val="Subtitle"/>
    <w:basedOn w:val="1"/>
    <w:link w:val="88"/>
    <w:autoRedefine/>
    <w:qFormat/>
    <w:uiPriority w:val="0"/>
    <w:pPr>
      <w:spacing w:before="240" w:after="60" w:line="312" w:lineRule="auto"/>
      <w:jc w:val="center"/>
      <w:outlineLvl w:val="1"/>
    </w:pPr>
    <w:rPr>
      <w:rFonts w:ascii="Cambria" w:hAnsi="Cambria"/>
      <w:b/>
      <w:bCs/>
      <w:kern w:val="28"/>
      <w:sz w:val="32"/>
      <w:szCs w:val="32"/>
    </w:rPr>
  </w:style>
  <w:style w:type="paragraph" w:styleId="34">
    <w:name w:val="footnote text"/>
    <w:basedOn w:val="1"/>
    <w:link w:val="98"/>
    <w:autoRedefine/>
    <w:qFormat/>
    <w:uiPriority w:val="0"/>
    <w:pPr>
      <w:snapToGrid w:val="0"/>
      <w:jc w:val="left"/>
    </w:pPr>
    <w:rPr>
      <w:sz w:val="18"/>
      <w:szCs w:val="18"/>
    </w:rPr>
  </w:style>
  <w:style w:type="paragraph" w:styleId="35">
    <w:name w:val="toc 6"/>
    <w:basedOn w:val="1"/>
    <w:next w:val="1"/>
    <w:autoRedefine/>
    <w:qFormat/>
    <w:uiPriority w:val="39"/>
    <w:pPr>
      <w:ind w:left="2100" w:leftChars="1000"/>
    </w:pPr>
    <w:rPr>
      <w:rFonts w:ascii="Calibri" w:hAnsi="Calibri"/>
      <w:szCs w:val="22"/>
    </w:rPr>
  </w:style>
  <w:style w:type="paragraph" w:styleId="36">
    <w:name w:val="toc 2"/>
    <w:basedOn w:val="1"/>
    <w:next w:val="1"/>
    <w:autoRedefine/>
    <w:qFormat/>
    <w:uiPriority w:val="39"/>
    <w:pPr>
      <w:ind w:left="420" w:leftChars="200"/>
    </w:pPr>
  </w:style>
  <w:style w:type="paragraph" w:styleId="37">
    <w:name w:val="toc 9"/>
    <w:basedOn w:val="1"/>
    <w:next w:val="1"/>
    <w:autoRedefine/>
    <w:qFormat/>
    <w:uiPriority w:val="39"/>
    <w:pPr>
      <w:ind w:left="3360" w:leftChars="1600"/>
    </w:pPr>
    <w:rPr>
      <w:rFonts w:ascii="Calibri" w:hAnsi="Calibri"/>
      <w:szCs w:val="22"/>
    </w:rPr>
  </w:style>
  <w:style w:type="paragraph" w:styleId="38">
    <w:name w:val="Body Text 2"/>
    <w:basedOn w:val="1"/>
    <w:next w:val="18"/>
    <w:autoRedefine/>
    <w:qFormat/>
    <w:uiPriority w:val="0"/>
    <w:pPr>
      <w:spacing w:line="500" w:lineRule="exact"/>
    </w:pPr>
  </w:style>
  <w:style w:type="paragraph" w:styleId="39">
    <w:name w:val="Normal (Web)"/>
    <w:basedOn w:val="1"/>
    <w:autoRedefine/>
    <w:qFormat/>
    <w:uiPriority w:val="0"/>
    <w:rPr>
      <w:sz w:val="24"/>
    </w:rPr>
  </w:style>
  <w:style w:type="paragraph" w:styleId="40">
    <w:name w:val="index 1"/>
    <w:basedOn w:val="1"/>
    <w:next w:val="1"/>
    <w:autoRedefine/>
    <w:qFormat/>
    <w:uiPriority w:val="0"/>
  </w:style>
  <w:style w:type="paragraph" w:styleId="41">
    <w:name w:val="index 2"/>
    <w:basedOn w:val="1"/>
    <w:next w:val="1"/>
    <w:autoRedefine/>
    <w:qFormat/>
    <w:uiPriority w:val="0"/>
    <w:pPr>
      <w:ind w:left="200" w:leftChars="200"/>
    </w:pPr>
  </w:style>
  <w:style w:type="paragraph" w:styleId="42">
    <w:name w:val="Title"/>
    <w:basedOn w:val="1"/>
    <w:autoRedefine/>
    <w:qFormat/>
    <w:uiPriority w:val="0"/>
    <w:pPr>
      <w:adjustRightInd w:val="0"/>
      <w:spacing w:line="420" w:lineRule="atLeast"/>
      <w:jc w:val="center"/>
      <w:outlineLvl w:val="0"/>
    </w:pPr>
    <w:rPr>
      <w:rFonts w:ascii="Arial" w:hAnsi="Arial"/>
      <w:b/>
      <w:kern w:val="0"/>
      <w:sz w:val="32"/>
      <w:szCs w:val="20"/>
    </w:rPr>
  </w:style>
  <w:style w:type="paragraph" w:styleId="43">
    <w:name w:val="annotation subject"/>
    <w:basedOn w:val="16"/>
    <w:next w:val="16"/>
    <w:link w:val="96"/>
    <w:autoRedefine/>
    <w:qFormat/>
    <w:uiPriority w:val="0"/>
    <w:rPr>
      <w:b/>
      <w:bCs/>
    </w:rPr>
  </w:style>
  <w:style w:type="paragraph" w:styleId="44">
    <w:name w:val="Body Text First Indent 2"/>
    <w:basedOn w:val="19"/>
    <w:autoRedefine/>
    <w:qFormat/>
    <w:uiPriority w:val="0"/>
    <w:pPr>
      <w:ind w:left="0" w:firstLine="960" w:firstLineChars="200"/>
    </w:pPr>
    <w:rPr>
      <w:sz w:val="24"/>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autoRedefine/>
    <w:qFormat/>
    <w:uiPriority w:val="22"/>
    <w:rPr>
      <w:b/>
    </w:rPr>
  </w:style>
  <w:style w:type="character" w:styleId="49">
    <w:name w:val="endnote reference"/>
    <w:basedOn w:val="47"/>
    <w:autoRedefine/>
    <w:qFormat/>
    <w:uiPriority w:val="0"/>
    <w:rPr>
      <w:vertAlign w:val="superscript"/>
    </w:rPr>
  </w:style>
  <w:style w:type="character" w:styleId="50">
    <w:name w:val="page number"/>
    <w:basedOn w:val="47"/>
    <w:autoRedefine/>
    <w:qFormat/>
    <w:uiPriority w:val="0"/>
  </w:style>
  <w:style w:type="character" w:styleId="51">
    <w:name w:val="FollowedHyperlink"/>
    <w:basedOn w:val="47"/>
    <w:autoRedefine/>
    <w:qFormat/>
    <w:uiPriority w:val="0"/>
    <w:rPr>
      <w:color w:val="333333"/>
      <w:sz w:val="18"/>
      <w:szCs w:val="18"/>
      <w:u w:val="single"/>
    </w:rPr>
  </w:style>
  <w:style w:type="character" w:styleId="52">
    <w:name w:val="Hyperlink"/>
    <w:basedOn w:val="47"/>
    <w:autoRedefine/>
    <w:qFormat/>
    <w:uiPriority w:val="99"/>
    <w:rPr>
      <w:color w:val="333333"/>
      <w:sz w:val="18"/>
      <w:szCs w:val="18"/>
      <w:u w:val="single"/>
    </w:rPr>
  </w:style>
  <w:style w:type="character" w:styleId="53">
    <w:name w:val="annotation reference"/>
    <w:basedOn w:val="47"/>
    <w:autoRedefine/>
    <w:qFormat/>
    <w:uiPriority w:val="0"/>
    <w:rPr>
      <w:sz w:val="21"/>
      <w:szCs w:val="21"/>
    </w:rPr>
  </w:style>
  <w:style w:type="character" w:styleId="54">
    <w:name w:val="footnote reference"/>
    <w:basedOn w:val="47"/>
    <w:autoRedefine/>
    <w:qFormat/>
    <w:uiPriority w:val="0"/>
    <w:rPr>
      <w:vertAlign w:val="superscript"/>
    </w:rPr>
  </w:style>
  <w:style w:type="paragraph" w:customStyle="1" w:styleId="55">
    <w:name w:val="正文正"/>
    <w:basedOn w:val="1"/>
    <w:autoRedefine/>
    <w:qFormat/>
    <w:uiPriority w:val="99"/>
    <w:pPr>
      <w:spacing w:line="560" w:lineRule="exact"/>
      <w:ind w:firstLine="561"/>
    </w:pPr>
    <w:rPr>
      <w:rFonts w:ascii="Calibri" w:hAnsi="Calibri" w:cs="Calibri"/>
      <w:sz w:val="28"/>
      <w:szCs w:val="28"/>
    </w:rPr>
  </w:style>
  <w:style w:type="character" w:customStyle="1" w:styleId="56">
    <w:name w:val="标题 2 Char"/>
    <w:basedOn w:val="47"/>
    <w:link w:val="5"/>
    <w:autoRedefine/>
    <w:qFormat/>
    <w:uiPriority w:val="0"/>
    <w:rPr>
      <w:rFonts w:ascii="Arial" w:hAnsi="Arial" w:eastAsia="黑体"/>
      <w:b/>
      <w:bCs/>
      <w:kern w:val="2"/>
      <w:sz w:val="32"/>
      <w:szCs w:val="32"/>
      <w:lang w:val="en-US" w:eastAsia="zh-CN" w:bidi="ar-SA"/>
    </w:rPr>
  </w:style>
  <w:style w:type="paragraph" w:customStyle="1" w:styleId="57">
    <w:name w:val="表格内容"/>
    <w:basedOn w:val="58"/>
    <w:autoRedefine/>
    <w:qFormat/>
    <w:uiPriority w:val="0"/>
    <w:pPr>
      <w:ind w:firstLine="0" w:firstLineChars="0"/>
      <w:jc w:val="center"/>
    </w:pPr>
  </w:style>
  <w:style w:type="paragraph" w:customStyle="1" w:styleId="58">
    <w:name w:val="招标正文"/>
    <w:basedOn w:val="1"/>
    <w:autoRedefine/>
    <w:qFormat/>
    <w:uiPriority w:val="0"/>
    <w:pPr>
      <w:autoSpaceDE w:val="0"/>
      <w:autoSpaceDN w:val="0"/>
      <w:adjustRightInd w:val="0"/>
      <w:ind w:firstLine="480" w:firstLineChars="200"/>
    </w:pPr>
    <w:rPr>
      <w:rFonts w:cs="微软雅黑"/>
      <w:kern w:val="0"/>
      <w:sz w:val="24"/>
    </w:rPr>
  </w:style>
  <w:style w:type="paragraph" w:customStyle="1" w:styleId="59">
    <w:name w:val="条款正文"/>
    <w:basedOn w:val="58"/>
    <w:autoRedefine/>
    <w:qFormat/>
    <w:uiPriority w:val="0"/>
    <w:pPr>
      <w:ind w:firstLine="0" w:firstLineChars="0"/>
    </w:pPr>
  </w:style>
  <w:style w:type="paragraph" w:customStyle="1" w:styleId="60">
    <w:name w:val="_Style 52"/>
    <w:basedOn w:val="1"/>
    <w:autoRedefine/>
    <w:qFormat/>
    <w:uiPriority w:val="0"/>
    <w:pPr>
      <w:pBdr>
        <w:bottom w:val="single" w:color="auto" w:sz="6" w:space="1"/>
      </w:pBdr>
      <w:jc w:val="center"/>
    </w:pPr>
    <w:rPr>
      <w:rFonts w:ascii="Arial"/>
      <w:vanish/>
      <w:sz w:val="16"/>
    </w:rPr>
  </w:style>
  <w:style w:type="paragraph" w:customStyle="1" w:styleId="61">
    <w:name w:val="正文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
    <w:name w:val="正文文本_0"/>
    <w:basedOn w:val="63"/>
    <w:autoRedefine/>
    <w:qFormat/>
    <w:uiPriority w:val="0"/>
    <w:pPr>
      <w:spacing w:after="120"/>
    </w:pPr>
  </w:style>
  <w:style w:type="paragraph" w:customStyle="1" w:styleId="63">
    <w:name w:val="正文_3_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op_mapdots_left"/>
    <w:basedOn w:val="1"/>
    <w:autoRedefine/>
    <w:qFormat/>
    <w:uiPriority w:val="0"/>
    <w:pPr>
      <w:jc w:val="left"/>
    </w:pPr>
    <w:rPr>
      <w:kern w:val="0"/>
    </w:rPr>
  </w:style>
  <w:style w:type="paragraph" w:customStyle="1" w:styleId="65">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66">
    <w:name w:val="正文 New New New New"/>
    <w:autoRedefine/>
    <w:qFormat/>
    <w:uiPriority w:val="0"/>
    <w:pPr>
      <w:widowControl w:val="0"/>
      <w:spacing w:after="200" w:line="276" w:lineRule="auto"/>
    </w:pPr>
    <w:rPr>
      <w:rFonts w:ascii="Times New Roman" w:hAnsi="Times New Roman" w:eastAsia="宋体" w:cs="Times New Roman"/>
      <w:sz w:val="22"/>
      <w:szCs w:val="22"/>
      <w:lang w:val="en-US" w:eastAsia="en-US" w:bidi="ar-SA"/>
    </w:rPr>
  </w:style>
  <w:style w:type="paragraph" w:customStyle="1" w:styleId="67">
    <w:name w:val="样式 标题 3 + (中文) 黑体 小四 非加粗 段前: 7.8 磅 段后: 0 磅 行距: 固定值 20 磅"/>
    <w:basedOn w:val="6"/>
    <w:autoRedefine/>
    <w:qFormat/>
    <w:uiPriority w:val="0"/>
    <w:pPr>
      <w:spacing w:line="400" w:lineRule="exact"/>
    </w:pPr>
    <w:rPr>
      <w:rFonts w:eastAsia="黑体" w:cs="宋体"/>
      <w:b w:val="0"/>
      <w:bCs w:val="0"/>
      <w:sz w:val="24"/>
      <w:szCs w:val="20"/>
    </w:rPr>
  </w:style>
  <w:style w:type="paragraph" w:customStyle="1" w:styleId="68">
    <w:name w:val="正文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标题1、"/>
    <w:basedOn w:val="5"/>
    <w:autoRedefine/>
    <w:qFormat/>
    <w:uiPriority w:val="0"/>
    <w:pPr>
      <w:numPr>
        <w:ilvl w:val="1"/>
        <w:numId w:val="3"/>
      </w:numPr>
      <w:autoSpaceDE w:val="0"/>
      <w:autoSpaceDN w:val="0"/>
      <w:adjustRightInd w:val="0"/>
      <w:spacing w:beforeLines="50"/>
      <w:jc w:val="left"/>
    </w:pPr>
    <w:rPr>
      <w:rFonts w:ascii="Times New Roman" w:hAnsi="Times New Roman"/>
      <w:kern w:val="0"/>
      <w:sz w:val="24"/>
      <w:szCs w:val="24"/>
    </w:rPr>
  </w:style>
  <w:style w:type="paragraph" w:customStyle="1" w:styleId="70">
    <w:name w:val="_Style 63"/>
    <w:basedOn w:val="1"/>
    <w:autoRedefine/>
    <w:qFormat/>
    <w:uiPriority w:val="0"/>
    <w:pPr>
      <w:pBdr>
        <w:top w:val="single" w:color="auto" w:sz="6" w:space="1"/>
      </w:pBdr>
      <w:jc w:val="center"/>
    </w:pPr>
    <w:rPr>
      <w:rFonts w:ascii="Arial"/>
      <w:vanish/>
      <w:sz w:val="16"/>
    </w:rPr>
  </w:style>
  <w:style w:type="paragraph" w:customStyle="1" w:styleId="71">
    <w:name w:val="标题1.1"/>
    <w:basedOn w:val="58"/>
    <w:next w:val="1"/>
    <w:autoRedefine/>
    <w:qFormat/>
    <w:uiPriority w:val="0"/>
    <w:pPr>
      <w:numPr>
        <w:ilvl w:val="2"/>
        <w:numId w:val="3"/>
      </w:numPr>
      <w:ind w:firstLine="0" w:firstLineChars="0"/>
      <w:outlineLvl w:val="2"/>
    </w:pPr>
    <w:rPr>
      <w:b/>
    </w:rPr>
  </w:style>
  <w:style w:type="paragraph" w:customStyle="1" w:styleId="72">
    <w:name w:val="TOC 标题1"/>
    <w:basedOn w:val="4"/>
    <w:autoRedefine/>
    <w:qFormat/>
    <w:uiPriority w:val="39"/>
    <w:pPr>
      <w:widowControl/>
      <w:spacing w:before="480" w:line="276" w:lineRule="auto"/>
      <w:jc w:val="left"/>
      <w:outlineLvl w:val="9"/>
    </w:pPr>
    <w:rPr>
      <w:rFonts w:ascii="Cambria" w:hAnsi="Cambria"/>
      <w:color w:val="365F91"/>
      <w:kern w:val="0"/>
      <w:sz w:val="28"/>
      <w:szCs w:val="28"/>
    </w:rPr>
  </w:style>
  <w:style w:type="paragraph" w:customStyle="1" w:styleId="73">
    <w:name w:val="正文 New New New"/>
    <w:autoRedefine/>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74">
    <w:name w:val="p17"/>
    <w:autoRedefine/>
    <w:qFormat/>
    <w:uiPriority w:val="0"/>
    <w:pPr>
      <w:spacing w:before="100" w:beforeAutospacing="1" w:after="100" w:afterAutospacing="1"/>
    </w:pPr>
    <w:rPr>
      <w:rFonts w:ascii="宋体" w:hAnsi="宋体" w:eastAsia="宋体" w:cs="宋体"/>
      <w:sz w:val="24"/>
      <w:lang w:val="en-US" w:eastAsia="zh-CN" w:bidi="ar-SA"/>
    </w:rPr>
  </w:style>
  <w:style w:type="paragraph" w:customStyle="1" w:styleId="75">
    <w:name w:val="小标题"/>
    <w:basedOn w:val="1"/>
    <w:autoRedefine/>
    <w:qFormat/>
    <w:uiPriority w:val="0"/>
    <w:pPr>
      <w:autoSpaceDE w:val="0"/>
      <w:autoSpaceDN w:val="0"/>
      <w:adjustRightInd w:val="0"/>
      <w:jc w:val="center"/>
    </w:pPr>
    <w:rPr>
      <w:rFonts w:ascii="宋体" w:hAnsi="宋体" w:cs="Microsoft JhengHei"/>
      <w:b/>
      <w:kern w:val="0"/>
      <w:sz w:val="28"/>
      <w:szCs w:val="32"/>
    </w:rPr>
  </w:style>
  <w:style w:type="paragraph" w:customStyle="1" w:styleId="76">
    <w:name w:val="Char"/>
    <w:basedOn w:val="15"/>
    <w:autoRedefine/>
    <w:qFormat/>
    <w:uiPriority w:val="0"/>
    <w:rPr>
      <w:rFonts w:ascii="Tahoma" w:hAnsi="Tahoma"/>
      <w:sz w:val="24"/>
    </w:rPr>
  </w:style>
  <w:style w:type="paragraph" w:customStyle="1" w:styleId="77">
    <w:name w:val="列出段落1"/>
    <w:basedOn w:val="1"/>
    <w:autoRedefine/>
    <w:qFormat/>
    <w:uiPriority w:val="1"/>
    <w:pPr>
      <w:ind w:left="424" w:firstLine="480"/>
    </w:pPr>
    <w:rPr>
      <w:rFonts w:ascii="宋体" w:hAnsi="宋体" w:cs="宋体"/>
      <w:lang w:val="zh-CN" w:bidi="zh-CN"/>
    </w:rPr>
  </w:style>
  <w:style w:type="paragraph" w:customStyle="1" w:styleId="78">
    <w:name w:val="样式 标题 2 + Times New Roman 四号 非加粗 段前: 5 磅 段后: 0 磅 行距: 固定值 20..."/>
    <w:basedOn w:val="5"/>
    <w:next w:val="1"/>
    <w:link w:val="85"/>
    <w:autoRedefine/>
    <w:qFormat/>
    <w:uiPriority w:val="0"/>
    <w:pPr>
      <w:spacing w:line="400" w:lineRule="exact"/>
    </w:pPr>
    <w:rPr>
      <w:rFonts w:ascii="Times New Roman" w:hAnsi="Times New Roman" w:eastAsia="宋体"/>
      <w:kern w:val="0"/>
      <w:sz w:val="28"/>
      <w:szCs w:val="20"/>
    </w:rPr>
  </w:style>
  <w:style w:type="paragraph" w:customStyle="1" w:styleId="79">
    <w:name w:val="正文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
    <w:name w:val="Table Paragraph"/>
    <w:basedOn w:val="1"/>
    <w:autoRedefine/>
    <w:qFormat/>
    <w:uiPriority w:val="1"/>
  </w:style>
  <w:style w:type="paragraph" w:customStyle="1" w:styleId="81">
    <w:name w:val="p0"/>
    <w:basedOn w:val="1"/>
    <w:autoRedefine/>
    <w:qFormat/>
    <w:uiPriority w:val="0"/>
    <w:pPr>
      <w:widowControl/>
    </w:pPr>
    <w:rPr>
      <w:rFonts w:ascii="Calibri" w:hAnsi="Calibri" w:cs="宋体"/>
      <w:kern w:val="0"/>
      <w:szCs w:val="21"/>
    </w:rPr>
  </w:style>
  <w:style w:type="paragraph" w:customStyle="1" w:styleId="82">
    <w:name w:val="正文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
    <w:name w:val="p16"/>
    <w:basedOn w:val="1"/>
    <w:autoRedefine/>
    <w:qFormat/>
    <w:uiPriority w:val="0"/>
    <w:pPr>
      <w:widowControl/>
    </w:pPr>
    <w:rPr>
      <w:kern w:val="0"/>
      <w:szCs w:val="21"/>
    </w:rPr>
  </w:style>
  <w:style w:type="paragraph" w:customStyle="1" w:styleId="84">
    <w:name w:val="正文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5">
    <w:name w:val="样式 标题 2 + Times New Roman 四号 非加粗 段前: 5 磅 段后: 0 磅 行距: 固定值 20... Char"/>
    <w:link w:val="78"/>
    <w:autoRedefine/>
    <w:qFormat/>
    <w:uiPriority w:val="0"/>
    <w:rPr>
      <w:rFonts w:ascii="Times New Roman" w:hAnsi="Times New Roman" w:cs="宋体"/>
      <w:b/>
      <w:bCs/>
      <w:sz w:val="28"/>
      <w:szCs w:val="20"/>
    </w:rPr>
  </w:style>
  <w:style w:type="character" w:customStyle="1" w:styleId="86">
    <w:name w:val="标题 1 Char"/>
    <w:link w:val="4"/>
    <w:autoRedefine/>
    <w:qFormat/>
    <w:uiPriority w:val="0"/>
    <w:rPr>
      <w:b/>
      <w:bCs/>
      <w:kern w:val="44"/>
      <w:sz w:val="44"/>
      <w:szCs w:val="44"/>
    </w:rPr>
  </w:style>
  <w:style w:type="character" w:customStyle="1" w:styleId="87">
    <w:name w:val="目录 5 Char"/>
    <w:link w:val="21"/>
    <w:autoRedefine/>
    <w:qFormat/>
    <w:uiPriority w:val="39"/>
    <w:rPr>
      <w:rFonts w:ascii="Calibri" w:hAnsi="Calibri" w:eastAsia="宋体" w:cs="Times New Roman"/>
      <w:szCs w:val="22"/>
    </w:rPr>
  </w:style>
  <w:style w:type="character" w:customStyle="1" w:styleId="88">
    <w:name w:val="副标题 Char"/>
    <w:basedOn w:val="47"/>
    <w:link w:val="33"/>
    <w:autoRedefine/>
    <w:qFormat/>
    <w:uiPriority w:val="0"/>
    <w:rPr>
      <w:rFonts w:ascii="Cambria" w:hAnsi="Cambria" w:cs="Times New Roman"/>
      <w:b/>
      <w:bCs/>
      <w:kern w:val="28"/>
      <w:sz w:val="32"/>
      <w:szCs w:val="32"/>
    </w:rPr>
  </w:style>
  <w:style w:type="character" w:customStyle="1" w:styleId="89">
    <w:name w:val="hover37"/>
    <w:basedOn w:val="47"/>
    <w:autoRedefine/>
    <w:qFormat/>
    <w:uiPriority w:val="0"/>
  </w:style>
  <w:style w:type="character" w:customStyle="1" w:styleId="90">
    <w:name w:val="标题 3 Char"/>
    <w:basedOn w:val="47"/>
    <w:link w:val="6"/>
    <w:autoRedefine/>
    <w:qFormat/>
    <w:uiPriority w:val="0"/>
    <w:rPr>
      <w:rFonts w:eastAsia="宋体"/>
      <w:b/>
      <w:bCs/>
      <w:kern w:val="2"/>
      <w:sz w:val="32"/>
      <w:szCs w:val="32"/>
      <w:lang w:val="en-US" w:eastAsia="zh-CN" w:bidi="ar-SA"/>
    </w:rPr>
  </w:style>
  <w:style w:type="character" w:customStyle="1" w:styleId="91">
    <w:name w:val="批注文字 Char"/>
    <w:basedOn w:val="47"/>
    <w:link w:val="16"/>
    <w:autoRedefine/>
    <w:qFormat/>
    <w:uiPriority w:val="0"/>
    <w:rPr>
      <w:kern w:val="2"/>
      <w:sz w:val="21"/>
      <w:szCs w:val="24"/>
    </w:rPr>
  </w:style>
  <w:style w:type="character" w:customStyle="1" w:styleId="92">
    <w:name w:val="正文文本 3 Char"/>
    <w:basedOn w:val="47"/>
    <w:link w:val="17"/>
    <w:autoRedefine/>
    <w:qFormat/>
    <w:uiPriority w:val="0"/>
    <w:rPr>
      <w:rFonts w:ascii="宋体" w:eastAsia="宋体"/>
      <w:kern w:val="2"/>
      <w:sz w:val="24"/>
      <w:lang w:val="en-US" w:eastAsia="zh-CN" w:bidi="ar-SA"/>
    </w:rPr>
  </w:style>
  <w:style w:type="character" w:customStyle="1" w:styleId="93">
    <w:name w:val="style2"/>
    <w:basedOn w:val="47"/>
    <w:autoRedefine/>
    <w:qFormat/>
    <w:uiPriority w:val="0"/>
  </w:style>
  <w:style w:type="character" w:customStyle="1" w:styleId="94">
    <w:name w:val="正文文本 Char"/>
    <w:basedOn w:val="47"/>
    <w:link w:val="18"/>
    <w:autoRedefine/>
    <w:qFormat/>
    <w:uiPriority w:val="0"/>
    <w:rPr>
      <w:rFonts w:eastAsia="宋体"/>
      <w:kern w:val="2"/>
      <w:sz w:val="21"/>
      <w:szCs w:val="24"/>
      <w:lang w:val="en-US" w:eastAsia="zh-CN" w:bidi="ar-SA"/>
    </w:rPr>
  </w:style>
  <w:style w:type="character" w:customStyle="1" w:styleId="95">
    <w:name w:val="Char Char17"/>
    <w:basedOn w:val="47"/>
    <w:autoRedefine/>
    <w:qFormat/>
    <w:uiPriority w:val="0"/>
    <w:rPr>
      <w:rFonts w:ascii="Times New Roman" w:hAnsi="Times New Roman" w:eastAsia="宋体" w:cs="Times New Roman"/>
      <w:b/>
      <w:bCs/>
      <w:kern w:val="44"/>
      <w:sz w:val="44"/>
      <w:szCs w:val="44"/>
    </w:rPr>
  </w:style>
  <w:style w:type="character" w:customStyle="1" w:styleId="96">
    <w:name w:val="批注主题 Char"/>
    <w:basedOn w:val="91"/>
    <w:link w:val="43"/>
    <w:autoRedefine/>
    <w:qFormat/>
    <w:uiPriority w:val="0"/>
    <w:rPr>
      <w:kern w:val="2"/>
      <w:sz w:val="21"/>
      <w:szCs w:val="24"/>
    </w:rPr>
  </w:style>
  <w:style w:type="character" w:customStyle="1" w:styleId="97">
    <w:name w:val="标题 4 Char"/>
    <w:basedOn w:val="47"/>
    <w:link w:val="7"/>
    <w:autoRedefine/>
    <w:qFormat/>
    <w:uiPriority w:val="0"/>
    <w:rPr>
      <w:rFonts w:ascii="Arial" w:hAnsi="Arial" w:eastAsia="黑体"/>
      <w:b/>
      <w:bCs/>
      <w:kern w:val="2"/>
      <w:sz w:val="28"/>
      <w:szCs w:val="28"/>
      <w:lang w:val="en-US" w:eastAsia="zh-CN" w:bidi="ar-SA"/>
    </w:rPr>
  </w:style>
  <w:style w:type="character" w:customStyle="1" w:styleId="98">
    <w:name w:val="脚注文本 Char"/>
    <w:basedOn w:val="47"/>
    <w:link w:val="34"/>
    <w:autoRedefine/>
    <w:qFormat/>
    <w:uiPriority w:val="0"/>
    <w:rPr>
      <w:kern w:val="2"/>
      <w:sz w:val="18"/>
      <w:szCs w:val="18"/>
    </w:rPr>
  </w:style>
  <w:style w:type="character" w:customStyle="1" w:styleId="99">
    <w:name w:val="页脚 Char"/>
    <w:basedOn w:val="47"/>
    <w:link w:val="29"/>
    <w:autoRedefine/>
    <w:qFormat/>
    <w:uiPriority w:val="0"/>
    <w:rPr>
      <w:kern w:val="2"/>
      <w:sz w:val="18"/>
      <w:szCs w:val="18"/>
    </w:rPr>
  </w:style>
  <w:style w:type="character" w:customStyle="1" w:styleId="100">
    <w:name w:val="页码1"/>
    <w:basedOn w:val="47"/>
    <w:autoRedefine/>
    <w:qFormat/>
    <w:uiPriority w:val="0"/>
  </w:style>
  <w:style w:type="character" w:customStyle="1" w:styleId="101">
    <w:name w:val="hover"/>
    <w:basedOn w:val="47"/>
    <w:autoRedefine/>
    <w:qFormat/>
    <w:uiPriority w:val="0"/>
  </w:style>
  <w:style w:type="paragraph" w:customStyle="1" w:styleId="102">
    <w:name w:val="标题 1 New"/>
    <w:basedOn w:val="68"/>
    <w:link w:val="103"/>
    <w:autoRedefine/>
    <w:qFormat/>
    <w:uiPriority w:val="0"/>
    <w:pPr>
      <w:keepNext/>
      <w:keepLines/>
      <w:spacing w:line="578" w:lineRule="auto"/>
      <w:outlineLvl w:val="0"/>
    </w:pPr>
    <w:rPr>
      <w:b/>
      <w:bCs/>
      <w:kern w:val="44"/>
      <w:sz w:val="44"/>
      <w:szCs w:val="44"/>
    </w:rPr>
  </w:style>
  <w:style w:type="character" w:customStyle="1" w:styleId="103">
    <w:name w:val="标题 1 Char Char New"/>
    <w:link w:val="102"/>
    <w:autoRedefine/>
    <w:qFormat/>
    <w:uiPriority w:val="0"/>
    <w:rPr>
      <w:rFonts w:ascii="Times New Roman" w:hAnsi="Times New Roman"/>
      <w:b/>
      <w:bCs/>
      <w:kern w:val="44"/>
      <w:sz w:val="44"/>
      <w:szCs w:val="44"/>
    </w:rPr>
  </w:style>
  <w:style w:type="paragraph" w:customStyle="1" w:styleId="104">
    <w:name w:val="正文 New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正文 New New New New New New New New New New New New New New New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7">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character" w:customStyle="1" w:styleId="108">
    <w:name w:val="hover38"/>
    <w:basedOn w:val="47"/>
    <w:autoRedefine/>
    <w:qFormat/>
    <w:uiPriority w:val="0"/>
  </w:style>
  <w:style w:type="paragraph" w:customStyle="1" w:styleId="109">
    <w:name w:val="6'"/>
    <w:basedOn w:val="1"/>
    <w:autoRedefine/>
    <w:qFormat/>
    <w:uiPriority w:val="0"/>
    <w:pPr>
      <w:autoSpaceDE w:val="0"/>
      <w:autoSpaceDN w:val="0"/>
      <w:adjustRightInd w:val="0"/>
      <w:snapToGrid w:val="0"/>
      <w:spacing w:line="320" w:lineRule="exact"/>
      <w:jc w:val="center"/>
    </w:pPr>
    <w:rPr>
      <w:spacing w:val="20"/>
      <w:kern w:val="28"/>
      <w:szCs w:val="20"/>
    </w:rPr>
  </w:style>
  <w:style w:type="paragraph" w:customStyle="1" w:styleId="110">
    <w:name w:val="样式4"/>
    <w:basedOn w:val="1"/>
    <w:autoRedefine/>
    <w:qFormat/>
    <w:uiPriority w:val="0"/>
    <w:pPr>
      <w:spacing w:line="360" w:lineRule="auto"/>
      <w:jc w:val="center"/>
    </w:pPr>
    <w:rPr>
      <w:rFonts w:ascii="宋体" w:hAnsi="宋体"/>
      <w:sz w:val="24"/>
    </w:rPr>
  </w:style>
  <w:style w:type="paragraph" w:customStyle="1" w:styleId="111">
    <w:name w:val="正文文本 New"/>
    <w:basedOn w:val="84"/>
    <w:autoRedefine/>
    <w:qFormat/>
    <w:uiPriority w:val="0"/>
    <w:pPr>
      <w:spacing w:after="120"/>
    </w:pPr>
  </w:style>
  <w:style w:type="paragraph" w:customStyle="1" w:styleId="112">
    <w:name w:val="列出段落2"/>
    <w:basedOn w:val="1"/>
    <w:autoRedefine/>
    <w:unhideWhenUsed/>
    <w:qFormat/>
    <w:uiPriority w:val="99"/>
    <w:pPr>
      <w:ind w:firstLine="420" w:firstLineChars="200"/>
    </w:pPr>
  </w:style>
  <w:style w:type="character" w:customStyle="1" w:styleId="113">
    <w:name w:val="NormalCharacter"/>
    <w:autoRedefine/>
    <w:semiHidden/>
    <w:qFormat/>
    <w:uiPriority w:val="0"/>
  </w:style>
  <w:style w:type="paragraph" w:customStyle="1" w:styleId="114">
    <w:name w:val="列出段落3"/>
    <w:basedOn w:val="1"/>
    <w:autoRedefine/>
    <w:qFormat/>
    <w:uiPriority w:val="1"/>
    <w:pPr>
      <w:ind w:left="424" w:firstLine="480"/>
    </w:pPr>
    <w:rPr>
      <w:rFonts w:ascii="宋体" w:hAnsi="宋体" w:cs="宋体"/>
      <w:lang w:val="zh-CN" w:bidi="zh-CN"/>
    </w:rPr>
  </w:style>
  <w:style w:type="paragraph" w:customStyle="1" w:styleId="115">
    <w:name w:val="标题 41"/>
    <w:basedOn w:val="1"/>
    <w:autoRedefine/>
    <w:qFormat/>
    <w:uiPriority w:val="0"/>
    <w:pPr>
      <w:keepNext/>
      <w:keepLines/>
      <w:spacing w:before="280" w:after="290" w:line="376" w:lineRule="auto"/>
      <w:outlineLvl w:val="3"/>
    </w:pPr>
    <w:rPr>
      <w:rFonts w:ascii="Arial" w:hAnsi="Arial" w:eastAsia="黑体"/>
      <w:b/>
      <w:bCs/>
      <w:sz w:val="28"/>
      <w:szCs w:val="28"/>
    </w:rPr>
  </w:style>
  <w:style w:type="paragraph" w:customStyle="1" w:styleId="116">
    <w:name w:val="列出段落4"/>
    <w:basedOn w:val="1"/>
    <w:autoRedefine/>
    <w:qFormat/>
    <w:uiPriority w:val="1"/>
    <w:pPr>
      <w:ind w:left="424" w:firstLine="480"/>
    </w:pPr>
    <w:rPr>
      <w:rFonts w:ascii="宋体" w:hAnsi="宋体" w:cs="宋体"/>
      <w:lang w:val="zh-CN" w:bidi="zh-CN"/>
    </w:rPr>
  </w:style>
  <w:style w:type="table" w:customStyle="1" w:styleId="11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wmf"/><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274</Pages>
  <Words>3434</Words>
  <Characters>4743</Characters>
  <Lines>1617</Lines>
  <Paragraphs>455</Paragraphs>
  <TotalTime>5</TotalTime>
  <ScaleCrop>false</ScaleCrop>
  <LinksUpToDate>false</LinksUpToDate>
  <CharactersWithSpaces>5312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2010-01-09T16:07:00Z</dcterms:created>
  <dc:creator>微软用户</dc:creator>
  <cp:lastModifiedBy>WPS_1481086387</cp:lastModifiedBy>
  <cp:lastPrinted>2024-12-30T09:07:00Z</cp:lastPrinted>
  <dcterms:modified xsi:type="dcterms:W3CDTF">2025-09-11T07:13:19Z</dcterms:modified>
  <dc:title>G323线麦屋至乳源县城段路面大修工程施工招标</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987A2E9D772E4727B73E0E4ADA987C56_13</vt:lpwstr>
  </property>
  <property fmtid="{D5CDD505-2E9C-101B-9397-08002B2CF9AE}" pid="4" name="KSOTemplateDocerSaveRecord">
    <vt:lpwstr>eyJoZGlkIjoiNDNkZTgwOWMwNTI5NDcwOWIwZWRhY2VkYzBlYzIwMGIiLCJ1c2VySWQiOiIyNTUzNTE1MTMifQ==</vt:lpwstr>
  </property>
</Properties>
</file>