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B0850">
      <w:pPr>
        <w:pStyle w:val="133"/>
        <w:wordWrap w:val="0"/>
        <w:adjustRightInd w:val="0"/>
        <w:snapToGrid w:val="0"/>
        <w:jc w:val="center"/>
        <w:rPr>
          <w:rFonts w:hint="eastAsia"/>
          <w:snapToGrid w:val="0"/>
          <w:color w:val="auto"/>
          <w:kern w:val="0"/>
          <w:sz w:val="24"/>
          <w:highlight w:val="none"/>
        </w:rPr>
      </w:pPr>
    </w:p>
    <w:p w14:paraId="476C13DA">
      <w:pPr>
        <w:pStyle w:val="134"/>
        <w:wordWrap w:val="0"/>
        <w:adjustRightInd w:val="0"/>
        <w:snapToGrid w:val="0"/>
        <w:spacing w:line="360" w:lineRule="auto"/>
        <w:jc w:val="center"/>
        <w:rPr>
          <w:rFonts w:hint="eastAsia" w:ascii="宋体" w:hAnsi="宋体" w:eastAsia="宋体" w:cs="宋体"/>
          <w:b/>
          <w:bCs/>
          <w:color w:val="auto"/>
          <w:sz w:val="56"/>
          <w:szCs w:val="72"/>
          <w:highlight w:val="none"/>
          <w:u w:val="single"/>
          <w:lang w:val="en-US" w:eastAsia="zh-CN"/>
        </w:rPr>
      </w:pPr>
      <w:r>
        <w:rPr>
          <w:rFonts w:hint="eastAsia" w:ascii="宋体" w:hAnsi="宋体" w:eastAsia="宋体" w:cs="宋体"/>
          <w:b/>
          <w:bCs/>
          <w:color w:val="auto"/>
          <w:sz w:val="56"/>
          <w:szCs w:val="72"/>
          <w:highlight w:val="none"/>
          <w:u w:val="single"/>
          <w:lang w:val="en-US" w:eastAsia="zh-CN"/>
        </w:rPr>
        <w:t>乐昌产业园产业发展配套基础设施</w:t>
      </w:r>
    </w:p>
    <w:p w14:paraId="70F8F4DE">
      <w:pPr>
        <w:pStyle w:val="134"/>
        <w:wordWrap w:val="0"/>
        <w:adjustRightInd w:val="0"/>
        <w:snapToGrid w:val="0"/>
        <w:spacing w:line="360" w:lineRule="auto"/>
        <w:jc w:val="center"/>
        <w:rPr>
          <w:rFonts w:hint="eastAsia" w:eastAsia="宋体"/>
          <w:b/>
          <w:snapToGrid w:val="0"/>
          <w:color w:val="auto"/>
          <w:kern w:val="0"/>
          <w:sz w:val="48"/>
          <w:szCs w:val="48"/>
          <w:highlight w:val="none"/>
        </w:rPr>
      </w:pPr>
      <w:r>
        <w:rPr>
          <w:rFonts w:hint="eastAsia" w:ascii="宋体" w:hAnsi="宋体" w:eastAsia="宋体" w:cs="宋体"/>
          <w:b/>
          <w:bCs/>
          <w:color w:val="auto"/>
          <w:sz w:val="56"/>
          <w:szCs w:val="72"/>
          <w:highlight w:val="none"/>
          <w:u w:val="single"/>
          <w:lang w:val="en-US" w:eastAsia="zh-CN"/>
        </w:rPr>
        <w:t>建设四期工程施工</w:t>
      </w:r>
      <w:r>
        <w:rPr>
          <w:rFonts w:hint="eastAsia" w:ascii="宋体" w:hAnsi="宋体" w:eastAsia="宋体" w:cs="宋体"/>
          <w:b/>
          <w:bCs/>
          <w:color w:val="auto"/>
          <w:sz w:val="56"/>
          <w:szCs w:val="72"/>
          <w:highlight w:val="none"/>
        </w:rPr>
        <w:t>招标</w:t>
      </w:r>
      <w:r>
        <w:rPr>
          <w:rFonts w:hint="eastAsia" w:ascii="宋体" w:hAnsi="宋体" w:eastAsia="宋体" w:cs="宋体"/>
          <w:b/>
          <w:bCs/>
          <w:color w:val="auto"/>
          <w:sz w:val="28"/>
          <w:szCs w:val="36"/>
          <w:highlight w:val="none"/>
          <w:lang w:val="en-US" w:eastAsia="zh-CN"/>
        </w:rPr>
        <w:t xml:space="preserve"> </w:t>
      </w:r>
    </w:p>
    <w:p w14:paraId="4D39391D">
      <w:pPr>
        <w:pStyle w:val="134"/>
        <w:wordWrap w:val="0"/>
        <w:adjustRightInd w:val="0"/>
        <w:snapToGrid w:val="0"/>
        <w:spacing w:line="360" w:lineRule="auto"/>
        <w:jc w:val="center"/>
        <w:rPr>
          <w:rFonts w:hint="eastAsia" w:eastAsia="宋体"/>
          <w:b/>
          <w:snapToGrid w:val="0"/>
          <w:color w:val="auto"/>
          <w:kern w:val="0"/>
          <w:sz w:val="48"/>
          <w:szCs w:val="48"/>
          <w:highlight w:val="none"/>
        </w:rPr>
      </w:pPr>
    </w:p>
    <w:p w14:paraId="446ED05F">
      <w:pPr>
        <w:pStyle w:val="134"/>
        <w:wordWrap w:val="0"/>
        <w:adjustRightInd w:val="0"/>
        <w:snapToGrid w:val="0"/>
        <w:spacing w:line="360" w:lineRule="auto"/>
        <w:jc w:val="center"/>
        <w:rPr>
          <w:rFonts w:hint="eastAsia" w:eastAsia="宋体"/>
          <w:b/>
          <w:snapToGrid w:val="0"/>
          <w:color w:val="auto"/>
          <w:kern w:val="0"/>
          <w:sz w:val="48"/>
          <w:szCs w:val="48"/>
          <w:highlight w:val="none"/>
        </w:rPr>
      </w:pPr>
    </w:p>
    <w:p w14:paraId="588DAB99">
      <w:pPr>
        <w:pStyle w:val="134"/>
        <w:wordWrap w:val="0"/>
        <w:adjustRightInd w:val="0"/>
        <w:snapToGrid w:val="0"/>
        <w:spacing w:line="360" w:lineRule="auto"/>
        <w:rPr>
          <w:rFonts w:hint="eastAsia" w:eastAsia="宋体"/>
          <w:snapToGrid w:val="0"/>
          <w:color w:val="auto"/>
          <w:kern w:val="0"/>
          <w:sz w:val="36"/>
          <w:highlight w:val="none"/>
          <w:u w:val="single"/>
        </w:rPr>
      </w:pPr>
    </w:p>
    <w:p w14:paraId="5DFCE7B7">
      <w:pPr>
        <w:pStyle w:val="134"/>
        <w:wordWrap w:val="0"/>
        <w:adjustRightInd w:val="0"/>
        <w:snapToGrid w:val="0"/>
        <w:spacing w:line="360" w:lineRule="auto"/>
        <w:jc w:val="center"/>
        <w:rPr>
          <w:rFonts w:hint="eastAsia"/>
          <w:b/>
          <w:bCs/>
          <w:snapToGrid w:val="0"/>
          <w:color w:val="auto"/>
          <w:kern w:val="0"/>
          <w:sz w:val="52"/>
          <w:szCs w:val="52"/>
          <w:highlight w:val="none"/>
        </w:rPr>
      </w:pPr>
      <w:r>
        <w:rPr>
          <w:rFonts w:hint="eastAsia" w:eastAsia="宋体"/>
          <w:b/>
          <w:bCs/>
          <w:snapToGrid w:val="0"/>
          <w:color w:val="auto"/>
          <w:kern w:val="0"/>
          <w:sz w:val="96"/>
          <w:szCs w:val="96"/>
          <w:highlight w:val="none"/>
        </w:rPr>
        <w:t>招标文件</w:t>
      </w:r>
    </w:p>
    <w:p w14:paraId="0C4952BB">
      <w:pPr>
        <w:wordWrap w:val="0"/>
        <w:adjustRightInd w:val="0"/>
        <w:snapToGrid w:val="0"/>
        <w:jc w:val="center"/>
        <w:rPr>
          <w:rFonts w:ascii="Times New Roman"/>
          <w:b/>
          <w:bCs/>
          <w:snapToGrid w:val="0"/>
          <w:color w:val="auto"/>
          <w:kern w:val="0"/>
          <w:sz w:val="48"/>
          <w:szCs w:val="48"/>
          <w:highlight w:val="none"/>
        </w:rPr>
      </w:pPr>
    </w:p>
    <w:p w14:paraId="47A614CB">
      <w:pPr>
        <w:wordWrap w:val="0"/>
        <w:adjustRightInd w:val="0"/>
        <w:snapToGrid w:val="0"/>
        <w:jc w:val="center"/>
        <w:rPr>
          <w:rFonts w:ascii="Times New Roman"/>
          <w:b/>
          <w:bCs/>
          <w:snapToGrid w:val="0"/>
          <w:color w:val="auto"/>
          <w:kern w:val="0"/>
          <w:sz w:val="48"/>
          <w:szCs w:val="48"/>
          <w:highlight w:val="none"/>
        </w:rPr>
      </w:pPr>
    </w:p>
    <w:p w14:paraId="0DA32FE6">
      <w:pPr>
        <w:wordWrap w:val="0"/>
        <w:adjustRightInd w:val="0"/>
        <w:snapToGrid w:val="0"/>
        <w:jc w:val="center"/>
        <w:rPr>
          <w:rFonts w:ascii="Times New Roman"/>
          <w:b/>
          <w:bCs/>
          <w:snapToGrid w:val="0"/>
          <w:color w:val="auto"/>
          <w:kern w:val="0"/>
          <w:sz w:val="48"/>
          <w:szCs w:val="48"/>
          <w:highlight w:val="none"/>
        </w:rPr>
      </w:pPr>
    </w:p>
    <w:tbl>
      <w:tblPr>
        <w:tblStyle w:val="43"/>
        <w:tblpPr w:leftFromText="180" w:rightFromText="180" w:vertAnchor="text" w:horzAnchor="page" w:tblpX="889" w:tblpY="343"/>
        <w:tblOverlap w:val="never"/>
        <w:tblW w:w="9639" w:type="dxa"/>
        <w:tblInd w:w="0" w:type="dxa"/>
        <w:tblLayout w:type="fixed"/>
        <w:tblCellMar>
          <w:top w:w="0" w:type="dxa"/>
          <w:left w:w="0" w:type="dxa"/>
          <w:bottom w:w="0" w:type="dxa"/>
          <w:right w:w="0" w:type="dxa"/>
        </w:tblCellMar>
      </w:tblPr>
      <w:tblGrid>
        <w:gridCol w:w="4567"/>
        <w:gridCol w:w="5072"/>
      </w:tblGrid>
      <w:tr w14:paraId="0F27F9DF">
        <w:tblPrEx>
          <w:tblCellMar>
            <w:top w:w="0" w:type="dxa"/>
            <w:left w:w="0" w:type="dxa"/>
            <w:bottom w:w="0" w:type="dxa"/>
            <w:right w:w="0" w:type="dxa"/>
          </w:tblCellMar>
        </w:tblPrEx>
        <w:trPr>
          <w:trHeight w:val="840" w:hRule="atLeast"/>
        </w:trPr>
        <w:tc>
          <w:tcPr>
            <w:tcW w:w="4567" w:type="dxa"/>
            <w:noWrap w:val="0"/>
            <w:vAlign w:val="center"/>
          </w:tcPr>
          <w:p w14:paraId="627BF3CE">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w:t>
            </w:r>
            <w:r>
              <w:rPr>
                <w:rFonts w:hint="default" w:ascii="Times New Roman" w:hAnsi="Times New Roman" w:cs="Times New Roman"/>
                <w:snapToGrid w:val="0"/>
                <w:color w:val="auto"/>
                <w:kern w:val="0"/>
                <w:sz w:val="28"/>
                <w:szCs w:val="20"/>
                <w:highlight w:val="none"/>
              </w:rPr>
              <w:t xml:space="preserve"> </w:t>
            </w:r>
            <w:r>
              <w:rPr>
                <w:rFonts w:hint="eastAsia" w:ascii="Times New Roman" w:hAnsi="Times New Roman" w:cs="Times New Roman"/>
                <w:snapToGrid w:val="0"/>
                <w:color w:val="auto"/>
                <w:kern w:val="0"/>
                <w:sz w:val="28"/>
                <w:szCs w:val="20"/>
                <w:highlight w:val="none"/>
              </w:rPr>
              <w:t xml:space="preserve">    标</w:t>
            </w:r>
            <w:r>
              <w:rPr>
                <w:rFonts w:hint="default" w:ascii="Times New Roman" w:hAnsi="Times New Roman" w:cs="Times New Roman"/>
                <w:snapToGrid w:val="0"/>
                <w:color w:val="auto"/>
                <w:kern w:val="0"/>
                <w:sz w:val="28"/>
                <w:szCs w:val="20"/>
                <w:highlight w:val="none"/>
              </w:rPr>
              <w:t xml:space="preserve"> </w:t>
            </w:r>
            <w:r>
              <w:rPr>
                <w:rFonts w:hint="eastAsia" w:ascii="Times New Roman" w:hAnsi="Times New Roman" w:cs="Times New Roman"/>
                <w:snapToGrid w:val="0"/>
                <w:color w:val="auto"/>
                <w:kern w:val="0"/>
                <w:sz w:val="28"/>
                <w:szCs w:val="20"/>
                <w:highlight w:val="none"/>
              </w:rPr>
              <w:t xml:space="preserve">    人（盖单位章）：</w:t>
            </w:r>
          </w:p>
        </w:tc>
        <w:tc>
          <w:tcPr>
            <w:tcW w:w="5072" w:type="dxa"/>
            <w:noWrap w:val="0"/>
            <w:vAlign w:val="center"/>
          </w:tcPr>
          <w:p w14:paraId="40507BFD">
            <w:pPr>
              <w:pStyle w:val="13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hAnsi="宋体" w:eastAsia="宋体" w:cs="Times New Roman"/>
                <w:color w:val="auto"/>
                <w:sz w:val="28"/>
                <w:szCs w:val="20"/>
                <w:highlight w:val="none"/>
                <w:lang w:eastAsia="zh-CN"/>
              </w:rPr>
            </w:pPr>
            <w:r>
              <w:rPr>
                <w:rFonts w:hint="eastAsia" w:hAnsi="宋体" w:cs="Times New Roman"/>
                <w:color w:val="auto"/>
                <w:sz w:val="28"/>
                <w:szCs w:val="20"/>
                <w:highlight w:val="none"/>
                <w:lang w:eastAsia="zh-CN"/>
              </w:rPr>
              <w:t>乐昌产业转移工业园投资开发有限公司</w:t>
            </w:r>
          </w:p>
        </w:tc>
      </w:tr>
      <w:tr w14:paraId="05DDDD04">
        <w:tblPrEx>
          <w:tblCellMar>
            <w:top w:w="0" w:type="dxa"/>
            <w:left w:w="0" w:type="dxa"/>
            <w:bottom w:w="0" w:type="dxa"/>
            <w:right w:w="0" w:type="dxa"/>
          </w:tblCellMar>
        </w:tblPrEx>
        <w:trPr>
          <w:trHeight w:val="885" w:hRule="atLeast"/>
        </w:trPr>
        <w:tc>
          <w:tcPr>
            <w:tcW w:w="4567" w:type="dxa"/>
            <w:noWrap w:val="0"/>
            <w:vAlign w:val="center"/>
          </w:tcPr>
          <w:p w14:paraId="61EB7346">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招标人工作领导小组负责人（签字）：</w:t>
            </w:r>
          </w:p>
        </w:tc>
        <w:tc>
          <w:tcPr>
            <w:tcW w:w="5072" w:type="dxa"/>
            <w:noWrap w:val="0"/>
            <w:vAlign w:val="center"/>
          </w:tcPr>
          <w:p w14:paraId="56D72025">
            <w:pPr>
              <w:pStyle w:val="135"/>
              <w:keepNext w:val="0"/>
              <w:keepLines w:val="0"/>
              <w:suppressLineNumbers w:val="0"/>
              <w:spacing w:before="0" w:beforeAutospacing="0" w:after="0" w:afterAutospacing="0"/>
              <w:ind w:left="0" w:right="0"/>
              <w:jc w:val="center"/>
              <w:rPr>
                <w:rFonts w:hint="eastAsia" w:hAnsi="宋体" w:cs="Times New Roman"/>
                <w:color w:val="auto"/>
                <w:sz w:val="28"/>
                <w:szCs w:val="20"/>
                <w:highlight w:val="none"/>
              </w:rPr>
            </w:pPr>
          </w:p>
        </w:tc>
      </w:tr>
      <w:tr w14:paraId="10A5233B">
        <w:tblPrEx>
          <w:tblCellMar>
            <w:top w:w="0" w:type="dxa"/>
            <w:left w:w="0" w:type="dxa"/>
            <w:bottom w:w="0" w:type="dxa"/>
            <w:right w:w="0" w:type="dxa"/>
          </w:tblCellMar>
        </w:tblPrEx>
        <w:trPr>
          <w:trHeight w:val="867" w:hRule="atLeast"/>
        </w:trPr>
        <w:tc>
          <w:tcPr>
            <w:tcW w:w="4567" w:type="dxa"/>
            <w:noWrap w:val="0"/>
            <w:vAlign w:val="center"/>
          </w:tcPr>
          <w:p w14:paraId="7E2E1EE8">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 标 代 理 机 构 （盖单位章）：</w:t>
            </w:r>
          </w:p>
        </w:tc>
        <w:tc>
          <w:tcPr>
            <w:tcW w:w="5072" w:type="dxa"/>
            <w:noWrap w:val="0"/>
            <w:vAlign w:val="center"/>
          </w:tcPr>
          <w:p w14:paraId="75370F9C">
            <w:pPr>
              <w:pStyle w:val="135"/>
              <w:keepNext w:val="0"/>
              <w:keepLines w:val="0"/>
              <w:suppressLineNumbers w:val="0"/>
              <w:spacing w:before="0" w:beforeAutospacing="0" w:after="0" w:afterAutospacing="0"/>
              <w:ind w:left="0" w:right="0"/>
              <w:rPr>
                <w:rFonts w:hint="eastAsia" w:hAnsi="宋体" w:eastAsia="宋体" w:cs="Times New Roman"/>
                <w:color w:val="auto"/>
                <w:sz w:val="28"/>
                <w:szCs w:val="20"/>
                <w:highlight w:val="none"/>
                <w:lang w:eastAsia="zh-CN"/>
              </w:rPr>
            </w:pPr>
            <w:r>
              <w:rPr>
                <w:rFonts w:hint="eastAsia" w:hAnsi="宋体" w:eastAsia="宋体" w:cs="Times New Roman"/>
                <w:color w:val="auto"/>
                <w:sz w:val="28"/>
                <w:szCs w:val="20"/>
                <w:highlight w:val="none"/>
                <w:lang w:eastAsia="zh-CN"/>
              </w:rPr>
              <w:t>广州市云兴建设工程监理有限公司</w:t>
            </w:r>
          </w:p>
        </w:tc>
      </w:tr>
      <w:tr w14:paraId="73000CA0">
        <w:tblPrEx>
          <w:tblCellMar>
            <w:top w:w="0" w:type="dxa"/>
            <w:left w:w="0" w:type="dxa"/>
            <w:bottom w:w="0" w:type="dxa"/>
            <w:right w:w="0" w:type="dxa"/>
          </w:tblCellMar>
        </w:tblPrEx>
        <w:trPr>
          <w:trHeight w:val="898" w:hRule="atLeast"/>
        </w:trPr>
        <w:tc>
          <w:tcPr>
            <w:tcW w:w="4567" w:type="dxa"/>
            <w:noWrap w:val="0"/>
            <w:vAlign w:val="center"/>
          </w:tcPr>
          <w:p w14:paraId="6ADED493">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招标文件编制人（签字）：</w:t>
            </w:r>
          </w:p>
        </w:tc>
        <w:tc>
          <w:tcPr>
            <w:tcW w:w="5072" w:type="dxa"/>
            <w:noWrap w:val="0"/>
            <w:vAlign w:val="center"/>
          </w:tcPr>
          <w:p w14:paraId="6BB2ACB1">
            <w:pPr>
              <w:pStyle w:val="135"/>
              <w:keepNext w:val="0"/>
              <w:keepLines w:val="0"/>
              <w:suppressLineNumbers w:val="0"/>
              <w:wordWrap w:val="0"/>
              <w:spacing w:before="0" w:beforeAutospacing="0" w:after="0" w:afterAutospacing="0"/>
              <w:ind w:left="0" w:right="0"/>
              <w:rPr>
                <w:rFonts w:hint="eastAsia" w:hAnsi="宋体" w:cs="Times New Roman"/>
                <w:color w:val="auto"/>
                <w:sz w:val="28"/>
                <w:szCs w:val="20"/>
                <w:highlight w:val="none"/>
              </w:rPr>
            </w:pPr>
          </w:p>
        </w:tc>
      </w:tr>
      <w:tr w14:paraId="5D55C7DA">
        <w:tblPrEx>
          <w:tblCellMar>
            <w:top w:w="0" w:type="dxa"/>
            <w:left w:w="0" w:type="dxa"/>
            <w:bottom w:w="0" w:type="dxa"/>
            <w:right w:w="0" w:type="dxa"/>
          </w:tblCellMar>
        </w:tblPrEx>
        <w:trPr>
          <w:trHeight w:val="696" w:hRule="atLeast"/>
        </w:trPr>
        <w:tc>
          <w:tcPr>
            <w:tcW w:w="4567" w:type="dxa"/>
            <w:noWrap w:val="0"/>
            <w:vAlign w:val="center"/>
          </w:tcPr>
          <w:p w14:paraId="1FFC392D">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招标代理机构项目负责人（签字）：</w:t>
            </w:r>
          </w:p>
        </w:tc>
        <w:tc>
          <w:tcPr>
            <w:tcW w:w="5072" w:type="dxa"/>
            <w:noWrap w:val="0"/>
            <w:vAlign w:val="center"/>
          </w:tcPr>
          <w:p w14:paraId="47DB35E7">
            <w:pPr>
              <w:pStyle w:val="135"/>
              <w:keepNext w:val="0"/>
              <w:keepLines w:val="0"/>
              <w:suppressLineNumbers w:val="0"/>
              <w:wordWrap w:val="0"/>
              <w:spacing w:before="0" w:beforeAutospacing="0" w:after="0" w:afterAutospacing="0"/>
              <w:ind w:left="0" w:right="0"/>
              <w:rPr>
                <w:rFonts w:hint="eastAsia" w:hAnsi="宋体" w:cs="Times New Roman"/>
                <w:color w:val="auto"/>
                <w:sz w:val="28"/>
                <w:szCs w:val="20"/>
                <w:highlight w:val="none"/>
              </w:rPr>
            </w:pPr>
          </w:p>
        </w:tc>
      </w:tr>
      <w:tr w14:paraId="6A850C69">
        <w:tblPrEx>
          <w:tblCellMar>
            <w:top w:w="0" w:type="dxa"/>
            <w:left w:w="0" w:type="dxa"/>
            <w:bottom w:w="0" w:type="dxa"/>
            <w:right w:w="0" w:type="dxa"/>
          </w:tblCellMar>
        </w:tblPrEx>
        <w:trPr>
          <w:trHeight w:val="787" w:hRule="atLeast"/>
        </w:trPr>
        <w:tc>
          <w:tcPr>
            <w:tcW w:w="4567" w:type="dxa"/>
            <w:noWrap w:val="0"/>
            <w:vAlign w:val="center"/>
          </w:tcPr>
          <w:p w14:paraId="4D42B1E3">
            <w:pPr>
              <w:pStyle w:val="135"/>
              <w:keepNext w:val="0"/>
              <w:keepLines w:val="0"/>
              <w:suppressLineNumbers w:val="0"/>
              <w:wordWrap w:val="0"/>
              <w:adjustRightInd w:val="0"/>
              <w:snapToGrid w:val="0"/>
              <w:spacing w:before="0" w:beforeAutospacing="0" w:after="0" w:afterAutospacing="0" w:line="240" w:lineRule="auto"/>
              <w:ind w:left="0" w:right="0"/>
              <w:jc w:val="distribute"/>
              <w:rPr>
                <w:rFonts w:hint="eastAsia" w:ascii="Times New Roman" w:hAnsi="Times New Roman" w:cs="Times New Roman"/>
                <w:snapToGrid w:val="0"/>
                <w:color w:val="auto"/>
                <w:kern w:val="0"/>
                <w:sz w:val="28"/>
                <w:szCs w:val="24"/>
                <w:highlight w:val="none"/>
                <w:lang w:val="en-US" w:eastAsia="zh-CN" w:bidi="ar-SA"/>
              </w:rPr>
            </w:pPr>
            <w:r>
              <w:rPr>
                <w:rFonts w:hint="eastAsia" w:ascii="Times New Roman" w:hAnsi="Times New Roman" w:cs="Times New Roman"/>
                <w:snapToGrid w:val="0"/>
                <w:color w:val="auto"/>
                <w:kern w:val="0"/>
                <w:sz w:val="28"/>
                <w:szCs w:val="20"/>
                <w:highlight w:val="none"/>
              </w:rPr>
              <w:t xml:space="preserve"> 招标文件编制日期：</w:t>
            </w:r>
          </w:p>
        </w:tc>
        <w:tc>
          <w:tcPr>
            <w:tcW w:w="5072" w:type="dxa"/>
            <w:noWrap w:val="0"/>
            <w:vAlign w:val="center"/>
          </w:tcPr>
          <w:p w14:paraId="090ACB9E">
            <w:pPr>
              <w:pStyle w:val="135"/>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hAnsi="宋体" w:cs="Times New Roman"/>
                <w:color w:val="auto"/>
                <w:sz w:val="28"/>
                <w:szCs w:val="20"/>
                <w:highlight w:val="none"/>
              </w:rPr>
            </w:pPr>
            <w:r>
              <w:rPr>
                <w:rFonts w:hint="eastAsia" w:ascii="Times New Roman" w:cs="Times New Roman"/>
                <w:snapToGrid w:val="0"/>
                <w:color w:val="auto"/>
                <w:kern w:val="0"/>
                <w:sz w:val="28"/>
                <w:szCs w:val="20"/>
                <w:highlight w:val="none"/>
                <w:lang w:val="en-US" w:eastAsia="zh-CN"/>
              </w:rPr>
              <w:t>2026</w:t>
            </w:r>
            <w:r>
              <w:rPr>
                <w:rFonts w:hint="eastAsia" w:ascii="Times New Roman" w:hAnsi="Times New Roman" w:cs="Times New Roman"/>
                <w:snapToGrid w:val="0"/>
                <w:color w:val="auto"/>
                <w:kern w:val="0"/>
                <w:sz w:val="28"/>
                <w:szCs w:val="20"/>
                <w:highlight w:val="none"/>
              </w:rPr>
              <w:t>年</w:t>
            </w:r>
            <w:r>
              <w:rPr>
                <w:rFonts w:hint="eastAsia" w:ascii="Times New Roman" w:cs="Times New Roman"/>
                <w:snapToGrid w:val="0"/>
                <w:color w:val="auto"/>
                <w:kern w:val="0"/>
                <w:sz w:val="28"/>
                <w:szCs w:val="20"/>
                <w:highlight w:val="none"/>
                <w:lang w:val="en-US" w:eastAsia="zh-CN"/>
              </w:rPr>
              <w:t>5</w:t>
            </w:r>
            <w:r>
              <w:rPr>
                <w:rFonts w:hint="eastAsia" w:ascii="Times New Roman" w:hAnsi="Times New Roman" w:cs="Times New Roman"/>
                <w:snapToGrid w:val="0"/>
                <w:color w:val="auto"/>
                <w:kern w:val="0"/>
                <w:sz w:val="28"/>
                <w:szCs w:val="20"/>
                <w:highlight w:val="none"/>
              </w:rPr>
              <w:t>月</w:t>
            </w:r>
          </w:p>
        </w:tc>
      </w:tr>
    </w:tbl>
    <w:p w14:paraId="16DB5B0C">
      <w:pPr>
        <w:rPr>
          <w:color w:val="auto"/>
          <w:highlight w:val="none"/>
        </w:rPr>
      </w:pPr>
    </w:p>
    <w:p w14:paraId="1786C8A4">
      <w:pPr>
        <w:tabs>
          <w:tab w:val="left" w:pos="4935"/>
        </w:tabs>
        <w:wordWrap w:val="0"/>
        <w:adjustRightInd w:val="0"/>
        <w:snapToGrid w:val="0"/>
        <w:jc w:val="center"/>
        <w:rPr>
          <w:rFonts w:hint="eastAsia" w:ascii="宋体" w:hAnsi="宋体" w:eastAsia="宋体" w:cs="宋体"/>
          <w:b/>
          <w:snapToGrid w:val="0"/>
          <w:color w:val="auto"/>
          <w:kern w:val="0"/>
          <w:sz w:val="28"/>
          <w:szCs w:val="28"/>
          <w:highlight w:val="none"/>
        </w:rPr>
        <w:sectPr>
          <w:headerReference r:id="rId3" w:type="default"/>
          <w:footerReference r:id="rId4" w:type="default"/>
          <w:endnotePr>
            <w:numFmt w:val="decimal"/>
          </w:endnotePr>
          <w:pgSz w:w="11906" w:h="16838"/>
          <w:pgMar w:top="1474" w:right="1417" w:bottom="1474" w:left="1417" w:header="850" w:footer="272" w:gutter="0"/>
          <w:pgBorders>
            <w:top w:val="none" w:sz="0" w:space="0"/>
            <w:left w:val="none" w:sz="0" w:space="0"/>
            <w:bottom w:val="none" w:sz="0" w:space="0"/>
            <w:right w:val="none" w:sz="0" w:space="0"/>
          </w:pgBorders>
          <w:pgNumType w:start="1"/>
          <w:cols w:space="720" w:num="1"/>
          <w:docGrid w:linePitch="327" w:charSpace="0"/>
        </w:sectPr>
      </w:pPr>
    </w:p>
    <w:p w14:paraId="621AA67C">
      <w:pPr>
        <w:shd w:val="clear" w:color="auto" w:fill="auto"/>
        <w:jc w:val="center"/>
        <w:outlineLvl w:val="9"/>
        <w:rPr>
          <w:rFonts w:hint="eastAsia" w:ascii="宋体" w:hAnsi="宋体" w:eastAsia="宋体" w:cs="宋体"/>
          <w:b/>
          <w:bCs/>
          <w:color w:val="auto"/>
          <w:sz w:val="44"/>
          <w:szCs w:val="44"/>
          <w:highlight w:val="none"/>
        </w:rPr>
        <w:sectPr>
          <w:headerReference r:id="rId5" w:type="default"/>
          <w:footerReference r:id="rId6" w:type="default"/>
          <w:pgSz w:w="11906" w:h="16838"/>
          <w:pgMar w:top="1194"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4045C69">
      <w:pPr>
        <w:shd w:val="clear" w:color="auto" w:fill="auto"/>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6BCE7342">
      <w:pPr>
        <w:pStyle w:val="30"/>
        <w:tabs>
          <w:tab w:val="right" w:leader="dot" w:pos="9412"/>
          <w:tab w:val="clear" w:pos="8296"/>
        </w:tabs>
        <w:spacing w:line="360" w:lineRule="auto"/>
        <w:rPr>
          <w:rFonts w:hint="eastAsia" w:ascii="宋体" w:hAnsi="宋体" w:eastAsia="宋体" w:cs="宋体"/>
          <w:b w:val="0"/>
          <w:bCs/>
          <w:color w:val="auto"/>
          <w:sz w:val="28"/>
          <w:szCs w:val="28"/>
          <w:highlight w:val="none"/>
        </w:rPr>
      </w:pPr>
    </w:p>
    <w:p w14:paraId="37738870">
      <w:pPr>
        <w:pStyle w:val="30"/>
        <w:tabs>
          <w:tab w:val="right" w:leader="dot" w:pos="9412"/>
          <w:tab w:val="clear"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TOC \o "1-3" \h \u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_Toc29610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03CD6A6">
      <w:pPr>
        <w:pStyle w:val="30"/>
        <w:tabs>
          <w:tab w:val="right" w:leader="dot" w:pos="9412"/>
          <w:tab w:val="clear"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_Toc1941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第二章 </w:t>
      </w:r>
      <w:r>
        <w:rPr>
          <w:rFonts w:hint="eastAsia"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94D3262">
      <w:pPr>
        <w:pStyle w:val="35"/>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_Toc32396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DB68749">
      <w:pPr>
        <w:pStyle w:val="35"/>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_Toc29620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val="0"/>
          <w:color w:val="auto"/>
          <w:sz w:val="24"/>
          <w:szCs w:val="24"/>
          <w:highlight w:val="none"/>
          <w:lang w:eastAsia="zh-CN"/>
        </w:rPr>
        <w:t>二、 重要事项时间地点一览表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4284B6B">
      <w:pPr>
        <w:pStyle w:val="35"/>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_Toc28552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w:t>
      </w:r>
      <w:r>
        <w:rPr>
          <w:rFonts w:hint="eastAsia" w:hAnsi="宋体" w:eastAsia="宋体" w:cs="宋体"/>
          <w:bCs/>
          <w:color w:val="auto"/>
          <w:sz w:val="24"/>
          <w:szCs w:val="24"/>
          <w:highlight w:val="none"/>
          <w:lang w:val="en-US" w:eastAsia="zh-CN"/>
        </w:rPr>
        <w:t>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_Toc28552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A9A76F1">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_Toc28115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一</w:t>
      </w:r>
      <w:r>
        <w:rPr>
          <w:rFonts w:hint="eastAsia" w:ascii="宋体" w:hAnsi="宋体" w:eastAsia="宋体" w:cs="宋体"/>
          <w:bCs/>
          <w:color w:val="auto"/>
          <w:sz w:val="24"/>
          <w:szCs w:val="24"/>
          <w:highlight w:val="none"/>
        </w:rPr>
        <w:t>）总</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81936BA">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_Toc21129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投标否决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D739E5F">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_Toc9940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EEFF0B1">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_Toc32541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9C1AD31">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_Toc8563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）开标规定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4984FC0">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_Toc30929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434DECA">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_Toc14272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）定标</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9148D2B">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_Toc27464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八</w:t>
      </w:r>
      <w:r>
        <w:rPr>
          <w:rFonts w:hint="eastAsia" w:ascii="宋体" w:hAnsi="宋体" w:eastAsia="宋体" w:cs="宋体"/>
          <w:bCs/>
          <w:color w:val="auto"/>
          <w:sz w:val="24"/>
          <w:szCs w:val="24"/>
          <w:highlight w:val="none"/>
        </w:rPr>
        <w:t>）中标确认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_Toc27464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A455D82">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_Toc354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7381A5E">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_Toc26608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十</w:t>
      </w:r>
      <w:r>
        <w:rPr>
          <w:rFonts w:hint="eastAsia" w:ascii="宋体" w:hAnsi="宋体" w:eastAsia="宋体" w:cs="宋体"/>
          <w:bCs/>
          <w:color w:val="auto"/>
          <w:sz w:val="24"/>
          <w:szCs w:val="24"/>
          <w:highlight w:val="none"/>
        </w:rPr>
        <w:t>）电子管理规定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4E8170E">
      <w:pPr>
        <w:pStyle w:val="21"/>
        <w:tabs>
          <w:tab w:val="right" w:leader="dot" w:pos="941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_Toc18664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十</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1FD0126">
      <w:pPr>
        <w:pStyle w:val="30"/>
        <w:tabs>
          <w:tab w:val="right" w:leader="dot" w:pos="9412"/>
          <w:tab w:val="clear"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_Toc31368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第三章  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7A51907">
      <w:pPr>
        <w:pStyle w:val="30"/>
        <w:tabs>
          <w:tab w:val="right" w:leader="dot" w:pos="9412"/>
          <w:tab w:val="clear"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_Toc28858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第四章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2BFE100">
      <w:pPr>
        <w:pStyle w:val="30"/>
        <w:tabs>
          <w:tab w:val="right" w:leader="dot" w:pos="9412"/>
          <w:tab w:val="clear" w:pos="8296"/>
        </w:tabs>
        <w:spacing w:line="36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_Toc16615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第五章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合同条款及合同文件格式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_Toc16615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A1FF98D">
      <w:pPr>
        <w:pStyle w:val="30"/>
        <w:tabs>
          <w:tab w:val="right" w:leader="dot" w:pos="9412"/>
          <w:tab w:val="clear" w:pos="8296"/>
        </w:tabs>
        <w:spacing w:line="36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_Toc25182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第六章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施工图纸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_Toc25182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53F3B66">
      <w:pPr>
        <w:pStyle w:val="30"/>
        <w:tabs>
          <w:tab w:val="right" w:leader="dot" w:pos="9412"/>
          <w:tab w:val="clear" w:pos="8296"/>
        </w:tabs>
        <w:spacing w:line="360" w:lineRule="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_Toc24581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第七章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_Toc24581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08460A9">
      <w:pPr>
        <w:pStyle w:val="30"/>
        <w:tabs>
          <w:tab w:val="right" w:leader="dot" w:pos="9412"/>
          <w:tab w:val="clear" w:pos="8296"/>
        </w:tabs>
        <w:spacing w:line="360" w:lineRule="auto"/>
        <w:rPr>
          <w:color w:val="auto"/>
          <w:sz w:val="28"/>
          <w:szCs w:val="28"/>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_Toc3541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第八章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最高投标限</w:t>
      </w:r>
      <w:r>
        <w:rPr>
          <w:rFonts w:hint="eastAsia" w:ascii="宋体" w:hAnsi="宋体" w:eastAsia="宋体" w:cs="宋体"/>
          <w:color w:val="auto"/>
          <w:sz w:val="24"/>
          <w:szCs w:val="24"/>
          <w:highlight w:val="none"/>
        </w:rPr>
        <w:t>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_Toc3541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bCs/>
          <w:color w:val="auto"/>
          <w:sz w:val="24"/>
          <w:szCs w:val="24"/>
          <w:highlight w:val="none"/>
        </w:rPr>
        <w:fldChar w:fldCharType="end"/>
      </w:r>
      <w:bookmarkStart w:id="119" w:name="_GoBack"/>
      <w:bookmarkEnd w:id="119"/>
    </w:p>
    <w:p w14:paraId="19EA67B3">
      <w:pPr>
        <w:shd w:val="clear" w:color="auto" w:fill="auto"/>
        <w:spacing w:line="360" w:lineRule="auto"/>
        <w:jc w:val="center"/>
        <w:outlineLvl w:val="9"/>
        <w:rPr>
          <w:rFonts w:hint="eastAsia" w:ascii="宋体" w:hAnsi="宋体" w:eastAsia="宋体" w:cs="宋体"/>
          <w:bCs/>
          <w:color w:val="auto"/>
          <w:szCs w:val="44"/>
          <w:highlight w:val="none"/>
        </w:rPr>
      </w:pPr>
      <w:r>
        <w:rPr>
          <w:rFonts w:hint="eastAsia" w:ascii="宋体" w:hAnsi="宋体" w:eastAsia="宋体" w:cs="宋体"/>
          <w:bCs/>
          <w:color w:val="auto"/>
          <w:sz w:val="28"/>
          <w:szCs w:val="28"/>
          <w:highlight w:val="none"/>
        </w:rPr>
        <w:fldChar w:fldCharType="end"/>
      </w:r>
    </w:p>
    <w:p w14:paraId="639F435F">
      <w:pPr>
        <w:rPr>
          <w:rFonts w:hint="eastAsia" w:ascii="宋体" w:hAnsi="宋体" w:eastAsia="宋体" w:cs="宋体"/>
          <w:color w:val="auto"/>
          <w:highlight w:val="none"/>
        </w:rPr>
      </w:pPr>
    </w:p>
    <w:p w14:paraId="409ACFF6">
      <w:pPr>
        <w:pStyle w:val="2"/>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color w:val="auto"/>
          <w:sz w:val="32"/>
          <w:szCs w:val="32"/>
          <w:highlight w:val="none"/>
        </w:rPr>
        <w:sectPr>
          <w:pgSz w:w="11906" w:h="16838"/>
          <w:pgMar w:top="1194"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75FA69E">
      <w:pPr>
        <w:pStyle w:val="2"/>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Cs/>
          <w:color w:val="auto"/>
          <w:sz w:val="32"/>
          <w:szCs w:val="32"/>
          <w:highlight w:val="none"/>
        </w:rPr>
      </w:pPr>
      <w:bookmarkStart w:id="0" w:name="_Toc29610"/>
      <w:r>
        <w:rPr>
          <w:rFonts w:hint="eastAsia" w:ascii="宋体" w:hAnsi="宋体" w:eastAsia="宋体" w:cs="宋体"/>
          <w:color w:val="auto"/>
          <w:sz w:val="32"/>
          <w:szCs w:val="32"/>
          <w:highlight w:val="none"/>
        </w:rPr>
        <w:t>第一章  招标公告</w:t>
      </w:r>
      <w:bookmarkEnd w:id="0"/>
    </w:p>
    <w:p w14:paraId="3F03DF73">
      <w:pPr>
        <w:shd w:val="clear" w:color="auto" w:fill="auto"/>
        <w:jc w:val="center"/>
        <w:rPr>
          <w:rFonts w:hint="eastAsia" w:ascii="宋体" w:hAnsi="宋体" w:eastAsia="宋体" w:cs="宋体"/>
          <w:b/>
          <w:bCs w:val="0"/>
          <w:color w:val="auto"/>
          <w:kern w:val="0"/>
          <w:sz w:val="28"/>
          <w:szCs w:val="28"/>
          <w:highlight w:val="none"/>
          <w:shd w:val="clear" w:color="auto" w:fill="FFFFFF"/>
          <w:lang w:val="en-US" w:eastAsia="zh-CN" w:bidi="ar"/>
        </w:rPr>
      </w:pPr>
      <w:r>
        <w:rPr>
          <w:rFonts w:hint="eastAsia" w:ascii="宋体" w:hAnsi="宋体" w:eastAsia="宋体" w:cs="宋体"/>
          <w:b/>
          <w:bCs w:val="0"/>
          <w:i w:val="0"/>
          <w:color w:val="auto"/>
          <w:kern w:val="0"/>
          <w:sz w:val="28"/>
          <w:szCs w:val="28"/>
          <w:highlight w:val="none"/>
          <w:u w:val="none"/>
          <w:lang w:val="en-US" w:eastAsia="zh-CN" w:bidi="ar"/>
        </w:rPr>
        <w:t>乐昌产业园产业发展配套基础设施建设四期工程施工招标公告</w:t>
      </w:r>
    </w:p>
    <w:tbl>
      <w:tblPr>
        <w:tblStyle w:val="43"/>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024"/>
        <w:gridCol w:w="995"/>
        <w:gridCol w:w="805"/>
        <w:gridCol w:w="723"/>
        <w:gridCol w:w="345"/>
        <w:gridCol w:w="136"/>
        <w:gridCol w:w="355"/>
        <w:gridCol w:w="1402"/>
        <w:gridCol w:w="1202"/>
      </w:tblGrid>
      <w:tr w14:paraId="5AFD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05" w:type="dxa"/>
            <w:noWrap w:val="0"/>
            <w:vAlign w:val="center"/>
          </w:tcPr>
          <w:p w14:paraId="44B3677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投资项目代码/</w:t>
            </w:r>
          </w:p>
          <w:p w14:paraId="59D2098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lang w:val="en-US"/>
              </w:rPr>
            </w:pPr>
            <w:r>
              <w:rPr>
                <w:rFonts w:hint="eastAsia" w:ascii="宋体" w:hAnsi="宋体" w:eastAsia="宋体" w:cs="宋体"/>
                <w:b w:val="0"/>
                <w:bCs w:val="0"/>
                <w:i w:val="0"/>
                <w:color w:val="auto"/>
                <w:kern w:val="0"/>
                <w:sz w:val="24"/>
                <w:szCs w:val="24"/>
                <w:highlight w:val="none"/>
                <w:u w:val="none"/>
                <w:lang w:val="en-US" w:eastAsia="zh-CN" w:bidi="ar"/>
              </w:rPr>
              <w:t>项目备案号</w:t>
            </w:r>
          </w:p>
        </w:tc>
        <w:tc>
          <w:tcPr>
            <w:tcW w:w="7987" w:type="dxa"/>
            <w:gridSpan w:val="9"/>
            <w:noWrap w:val="0"/>
            <w:vAlign w:val="center"/>
          </w:tcPr>
          <w:p w14:paraId="11FDD66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2509-440281-04-01-427466</w:t>
            </w:r>
          </w:p>
        </w:tc>
      </w:tr>
      <w:tr w14:paraId="59FB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62FCB76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投资项目名称</w:t>
            </w:r>
          </w:p>
        </w:tc>
        <w:tc>
          <w:tcPr>
            <w:tcW w:w="7987" w:type="dxa"/>
            <w:gridSpan w:val="9"/>
            <w:noWrap w:val="0"/>
            <w:vAlign w:val="center"/>
          </w:tcPr>
          <w:p w14:paraId="0681990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乐昌产业园产业发展配套基础设施建设四期工程</w:t>
            </w:r>
          </w:p>
        </w:tc>
      </w:tr>
      <w:tr w14:paraId="5A49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5" w:type="dxa"/>
            <w:noWrap w:val="0"/>
            <w:vAlign w:val="center"/>
          </w:tcPr>
          <w:p w14:paraId="36CDDF0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招标项目名称</w:t>
            </w:r>
          </w:p>
        </w:tc>
        <w:tc>
          <w:tcPr>
            <w:tcW w:w="7987" w:type="dxa"/>
            <w:gridSpan w:val="9"/>
            <w:noWrap w:val="0"/>
            <w:vAlign w:val="center"/>
          </w:tcPr>
          <w:p w14:paraId="137288A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乐昌产业园产业发展配套基础设施建设四期工程施工</w:t>
            </w:r>
          </w:p>
        </w:tc>
      </w:tr>
      <w:tr w14:paraId="6C84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6825BFC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标段名称</w:t>
            </w:r>
          </w:p>
        </w:tc>
        <w:tc>
          <w:tcPr>
            <w:tcW w:w="5383" w:type="dxa"/>
            <w:gridSpan w:val="7"/>
            <w:noWrap w:val="0"/>
            <w:vAlign w:val="center"/>
          </w:tcPr>
          <w:p w14:paraId="55958FE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乐昌产业园产业发展配套基础设施建设四期工程施工</w:t>
            </w:r>
          </w:p>
        </w:tc>
        <w:tc>
          <w:tcPr>
            <w:tcW w:w="1402" w:type="dxa"/>
            <w:noWrap w:val="0"/>
            <w:vAlign w:val="center"/>
          </w:tcPr>
          <w:p w14:paraId="52F03B8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公告性质</w:t>
            </w:r>
          </w:p>
        </w:tc>
        <w:tc>
          <w:tcPr>
            <w:tcW w:w="1202" w:type="dxa"/>
            <w:noWrap w:val="0"/>
            <w:vAlign w:val="center"/>
          </w:tcPr>
          <w:p w14:paraId="3EC5081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正常</w:t>
            </w:r>
          </w:p>
        </w:tc>
      </w:tr>
      <w:tr w14:paraId="0A09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5" w:type="dxa"/>
            <w:noWrap w:val="0"/>
            <w:vAlign w:val="center"/>
          </w:tcPr>
          <w:p w14:paraId="7C48BDF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资格审查方式</w:t>
            </w:r>
          </w:p>
        </w:tc>
        <w:tc>
          <w:tcPr>
            <w:tcW w:w="7987" w:type="dxa"/>
            <w:gridSpan w:val="9"/>
            <w:noWrap w:val="0"/>
            <w:vAlign w:val="center"/>
          </w:tcPr>
          <w:p w14:paraId="397E016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资格后审</w:t>
            </w:r>
          </w:p>
        </w:tc>
      </w:tr>
      <w:tr w14:paraId="25DD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05" w:type="dxa"/>
            <w:noWrap w:val="0"/>
            <w:vAlign w:val="center"/>
          </w:tcPr>
          <w:p w14:paraId="25D3FAD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招标项目</w:t>
            </w:r>
          </w:p>
          <w:p w14:paraId="2011EF9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实施地点</w:t>
            </w:r>
          </w:p>
        </w:tc>
        <w:tc>
          <w:tcPr>
            <w:tcW w:w="7987" w:type="dxa"/>
            <w:gridSpan w:val="9"/>
            <w:noWrap w:val="0"/>
            <w:vAlign w:val="center"/>
          </w:tcPr>
          <w:p w14:paraId="4739770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乐昌产业转移工业园</w:t>
            </w:r>
          </w:p>
        </w:tc>
      </w:tr>
      <w:tr w14:paraId="074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30FC050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资金来源</w:t>
            </w:r>
          </w:p>
        </w:tc>
        <w:tc>
          <w:tcPr>
            <w:tcW w:w="3019" w:type="dxa"/>
            <w:gridSpan w:val="2"/>
            <w:noWrap w:val="0"/>
            <w:vAlign w:val="center"/>
          </w:tcPr>
          <w:p w14:paraId="04AEA93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上级财政资金，不足部分由业主单位自筹解决</w:t>
            </w:r>
          </w:p>
        </w:tc>
        <w:tc>
          <w:tcPr>
            <w:tcW w:w="1873" w:type="dxa"/>
            <w:gridSpan w:val="3"/>
            <w:noWrap w:val="0"/>
            <w:vAlign w:val="center"/>
          </w:tcPr>
          <w:p w14:paraId="398125A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资金到位情况</w:t>
            </w:r>
          </w:p>
        </w:tc>
        <w:tc>
          <w:tcPr>
            <w:tcW w:w="3095" w:type="dxa"/>
            <w:gridSpan w:val="4"/>
            <w:noWrap w:val="0"/>
            <w:vAlign w:val="center"/>
          </w:tcPr>
          <w:p w14:paraId="184BC48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已落实</w:t>
            </w:r>
          </w:p>
        </w:tc>
      </w:tr>
      <w:tr w14:paraId="111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5" w:type="dxa"/>
            <w:noWrap w:val="0"/>
            <w:vAlign w:val="center"/>
          </w:tcPr>
          <w:p w14:paraId="7A66D14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招标范围及规模</w:t>
            </w:r>
          </w:p>
        </w:tc>
        <w:tc>
          <w:tcPr>
            <w:tcW w:w="7987" w:type="dxa"/>
            <w:gridSpan w:val="9"/>
            <w:noWrap w:val="0"/>
            <w:vAlign w:val="center"/>
          </w:tcPr>
          <w:p w14:paraId="12310DA3">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按审查合格的施工图纸及工程量清单内容施工。</w:t>
            </w:r>
          </w:p>
          <w:p w14:paraId="06DF4957">
            <w:pPr>
              <w:pStyle w:val="15"/>
              <w:keepNext w:val="0"/>
              <w:keepLines w:val="0"/>
              <w:suppressLineNumbers w:val="0"/>
              <w:spacing w:before="0" w:beforeAutospacing="0" w:after="0" w:afterAutospacing="0"/>
              <w:ind w:left="0" w:right="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t>项目概算总投资2664.58万元，其中建安工程费约2170.57万元。</w:t>
            </w:r>
          </w:p>
        </w:tc>
      </w:tr>
      <w:tr w14:paraId="2A1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05" w:type="dxa"/>
            <w:noWrap w:val="0"/>
            <w:vAlign w:val="center"/>
          </w:tcPr>
          <w:p w14:paraId="24E3413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招标内容</w:t>
            </w:r>
          </w:p>
        </w:tc>
        <w:tc>
          <w:tcPr>
            <w:tcW w:w="7987" w:type="dxa"/>
            <w:gridSpan w:val="9"/>
            <w:noWrap w:val="0"/>
            <w:vAlign w:val="center"/>
          </w:tcPr>
          <w:p w14:paraId="2DA3EA59">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新建3条园区内配套道路，新建1条慢行道，7处边坡防护及5处排水工程治理等。</w:t>
            </w:r>
          </w:p>
        </w:tc>
      </w:tr>
      <w:tr w14:paraId="7145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5" w:type="dxa"/>
            <w:noWrap w:val="0"/>
            <w:vAlign w:val="center"/>
          </w:tcPr>
          <w:p w14:paraId="74AB3E4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工期</w:t>
            </w:r>
          </w:p>
        </w:tc>
        <w:tc>
          <w:tcPr>
            <w:tcW w:w="7987" w:type="dxa"/>
            <w:gridSpan w:val="9"/>
            <w:noWrap w:val="0"/>
            <w:vAlign w:val="center"/>
          </w:tcPr>
          <w:p w14:paraId="5B1564E1">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本项目施工招标工期为365个日历天</w:t>
            </w:r>
          </w:p>
        </w:tc>
      </w:tr>
      <w:tr w14:paraId="38E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5" w:type="dxa"/>
            <w:noWrap w:val="0"/>
            <w:vAlign w:val="center"/>
          </w:tcPr>
          <w:p w14:paraId="691C68B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i w:val="0"/>
                <w:iCs/>
                <w:color w:val="auto"/>
                <w:kern w:val="2"/>
                <w:sz w:val="24"/>
                <w:szCs w:val="24"/>
                <w:highlight w:val="none"/>
                <w:lang w:val="en-US" w:eastAsia="zh-CN" w:bidi="ar-SA"/>
              </w:rPr>
            </w:pPr>
            <w:bookmarkStart w:id="1" w:name="OLE_LINK1"/>
            <w:bookmarkStart w:id="2" w:name="OLE_LINK3"/>
            <w:bookmarkStart w:id="3" w:name="OLE_LINK4"/>
            <w:r>
              <w:rPr>
                <w:rFonts w:hint="eastAsia" w:ascii="宋体" w:hAnsi="宋体" w:eastAsia="宋体" w:cs="宋体"/>
                <w:b w:val="0"/>
                <w:bCs/>
                <w:i w:val="0"/>
                <w:iCs/>
                <w:color w:val="auto"/>
                <w:kern w:val="2"/>
                <w:sz w:val="24"/>
                <w:szCs w:val="24"/>
                <w:highlight w:val="none"/>
                <w:lang w:val="en-US" w:eastAsia="zh-CN" w:bidi="ar-SA"/>
              </w:rPr>
              <w:t>最高投标限价</w:t>
            </w:r>
            <w:bookmarkEnd w:id="1"/>
            <w:bookmarkEnd w:id="2"/>
            <w:bookmarkEnd w:id="3"/>
          </w:p>
        </w:tc>
        <w:tc>
          <w:tcPr>
            <w:tcW w:w="7987" w:type="dxa"/>
            <w:gridSpan w:val="9"/>
            <w:noWrap w:val="0"/>
            <w:vAlign w:val="center"/>
          </w:tcPr>
          <w:p w14:paraId="32B3209F">
            <w:pPr>
              <w:pStyle w:val="15"/>
              <w:keepNext w:val="0"/>
              <w:keepLines w:val="0"/>
              <w:suppressLineNumbers w:val="0"/>
              <w:wordWrap w:val="0"/>
              <w:spacing w:before="0" w:beforeAutospacing="0" w:after="0" w:afterAutospacing="0"/>
              <w:ind w:left="0" w:right="0"/>
              <w:rPr>
                <w:rFonts w:hint="default" w:ascii="宋体" w:hAnsi="宋体" w:eastAsia="宋体" w:cs="宋体"/>
                <w:b w:val="0"/>
                <w:bCs/>
                <w:i w:val="0"/>
                <w:iCs/>
                <w:color w:val="auto"/>
                <w:kern w:val="2"/>
                <w:sz w:val="24"/>
                <w:szCs w:val="24"/>
                <w:highlight w:val="none"/>
                <w:lang w:val="en-US" w:eastAsia="zh-CN" w:bidi="ar-SA"/>
              </w:rPr>
            </w:pPr>
            <w:r>
              <w:rPr>
                <w:rFonts w:hint="default" w:ascii="宋体" w:hAnsi="宋体" w:eastAsia="宋体" w:cs="宋体"/>
                <w:bCs/>
                <w:snapToGrid w:val="0"/>
                <w:color w:val="auto"/>
                <w:kern w:val="0"/>
                <w:sz w:val="24"/>
                <w:szCs w:val="24"/>
                <w:highlight w:val="none"/>
                <w:lang w:val="en-US" w:eastAsia="zh-CN"/>
              </w:rPr>
              <w:t>本招标项目最高投标限价为人民币（大写）：</w:t>
            </w:r>
            <w:r>
              <w:rPr>
                <w:rFonts w:hint="eastAsia" w:ascii="宋体" w:hAnsi="宋体" w:eastAsia="宋体" w:cs="宋体"/>
                <w:bCs/>
                <w:snapToGrid w:val="0"/>
                <w:color w:val="auto"/>
                <w:kern w:val="0"/>
                <w:sz w:val="24"/>
                <w:szCs w:val="24"/>
                <w:highlight w:val="none"/>
                <w:u w:val="single"/>
                <w:lang w:val="en-US" w:eastAsia="zh-CN"/>
              </w:rPr>
              <w:t>壹仟陆佰柒拾陆万陆仟伍佰柒拾陆元捌角肆分</w:t>
            </w:r>
            <w:r>
              <w:rPr>
                <w:rFonts w:hint="default"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u w:val="single"/>
                <w:lang w:val="en-US" w:eastAsia="zh-CN"/>
              </w:rPr>
              <w:t>16766576.84</w:t>
            </w:r>
            <w:r>
              <w:rPr>
                <w:rFonts w:hint="default" w:ascii="宋体" w:hAnsi="宋体" w:eastAsia="宋体" w:cs="宋体"/>
                <w:bCs/>
                <w:snapToGrid w:val="0"/>
                <w:color w:val="auto"/>
                <w:kern w:val="0"/>
                <w:sz w:val="24"/>
                <w:szCs w:val="24"/>
                <w:highlight w:val="none"/>
                <w:lang w:val="en-US" w:eastAsia="zh-CN"/>
              </w:rPr>
              <w:t>元）</w:t>
            </w:r>
            <w:r>
              <w:rPr>
                <w:rFonts w:hint="eastAsia" w:ascii="宋体" w:hAnsi="宋体" w:eastAsia="宋体" w:cs="宋体"/>
                <w:bCs/>
                <w:snapToGrid w:val="0"/>
                <w:color w:val="auto"/>
                <w:kern w:val="0"/>
                <w:sz w:val="24"/>
                <w:szCs w:val="24"/>
                <w:highlight w:val="none"/>
                <w:lang w:val="en-US" w:eastAsia="zh-CN"/>
              </w:rPr>
              <w:t>。</w:t>
            </w:r>
          </w:p>
        </w:tc>
      </w:tr>
      <w:tr w14:paraId="495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26AB3C1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成本警示价</w:t>
            </w:r>
          </w:p>
        </w:tc>
        <w:tc>
          <w:tcPr>
            <w:tcW w:w="7987" w:type="dxa"/>
            <w:gridSpan w:val="9"/>
            <w:noWrap w:val="0"/>
            <w:vAlign w:val="center"/>
          </w:tcPr>
          <w:p w14:paraId="18E86E7B">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投标报价要求：</w:t>
            </w:r>
          </w:p>
          <w:p w14:paraId="22169850">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⑴投标人的投标报价</w:t>
            </w:r>
            <w:r>
              <w:rPr>
                <w:rFonts w:hint="eastAsia" w:hAnsi="宋体" w:cs="宋体"/>
                <w:color w:val="auto"/>
                <w:sz w:val="24"/>
                <w:szCs w:val="24"/>
                <w:highlight w:val="none"/>
                <w:lang w:val="en-US" w:eastAsia="zh-CN"/>
              </w:rPr>
              <w:t>均</w:t>
            </w:r>
            <w:r>
              <w:rPr>
                <w:rFonts w:hint="eastAsia" w:ascii="宋体" w:hAnsi="宋体" w:eastAsia="宋体" w:cs="宋体"/>
                <w:color w:val="auto"/>
                <w:sz w:val="24"/>
                <w:szCs w:val="24"/>
                <w:highlight w:val="none"/>
                <w:lang w:val="en-US" w:eastAsia="zh-CN"/>
              </w:rPr>
              <w:t>不得高于招标人设置的最高投标限价，否则作无效投标处理；</w:t>
            </w:r>
          </w:p>
          <w:p w14:paraId="198735DC">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⑵投标人的投标报价如低于招标项目的成本警示价的，需提供成本分析资料等报价依据。（成本警示价＝最高投标限价×85%）</w:t>
            </w:r>
          </w:p>
        </w:tc>
      </w:tr>
      <w:tr w14:paraId="04B7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0B63269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是否接受联合体投标</w:t>
            </w:r>
          </w:p>
        </w:tc>
        <w:tc>
          <w:tcPr>
            <w:tcW w:w="7987" w:type="dxa"/>
            <w:gridSpan w:val="9"/>
            <w:noWrap w:val="0"/>
            <w:vAlign w:val="center"/>
          </w:tcPr>
          <w:p w14:paraId="7BCBC94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否</w:t>
            </w:r>
          </w:p>
        </w:tc>
      </w:tr>
      <w:tr w14:paraId="3393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05" w:type="dxa"/>
            <w:noWrap w:val="0"/>
            <w:vAlign w:val="center"/>
          </w:tcPr>
          <w:p w14:paraId="394AA040">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p>
          <w:p w14:paraId="4428BF29">
            <w:pPr>
              <w:pStyle w:val="15"/>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投标人及相关人员资格要求</w:t>
            </w:r>
            <w:r>
              <w:rPr>
                <w:rFonts w:hint="eastAsia" w:ascii="宋体" w:hAnsi="宋体" w:eastAsia="宋体" w:cs="宋体"/>
                <w:color w:val="auto"/>
                <w:sz w:val="24"/>
                <w:szCs w:val="24"/>
                <w:highlight w:val="none"/>
                <w:lang w:val="en-US" w:eastAsia="zh-CN"/>
              </w:rPr>
              <w:br w:type="textWrapping"/>
            </w:r>
          </w:p>
        </w:tc>
        <w:tc>
          <w:tcPr>
            <w:tcW w:w="7987" w:type="dxa"/>
            <w:gridSpan w:val="9"/>
            <w:noWrap w:val="0"/>
            <w:vAlign w:val="center"/>
          </w:tcPr>
          <w:p w14:paraId="0E914330">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投标人资格要求：</w:t>
            </w:r>
          </w:p>
          <w:p w14:paraId="027E1FC4">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（1）资质要求</w:t>
            </w:r>
          </w:p>
          <w:p w14:paraId="24597B97">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①投标人须具备独立法人资格，按国家法律经营。</w:t>
            </w:r>
          </w:p>
          <w:p w14:paraId="23EF2FB7">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②投标人须持有建设行政主管部门颁发的企业资质证书及安全生产许可证。</w:t>
            </w:r>
          </w:p>
          <w:p w14:paraId="62DBA983">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hAnsi="宋体" w:cs="宋体"/>
                <w:color w:val="auto"/>
                <w:sz w:val="24"/>
                <w:szCs w:val="24"/>
                <w:highlight w:val="none"/>
                <w:lang w:val="en-US" w:eastAsia="zh-CN"/>
              </w:rPr>
              <w:t>投标人须具备以下资质</w:t>
            </w:r>
            <w:r>
              <w:rPr>
                <w:rFonts w:hint="eastAsia" w:ascii="宋体" w:hAnsi="宋体" w:eastAsia="宋体" w:cs="宋体"/>
                <w:color w:val="auto"/>
                <w:sz w:val="24"/>
                <w:szCs w:val="24"/>
                <w:highlight w:val="none"/>
                <w:lang w:val="en-US" w:eastAsia="zh-CN"/>
              </w:rPr>
              <w:t>：</w:t>
            </w:r>
            <w:r>
              <w:rPr>
                <w:rFonts w:hint="eastAsia" w:hAnsi="宋体" w:cs="宋体"/>
                <w:b/>
                <w:bCs/>
                <w:color w:val="auto"/>
                <w:sz w:val="24"/>
                <w:szCs w:val="24"/>
                <w:highlight w:val="none"/>
                <w:u w:val="single"/>
                <w:lang w:val="en-US" w:eastAsia="zh-CN"/>
              </w:rPr>
              <w:t>市政公用工程施工总承包三级以上（含三级）资质</w:t>
            </w:r>
            <w:r>
              <w:rPr>
                <w:rFonts w:hint="eastAsia" w:ascii="宋体" w:hAnsi="宋体" w:eastAsia="宋体" w:cs="宋体"/>
                <w:color w:val="auto"/>
                <w:sz w:val="24"/>
                <w:szCs w:val="24"/>
                <w:highlight w:val="none"/>
                <w:lang w:val="en-US" w:eastAsia="zh-CN"/>
              </w:rPr>
              <w:t>。</w:t>
            </w:r>
          </w:p>
          <w:p w14:paraId="187DE8FF">
            <w:pPr>
              <w:pStyle w:val="15"/>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510F5EDA">
            <w:pPr>
              <w:pStyle w:val="15"/>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项目负责人资格要求：</w:t>
            </w:r>
            <w:r>
              <w:rPr>
                <w:rFonts w:hint="eastAsia" w:hAnsi="宋体" w:cs="宋体"/>
                <w:color w:val="auto"/>
                <w:sz w:val="24"/>
                <w:szCs w:val="24"/>
                <w:highlight w:val="none"/>
                <w:lang w:val="en-US" w:eastAsia="zh-CN"/>
              </w:rPr>
              <w:t>即项目经理须具有</w:t>
            </w:r>
            <w:r>
              <w:rPr>
                <w:rFonts w:hint="eastAsia" w:hAnsi="宋体" w:cs="宋体"/>
                <w:b/>
                <w:bCs/>
                <w:color w:val="auto"/>
                <w:sz w:val="24"/>
                <w:szCs w:val="24"/>
                <w:highlight w:val="none"/>
                <w:u w:val="single"/>
                <w:lang w:val="en-US" w:eastAsia="zh-CN"/>
              </w:rPr>
              <w:t>市政公用工程</w:t>
            </w:r>
            <w:r>
              <w:rPr>
                <w:rFonts w:hint="eastAsia" w:hAnsi="宋体" w:cs="宋体"/>
                <w:color w:val="auto"/>
                <w:sz w:val="24"/>
                <w:szCs w:val="24"/>
                <w:highlight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w:t>
            </w:r>
            <w:r>
              <w:rPr>
                <w:rFonts w:hint="eastAsia" w:ascii="宋体" w:hAnsi="宋体" w:eastAsia="宋体" w:cs="宋体"/>
                <w:color w:val="auto"/>
                <w:sz w:val="24"/>
                <w:szCs w:val="24"/>
                <w:highlight w:val="none"/>
                <w:lang w:val="en-US" w:eastAsia="zh-CN"/>
              </w:rPr>
              <w:t>。同时均须具备有效安全生产考核合格证明（B证），且未担任其他在施（包括已中标未开工、已开工未竣工、在项目开标时间仍在建筑市场监管平台被“锁定”无法报建的）建设工程项目的项目经理；</w:t>
            </w:r>
          </w:p>
          <w:p w14:paraId="150702B9">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项目技术负责人资格要求：</w:t>
            </w:r>
            <w:r>
              <w:rPr>
                <w:rFonts w:hint="eastAsia" w:hAnsi="宋体" w:cs="宋体"/>
                <w:color w:val="auto"/>
                <w:sz w:val="24"/>
                <w:szCs w:val="24"/>
                <w:highlight w:val="none"/>
                <w:lang w:val="en-US" w:eastAsia="zh-CN"/>
              </w:rPr>
              <w:t>须具备</w:t>
            </w:r>
            <w:r>
              <w:rPr>
                <w:rFonts w:hint="eastAsia" w:hAnsi="宋体" w:cs="宋体"/>
                <w:b/>
                <w:bCs/>
                <w:color w:val="auto"/>
                <w:sz w:val="24"/>
                <w:szCs w:val="24"/>
                <w:highlight w:val="none"/>
                <w:u w:val="single"/>
                <w:lang w:val="en-US" w:eastAsia="zh-CN"/>
              </w:rPr>
              <w:t>市政公用工程相关</w:t>
            </w:r>
            <w:r>
              <w:rPr>
                <w:rFonts w:hint="eastAsia" w:hAnsi="宋体" w:cs="宋体"/>
                <w:color w:val="auto"/>
                <w:sz w:val="24"/>
                <w:szCs w:val="24"/>
                <w:highlight w:val="none"/>
                <w:lang w:val="en-US" w:eastAsia="zh-CN"/>
              </w:rPr>
              <w:t>专业中级以上（含中级）技术职称</w:t>
            </w:r>
            <w:r>
              <w:rPr>
                <w:rFonts w:hint="eastAsia" w:ascii="宋体" w:hAnsi="宋体" w:eastAsia="宋体" w:cs="宋体"/>
                <w:color w:val="auto"/>
                <w:sz w:val="24"/>
                <w:szCs w:val="24"/>
                <w:highlight w:val="none"/>
                <w:lang w:val="en-US" w:eastAsia="zh-CN"/>
              </w:rPr>
              <w:t>；</w:t>
            </w:r>
          </w:p>
          <w:p w14:paraId="6224DF27">
            <w:pPr>
              <w:pStyle w:val="1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项目专职安全员资格要求：须具备有效安全生产考核合格证明（C证），且不少于</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w:t>
            </w:r>
          </w:p>
          <w:p w14:paraId="4DEE7163">
            <w:pPr>
              <w:keepNext w:val="0"/>
              <w:keepLines w:val="0"/>
              <w:suppressLineNumbers w:val="0"/>
              <w:spacing w:before="0" w:beforeAutospacing="0" w:after="0" w:afterAutospacing="0"/>
              <w:ind w:left="0" w:right="0"/>
              <w:rPr>
                <w:rFonts w:hint="eastAsia" w:ascii="Times New Roman" w:hAnsi="Times New Roman" w:cs="Times New Roman"/>
                <w:color w:val="auto"/>
                <w:highlight w:val="none"/>
                <w:lang w:val="en-US" w:eastAsia="zh-CN"/>
              </w:rPr>
            </w:pPr>
            <w:r>
              <w:rPr>
                <w:rFonts w:hint="eastAsia" w:ascii="宋体" w:hAnsi="宋体" w:eastAsia="宋体" w:cs="宋体"/>
                <w:color w:val="auto"/>
                <w:kern w:val="2"/>
                <w:sz w:val="24"/>
                <w:szCs w:val="24"/>
                <w:highlight w:val="none"/>
                <w:lang w:val="en-US" w:eastAsia="zh-CN" w:bidi="ar-SA"/>
              </w:rPr>
              <w:t>（6）投标人（包括组成联合体的所有成员单位）与其拟派往本项目管理机构的所有人员之间必须具备合法、唯一的劳动聘用关系。拟派人员中具备注册执业资格的，其注册单位须与投标人保持一致。</w:t>
            </w:r>
          </w:p>
        </w:tc>
      </w:tr>
      <w:tr w14:paraId="387C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05" w:type="dxa"/>
            <w:noWrap w:val="0"/>
            <w:vAlign w:val="center"/>
          </w:tcPr>
          <w:p w14:paraId="3C5F39A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是否采用电子</w:t>
            </w:r>
            <w:r>
              <w:rPr>
                <w:rFonts w:hint="eastAsia" w:ascii="宋体" w:hAnsi="宋体" w:eastAsia="宋体" w:cs="宋体"/>
                <w:b w:val="0"/>
                <w:bCs w:val="0"/>
                <w:i w:val="0"/>
                <w:color w:val="auto"/>
                <w:kern w:val="0"/>
                <w:sz w:val="24"/>
                <w:szCs w:val="24"/>
                <w:highlight w:val="none"/>
                <w:u w:val="none"/>
                <w:lang w:val="en-US" w:eastAsia="zh-CN" w:bidi="ar"/>
              </w:rPr>
              <w:br w:type="textWrapping"/>
            </w:r>
            <w:r>
              <w:rPr>
                <w:rFonts w:hint="eastAsia" w:ascii="宋体" w:hAnsi="宋体" w:eastAsia="宋体" w:cs="宋体"/>
                <w:b w:val="0"/>
                <w:bCs w:val="0"/>
                <w:i w:val="0"/>
                <w:color w:val="auto"/>
                <w:kern w:val="0"/>
                <w:sz w:val="24"/>
                <w:szCs w:val="24"/>
                <w:highlight w:val="none"/>
                <w:u w:val="none"/>
                <w:lang w:val="en-US" w:eastAsia="zh-CN" w:bidi="ar"/>
              </w:rPr>
              <w:t>招标投标方式</w:t>
            </w:r>
          </w:p>
        </w:tc>
        <w:tc>
          <w:tcPr>
            <w:tcW w:w="2024" w:type="dxa"/>
            <w:noWrap w:val="0"/>
            <w:vAlign w:val="center"/>
          </w:tcPr>
          <w:p w14:paraId="392C017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w:t>
            </w:r>
          </w:p>
        </w:tc>
        <w:tc>
          <w:tcPr>
            <w:tcW w:w="1800" w:type="dxa"/>
            <w:gridSpan w:val="2"/>
            <w:noWrap w:val="0"/>
            <w:vAlign w:val="center"/>
          </w:tcPr>
          <w:p w14:paraId="44C9C0A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获取招标文件的方式</w:t>
            </w:r>
          </w:p>
        </w:tc>
        <w:tc>
          <w:tcPr>
            <w:tcW w:w="723" w:type="dxa"/>
            <w:noWrap w:val="0"/>
            <w:vAlign w:val="center"/>
          </w:tcPr>
          <w:p w14:paraId="527841FF">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下载招标文件的网络地址</w:t>
            </w:r>
          </w:p>
        </w:tc>
        <w:tc>
          <w:tcPr>
            <w:tcW w:w="3440" w:type="dxa"/>
            <w:gridSpan w:val="5"/>
            <w:noWrap w:val="0"/>
            <w:vAlign w:val="center"/>
          </w:tcPr>
          <w:p w14:paraId="5AF78B0A">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登录全国公共资源交易平台（广东省·韶关市）（https://ygp.gdzwfw.gov.cn/#/440200/index），或者广东省招标投标监管网（http://zbtb.gd.gov.cn/#/index），使用新建设工程交易系统进行下载招标文件及相关附件。</w:t>
            </w:r>
          </w:p>
        </w:tc>
      </w:tr>
      <w:tr w14:paraId="12F7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05" w:type="dxa"/>
            <w:noWrap w:val="0"/>
            <w:vAlign w:val="center"/>
          </w:tcPr>
          <w:p w14:paraId="3947D1A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w:t>
            </w:r>
          </w:p>
          <w:p w14:paraId="46BF21A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开始时间</w:t>
            </w:r>
          </w:p>
        </w:tc>
        <w:tc>
          <w:tcPr>
            <w:tcW w:w="2024" w:type="dxa"/>
            <w:noWrap w:val="0"/>
            <w:vAlign w:val="center"/>
          </w:tcPr>
          <w:p w14:paraId="60B66A5D">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color w:val="auto"/>
                <w:kern w:val="2"/>
                <w:sz w:val="24"/>
                <w:szCs w:val="24"/>
                <w:highlight w:val="none"/>
                <w:lang w:val="en-US" w:eastAsia="zh-CN" w:bidi="ar"/>
              </w:rPr>
              <w:t>2026年</w:t>
            </w:r>
            <w:r>
              <w:rPr>
                <w:rFonts w:hint="eastAsia" w:ascii="宋体" w:hAnsi="宋体" w:cs="宋体"/>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14</w:t>
            </w:r>
            <w:r>
              <w:rPr>
                <w:rFonts w:hint="eastAsia" w:ascii="宋体" w:hAnsi="宋体" w:eastAsia="宋体" w:cs="宋体"/>
                <w:color w:val="auto"/>
                <w:kern w:val="2"/>
                <w:sz w:val="24"/>
                <w:szCs w:val="24"/>
                <w:highlight w:val="none"/>
                <w:lang w:val="en-US" w:eastAsia="zh-CN" w:bidi="ar"/>
              </w:rPr>
              <w:t xml:space="preserve">日     </w:t>
            </w:r>
            <w:r>
              <w:rPr>
                <w:rFonts w:hint="eastAsia" w:ascii="宋体" w:hAnsi="宋体" w:cs="宋体"/>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00</w:t>
            </w:r>
            <w:r>
              <w:rPr>
                <w:rFonts w:hint="eastAsia" w:ascii="宋体" w:hAnsi="宋体" w:eastAsia="宋体" w:cs="宋体"/>
                <w:color w:val="auto"/>
                <w:kern w:val="2"/>
                <w:sz w:val="24"/>
                <w:szCs w:val="24"/>
                <w:highlight w:val="none"/>
                <w:lang w:val="en-US" w:eastAsia="zh-CN" w:bidi="ar"/>
              </w:rPr>
              <w:t>分</w:t>
            </w:r>
          </w:p>
        </w:tc>
        <w:tc>
          <w:tcPr>
            <w:tcW w:w="1800" w:type="dxa"/>
            <w:gridSpan w:val="2"/>
            <w:noWrap w:val="0"/>
            <w:vAlign w:val="center"/>
          </w:tcPr>
          <w:p w14:paraId="7D20323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获取招标文件截止时间</w:t>
            </w:r>
          </w:p>
        </w:tc>
        <w:tc>
          <w:tcPr>
            <w:tcW w:w="4163" w:type="dxa"/>
            <w:gridSpan w:val="6"/>
            <w:noWrap w:val="0"/>
            <w:vAlign w:val="center"/>
          </w:tcPr>
          <w:p w14:paraId="30C16177">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2026年6月4日</w:t>
            </w:r>
            <w:r>
              <w:rPr>
                <w:rFonts w:hint="eastAsia" w:ascii="宋体" w:hAnsi="宋体" w:cs="宋体"/>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6C28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705" w:type="dxa"/>
            <w:noWrap w:val="0"/>
            <w:vAlign w:val="center"/>
          </w:tcPr>
          <w:p w14:paraId="546B0D7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递交投标文件</w:t>
            </w:r>
          </w:p>
          <w:p w14:paraId="483157F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截止时间</w:t>
            </w:r>
          </w:p>
        </w:tc>
        <w:tc>
          <w:tcPr>
            <w:tcW w:w="2024" w:type="dxa"/>
            <w:noWrap w:val="0"/>
            <w:vAlign w:val="center"/>
          </w:tcPr>
          <w:p w14:paraId="1453D49F">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
              </w:rPr>
              <w:t xml:space="preserve">2026年6月4日   </w:t>
            </w:r>
            <w:r>
              <w:rPr>
                <w:rFonts w:hint="eastAsia" w:ascii="宋体" w:hAnsi="宋体" w:cs="宋体"/>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c>
          <w:tcPr>
            <w:tcW w:w="1800" w:type="dxa"/>
            <w:gridSpan w:val="2"/>
            <w:noWrap w:val="0"/>
            <w:vAlign w:val="center"/>
          </w:tcPr>
          <w:p w14:paraId="3347034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投标文件</w:t>
            </w:r>
          </w:p>
          <w:p w14:paraId="1652777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递交方式</w:t>
            </w:r>
          </w:p>
        </w:tc>
        <w:tc>
          <w:tcPr>
            <w:tcW w:w="4163" w:type="dxa"/>
            <w:gridSpan w:val="6"/>
            <w:noWrap w:val="0"/>
            <w:vAlign w:val="center"/>
          </w:tcPr>
          <w:p w14:paraId="13BA2DF2">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投标人应在招标文件规定的时间前，登陆全国公共资源交易平台（广东省·韶关市） 办理网上投标登记手续，并在递交投标文件截止时间前，通过全国公共资源交易平台（广东省·韶关市） 递交电子投标文件,按照全国公共资源交易平台（广东省·韶关市） 关于全流程电子化项目的相关指南进行操作。</w:t>
            </w:r>
          </w:p>
        </w:tc>
      </w:tr>
      <w:tr w14:paraId="4BB5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05" w:type="dxa"/>
            <w:noWrap w:val="0"/>
            <w:vAlign w:val="center"/>
          </w:tcPr>
          <w:p w14:paraId="3C20006B">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开标时间</w:t>
            </w:r>
          </w:p>
        </w:tc>
        <w:tc>
          <w:tcPr>
            <w:tcW w:w="2024" w:type="dxa"/>
            <w:noWrap w:val="0"/>
            <w:vAlign w:val="center"/>
          </w:tcPr>
          <w:p w14:paraId="1D71D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
              </w:rPr>
              <w:t xml:space="preserve">2026年6月4日   </w:t>
            </w:r>
            <w:r>
              <w:rPr>
                <w:rFonts w:hint="eastAsia" w:ascii="宋体" w:hAnsi="宋体" w:cs="宋体"/>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c>
          <w:tcPr>
            <w:tcW w:w="1800" w:type="dxa"/>
            <w:gridSpan w:val="2"/>
            <w:noWrap w:val="0"/>
            <w:vAlign w:val="center"/>
          </w:tcPr>
          <w:p w14:paraId="4EAB3D3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开标地点</w:t>
            </w:r>
          </w:p>
        </w:tc>
        <w:tc>
          <w:tcPr>
            <w:tcW w:w="4163" w:type="dxa"/>
            <w:gridSpan w:val="6"/>
            <w:noWrap w:val="0"/>
            <w:vAlign w:val="center"/>
          </w:tcPr>
          <w:p w14:paraId="7BBC00EF">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韶关市公共资源交易中心（地址：乐昌市昌山北路23号韶关市公共资源交易中心乐昌分中心），具体开标室以当日现场通知为准。</w:t>
            </w:r>
          </w:p>
        </w:tc>
      </w:tr>
      <w:tr w14:paraId="4216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5" w:type="dxa"/>
            <w:noWrap w:val="0"/>
            <w:vAlign w:val="center"/>
          </w:tcPr>
          <w:p w14:paraId="186A4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发布公告媒介</w:t>
            </w:r>
          </w:p>
        </w:tc>
        <w:tc>
          <w:tcPr>
            <w:tcW w:w="7987" w:type="dxa"/>
            <w:gridSpan w:val="9"/>
            <w:noWrap w:val="0"/>
            <w:vAlign w:val="center"/>
          </w:tcPr>
          <w:p w14:paraId="2F44CAA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1.全国公共资源交易平台（广东省·韶关市）</w:t>
            </w:r>
          </w:p>
          <w:p w14:paraId="731E2B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（https://ygp.gdzwfw.gov.cn/#/440200/index）</w:t>
            </w:r>
          </w:p>
          <w:p w14:paraId="22AFCD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2.广东省招标投标监管网（http://zbtb.gd.gov.cn/#/index）</w:t>
            </w:r>
          </w:p>
        </w:tc>
      </w:tr>
      <w:tr w14:paraId="3FEE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3002260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w:t>
            </w:r>
          </w:p>
        </w:tc>
        <w:tc>
          <w:tcPr>
            <w:tcW w:w="3824" w:type="dxa"/>
            <w:gridSpan w:val="3"/>
            <w:noWrap w:val="0"/>
            <w:vAlign w:val="center"/>
          </w:tcPr>
          <w:p w14:paraId="0E41DC2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乐昌产业转移工业园投资开发有限公司</w:t>
            </w:r>
          </w:p>
        </w:tc>
        <w:tc>
          <w:tcPr>
            <w:tcW w:w="1204" w:type="dxa"/>
            <w:gridSpan w:val="3"/>
            <w:noWrap w:val="0"/>
            <w:vAlign w:val="center"/>
          </w:tcPr>
          <w:p w14:paraId="744BBC6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2959" w:type="dxa"/>
            <w:gridSpan w:val="3"/>
            <w:noWrap w:val="0"/>
            <w:vAlign w:val="center"/>
          </w:tcPr>
          <w:p w14:paraId="566E2CC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乐昌市乐昌产业转移工业园乐园大道12号</w:t>
            </w:r>
          </w:p>
        </w:tc>
      </w:tr>
      <w:tr w14:paraId="06C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4B87280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招标人联系人</w:t>
            </w:r>
          </w:p>
        </w:tc>
        <w:tc>
          <w:tcPr>
            <w:tcW w:w="3824" w:type="dxa"/>
            <w:gridSpan w:val="3"/>
            <w:noWrap w:val="0"/>
            <w:vAlign w:val="center"/>
          </w:tcPr>
          <w:p w14:paraId="53F1308D">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朱先生</w:t>
            </w:r>
          </w:p>
        </w:tc>
        <w:tc>
          <w:tcPr>
            <w:tcW w:w="1204" w:type="dxa"/>
            <w:gridSpan w:val="3"/>
            <w:noWrap w:val="0"/>
            <w:vAlign w:val="center"/>
          </w:tcPr>
          <w:p w14:paraId="04792A7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noWrap w:val="0"/>
            <w:vAlign w:val="center"/>
          </w:tcPr>
          <w:p w14:paraId="60029C0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0751-5567685</w:t>
            </w:r>
          </w:p>
        </w:tc>
      </w:tr>
      <w:tr w14:paraId="0FA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3988B53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招标代理机构</w:t>
            </w:r>
          </w:p>
        </w:tc>
        <w:tc>
          <w:tcPr>
            <w:tcW w:w="3824" w:type="dxa"/>
            <w:gridSpan w:val="3"/>
            <w:noWrap w:val="0"/>
            <w:vAlign w:val="center"/>
          </w:tcPr>
          <w:p w14:paraId="7D7F3CC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广州市云兴建设工程监理有限公司</w:t>
            </w:r>
          </w:p>
        </w:tc>
        <w:tc>
          <w:tcPr>
            <w:tcW w:w="1204" w:type="dxa"/>
            <w:gridSpan w:val="3"/>
            <w:noWrap w:val="0"/>
            <w:vAlign w:val="center"/>
          </w:tcPr>
          <w:p w14:paraId="6186086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2959" w:type="dxa"/>
            <w:gridSpan w:val="3"/>
            <w:noWrap w:val="0"/>
            <w:vAlign w:val="center"/>
          </w:tcPr>
          <w:p w14:paraId="259DE96B">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韶关市新华南路华园新村8栋2楼（韶关分公司）</w:t>
            </w:r>
          </w:p>
        </w:tc>
      </w:tr>
      <w:tr w14:paraId="1434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5" w:type="dxa"/>
            <w:vMerge w:val="restart"/>
            <w:noWrap w:val="0"/>
            <w:vAlign w:val="center"/>
          </w:tcPr>
          <w:p w14:paraId="7AA9B20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招标代理联系人</w:t>
            </w:r>
          </w:p>
        </w:tc>
        <w:tc>
          <w:tcPr>
            <w:tcW w:w="3824" w:type="dxa"/>
            <w:gridSpan w:val="3"/>
            <w:noWrap w:val="0"/>
            <w:vAlign w:val="center"/>
          </w:tcPr>
          <w:p w14:paraId="0CDF01AF">
            <w:pPr>
              <w:keepNext w:val="0"/>
              <w:keepLines w:val="0"/>
              <w:widowControl/>
              <w:suppressLineNumbers w:val="0"/>
              <w:shd w:val="clear" w:color="auto" w:fill="auto"/>
              <w:spacing w:before="0" w:beforeAutospacing="0" w:after="0" w:afterAutospacing="0"/>
              <w:ind w:left="0" w:leftChars="0" w:right="0" w:rightChars="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项目负责人：赖成洲</w:t>
            </w:r>
          </w:p>
        </w:tc>
        <w:tc>
          <w:tcPr>
            <w:tcW w:w="1204" w:type="dxa"/>
            <w:gridSpan w:val="3"/>
            <w:vMerge w:val="restart"/>
            <w:noWrap w:val="0"/>
            <w:vAlign w:val="center"/>
          </w:tcPr>
          <w:p w14:paraId="5D1FC23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vMerge w:val="restart"/>
            <w:noWrap w:val="0"/>
            <w:vAlign w:val="center"/>
          </w:tcPr>
          <w:p w14:paraId="28F1EF3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0751-8533381</w:t>
            </w:r>
          </w:p>
        </w:tc>
      </w:tr>
      <w:tr w14:paraId="1D5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5" w:type="dxa"/>
            <w:vMerge w:val="continue"/>
            <w:noWrap w:val="0"/>
            <w:vAlign w:val="center"/>
          </w:tcPr>
          <w:p w14:paraId="72C0E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highlight w:val="none"/>
              </w:rPr>
            </w:pPr>
          </w:p>
        </w:tc>
        <w:tc>
          <w:tcPr>
            <w:tcW w:w="3824" w:type="dxa"/>
            <w:gridSpan w:val="3"/>
            <w:noWrap w:val="0"/>
            <w:vAlign w:val="center"/>
          </w:tcPr>
          <w:p w14:paraId="739643F4">
            <w:pPr>
              <w:keepNext w:val="0"/>
              <w:keepLines w:val="0"/>
              <w:widowControl/>
              <w:suppressLineNumbers w:val="0"/>
              <w:shd w:val="clear" w:color="auto" w:fill="auto"/>
              <w:spacing w:before="0" w:beforeAutospacing="0" w:after="0" w:afterAutospacing="0"/>
              <w:ind w:left="0" w:leftChars="0" w:right="0" w:rightChars="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经办人：周子文</w:t>
            </w:r>
          </w:p>
        </w:tc>
        <w:tc>
          <w:tcPr>
            <w:tcW w:w="1204" w:type="dxa"/>
            <w:gridSpan w:val="3"/>
            <w:vMerge w:val="continue"/>
            <w:noWrap w:val="0"/>
            <w:vAlign w:val="center"/>
          </w:tcPr>
          <w:p w14:paraId="593B5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2959" w:type="dxa"/>
            <w:gridSpan w:val="3"/>
            <w:vMerge w:val="continue"/>
            <w:noWrap w:val="0"/>
            <w:vAlign w:val="center"/>
          </w:tcPr>
          <w:p w14:paraId="531245D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r>
      <w:tr w14:paraId="541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56173C9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招标投标</w:t>
            </w:r>
          </w:p>
          <w:p w14:paraId="19BE271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监督机构</w:t>
            </w:r>
          </w:p>
        </w:tc>
        <w:tc>
          <w:tcPr>
            <w:tcW w:w="3824" w:type="dxa"/>
            <w:gridSpan w:val="3"/>
            <w:noWrap w:val="0"/>
            <w:vAlign w:val="center"/>
          </w:tcPr>
          <w:p w14:paraId="5F6DC0F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乐昌市产业转移工业园服务中心</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1204" w:type="dxa"/>
            <w:gridSpan w:val="3"/>
            <w:noWrap w:val="0"/>
            <w:vAlign w:val="center"/>
          </w:tcPr>
          <w:p w14:paraId="264DFAC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noWrap w:val="0"/>
            <w:vAlign w:val="center"/>
          </w:tcPr>
          <w:p w14:paraId="6304DA7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0751-5555340</w:t>
            </w:r>
          </w:p>
        </w:tc>
      </w:tr>
      <w:tr w14:paraId="4B70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5" w:type="dxa"/>
            <w:noWrap w:val="0"/>
            <w:vAlign w:val="center"/>
          </w:tcPr>
          <w:p w14:paraId="3B98651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其他依法应当</w:t>
            </w:r>
          </w:p>
          <w:p w14:paraId="11782EC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载明的内容</w:t>
            </w:r>
          </w:p>
        </w:tc>
        <w:tc>
          <w:tcPr>
            <w:tcW w:w="7987" w:type="dxa"/>
            <w:gridSpan w:val="9"/>
            <w:noWrap w:val="0"/>
            <w:vAlign w:val="center"/>
          </w:tcPr>
          <w:p w14:paraId="3B7B812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详见招标文件</w:t>
            </w:r>
          </w:p>
        </w:tc>
      </w:tr>
    </w:tbl>
    <w:p w14:paraId="2312A5B2">
      <w:pPr>
        <w:shd w:val="clear" w:color="auto" w:fill="auto"/>
        <w:rPr>
          <w:rFonts w:hint="eastAsia" w:ascii="宋体" w:hAnsi="宋体" w:eastAsia="宋体" w:cs="宋体"/>
          <w:b w:val="0"/>
          <w:bCs w:val="0"/>
          <w:color w:val="auto"/>
          <w:kern w:val="0"/>
          <w:sz w:val="24"/>
          <w:szCs w:val="24"/>
          <w:highlight w:val="none"/>
          <w:shd w:val="clear" w:color="auto" w:fill="FFFFFF"/>
          <w:lang w:val="en-US" w:eastAsia="zh-CN" w:bidi="ar"/>
        </w:rPr>
        <w:sectPr>
          <w:footerReference r:id="rId7" w:type="default"/>
          <w:pgSz w:w="11906" w:h="16838"/>
          <w:pgMar w:top="1194"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8D0BFB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color w:val="auto"/>
          <w:sz w:val="32"/>
          <w:szCs w:val="32"/>
          <w:highlight w:val="none"/>
        </w:rPr>
      </w:pPr>
      <w:bookmarkStart w:id="4" w:name="_Toc1941"/>
      <w:r>
        <w:rPr>
          <w:rFonts w:hint="eastAsia" w:ascii="宋体" w:hAnsi="宋体" w:eastAsia="宋体" w:cs="宋体"/>
          <w:b/>
          <w:bCs/>
          <w:color w:val="auto"/>
          <w:sz w:val="32"/>
          <w:szCs w:val="32"/>
          <w:highlight w:val="none"/>
        </w:rPr>
        <w:t xml:space="preserve">第二章 </w:t>
      </w:r>
      <w:r>
        <w:rPr>
          <w:rFonts w:hint="eastAsia" w:ascii="宋体" w:hAnsi="宋体" w:eastAsia="宋体" w:cs="宋体"/>
          <w:b/>
          <w:color w:val="auto"/>
          <w:sz w:val="32"/>
          <w:szCs w:val="32"/>
          <w:highlight w:val="none"/>
        </w:rPr>
        <w:t>投标人须知</w:t>
      </w:r>
      <w:bookmarkEnd w:id="4"/>
    </w:p>
    <w:p w14:paraId="18A6EDE4">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outlineLvl w:val="1"/>
        <w:rPr>
          <w:rFonts w:hint="eastAsia" w:ascii="宋体" w:hAnsi="宋体" w:eastAsia="宋体" w:cs="宋体"/>
          <w:b/>
          <w:color w:val="auto"/>
          <w:sz w:val="28"/>
          <w:szCs w:val="30"/>
          <w:highlight w:val="none"/>
        </w:rPr>
      </w:pPr>
      <w:bookmarkStart w:id="5" w:name="_Toc32396"/>
      <w:r>
        <w:rPr>
          <w:rFonts w:hint="eastAsia" w:ascii="宋体" w:hAnsi="宋体" w:eastAsia="宋体" w:cs="宋体"/>
          <w:b/>
          <w:color w:val="auto"/>
          <w:sz w:val="28"/>
          <w:szCs w:val="30"/>
          <w:highlight w:val="none"/>
        </w:rPr>
        <w:t>一、投标人须知前附表</w:t>
      </w:r>
      <w:bookmarkEnd w:id="5"/>
    </w:p>
    <w:tbl>
      <w:tblPr>
        <w:tblStyle w:val="43"/>
        <w:tblW w:w="5050"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00"/>
        <w:gridCol w:w="1229"/>
        <w:gridCol w:w="6349"/>
      </w:tblGrid>
      <w:tr w14:paraId="544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168241C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053" w:type="pct"/>
            <w:gridSpan w:val="2"/>
            <w:noWrap w:val="0"/>
            <w:vAlign w:val="center"/>
          </w:tcPr>
          <w:p w14:paraId="31DC0FC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条款内容</w:t>
            </w:r>
          </w:p>
        </w:tc>
        <w:tc>
          <w:tcPr>
            <w:tcW w:w="3469" w:type="pct"/>
            <w:noWrap w:val="0"/>
            <w:vAlign w:val="center"/>
          </w:tcPr>
          <w:p w14:paraId="38F2DEA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编列内容</w:t>
            </w:r>
          </w:p>
        </w:tc>
      </w:tr>
      <w:tr w14:paraId="083F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4A19355C">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053" w:type="pct"/>
            <w:gridSpan w:val="2"/>
            <w:noWrap w:val="0"/>
            <w:vAlign w:val="center"/>
          </w:tcPr>
          <w:p w14:paraId="2291D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建设单位</w:t>
            </w:r>
          </w:p>
          <w:p w14:paraId="1B0753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（项目业主）</w:t>
            </w:r>
          </w:p>
        </w:tc>
        <w:tc>
          <w:tcPr>
            <w:tcW w:w="3469" w:type="pct"/>
            <w:noWrap w:val="0"/>
            <w:vAlign w:val="center"/>
          </w:tcPr>
          <w:p w14:paraId="5FE291E5">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乐昌产业转移工业园投资开发有限公司</w:t>
            </w:r>
          </w:p>
        </w:tc>
      </w:tr>
      <w:tr w14:paraId="5A56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6" w:type="pct"/>
            <w:noWrap w:val="0"/>
            <w:vAlign w:val="center"/>
          </w:tcPr>
          <w:p w14:paraId="2BCB6A8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053" w:type="pct"/>
            <w:gridSpan w:val="2"/>
            <w:noWrap w:val="0"/>
            <w:vAlign w:val="center"/>
          </w:tcPr>
          <w:p w14:paraId="7EF1A6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招标人</w:t>
            </w:r>
          </w:p>
        </w:tc>
        <w:tc>
          <w:tcPr>
            <w:tcW w:w="3469" w:type="pct"/>
            <w:noWrap w:val="0"/>
            <w:vAlign w:val="center"/>
          </w:tcPr>
          <w:p w14:paraId="77E0C8C0">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乐昌产业转移工业园投资开发有限公司</w:t>
            </w:r>
          </w:p>
        </w:tc>
      </w:tr>
      <w:tr w14:paraId="5C9C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pct"/>
            <w:noWrap w:val="0"/>
            <w:vAlign w:val="center"/>
          </w:tcPr>
          <w:p w14:paraId="4227DB4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053" w:type="pct"/>
            <w:gridSpan w:val="2"/>
            <w:noWrap w:val="0"/>
            <w:vAlign w:val="center"/>
          </w:tcPr>
          <w:p w14:paraId="1E58A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招标代理机构</w:t>
            </w:r>
          </w:p>
        </w:tc>
        <w:tc>
          <w:tcPr>
            <w:tcW w:w="3469" w:type="pct"/>
            <w:noWrap w:val="0"/>
            <w:vAlign w:val="center"/>
          </w:tcPr>
          <w:p w14:paraId="5E2BE0B7">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广州市云兴建设工程监理有限公司</w:t>
            </w:r>
          </w:p>
        </w:tc>
      </w:tr>
      <w:tr w14:paraId="2C61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6" w:type="pct"/>
            <w:noWrap w:val="0"/>
            <w:vAlign w:val="center"/>
          </w:tcPr>
          <w:p w14:paraId="07298B2E">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053" w:type="pct"/>
            <w:gridSpan w:val="2"/>
            <w:noWrap w:val="0"/>
            <w:vAlign w:val="center"/>
          </w:tcPr>
          <w:p w14:paraId="1A5500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招标项目名称</w:t>
            </w:r>
          </w:p>
        </w:tc>
        <w:tc>
          <w:tcPr>
            <w:tcW w:w="3469" w:type="pct"/>
            <w:noWrap w:val="0"/>
            <w:vAlign w:val="center"/>
          </w:tcPr>
          <w:p w14:paraId="28D5D80F">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乐昌产业园产业发展配套基础设施建设四期工程施工</w:t>
            </w:r>
          </w:p>
        </w:tc>
      </w:tr>
      <w:tr w14:paraId="09CB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569740E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053" w:type="pct"/>
            <w:gridSpan w:val="2"/>
            <w:noWrap w:val="0"/>
            <w:vAlign w:val="center"/>
          </w:tcPr>
          <w:p w14:paraId="0146F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项目批准部门及项目批准文号</w:t>
            </w:r>
          </w:p>
        </w:tc>
        <w:tc>
          <w:tcPr>
            <w:tcW w:w="3469" w:type="pct"/>
            <w:noWrap w:val="0"/>
            <w:vAlign w:val="center"/>
          </w:tcPr>
          <w:p w14:paraId="4EF35880">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乐昌市发展和改革局，乐发改投审〔2025〕87号</w:t>
            </w:r>
          </w:p>
        </w:tc>
      </w:tr>
      <w:tr w14:paraId="2A64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76" w:type="pct"/>
            <w:noWrap w:val="0"/>
            <w:vAlign w:val="center"/>
          </w:tcPr>
          <w:p w14:paraId="093A5474">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p>
        </w:tc>
        <w:tc>
          <w:tcPr>
            <w:tcW w:w="1053" w:type="pct"/>
            <w:gridSpan w:val="2"/>
            <w:noWrap w:val="0"/>
            <w:vAlign w:val="center"/>
          </w:tcPr>
          <w:p w14:paraId="5E14E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项目代码</w:t>
            </w:r>
          </w:p>
        </w:tc>
        <w:tc>
          <w:tcPr>
            <w:tcW w:w="3469" w:type="pct"/>
            <w:noWrap w:val="0"/>
            <w:vAlign w:val="center"/>
          </w:tcPr>
          <w:p w14:paraId="33C076D1">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2509-440281-04-01-427466</w:t>
            </w:r>
          </w:p>
        </w:tc>
      </w:tr>
      <w:tr w14:paraId="512E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76" w:type="pct"/>
            <w:noWrap w:val="0"/>
            <w:vAlign w:val="center"/>
          </w:tcPr>
          <w:p w14:paraId="2F8F2D4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053" w:type="pct"/>
            <w:gridSpan w:val="2"/>
            <w:noWrap w:val="0"/>
            <w:vAlign w:val="center"/>
          </w:tcPr>
          <w:p w14:paraId="0DEBEC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建设地点</w:t>
            </w:r>
          </w:p>
        </w:tc>
        <w:tc>
          <w:tcPr>
            <w:tcW w:w="3469" w:type="pct"/>
            <w:noWrap w:val="0"/>
            <w:vAlign w:val="center"/>
          </w:tcPr>
          <w:p w14:paraId="46077B9E">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乐昌产业转移工业园</w:t>
            </w:r>
          </w:p>
        </w:tc>
      </w:tr>
      <w:tr w14:paraId="4018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476" w:type="pct"/>
            <w:noWrap w:val="0"/>
            <w:vAlign w:val="center"/>
          </w:tcPr>
          <w:p w14:paraId="7CD50A13">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7</w:t>
            </w:r>
          </w:p>
        </w:tc>
        <w:tc>
          <w:tcPr>
            <w:tcW w:w="1053" w:type="pct"/>
            <w:gridSpan w:val="2"/>
            <w:noWrap w:val="0"/>
            <w:vAlign w:val="center"/>
          </w:tcPr>
          <w:p w14:paraId="0C87BF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建设规模</w:t>
            </w:r>
          </w:p>
        </w:tc>
        <w:tc>
          <w:tcPr>
            <w:tcW w:w="3469" w:type="pct"/>
            <w:noWrap w:val="0"/>
            <w:vAlign w:val="center"/>
          </w:tcPr>
          <w:p w14:paraId="21FB2488">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新建3条园区内配套道路，新建1条慢行道，7处边坡防护及5处排水工程治理等。</w:t>
            </w:r>
          </w:p>
          <w:p w14:paraId="0CD35B39">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项目概算总投资2664.58万元，其中建安工程费约2170.57万元</w:t>
            </w:r>
            <w:r>
              <w:rPr>
                <w:rFonts w:hint="eastAsia" w:ascii="宋体" w:hAnsi="宋体" w:eastAsia="宋体" w:cs="宋体"/>
                <w:bCs/>
                <w:snapToGrid w:val="0"/>
                <w:color w:val="auto"/>
                <w:kern w:val="0"/>
                <w:sz w:val="24"/>
                <w:szCs w:val="24"/>
                <w:highlight w:val="none"/>
                <w:lang w:val="en-US" w:eastAsia="zh-CN"/>
              </w:rPr>
              <w:t>。</w:t>
            </w:r>
          </w:p>
        </w:tc>
      </w:tr>
      <w:tr w14:paraId="0B3A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6" w:type="pct"/>
            <w:noWrap w:val="0"/>
            <w:vAlign w:val="center"/>
          </w:tcPr>
          <w:p w14:paraId="38BADE08">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053" w:type="pct"/>
            <w:gridSpan w:val="2"/>
            <w:noWrap w:val="0"/>
            <w:vAlign w:val="center"/>
          </w:tcPr>
          <w:p w14:paraId="5FA2F3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资金来源情况</w:t>
            </w:r>
          </w:p>
        </w:tc>
        <w:tc>
          <w:tcPr>
            <w:tcW w:w="3469" w:type="pct"/>
            <w:noWrap w:val="0"/>
            <w:vAlign w:val="center"/>
          </w:tcPr>
          <w:p w14:paraId="1C9EB6A9">
            <w:pPr>
              <w:pStyle w:val="3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Times New Roman"/>
                <w:snapToGrid w:val="0"/>
                <w:color w:val="auto"/>
                <w:kern w:val="0"/>
                <w:szCs w:val="24"/>
                <w:highlight w:val="none"/>
                <w:lang w:val="en-US" w:eastAsia="zh-CN"/>
              </w:rPr>
              <w:t>上级财政资金，不足部分由业主单位自筹解决</w:t>
            </w:r>
          </w:p>
        </w:tc>
      </w:tr>
      <w:tr w14:paraId="70F3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6" w:type="pct"/>
            <w:noWrap w:val="0"/>
            <w:vAlign w:val="center"/>
          </w:tcPr>
          <w:p w14:paraId="4D2CBBD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053" w:type="pct"/>
            <w:gridSpan w:val="2"/>
            <w:noWrap w:val="0"/>
            <w:vAlign w:val="center"/>
          </w:tcPr>
          <w:p w14:paraId="4DC0A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资金到位情况</w:t>
            </w:r>
          </w:p>
        </w:tc>
        <w:tc>
          <w:tcPr>
            <w:tcW w:w="3469" w:type="pct"/>
            <w:noWrap w:val="0"/>
            <w:vAlign w:val="center"/>
          </w:tcPr>
          <w:p w14:paraId="21CA4639">
            <w:pPr>
              <w:pStyle w:val="38"/>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both"/>
              <w:textAlignment w:val="auto"/>
              <w:rPr>
                <w:rStyle w:val="46"/>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bidi="ar-SA"/>
              </w:rPr>
              <w:t>已落实</w:t>
            </w:r>
          </w:p>
        </w:tc>
      </w:tr>
      <w:tr w14:paraId="7838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76" w:type="pct"/>
            <w:vMerge w:val="restart"/>
            <w:noWrap w:val="0"/>
            <w:vAlign w:val="center"/>
          </w:tcPr>
          <w:p w14:paraId="7465E6D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p w14:paraId="3DEE389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382" w:type="pct"/>
            <w:vMerge w:val="restart"/>
            <w:noWrap w:val="0"/>
            <w:vAlign w:val="center"/>
          </w:tcPr>
          <w:p w14:paraId="3AF2A7AB">
            <w:pPr>
              <w:pStyle w:val="3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工程类型及招标范围</w:t>
            </w:r>
          </w:p>
        </w:tc>
        <w:tc>
          <w:tcPr>
            <w:tcW w:w="671" w:type="pct"/>
            <w:noWrap w:val="0"/>
            <w:vAlign w:val="center"/>
          </w:tcPr>
          <w:p w14:paraId="622A1C5F">
            <w:pPr>
              <w:pStyle w:val="3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w:t>
            </w:r>
          </w:p>
        </w:tc>
        <w:tc>
          <w:tcPr>
            <w:tcW w:w="3469" w:type="pct"/>
            <w:noWrap w:val="0"/>
            <w:vAlign w:val="center"/>
          </w:tcPr>
          <w:p w14:paraId="21D3D643">
            <w:pPr>
              <w:pStyle w:val="38"/>
              <w:keepNext w:val="0"/>
              <w:keepLines w:val="0"/>
              <w:pageBreakBefore w:val="0"/>
              <w:suppressLineNumbers w:val="0"/>
              <w:overflowPunct/>
              <w:topLinePunct w:val="0"/>
              <w:bidi w:val="0"/>
              <w:spacing w:before="0" w:beforeLines="0" w:beforeAutospacing="0" w:after="0" w:afterLines="0" w:afterAutospacing="0" w:line="240" w:lineRule="auto"/>
              <w:ind w:left="0" w:right="0"/>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eastAsia="宋体"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 xml:space="preserve">房屋建筑工程  </w:t>
            </w:r>
            <w:r>
              <w:rPr>
                <w:rFonts w:hint="eastAsia" w:eastAsia="宋体"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 xml:space="preserve">市政基础设施工程  □绿化工程（园林）  </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 xml:space="preserve">人防工程    </w:t>
            </w:r>
            <w:r>
              <w:rPr>
                <w:rFonts w:hint="eastAsia" w:eastAsia="宋体"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其它</w:t>
            </w:r>
            <w:r>
              <w:rPr>
                <w:rFonts w:hint="eastAsia" w:eastAsia="宋体" w:cs="宋体"/>
                <w:bCs/>
                <w:snapToGrid w:val="0"/>
                <w:color w:val="auto"/>
                <w:kern w:val="0"/>
                <w:sz w:val="24"/>
                <w:szCs w:val="24"/>
                <w:highlight w:val="none"/>
                <w:lang w:val="en-US" w:eastAsia="zh-CN" w:bidi="ar-SA"/>
              </w:rPr>
              <w:t>：</w:t>
            </w:r>
            <w:r>
              <w:rPr>
                <w:rFonts w:hint="eastAsia" w:eastAsia="宋体" w:cs="宋体"/>
                <w:bCs/>
                <w:snapToGrid w:val="0"/>
                <w:color w:val="auto"/>
                <w:kern w:val="0"/>
                <w:sz w:val="24"/>
                <w:szCs w:val="24"/>
                <w:highlight w:val="none"/>
                <w:u w:val="single"/>
                <w:lang w:val="en-US" w:eastAsia="zh-CN" w:bidi="ar-SA"/>
              </w:rPr>
              <w:t xml:space="preserve">    </w:t>
            </w:r>
            <w:r>
              <w:rPr>
                <w:rFonts w:hint="eastAsia" w:ascii="宋体" w:hAnsi="宋体" w:eastAsia="宋体" w:cs="宋体"/>
                <w:bCs/>
                <w:snapToGrid w:val="0"/>
                <w:color w:val="auto"/>
                <w:kern w:val="0"/>
                <w:sz w:val="24"/>
                <w:szCs w:val="24"/>
                <w:highlight w:val="none"/>
                <w:lang w:val="en-US" w:eastAsia="zh-CN" w:bidi="ar-SA"/>
              </w:rPr>
              <w:t>。</w:t>
            </w:r>
          </w:p>
        </w:tc>
      </w:tr>
      <w:tr w14:paraId="0580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76" w:type="pct"/>
            <w:vMerge w:val="continue"/>
            <w:noWrap w:val="0"/>
            <w:vAlign w:val="center"/>
          </w:tcPr>
          <w:p w14:paraId="587679FE">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382" w:type="pct"/>
            <w:vMerge w:val="continue"/>
            <w:noWrap w:val="0"/>
            <w:vAlign w:val="center"/>
          </w:tcPr>
          <w:p w14:paraId="51690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p>
        </w:tc>
        <w:tc>
          <w:tcPr>
            <w:tcW w:w="671" w:type="pct"/>
            <w:noWrap w:val="0"/>
            <w:vAlign w:val="center"/>
          </w:tcPr>
          <w:p w14:paraId="476AD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工程建设内容及招标范围（含标段划分）</w:t>
            </w:r>
          </w:p>
        </w:tc>
        <w:tc>
          <w:tcPr>
            <w:tcW w:w="3469" w:type="pct"/>
            <w:noWrap w:val="0"/>
            <w:vAlign w:val="center"/>
          </w:tcPr>
          <w:p w14:paraId="34AE2E9D">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（1）主要建设内容：</w:t>
            </w:r>
            <w:r>
              <w:rPr>
                <w:rFonts w:hint="eastAsia" w:ascii="宋体" w:hAnsi="宋体" w:eastAsia="宋体" w:cs="宋体"/>
                <w:color w:val="auto"/>
                <w:sz w:val="24"/>
                <w:szCs w:val="24"/>
                <w:highlight w:val="none"/>
                <w:lang w:val="en-US" w:eastAsia="zh-CN"/>
              </w:rPr>
              <w:t>新建3条园区内配套道路，新建1条慢行道，7处边坡防护及5处排水工程治理等。</w:t>
            </w:r>
          </w:p>
          <w:p w14:paraId="0A141151">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（2）招标范围：按审查合格的施工图纸及工程量清单内容施工。</w:t>
            </w:r>
          </w:p>
          <w:p w14:paraId="3653FE94">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（3）标段划分：</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本招标项目不划分标段。</w:t>
            </w:r>
          </w:p>
        </w:tc>
      </w:tr>
      <w:tr w14:paraId="0089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12555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4.1</w:t>
            </w:r>
          </w:p>
        </w:tc>
        <w:tc>
          <w:tcPr>
            <w:tcW w:w="1053" w:type="pct"/>
            <w:gridSpan w:val="2"/>
            <w:noWrap w:val="0"/>
            <w:vAlign w:val="center"/>
          </w:tcPr>
          <w:p w14:paraId="1EF3C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投标人资格要求</w:t>
            </w:r>
          </w:p>
        </w:tc>
        <w:tc>
          <w:tcPr>
            <w:tcW w:w="3469" w:type="pct"/>
            <w:noWrap w:val="0"/>
            <w:vAlign w:val="center"/>
          </w:tcPr>
          <w:p w14:paraId="1365759E">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（1）资质要求</w:t>
            </w:r>
          </w:p>
          <w:p w14:paraId="170B1833">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①投标人须具备独立法人资格，按国家法律经营。</w:t>
            </w:r>
          </w:p>
          <w:p w14:paraId="4646C16F">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②投标人须持有建设行政主管部门颁发的企业资质证书及安全生产许可证。</w:t>
            </w:r>
          </w:p>
          <w:p w14:paraId="6E02CBCE">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③投标人须具备以下资质：</w:t>
            </w:r>
            <w:r>
              <w:rPr>
                <w:rFonts w:hint="eastAsia" w:ascii="宋体" w:hAnsi="宋体" w:eastAsia="宋体" w:cs="宋体"/>
                <w:b/>
                <w:bCs w:val="0"/>
                <w:snapToGrid w:val="0"/>
                <w:color w:val="auto"/>
                <w:kern w:val="0"/>
                <w:sz w:val="24"/>
                <w:szCs w:val="24"/>
                <w:highlight w:val="none"/>
                <w:u w:val="single"/>
                <w:lang w:val="en-US" w:eastAsia="zh-CN"/>
              </w:rPr>
              <w:t>市政公用工程施工总承包三级以上（含三级）资质</w:t>
            </w:r>
            <w:r>
              <w:rPr>
                <w:rFonts w:hint="eastAsia" w:ascii="宋体" w:hAnsi="宋体" w:eastAsia="宋体" w:cs="宋体"/>
                <w:bCs/>
                <w:snapToGrid w:val="0"/>
                <w:color w:val="auto"/>
                <w:kern w:val="0"/>
                <w:sz w:val="24"/>
                <w:szCs w:val="24"/>
                <w:highlight w:val="none"/>
                <w:lang w:val="en-US" w:eastAsia="zh-CN"/>
              </w:rPr>
              <w:t>。</w:t>
            </w:r>
          </w:p>
          <w:p w14:paraId="05093972">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41A9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37F67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4.2</w:t>
            </w:r>
          </w:p>
        </w:tc>
        <w:tc>
          <w:tcPr>
            <w:tcW w:w="1053" w:type="pct"/>
            <w:gridSpan w:val="2"/>
            <w:noWrap w:val="0"/>
            <w:vAlign w:val="center"/>
          </w:tcPr>
          <w:p w14:paraId="0BAB7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是否接受</w:t>
            </w:r>
          </w:p>
          <w:p w14:paraId="514B5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联合体投标</w:t>
            </w:r>
          </w:p>
        </w:tc>
        <w:tc>
          <w:tcPr>
            <w:tcW w:w="3469" w:type="pct"/>
            <w:noWrap w:val="0"/>
            <w:vAlign w:val="center"/>
          </w:tcPr>
          <w:p w14:paraId="059680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☑不接受</w:t>
            </w:r>
          </w:p>
          <w:p w14:paraId="33AA7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□接受</w:t>
            </w:r>
          </w:p>
        </w:tc>
      </w:tr>
      <w:tr w14:paraId="234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0CA23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4.3</w:t>
            </w:r>
          </w:p>
        </w:tc>
        <w:tc>
          <w:tcPr>
            <w:tcW w:w="1053" w:type="pct"/>
            <w:gridSpan w:val="2"/>
            <w:noWrap w:val="0"/>
            <w:vAlign w:val="center"/>
          </w:tcPr>
          <w:p w14:paraId="52BF9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相关人员资格要求</w:t>
            </w:r>
          </w:p>
        </w:tc>
        <w:tc>
          <w:tcPr>
            <w:tcW w:w="3469" w:type="pct"/>
            <w:noWrap w:val="0"/>
            <w:vAlign w:val="center"/>
          </w:tcPr>
          <w:p w14:paraId="76CDAB46">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（1）项目负责人资格要求：即项目经理须具有</w:t>
            </w:r>
            <w:r>
              <w:rPr>
                <w:rFonts w:hint="eastAsia" w:ascii="宋体" w:hAnsi="宋体" w:eastAsia="宋体" w:cs="宋体"/>
                <w:b/>
                <w:bCs w:val="0"/>
                <w:snapToGrid w:val="0"/>
                <w:color w:val="auto"/>
                <w:kern w:val="0"/>
                <w:sz w:val="24"/>
                <w:szCs w:val="24"/>
                <w:highlight w:val="none"/>
                <w:u w:val="single"/>
                <w:lang w:val="en-US" w:eastAsia="zh-CN"/>
              </w:rPr>
              <w:t>市政公用工程</w:t>
            </w:r>
            <w:r>
              <w:rPr>
                <w:rFonts w:hint="eastAsia" w:ascii="宋体" w:hAnsi="宋体" w:eastAsia="宋体" w:cs="宋体"/>
                <w:bCs/>
                <w:snapToGrid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在项目开标时间仍在建筑市场监管平台被“锁定”无法报建的）建设工程项目的项目经理；</w:t>
            </w:r>
          </w:p>
          <w:p w14:paraId="270D7976">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（2）项目技术负责人资格要求：须具备</w:t>
            </w:r>
            <w:r>
              <w:rPr>
                <w:rFonts w:hint="eastAsia" w:ascii="宋体" w:hAnsi="宋体" w:eastAsia="宋体" w:cs="宋体"/>
                <w:b/>
                <w:bCs w:val="0"/>
                <w:snapToGrid w:val="0"/>
                <w:color w:val="auto"/>
                <w:kern w:val="0"/>
                <w:sz w:val="24"/>
                <w:szCs w:val="24"/>
                <w:highlight w:val="none"/>
                <w:u w:val="single"/>
                <w:lang w:val="en-US" w:eastAsia="zh-CN"/>
              </w:rPr>
              <w:t>市政公用工程相关</w:t>
            </w:r>
            <w:r>
              <w:rPr>
                <w:rFonts w:hint="eastAsia" w:ascii="宋体" w:hAnsi="宋体" w:eastAsia="宋体" w:cs="宋体"/>
                <w:bCs/>
                <w:snapToGrid w:val="0"/>
                <w:color w:val="auto"/>
                <w:kern w:val="0"/>
                <w:sz w:val="24"/>
                <w:szCs w:val="24"/>
                <w:highlight w:val="none"/>
                <w:lang w:val="en-US" w:eastAsia="zh-CN"/>
              </w:rPr>
              <w:t>专业中级以上（含中级）技术职称；</w:t>
            </w:r>
          </w:p>
          <w:p w14:paraId="3915FC67">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（3）项目专职安全员资格要求须具备有效安全生产考核合格证明（C证），且不少于</w:t>
            </w:r>
            <w:r>
              <w:rPr>
                <w:rFonts w:hint="eastAsia" w:ascii="宋体" w:hAnsi="宋体" w:eastAsia="宋体" w:cs="宋体"/>
                <w:bCs/>
                <w:snapToGrid w:val="0"/>
                <w:color w:val="auto"/>
                <w:kern w:val="0"/>
                <w:sz w:val="24"/>
                <w:szCs w:val="24"/>
                <w:highlight w:val="none"/>
                <w:u w:val="single"/>
                <w:lang w:val="en-US" w:eastAsia="zh-CN"/>
              </w:rPr>
              <w:t>1</w:t>
            </w:r>
            <w:r>
              <w:rPr>
                <w:rFonts w:hint="eastAsia" w:ascii="宋体" w:hAnsi="宋体" w:eastAsia="宋体" w:cs="宋体"/>
                <w:bCs/>
                <w:snapToGrid w:val="0"/>
                <w:color w:val="auto"/>
                <w:kern w:val="0"/>
                <w:sz w:val="24"/>
                <w:szCs w:val="24"/>
                <w:highlight w:val="none"/>
                <w:lang w:val="en-US" w:eastAsia="zh-CN"/>
              </w:rPr>
              <w:t>人。</w:t>
            </w:r>
          </w:p>
          <w:p w14:paraId="54B048BD">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i/>
                <w:i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（4）投标人与其拟派往本项目管理机构的所有人员之间必须具备合法、唯一的劳动聘用关系。拟派人员中具备注册执业资格的，其注册单位须与投标人保持一致。</w:t>
            </w:r>
          </w:p>
        </w:tc>
      </w:tr>
      <w:tr w14:paraId="31E3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41F31012">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1053" w:type="pct"/>
            <w:gridSpan w:val="2"/>
            <w:noWrap w:val="0"/>
            <w:vAlign w:val="center"/>
          </w:tcPr>
          <w:p w14:paraId="324A1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资格审查方式</w:t>
            </w:r>
          </w:p>
        </w:tc>
        <w:tc>
          <w:tcPr>
            <w:tcW w:w="3469" w:type="pct"/>
            <w:noWrap w:val="0"/>
            <w:vAlign w:val="center"/>
          </w:tcPr>
          <w:p w14:paraId="30F67B96">
            <w:pPr>
              <w:keepNext w:val="0"/>
              <w:keepLines w:val="0"/>
              <w:pageBreakBefore w:val="0"/>
              <w:suppressLineNumbers w:val="0"/>
              <w:overflowPunct/>
              <w:topLinePunct w:val="0"/>
              <w:bidi w:val="0"/>
              <w:spacing w:before="0" w:beforeAutospacing="0" w:after="0" w:afterAutospacing="0" w:line="360" w:lineRule="auto"/>
              <w:ind w:left="0" w:right="0"/>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资格后审</w:t>
            </w:r>
          </w:p>
        </w:tc>
      </w:tr>
      <w:tr w14:paraId="67C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76" w:type="pct"/>
            <w:noWrap w:val="0"/>
            <w:vAlign w:val="center"/>
          </w:tcPr>
          <w:p w14:paraId="1393CF5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5</w:t>
            </w:r>
          </w:p>
          <w:p w14:paraId="42C4F57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7</w:t>
            </w:r>
          </w:p>
        </w:tc>
        <w:tc>
          <w:tcPr>
            <w:tcW w:w="1053" w:type="pct"/>
            <w:gridSpan w:val="2"/>
            <w:noWrap w:val="0"/>
            <w:vAlign w:val="center"/>
          </w:tcPr>
          <w:p w14:paraId="17D57764">
            <w:pPr>
              <w:keepNext w:val="0"/>
              <w:keepLines w:val="0"/>
              <w:pageBreakBefore w:val="0"/>
              <w:suppressLineNumbers w:val="0"/>
              <w:shd w:val="clear" w:color="auto" w:fill="auto"/>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电子开标评标方式</w:t>
            </w:r>
          </w:p>
        </w:tc>
        <w:tc>
          <w:tcPr>
            <w:tcW w:w="3469" w:type="pct"/>
            <w:noWrap w:val="0"/>
            <w:vAlign w:val="center"/>
          </w:tcPr>
          <w:p w14:paraId="6CD2C0B9">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本项目为韶关市建设工程交易系统全流程电子开标评标定标方式。</w:t>
            </w:r>
          </w:p>
        </w:tc>
      </w:tr>
      <w:tr w14:paraId="09E5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76" w:type="pct"/>
            <w:noWrap w:val="0"/>
            <w:vAlign w:val="center"/>
          </w:tcPr>
          <w:p w14:paraId="495848F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12.1</w:t>
            </w:r>
          </w:p>
        </w:tc>
        <w:tc>
          <w:tcPr>
            <w:tcW w:w="1053" w:type="pct"/>
            <w:gridSpan w:val="2"/>
            <w:noWrap w:val="0"/>
            <w:vAlign w:val="center"/>
          </w:tcPr>
          <w:p w14:paraId="7C5AFB86">
            <w:pPr>
              <w:keepNext w:val="0"/>
              <w:keepLines w:val="0"/>
              <w:pageBreakBefore w:val="0"/>
              <w:suppressLineNumbers w:val="0"/>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承包方式</w:t>
            </w:r>
          </w:p>
        </w:tc>
        <w:tc>
          <w:tcPr>
            <w:tcW w:w="3469" w:type="pct"/>
            <w:noWrap w:val="0"/>
            <w:vAlign w:val="center"/>
          </w:tcPr>
          <w:p w14:paraId="1D658CE2">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本招标工程采用</w:t>
            </w:r>
            <w:r>
              <w:rPr>
                <w:rFonts w:hint="eastAsia" w:ascii="宋体" w:hAnsi="宋体" w:eastAsia="宋体" w:cs="宋体"/>
                <w:bCs/>
                <w:snapToGrid w:val="0"/>
                <w:color w:val="auto"/>
                <w:kern w:val="0"/>
                <w:sz w:val="24"/>
                <w:szCs w:val="24"/>
                <w:highlight w:val="none"/>
                <w:u w:val="single"/>
                <w:lang w:val="en-US" w:eastAsia="zh-CN"/>
              </w:rPr>
              <w:t>单价</w:t>
            </w:r>
            <w:r>
              <w:rPr>
                <w:rFonts w:hint="eastAsia" w:ascii="宋体" w:hAnsi="宋体" w:eastAsia="宋体" w:cs="宋体"/>
                <w:bCs/>
                <w:snapToGrid w:val="0"/>
                <w:color w:val="auto"/>
                <w:kern w:val="0"/>
                <w:sz w:val="24"/>
                <w:szCs w:val="24"/>
                <w:highlight w:val="none"/>
                <w:lang w:val="en-US" w:eastAsia="zh-CN"/>
              </w:rPr>
              <w:t xml:space="preserve">合同承包方式。 </w:t>
            </w:r>
          </w:p>
        </w:tc>
      </w:tr>
      <w:tr w14:paraId="2AB4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76" w:type="pct"/>
            <w:noWrap w:val="0"/>
            <w:vAlign w:val="center"/>
          </w:tcPr>
          <w:p w14:paraId="403EB241">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w:t>
            </w:r>
          </w:p>
        </w:tc>
        <w:tc>
          <w:tcPr>
            <w:tcW w:w="1053" w:type="pct"/>
            <w:gridSpan w:val="2"/>
            <w:noWrap w:val="0"/>
            <w:vAlign w:val="center"/>
          </w:tcPr>
          <w:p w14:paraId="51E3EA1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质量标准</w:t>
            </w:r>
          </w:p>
        </w:tc>
        <w:tc>
          <w:tcPr>
            <w:tcW w:w="3469" w:type="pct"/>
            <w:noWrap w:val="0"/>
            <w:vAlign w:val="center"/>
          </w:tcPr>
          <w:p w14:paraId="30E8475B">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本工程验收达到国家合格或以上标准。</w:t>
            </w:r>
          </w:p>
        </w:tc>
      </w:tr>
      <w:tr w14:paraId="55C9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76" w:type="pct"/>
            <w:noWrap w:val="0"/>
            <w:vAlign w:val="center"/>
          </w:tcPr>
          <w:p w14:paraId="77F51667">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w:t>
            </w:r>
          </w:p>
        </w:tc>
        <w:tc>
          <w:tcPr>
            <w:tcW w:w="1053" w:type="pct"/>
            <w:gridSpan w:val="2"/>
            <w:noWrap w:val="0"/>
            <w:vAlign w:val="center"/>
          </w:tcPr>
          <w:p w14:paraId="44C9FF7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3469" w:type="pct"/>
            <w:noWrap w:val="0"/>
            <w:vAlign w:val="center"/>
          </w:tcPr>
          <w:p w14:paraId="0C67F495">
            <w:pPr>
              <w:keepNext w:val="0"/>
              <w:keepLines w:val="0"/>
              <w:widowControl/>
              <w:suppressLineNumbers w:val="0"/>
              <w:shd w:val="clear" w:color="auto" w:fill="auto"/>
              <w:spacing w:before="0" w:beforeAutospacing="0" w:after="0" w:afterAutospacing="0"/>
              <w:ind w:left="0" w:right="0"/>
              <w:jc w:val="left"/>
              <w:textAlignment w:val="center"/>
              <w:rPr>
                <w:rFonts w:hint="default"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本工程施工招标工期为365个日历天。</w:t>
            </w:r>
          </w:p>
        </w:tc>
      </w:tr>
      <w:tr w14:paraId="599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6629D30">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w:t>
            </w:r>
          </w:p>
        </w:tc>
        <w:tc>
          <w:tcPr>
            <w:tcW w:w="1053" w:type="pct"/>
            <w:gridSpan w:val="2"/>
            <w:noWrap w:val="0"/>
            <w:vAlign w:val="center"/>
          </w:tcPr>
          <w:p w14:paraId="1F4CEE85">
            <w:pPr>
              <w:pStyle w:val="5"/>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3469" w:type="pct"/>
            <w:noWrap w:val="0"/>
            <w:vAlign w:val="center"/>
          </w:tcPr>
          <w:p w14:paraId="0AE7DA54">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投标人须上传（递交）投标文件：</w:t>
            </w:r>
          </w:p>
          <w:p w14:paraId="45720D23">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1、电子投标文件一套：</w:t>
            </w:r>
          </w:p>
          <w:p w14:paraId="0FF4DD98">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（1）商务标书1份；</w:t>
            </w:r>
          </w:p>
          <w:p w14:paraId="3B7191B9">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（2）经济标书1份；</w:t>
            </w:r>
          </w:p>
          <w:p w14:paraId="4BEAD1B0">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（3）施工组织设计1份； </w:t>
            </w:r>
          </w:p>
          <w:p w14:paraId="4D274D54">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（4）定标文件1份；</w:t>
            </w:r>
          </w:p>
          <w:p w14:paraId="4DE29957">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2、对应评审要求的分项响应文件（如有）。</w:t>
            </w:r>
          </w:p>
          <w:p w14:paraId="68B1046C">
            <w:pPr>
              <w:keepNext w:val="0"/>
              <w:keepLines w:val="0"/>
              <w:widowControl/>
              <w:suppressLineNumbers w:val="0"/>
              <w:shd w:val="clear" w:color="auto" w:fill="auto"/>
              <w:wordWrap w:val="0"/>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6A9D42D6">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692E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76" w:type="pct"/>
            <w:noWrap w:val="0"/>
            <w:vAlign w:val="center"/>
          </w:tcPr>
          <w:p w14:paraId="6392EC6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w:t>
            </w:r>
          </w:p>
        </w:tc>
        <w:tc>
          <w:tcPr>
            <w:tcW w:w="1053" w:type="pct"/>
            <w:gridSpan w:val="2"/>
            <w:noWrap w:val="0"/>
            <w:vAlign w:val="center"/>
          </w:tcPr>
          <w:p w14:paraId="27DDB8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最高投标</w:t>
            </w:r>
          </w:p>
          <w:p w14:paraId="3F19F3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限价</w:t>
            </w:r>
          </w:p>
        </w:tc>
        <w:tc>
          <w:tcPr>
            <w:tcW w:w="3469" w:type="pct"/>
            <w:noWrap w:val="0"/>
            <w:vAlign w:val="center"/>
          </w:tcPr>
          <w:p w14:paraId="0223859D">
            <w:pPr>
              <w:keepNext w:val="0"/>
              <w:keepLines w:val="0"/>
              <w:widowControl/>
              <w:suppressLineNumbers w:val="0"/>
              <w:shd w:val="clear" w:color="auto" w:fill="auto"/>
              <w:wordWrap w:val="0"/>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default" w:ascii="宋体" w:hAnsi="宋体" w:eastAsia="宋体" w:cs="宋体"/>
                <w:bCs/>
                <w:snapToGrid w:val="0"/>
                <w:color w:val="auto"/>
                <w:kern w:val="0"/>
                <w:sz w:val="24"/>
                <w:szCs w:val="24"/>
                <w:highlight w:val="none"/>
                <w:lang w:val="en-US" w:eastAsia="zh-CN"/>
              </w:rPr>
              <w:t>本招标项目最高投标限价为人民币（大写）：</w:t>
            </w:r>
            <w:r>
              <w:rPr>
                <w:rFonts w:hint="eastAsia" w:ascii="宋体" w:hAnsi="宋体" w:eastAsia="宋体" w:cs="宋体"/>
                <w:bCs/>
                <w:snapToGrid w:val="0"/>
                <w:color w:val="auto"/>
                <w:kern w:val="0"/>
                <w:sz w:val="24"/>
                <w:szCs w:val="24"/>
                <w:highlight w:val="none"/>
                <w:u w:val="single"/>
                <w:lang w:val="en-US" w:eastAsia="zh-CN"/>
              </w:rPr>
              <w:t>壹仟陆佰柒拾陆万陆仟伍佰柒拾陆元捌角肆分</w:t>
            </w:r>
            <w:r>
              <w:rPr>
                <w:rFonts w:hint="default"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u w:val="single"/>
                <w:lang w:val="en-US" w:eastAsia="zh-CN"/>
              </w:rPr>
              <w:t>16766576.84</w:t>
            </w:r>
            <w:r>
              <w:rPr>
                <w:rFonts w:hint="default" w:ascii="宋体" w:hAnsi="宋体" w:eastAsia="宋体" w:cs="宋体"/>
                <w:bCs/>
                <w:snapToGrid w:val="0"/>
                <w:color w:val="auto"/>
                <w:kern w:val="0"/>
                <w:sz w:val="24"/>
                <w:szCs w:val="24"/>
                <w:highlight w:val="none"/>
                <w:lang w:val="en-US" w:eastAsia="zh-CN"/>
              </w:rPr>
              <w:t>元），其中绿色施工安全防护措施费为¥</w:t>
            </w:r>
            <w:r>
              <w:rPr>
                <w:rFonts w:hint="eastAsia" w:ascii="宋体" w:hAnsi="宋体" w:cs="宋体"/>
                <w:bCs/>
                <w:snapToGrid w:val="0"/>
                <w:color w:val="auto"/>
                <w:kern w:val="0"/>
                <w:sz w:val="24"/>
                <w:szCs w:val="24"/>
                <w:highlight w:val="none"/>
                <w:u w:val="single"/>
                <w:lang w:val="en-US" w:eastAsia="zh-CN"/>
              </w:rPr>
              <w:t>1136979.24</w:t>
            </w:r>
            <w:r>
              <w:rPr>
                <w:rFonts w:hint="default" w:ascii="宋体" w:hAnsi="宋体" w:eastAsia="宋体" w:cs="宋体"/>
                <w:bCs/>
                <w:snapToGrid w:val="0"/>
                <w:color w:val="auto"/>
                <w:kern w:val="0"/>
                <w:sz w:val="24"/>
                <w:szCs w:val="24"/>
                <w:highlight w:val="none"/>
                <w:lang w:val="en-US" w:eastAsia="zh-CN"/>
              </w:rPr>
              <w:t>元，暂列金额为¥</w:t>
            </w:r>
            <w:r>
              <w:rPr>
                <w:rFonts w:hint="eastAsia" w:ascii="宋体" w:hAnsi="宋体" w:cs="宋体"/>
                <w:bCs/>
                <w:snapToGrid w:val="0"/>
                <w:color w:val="auto"/>
                <w:kern w:val="0"/>
                <w:sz w:val="24"/>
                <w:szCs w:val="24"/>
                <w:highlight w:val="none"/>
                <w:u w:val="single"/>
                <w:lang w:val="en-US" w:eastAsia="zh-CN"/>
              </w:rPr>
              <w:t>/</w:t>
            </w:r>
            <w:r>
              <w:rPr>
                <w:rFonts w:hint="default" w:ascii="宋体" w:hAnsi="宋体" w:eastAsia="宋体" w:cs="宋体"/>
                <w:bCs/>
                <w:snapToGrid w:val="0"/>
                <w:color w:val="auto"/>
                <w:kern w:val="0"/>
                <w:sz w:val="24"/>
                <w:szCs w:val="24"/>
                <w:highlight w:val="none"/>
                <w:lang w:val="en-US" w:eastAsia="zh-CN"/>
              </w:rPr>
              <w:t>元，暂估价为¥</w:t>
            </w:r>
            <w:r>
              <w:rPr>
                <w:rFonts w:hint="eastAsia" w:ascii="宋体" w:hAnsi="宋体" w:cs="宋体"/>
                <w:bCs/>
                <w:snapToGrid w:val="0"/>
                <w:color w:val="auto"/>
                <w:kern w:val="0"/>
                <w:sz w:val="24"/>
                <w:szCs w:val="24"/>
                <w:highlight w:val="none"/>
                <w:u w:val="single"/>
                <w:lang w:val="en-US" w:eastAsia="zh-CN"/>
              </w:rPr>
              <w:t>/</w:t>
            </w:r>
            <w:r>
              <w:rPr>
                <w:rFonts w:hint="default" w:ascii="宋体" w:hAnsi="宋体" w:eastAsia="宋体" w:cs="宋体"/>
                <w:bCs/>
                <w:snapToGrid w:val="0"/>
                <w:color w:val="auto"/>
                <w:kern w:val="0"/>
                <w:sz w:val="24"/>
                <w:szCs w:val="24"/>
                <w:highlight w:val="none"/>
                <w:lang w:val="en-US" w:eastAsia="zh-CN"/>
              </w:rPr>
              <w:t>元</w:t>
            </w:r>
            <w:r>
              <w:rPr>
                <w:rFonts w:hint="eastAsia" w:ascii="宋体" w:hAnsi="宋体" w:eastAsia="宋体" w:cs="宋体"/>
                <w:bCs/>
                <w:snapToGrid w:val="0"/>
                <w:color w:val="auto"/>
                <w:kern w:val="0"/>
                <w:sz w:val="24"/>
                <w:szCs w:val="24"/>
                <w:highlight w:val="none"/>
                <w:lang w:val="en-US" w:eastAsia="zh-CN"/>
              </w:rPr>
              <w:t>。</w:t>
            </w:r>
          </w:p>
          <w:p w14:paraId="465C6EA2">
            <w:pPr>
              <w:keepNext w:val="0"/>
              <w:keepLines w:val="0"/>
              <w:widowControl/>
              <w:suppressLineNumbers w:val="0"/>
              <w:shd w:val="clear" w:color="auto" w:fill="auto"/>
              <w:wordWrap w:val="0"/>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具体详见招标文件“第八章 最高投标限价”。</w:t>
            </w:r>
          </w:p>
        </w:tc>
      </w:tr>
      <w:tr w14:paraId="2AA2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0F4FAB7D">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w:t>
            </w:r>
          </w:p>
        </w:tc>
        <w:tc>
          <w:tcPr>
            <w:tcW w:w="1053" w:type="pct"/>
            <w:gridSpan w:val="2"/>
            <w:noWrap w:val="0"/>
            <w:vAlign w:val="center"/>
          </w:tcPr>
          <w:p w14:paraId="312D6997">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投标有效期</w:t>
            </w:r>
          </w:p>
        </w:tc>
        <w:tc>
          <w:tcPr>
            <w:tcW w:w="3469" w:type="pct"/>
            <w:noWrap w:val="0"/>
            <w:vAlign w:val="center"/>
          </w:tcPr>
          <w:p w14:paraId="59201B90">
            <w:pPr>
              <w:pStyle w:val="38"/>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90天（从投标截止之日算起）</w:t>
            </w:r>
          </w:p>
          <w:p w14:paraId="720F715B">
            <w:pPr>
              <w:pStyle w:val="38"/>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在投标有效期结束前出现特殊情况的，招标人可以书面形式要求所有投标人延长投标有效期。</w:t>
            </w:r>
          </w:p>
        </w:tc>
      </w:tr>
      <w:tr w14:paraId="31C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097FA7A">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w:t>
            </w:r>
          </w:p>
        </w:tc>
        <w:tc>
          <w:tcPr>
            <w:tcW w:w="1053" w:type="pct"/>
            <w:gridSpan w:val="2"/>
            <w:noWrap w:val="0"/>
            <w:vAlign w:val="center"/>
          </w:tcPr>
          <w:p w14:paraId="3C7009E0">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房屋建筑工程绿色建筑标准</w:t>
            </w:r>
          </w:p>
        </w:tc>
        <w:tc>
          <w:tcPr>
            <w:tcW w:w="3469" w:type="pct"/>
            <w:noWrap w:val="0"/>
            <w:vAlign w:val="center"/>
          </w:tcPr>
          <w:p w14:paraId="63049268">
            <w:pPr>
              <w:pStyle w:val="38"/>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本招标项目不纳入绿色建设实施范围</w:t>
            </w:r>
            <w:r>
              <w:rPr>
                <w:rFonts w:hint="eastAsia" w:ascii="宋体" w:hAnsi="宋体" w:eastAsia="宋体" w:cs="宋体"/>
                <w:color w:val="auto"/>
                <w:sz w:val="24"/>
                <w:szCs w:val="24"/>
                <w:highlight w:val="none"/>
                <w:lang w:val="en-US" w:eastAsia="zh-CN"/>
              </w:rPr>
              <w:t>。</w:t>
            </w:r>
          </w:p>
        </w:tc>
      </w:tr>
      <w:tr w14:paraId="358A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293BDFEB">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w:t>
            </w:r>
          </w:p>
        </w:tc>
        <w:tc>
          <w:tcPr>
            <w:tcW w:w="1053" w:type="pct"/>
            <w:gridSpan w:val="2"/>
            <w:noWrap w:val="0"/>
            <w:vAlign w:val="center"/>
          </w:tcPr>
          <w:p w14:paraId="37C1E239">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
              </w:rPr>
              <w:t>装配式建筑标准</w:t>
            </w:r>
          </w:p>
        </w:tc>
        <w:tc>
          <w:tcPr>
            <w:tcW w:w="3469" w:type="pct"/>
            <w:noWrap w:val="0"/>
            <w:vAlign w:val="center"/>
          </w:tcPr>
          <w:p w14:paraId="73EB49E1">
            <w:pPr>
              <w:pStyle w:val="38"/>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本招标项目不纳入装配式建造建设实施范围</w:t>
            </w:r>
            <w:r>
              <w:rPr>
                <w:rFonts w:hint="eastAsia" w:ascii="宋体" w:hAnsi="宋体" w:eastAsia="宋体" w:cs="宋体"/>
                <w:color w:val="auto"/>
                <w:sz w:val="24"/>
                <w:szCs w:val="24"/>
                <w:highlight w:val="none"/>
                <w:lang w:val="en-US" w:eastAsia="zh-CN"/>
              </w:rPr>
              <w:t>。</w:t>
            </w:r>
          </w:p>
        </w:tc>
      </w:tr>
      <w:tr w14:paraId="783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71B6E83">
            <w:pPr>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053" w:type="pct"/>
            <w:gridSpan w:val="2"/>
            <w:noWrap w:val="0"/>
            <w:vAlign w:val="center"/>
          </w:tcPr>
          <w:p w14:paraId="7C45F6F8">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投标保证</w:t>
            </w:r>
          </w:p>
        </w:tc>
        <w:tc>
          <w:tcPr>
            <w:tcW w:w="3469" w:type="pct"/>
            <w:noWrap w:val="0"/>
            <w:vAlign w:val="center"/>
          </w:tcPr>
          <w:p w14:paraId="23EB456C">
            <w:pPr>
              <w:keepNext w:val="0"/>
              <w:keepLines w:val="0"/>
              <w:pageBreakBefore w:val="0"/>
              <w:widowControl w:val="0"/>
              <w:numPr>
                <w:ilvl w:val="0"/>
                <w:numId w:val="3"/>
              </w:numPr>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投标人须缴纳金额为人民币</w:t>
            </w:r>
            <w:r>
              <w:rPr>
                <w:rFonts w:hint="eastAsia" w:ascii="宋体" w:hAnsi="宋体" w:eastAsia="宋体" w:cs="宋体"/>
                <w:bCs/>
                <w:i w:val="0"/>
                <w:iCs w:val="0"/>
                <w:color w:val="auto"/>
                <w:sz w:val="24"/>
                <w:szCs w:val="24"/>
                <w:highlight w:val="none"/>
                <w:u w:val="single"/>
                <w:lang w:val="en-US" w:eastAsia="zh-CN" w:bidi="ar"/>
              </w:rPr>
              <w:t>30万元</w:t>
            </w:r>
            <w:r>
              <w:rPr>
                <w:rFonts w:hint="eastAsia" w:ascii="宋体" w:hAnsi="宋体" w:eastAsia="宋体" w:cs="宋体"/>
                <w:bCs/>
                <w:i w:val="0"/>
                <w:iCs w:val="0"/>
                <w:color w:val="auto"/>
                <w:sz w:val="24"/>
                <w:szCs w:val="24"/>
                <w:highlight w:val="none"/>
                <w:lang w:val="en-US" w:eastAsia="zh-CN" w:bidi="ar"/>
              </w:rPr>
              <w:t xml:space="preserve">的投标保证。 </w:t>
            </w:r>
          </w:p>
          <w:p w14:paraId="0C993F99">
            <w:pPr>
              <w:keepNext w:val="0"/>
              <w:keepLines w:val="0"/>
              <w:pageBreakBefore w:val="0"/>
              <w:widowControl w:val="0"/>
              <w:numPr>
                <w:ilvl w:val="0"/>
                <w:numId w:val="3"/>
              </w:numPr>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投标保证的形式包括投标保证金、投标保证担保、投标保证保险三种，由投标人自主选择。</w:t>
            </w:r>
          </w:p>
          <w:p w14:paraId="35BB8740">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1）采用投标保证金的，投标人在建设工程交易系统获取招标文件完毕后，即可在系统申请缴纳投标保证金，获取本次招标投标保证金缴纳账号。投标人必须于投标保证金到账截止时间（见本章“二、重要事项时间地点一览表”）前，从其基本账户将投标保证金转账到指定的缴纳账号。逾期到账的、从非投标人基本账户转出的，其投标无效。</w:t>
            </w:r>
          </w:p>
          <w:p w14:paraId="6A44DFCD">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2）采用投标保证担保的，投标人应提交有效的电子保函，电子保函的有效期不得短于投标有效期。投标人必须在投标保证担保截止时间（见本章“二、重要事项时间地点一览表”）前，使用工程建设交易系统完成网上办理电子保函。</w:t>
            </w:r>
          </w:p>
          <w:p w14:paraId="45387623">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3）采用投标保证保险的，投标人须在投标保证保险投保截止时间（见本章“二、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67DA5B22">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rightChars="0"/>
              <w:jc w:val="both"/>
              <w:textAlignment w:val="auto"/>
              <w:rPr>
                <w:rFonts w:hint="eastAsia" w:ascii="宋体" w:hAnsi="宋体" w:eastAsia="宋体" w:cs="宋体"/>
                <w:bCs/>
                <w:i/>
                <w:iCs/>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B62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7966DE0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21.4</w:t>
            </w:r>
          </w:p>
        </w:tc>
        <w:tc>
          <w:tcPr>
            <w:tcW w:w="1053" w:type="pct"/>
            <w:gridSpan w:val="2"/>
            <w:noWrap w:val="0"/>
            <w:vAlign w:val="center"/>
          </w:tcPr>
          <w:p w14:paraId="1315B76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4"/>
                <w:szCs w:val="24"/>
                <w:highlight w:val="none"/>
                <w:lang w:val="en-US" w:eastAsia="zh-CN"/>
              </w:rPr>
              <w:t>投标文件提交</w:t>
            </w:r>
          </w:p>
        </w:tc>
        <w:tc>
          <w:tcPr>
            <w:tcW w:w="3469" w:type="pct"/>
            <w:noWrap w:val="0"/>
            <w:vAlign w:val="center"/>
          </w:tcPr>
          <w:p w14:paraId="471D6D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73AC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vMerge w:val="restart"/>
            <w:noWrap w:val="0"/>
            <w:vAlign w:val="center"/>
          </w:tcPr>
          <w:p w14:paraId="64D4F1E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p w14:paraId="4AE2663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29.0</w:t>
            </w:r>
          </w:p>
        </w:tc>
        <w:tc>
          <w:tcPr>
            <w:tcW w:w="1053" w:type="pct"/>
            <w:gridSpan w:val="2"/>
            <w:noWrap w:val="0"/>
            <w:vAlign w:val="center"/>
          </w:tcPr>
          <w:p w14:paraId="6E81B2A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tc>
        <w:tc>
          <w:tcPr>
            <w:tcW w:w="3469" w:type="pct"/>
            <w:noWrap w:val="0"/>
            <w:vAlign w:val="center"/>
          </w:tcPr>
          <w:p w14:paraId="0DF5FD0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0</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广东省综合评标评审专家库</w:t>
            </w:r>
            <w:r>
              <w:rPr>
                <w:rFonts w:hint="eastAsia" w:ascii="宋体" w:hAnsi="宋体" w:eastAsia="宋体" w:cs="宋体"/>
                <w:snapToGrid w:val="0"/>
                <w:color w:val="auto"/>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u w:val="single"/>
              </w:rPr>
              <w:t>韶关区域</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人。</w:t>
            </w:r>
          </w:p>
          <w:p w14:paraId="04D84D5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eastAsia="zh-CN"/>
              </w:rPr>
              <w:t>注意：</w:t>
            </w:r>
            <w:r>
              <w:rPr>
                <w:rFonts w:hint="eastAsia" w:ascii="宋体" w:hAnsi="宋体" w:eastAsia="宋体" w:cs="宋体"/>
                <w:b w:val="0"/>
                <w:bCs w:val="0"/>
                <w:color w:val="auto"/>
                <w:sz w:val="24"/>
                <w:szCs w:val="24"/>
                <w:highlight w:val="none"/>
                <w:lang w:val="en-US" w:eastAsia="zh-CN"/>
              </w:rPr>
              <w:t>如属</w:t>
            </w:r>
            <w:r>
              <w:rPr>
                <w:rFonts w:hint="eastAsia" w:ascii="宋体" w:hAnsi="宋体" w:eastAsia="宋体" w:cs="宋体"/>
                <w:b w:val="0"/>
                <w:bCs w:val="0"/>
                <w:strike w:val="0"/>
                <w:dstrike w:val="0"/>
                <w:color w:val="auto"/>
                <w:sz w:val="24"/>
                <w:szCs w:val="24"/>
                <w:highlight w:val="none"/>
                <w:lang w:eastAsia="zh-CN"/>
              </w:rPr>
              <w:t>远程异地评标的项目，</w:t>
            </w:r>
            <w:r>
              <w:rPr>
                <w:rFonts w:hint="eastAsia" w:ascii="宋体" w:hAnsi="宋体" w:eastAsia="宋体" w:cs="宋体"/>
                <w:b w:val="0"/>
                <w:bCs w:val="0"/>
                <w:color w:val="auto"/>
                <w:sz w:val="24"/>
                <w:szCs w:val="24"/>
                <w:highlight w:val="none"/>
                <w:lang w:eastAsia="zh-CN"/>
              </w:rPr>
              <w:t>主场、副场评标专家抽取应当符合相关</w:t>
            </w:r>
            <w:r>
              <w:rPr>
                <w:rFonts w:hint="eastAsia" w:ascii="宋体" w:hAnsi="宋体" w:eastAsia="宋体" w:cs="宋体"/>
                <w:b w:val="0"/>
                <w:bCs w:val="0"/>
                <w:color w:val="auto"/>
                <w:sz w:val="24"/>
                <w:szCs w:val="24"/>
                <w:highlight w:val="none"/>
                <w:lang w:val="en-US" w:eastAsia="zh-CN"/>
              </w:rPr>
              <w:t>规定。</w:t>
            </w:r>
          </w:p>
        </w:tc>
      </w:tr>
      <w:tr w14:paraId="43C5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vMerge w:val="continue"/>
            <w:noWrap w:val="0"/>
            <w:vAlign w:val="center"/>
          </w:tcPr>
          <w:p w14:paraId="21B09C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1053" w:type="pct"/>
            <w:gridSpan w:val="2"/>
            <w:noWrap w:val="0"/>
            <w:vAlign w:val="center"/>
          </w:tcPr>
          <w:p w14:paraId="6E9C1F9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3469" w:type="pct"/>
            <w:noWrap w:val="0"/>
            <w:vAlign w:val="center"/>
          </w:tcPr>
          <w:p w14:paraId="09ECD24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0C1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7454CE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.0</w:t>
            </w:r>
          </w:p>
        </w:tc>
        <w:tc>
          <w:tcPr>
            <w:tcW w:w="1053" w:type="pct"/>
            <w:gridSpan w:val="2"/>
            <w:noWrap w:val="0"/>
            <w:vAlign w:val="center"/>
          </w:tcPr>
          <w:p w14:paraId="076C310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评标办法</w:t>
            </w:r>
          </w:p>
        </w:tc>
        <w:tc>
          <w:tcPr>
            <w:tcW w:w="3469" w:type="pct"/>
            <w:noWrap w:val="0"/>
            <w:vAlign w:val="center"/>
          </w:tcPr>
          <w:p w14:paraId="63F4B7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综合评估法</w:t>
            </w:r>
          </w:p>
        </w:tc>
      </w:tr>
      <w:tr w14:paraId="138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45115F97">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b w:val="0"/>
                <w:bCs w:val="0"/>
                <w:color w:val="auto"/>
                <w:sz w:val="24"/>
                <w:szCs w:val="24"/>
                <w:highlight w:val="none"/>
                <w:lang w:val="en-US" w:eastAsia="zh-CN"/>
              </w:rPr>
              <w:t>30.0</w:t>
            </w:r>
          </w:p>
        </w:tc>
        <w:tc>
          <w:tcPr>
            <w:tcW w:w="1053" w:type="pct"/>
            <w:gridSpan w:val="2"/>
            <w:noWrap w:val="0"/>
            <w:vAlign w:val="center"/>
          </w:tcPr>
          <w:p w14:paraId="7BFEE2F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3469" w:type="pct"/>
            <w:noWrap w:val="0"/>
            <w:vAlign w:val="center"/>
          </w:tcPr>
          <w:p w14:paraId="4780E5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36170A9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79F239B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1E301F7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45455BF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0EE0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7D783CF0">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Style w:val="46"/>
                <w:rFonts w:hint="eastAsia" w:ascii="宋体" w:hAnsi="宋体" w:eastAsia="宋体" w:cs="宋体"/>
                <w:b w:val="0"/>
                <w:bCs w:val="0"/>
                <w:color w:val="auto"/>
                <w:sz w:val="24"/>
                <w:szCs w:val="24"/>
                <w:highlight w:val="none"/>
                <w:lang w:val="en-US" w:eastAsia="zh-CN"/>
              </w:rPr>
            </w:pPr>
            <w:r>
              <w:rPr>
                <w:rStyle w:val="46"/>
                <w:rFonts w:hint="eastAsia" w:ascii="宋体" w:hAnsi="宋体" w:eastAsia="宋体" w:cs="宋体"/>
                <w:b w:val="0"/>
                <w:bCs w:val="0"/>
                <w:color w:val="auto"/>
                <w:sz w:val="24"/>
                <w:szCs w:val="24"/>
                <w:highlight w:val="none"/>
                <w:lang w:val="en-US" w:eastAsia="zh-CN"/>
              </w:rPr>
              <w:t>29</w:t>
            </w:r>
            <w:r>
              <w:rPr>
                <w:rStyle w:val="46"/>
                <w:rFonts w:hint="eastAsia" w:ascii="宋体" w:hAnsi="宋体" w:eastAsia="宋体" w:cs="宋体"/>
                <w:b w:val="0"/>
                <w:bCs w:val="0"/>
                <w:color w:val="auto"/>
                <w:sz w:val="24"/>
                <w:szCs w:val="24"/>
                <w:highlight w:val="none"/>
              </w:rPr>
              <w:t>.0</w:t>
            </w:r>
          </w:p>
        </w:tc>
        <w:tc>
          <w:tcPr>
            <w:tcW w:w="1053" w:type="pct"/>
            <w:gridSpan w:val="2"/>
            <w:noWrap w:val="0"/>
            <w:vAlign w:val="center"/>
          </w:tcPr>
          <w:p w14:paraId="1732CF36">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Style w:val="46"/>
                <w:rFonts w:hint="eastAsia" w:ascii="宋体" w:hAnsi="宋体" w:eastAsia="宋体" w:cs="宋体"/>
                <w:b w:val="0"/>
                <w:color w:val="auto"/>
                <w:sz w:val="24"/>
                <w:szCs w:val="24"/>
                <w:highlight w:val="none"/>
              </w:rPr>
              <w:t>项目评标方式</w:t>
            </w:r>
          </w:p>
        </w:tc>
        <w:tc>
          <w:tcPr>
            <w:tcW w:w="3469" w:type="pct"/>
            <w:noWrap w:val="0"/>
            <w:vAlign w:val="center"/>
          </w:tcPr>
          <w:p w14:paraId="3FC71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本招标项目</w:t>
            </w:r>
            <w:r>
              <w:rPr>
                <w:rFonts w:hint="eastAsia" w:ascii="宋体" w:hAnsi="宋体" w:eastAsia="宋体" w:cs="宋体"/>
                <w:b w:val="0"/>
                <w:bCs w:val="0"/>
                <w:color w:val="auto"/>
                <w:sz w:val="24"/>
                <w:szCs w:val="24"/>
                <w:highlight w:val="none"/>
              </w:rPr>
              <w:t>所有投标文件均采用明标评标方式。</w:t>
            </w:r>
          </w:p>
        </w:tc>
      </w:tr>
      <w:tr w14:paraId="57C8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5C5E1F8">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b w:val="0"/>
                <w:bCs w:val="0"/>
                <w:color w:val="auto"/>
                <w:sz w:val="24"/>
                <w:szCs w:val="24"/>
                <w:highlight w:val="none"/>
                <w:lang w:val="en-US" w:eastAsia="zh-CN"/>
              </w:rPr>
              <w:t>33</w:t>
            </w:r>
            <w:r>
              <w:rPr>
                <w:rStyle w:val="46"/>
                <w:rFonts w:hint="eastAsia" w:ascii="宋体" w:hAnsi="宋体" w:eastAsia="宋体" w:cs="宋体"/>
                <w:b w:val="0"/>
                <w:bCs w:val="0"/>
                <w:color w:val="auto"/>
                <w:sz w:val="24"/>
                <w:szCs w:val="24"/>
                <w:highlight w:val="none"/>
              </w:rPr>
              <w:t>.2</w:t>
            </w:r>
          </w:p>
        </w:tc>
        <w:tc>
          <w:tcPr>
            <w:tcW w:w="1053" w:type="pct"/>
            <w:gridSpan w:val="2"/>
            <w:noWrap w:val="0"/>
            <w:vAlign w:val="center"/>
          </w:tcPr>
          <w:p w14:paraId="1003B6A3">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Style w:val="46"/>
                <w:rFonts w:hint="eastAsia" w:ascii="宋体" w:hAnsi="宋体" w:eastAsia="宋体" w:cs="宋体"/>
                <w:b w:val="0"/>
                <w:color w:val="auto"/>
                <w:sz w:val="24"/>
                <w:szCs w:val="24"/>
                <w:highlight w:val="none"/>
              </w:rPr>
            </w:pPr>
            <w:r>
              <w:rPr>
                <w:rStyle w:val="46"/>
                <w:rFonts w:hint="eastAsia" w:ascii="宋体" w:hAnsi="宋体" w:eastAsia="宋体" w:cs="宋体"/>
                <w:b w:val="0"/>
                <w:color w:val="auto"/>
                <w:sz w:val="24"/>
                <w:szCs w:val="24"/>
                <w:highlight w:val="none"/>
              </w:rPr>
              <w:t>中标通知书</w:t>
            </w:r>
          </w:p>
          <w:p w14:paraId="053FAD30">
            <w:pPr>
              <w:pStyle w:val="3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b w:val="0"/>
                <w:color w:val="auto"/>
                <w:sz w:val="24"/>
                <w:szCs w:val="24"/>
                <w:highlight w:val="none"/>
              </w:rPr>
              <w:t>发放</w:t>
            </w:r>
          </w:p>
        </w:tc>
        <w:tc>
          <w:tcPr>
            <w:tcW w:w="3469" w:type="pct"/>
            <w:noWrap w:val="0"/>
            <w:vAlign w:val="center"/>
          </w:tcPr>
          <w:p w14:paraId="25D72FCB">
            <w:pPr>
              <w:pStyle w:val="1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中标人确定后，招标人应当在7日内向中标人发出中标通知书。</w:t>
            </w:r>
          </w:p>
          <w:p w14:paraId="514EC594">
            <w:pPr>
              <w:pStyle w:val="16"/>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招标人最迟应当在投标有效期届满30日前发出中标通知书，否则，应当按照本投标人须知的规定延长投标有效期。</w:t>
            </w:r>
          </w:p>
        </w:tc>
      </w:tr>
      <w:tr w14:paraId="3967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6EC97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46"/>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37</w:t>
            </w:r>
          </w:p>
        </w:tc>
        <w:tc>
          <w:tcPr>
            <w:tcW w:w="1053" w:type="pct"/>
            <w:gridSpan w:val="2"/>
            <w:noWrap w:val="0"/>
            <w:vAlign w:val="center"/>
          </w:tcPr>
          <w:p w14:paraId="67443EC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p w14:paraId="2745F5A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p w14:paraId="07B0C15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46"/>
                <w:rFonts w:hint="eastAsia" w:ascii="宋体" w:hAnsi="宋体" w:eastAsia="宋体" w:cs="宋体"/>
                <w:b w:val="0"/>
                <w:color w:val="auto"/>
                <w:sz w:val="24"/>
                <w:szCs w:val="24"/>
                <w:highlight w:val="none"/>
              </w:rPr>
            </w:pPr>
          </w:p>
        </w:tc>
        <w:tc>
          <w:tcPr>
            <w:tcW w:w="3469" w:type="pct"/>
            <w:noWrap w:val="0"/>
            <w:vAlign w:val="center"/>
          </w:tcPr>
          <w:p w14:paraId="178379CC">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1.中标人须在领取中标通知书之日起10个工作日内、签订合同前提交金额为中标价</w:t>
            </w:r>
            <w:r>
              <w:rPr>
                <w:rFonts w:hint="eastAsia" w:ascii="宋体" w:hAnsi="宋体" w:eastAsia="宋体" w:cs="宋体"/>
                <w:bCs/>
                <w:snapToGrid w:val="0"/>
                <w:color w:val="auto"/>
                <w:kern w:val="0"/>
                <w:sz w:val="24"/>
                <w:szCs w:val="24"/>
                <w:highlight w:val="none"/>
                <w:u w:val="single"/>
                <w:lang w:val="en-US" w:eastAsia="zh-CN"/>
              </w:rPr>
              <w:t xml:space="preserve"> 5 </w:t>
            </w:r>
            <w:r>
              <w:rPr>
                <w:rFonts w:hint="eastAsia" w:ascii="宋体" w:hAnsi="宋体" w:eastAsia="宋体" w:cs="宋体"/>
                <w:bCs/>
                <w:snapToGrid w:val="0"/>
                <w:color w:val="auto"/>
                <w:kern w:val="0"/>
                <w:sz w:val="24"/>
                <w:szCs w:val="24"/>
                <w:highlight w:val="none"/>
                <w:lang w:val="en-US" w:eastAsia="zh-CN"/>
              </w:rPr>
              <w:t>%的履约保证。</w:t>
            </w:r>
          </w:p>
          <w:p w14:paraId="298E8700">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 28 天止。</w:t>
            </w:r>
          </w:p>
          <w:p w14:paraId="45B537C6">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如中标人未及时主动办理续期手续或提交新的银行保函或保险合同，招标人有权扣留与履约保证金等额的施工进度款，直至中标人完成续期手续或提交新的银行保函或保险合同止。</w:t>
            </w:r>
          </w:p>
          <w:p w14:paraId="2B9D8F78">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4.在工程实施过程中，如果承包人（即招标阶段的中标人，下同）由于自身的资金、技术、质量、非不可抗力等原因给发包人（即招标阶段的招标人，下同）造成经济损失，发包人有权扣划相应金额的履约保证。</w:t>
            </w:r>
          </w:p>
          <w:p w14:paraId="2227983C">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lang w:val="en-US" w:eastAsia="zh-CN"/>
              </w:rPr>
              <w:t>5.项目通过竣工验收之日后28天内，发包人将履约保证（履约保证金不计利息）退还给承包人。</w:t>
            </w:r>
          </w:p>
        </w:tc>
      </w:tr>
      <w:tr w14:paraId="0081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6F5CE54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.0</w:t>
            </w:r>
          </w:p>
        </w:tc>
        <w:tc>
          <w:tcPr>
            <w:tcW w:w="1053" w:type="pct"/>
            <w:gridSpan w:val="2"/>
            <w:noWrap w:val="0"/>
            <w:vAlign w:val="center"/>
          </w:tcPr>
          <w:p w14:paraId="2308B2C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存档</w:t>
            </w:r>
          </w:p>
        </w:tc>
        <w:tc>
          <w:tcPr>
            <w:tcW w:w="3469" w:type="pct"/>
            <w:noWrap w:val="0"/>
            <w:vAlign w:val="center"/>
          </w:tcPr>
          <w:p w14:paraId="358015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详见投标人须知第</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条款</w:t>
            </w:r>
          </w:p>
        </w:tc>
      </w:tr>
      <w:tr w14:paraId="3E48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6" w:type="pct"/>
            <w:noWrap w:val="0"/>
            <w:vAlign w:val="center"/>
          </w:tcPr>
          <w:p w14:paraId="235341C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053" w:type="pct"/>
            <w:gridSpan w:val="2"/>
            <w:noWrap w:val="0"/>
            <w:vAlign w:val="center"/>
          </w:tcPr>
          <w:p w14:paraId="4066CB7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纳入百千万工程公益性项目</w:t>
            </w:r>
          </w:p>
        </w:tc>
        <w:tc>
          <w:tcPr>
            <w:tcW w:w="3469" w:type="pct"/>
            <w:noWrap w:val="0"/>
            <w:vAlign w:val="center"/>
          </w:tcPr>
          <w:p w14:paraId="2886377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本次招标鼓励投标人积极响应政策号召，充分利用其人才、技术、专业、资源、资金、设备或管理优势，通过技术创新和资源优化，以投标人自愿为原则，助力百千万工程公益性项目。</w:t>
            </w:r>
          </w:p>
          <w:p w14:paraId="0D5A2B0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投标人需提供自愿助力百千万工程公益性项目公益捐建（捐赠或配建）进度计划及保证措施；以投标人自愿为原则，按招标文件格式</w:t>
            </w:r>
            <w:r>
              <w:rPr>
                <w:rFonts w:hint="eastAsia" w:ascii="宋体" w:hAnsi="宋体" w:eastAsia="宋体" w:cs="宋体"/>
                <w:color w:val="auto"/>
                <w:sz w:val="24"/>
                <w:szCs w:val="24"/>
                <w:highlight w:val="none"/>
                <w:lang w:eastAsia="zh-CN"/>
              </w:rPr>
              <w:t>格式十四</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助力项目承诺书</w:t>
            </w:r>
            <w:r>
              <w:rPr>
                <w:rFonts w:hint="eastAsia" w:ascii="宋体" w:hAnsi="宋体" w:eastAsia="宋体" w:cs="宋体"/>
                <w:color w:val="auto"/>
                <w:sz w:val="24"/>
                <w:szCs w:val="24"/>
                <w:highlight w:val="none"/>
              </w:rPr>
              <w:t>》。</w:t>
            </w:r>
          </w:p>
        </w:tc>
      </w:tr>
      <w:tr w14:paraId="633E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0" w:type="pct"/>
            <w:gridSpan w:val="3"/>
            <w:noWrap w:val="0"/>
            <w:vAlign w:val="center"/>
          </w:tcPr>
          <w:p w14:paraId="0246F12E">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招标人</w:t>
            </w:r>
          </w:p>
          <w:p w14:paraId="23090CB4">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联系方式</w:t>
            </w:r>
          </w:p>
          <w:p w14:paraId="2281FC0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p>
        </w:tc>
        <w:tc>
          <w:tcPr>
            <w:tcW w:w="3469" w:type="pct"/>
            <w:noWrap w:val="0"/>
            <w:vAlign w:val="center"/>
          </w:tcPr>
          <w:p w14:paraId="4D11195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乐昌产业转移工业园投资开发有限公司</w:t>
            </w:r>
          </w:p>
          <w:p w14:paraId="63BFB03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eastAsia="zh-CN"/>
              </w:rPr>
              <w:t>乐昌市乐昌产业转移工业园乐园大道12号</w:t>
            </w:r>
          </w:p>
          <w:p w14:paraId="42C38B7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朱先生</w:t>
            </w:r>
          </w:p>
          <w:p w14:paraId="1A12EC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0751-5567685</w:t>
            </w:r>
          </w:p>
        </w:tc>
      </w:tr>
      <w:tr w14:paraId="45C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0" w:type="pct"/>
            <w:gridSpan w:val="3"/>
            <w:noWrap w:val="0"/>
            <w:vAlign w:val="center"/>
          </w:tcPr>
          <w:p w14:paraId="456051A7">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招标代理机构</w:t>
            </w:r>
          </w:p>
          <w:p w14:paraId="7188D9C5">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联系方式</w:t>
            </w:r>
          </w:p>
          <w:p w14:paraId="6963BC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p>
        </w:tc>
        <w:tc>
          <w:tcPr>
            <w:tcW w:w="3469" w:type="pct"/>
            <w:noWrap w:val="0"/>
            <w:vAlign w:val="center"/>
          </w:tcPr>
          <w:p w14:paraId="3CCB508E">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单位名称：广州市云兴建设工程监理有限公司</w:t>
            </w:r>
          </w:p>
          <w:p w14:paraId="7F45471E">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办公地址：韶关市新华南路华园新村8栋2楼（韶关分公司）</w:t>
            </w:r>
          </w:p>
          <w:p w14:paraId="48E4E012">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p>
          <w:p w14:paraId="5AE61ADA">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项目负责人：赖成洲</w:t>
            </w:r>
          </w:p>
          <w:p w14:paraId="1DC7F012">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经办人：周子文</w:t>
            </w:r>
          </w:p>
          <w:p w14:paraId="2681F15B">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b/>
                <w:iCs/>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联系电话：0751-8533381</w:t>
            </w:r>
          </w:p>
        </w:tc>
      </w:tr>
      <w:tr w14:paraId="478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0" w:type="pct"/>
            <w:gridSpan w:val="3"/>
            <w:noWrap w:val="0"/>
            <w:vAlign w:val="center"/>
          </w:tcPr>
          <w:p w14:paraId="749C7E43">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交易场所</w:t>
            </w:r>
          </w:p>
          <w:p w14:paraId="2CD717C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联系方式</w:t>
            </w:r>
          </w:p>
          <w:p w14:paraId="79D3044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p>
        </w:tc>
        <w:tc>
          <w:tcPr>
            <w:tcW w:w="3469" w:type="pct"/>
            <w:noWrap w:val="0"/>
            <w:vAlign w:val="center"/>
          </w:tcPr>
          <w:p w14:paraId="60FDAA51">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单位名称：韶关市公共资源交易中心</w:t>
            </w:r>
          </w:p>
          <w:p w14:paraId="1ACE687F">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办公地址：乐昌市昌山北路23号韶关市公共资源交易中心乐昌分中心</w:t>
            </w:r>
          </w:p>
          <w:p w14:paraId="4234954A">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联系人（部门）：工程交易部</w:t>
            </w:r>
          </w:p>
          <w:p w14:paraId="67E1BF91">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联系电话：0751-5570106</w:t>
            </w:r>
          </w:p>
        </w:tc>
      </w:tr>
      <w:tr w14:paraId="0837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30" w:type="pct"/>
            <w:gridSpan w:val="3"/>
            <w:noWrap w:val="0"/>
            <w:vAlign w:val="center"/>
          </w:tcPr>
          <w:p w14:paraId="09247384">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行政监督部门</w:t>
            </w:r>
          </w:p>
          <w:p w14:paraId="266A44B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联系方式</w:t>
            </w:r>
          </w:p>
          <w:p w14:paraId="2BE0830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bidi="ar"/>
              </w:rPr>
            </w:pPr>
          </w:p>
        </w:tc>
        <w:tc>
          <w:tcPr>
            <w:tcW w:w="3469" w:type="pct"/>
            <w:noWrap w:val="0"/>
            <w:vAlign w:val="center"/>
          </w:tcPr>
          <w:p w14:paraId="44F1BFB8">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单位名称：乐昌市产业转移工业园服务中心 </w:t>
            </w:r>
          </w:p>
          <w:p w14:paraId="6AF8E679">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办公地址：乐昌市乐昌产业转移工业园乐园大道12号</w:t>
            </w:r>
          </w:p>
          <w:p w14:paraId="4A6B9241">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r>
              <w:rPr>
                <w:rFonts w:hint="eastAsia" w:ascii="宋体" w:hAnsi="宋体" w:cs="宋体"/>
                <w:color w:val="auto"/>
                <w:kern w:val="0"/>
                <w:sz w:val="24"/>
                <w:szCs w:val="24"/>
                <w:highlight w:val="none"/>
                <w:lang w:val="en-US" w:eastAsia="zh-CN" w:bidi="ar"/>
              </w:rPr>
              <w:t>廖工</w:t>
            </w:r>
          </w:p>
          <w:p w14:paraId="665EA1AD">
            <w:pPr>
              <w:keepNext w:val="0"/>
              <w:keepLines w:val="0"/>
              <w:pageBreakBefore w:val="0"/>
              <w:widowControl w:val="0"/>
              <w:suppressLineNumbers w:val="0"/>
              <w:wordWrap w:val="0"/>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联系电话：0751-5555340</w:t>
            </w:r>
          </w:p>
        </w:tc>
      </w:tr>
    </w:tbl>
    <w:p w14:paraId="435048E5">
      <w:pPr>
        <w:pStyle w:val="3"/>
        <w:widowControl/>
        <w:wordWrap w:val="0"/>
        <w:autoSpaceDE w:val="0"/>
        <w:autoSpaceDN/>
        <w:spacing w:after="260" w:afterAutospacing="0" w:line="440" w:lineRule="exact"/>
        <w:ind w:left="0" w:leftChars="0" w:firstLine="0" w:firstLineChars="0"/>
        <w:jc w:val="left"/>
        <w:rPr>
          <w:rFonts w:hint="eastAsia" w:ascii="宋体" w:hAnsi="宋体" w:eastAsia="宋体" w:cs="宋体"/>
          <w:b/>
          <w:bCs/>
          <w:color w:val="auto"/>
          <w:highlight w:val="none"/>
          <w:lang w:val="en-US"/>
        </w:rPr>
      </w:pPr>
      <w:r>
        <w:rPr>
          <w:rFonts w:hint="eastAsia" w:ascii="宋体" w:hAnsi="宋体" w:eastAsia="宋体" w:cs="宋体"/>
          <w:b/>
          <w:bCs w:val="0"/>
          <w:color w:val="auto"/>
          <w:highlight w:val="none"/>
          <w:lang w:eastAsia="zh-CN"/>
        </w:rPr>
        <w:br w:type="page"/>
      </w:r>
      <w:bookmarkStart w:id="6" w:name="_Toc29620"/>
      <w:r>
        <w:rPr>
          <w:rFonts w:hint="eastAsia" w:ascii="宋体" w:hAnsi="宋体" w:eastAsia="宋体" w:cs="宋体"/>
          <w:b/>
          <w:bCs w:val="0"/>
          <w:color w:val="auto"/>
          <w:highlight w:val="none"/>
          <w:lang w:eastAsia="zh-CN"/>
        </w:rPr>
        <w:t>二、 重要事项时间地点一览表</w:t>
      </w:r>
      <w:bookmarkEnd w:id="6"/>
    </w:p>
    <w:tbl>
      <w:tblPr>
        <w:tblStyle w:val="43"/>
        <w:tblW w:w="0" w:type="auto"/>
        <w:tblInd w:w="10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417"/>
        <w:gridCol w:w="1352"/>
        <w:gridCol w:w="7183"/>
      </w:tblGrid>
      <w:tr w14:paraId="26839C11">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244091B6">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1EF0B170">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招标公告</w:t>
            </w:r>
          </w:p>
          <w:p w14:paraId="5977C148">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发布时间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3135ECF6">
            <w:pPr>
              <w:pStyle w:val="133"/>
              <w:widowControl/>
              <w:wordWrap w:val="0"/>
              <w:spacing w:line="400" w:lineRule="exact"/>
              <w:ind w:firstLine="240" w:firstLineChars="100"/>
              <w:jc w:val="left"/>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5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14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17</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00</w:t>
            </w:r>
            <w:r>
              <w:rPr>
                <w:rFonts w:hint="eastAsia" w:ascii="宋体" w:hAnsi="宋体" w:eastAsia="宋体" w:cs="宋体"/>
                <w:color w:val="auto"/>
                <w:spacing w:val="0"/>
                <w:position w:val="0"/>
                <w:sz w:val="24"/>
                <w:szCs w:val="24"/>
                <w:highlight w:val="none"/>
              </w:rPr>
              <w:t>分</w:t>
            </w:r>
          </w:p>
        </w:tc>
      </w:tr>
      <w:tr w14:paraId="5B1E991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76FB343B">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7EDE03AB">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获取招标文件截止时间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18976E5A">
            <w:pPr>
              <w:pStyle w:val="133"/>
              <w:widowControl/>
              <w:wordWrap w:val="0"/>
              <w:spacing w:line="400" w:lineRule="exact"/>
              <w:ind w:firstLine="240" w:firstLineChars="100"/>
              <w:jc w:val="left"/>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p>
        </w:tc>
      </w:tr>
      <w:tr w14:paraId="41BFB31E">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57BF4C62">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42135EDB">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网上提问</w:t>
            </w:r>
          </w:p>
          <w:p w14:paraId="3E9E8368">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截止时间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2CE7B8F9">
            <w:pPr>
              <w:pStyle w:val="133"/>
              <w:widowControl/>
              <w:wordWrap w:val="0"/>
              <w:spacing w:line="400" w:lineRule="exact"/>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5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25</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p>
        </w:tc>
      </w:tr>
      <w:tr w14:paraId="707370E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772036EC">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7FCD1FAA">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网上答疑</w:t>
            </w:r>
          </w:p>
          <w:p w14:paraId="622AB83B">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49FAC7BD">
            <w:pPr>
              <w:pStyle w:val="133"/>
              <w:widowControl/>
              <w:wordWrap w:val="0"/>
              <w:spacing w:line="400" w:lineRule="exact"/>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5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25</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至</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5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2</w:t>
            </w:r>
            <w:r>
              <w:rPr>
                <w:rFonts w:hint="eastAsia" w:ascii="宋体" w:hAnsi="宋体" w:cs="宋体"/>
                <w:color w:val="auto"/>
                <w:spacing w:val="0"/>
                <w:position w:val="0"/>
                <w:sz w:val="24"/>
                <w:szCs w:val="24"/>
                <w:highlight w:val="none"/>
                <w:u w:val="single" w:color="auto"/>
                <w:lang w:val="en-US" w:eastAsia="zh-CN"/>
              </w:rPr>
              <w:t>8</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p>
        </w:tc>
      </w:tr>
      <w:tr w14:paraId="5E96EF7D">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474"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63D2935B">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5</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773ACD8E">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投标保证缴</w:t>
            </w:r>
          </w:p>
          <w:p w14:paraId="68CFF316">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纳截止时间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5A76D8B8">
            <w:pPr>
              <w:pStyle w:val="133"/>
              <w:widowControl/>
              <w:wordWrap w:val="0"/>
              <w:spacing w:line="400" w:lineRule="exact"/>
              <w:ind w:left="0" w:firstLine="240" w:firstLineChars="10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投标保证金到账截止时间：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cs="宋体"/>
                <w:color w:val="auto"/>
                <w:spacing w:val="0"/>
                <w:position w:val="0"/>
                <w:sz w:val="24"/>
                <w:szCs w:val="24"/>
                <w:highlight w:val="none"/>
                <w:u w:val="single" w:color="auto"/>
                <w:lang w:val="en-US" w:eastAsia="zh-CN"/>
              </w:rPr>
              <w:t>3</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r>
              <w:rPr>
                <w:rFonts w:hint="eastAsia" w:ascii="宋体" w:hAnsi="宋体" w:eastAsia="宋体" w:cs="宋体"/>
                <w:color w:val="auto"/>
                <w:kern w:val="0"/>
                <w:sz w:val="24"/>
                <w:szCs w:val="24"/>
                <w:highlight w:val="none"/>
              </w:rPr>
              <w:t>；</w:t>
            </w:r>
          </w:p>
          <w:p w14:paraId="17AF77A6">
            <w:pPr>
              <w:pStyle w:val="133"/>
              <w:widowControl/>
              <w:wordWrap w:val="0"/>
              <w:spacing w:line="400" w:lineRule="exact"/>
              <w:ind w:left="0" w:firstLine="240" w:firstLineChars="10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投标保证担保上传截止时间：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cs="宋体"/>
                <w:color w:val="auto"/>
                <w:spacing w:val="0"/>
                <w:position w:val="0"/>
                <w:sz w:val="24"/>
                <w:szCs w:val="24"/>
                <w:highlight w:val="none"/>
                <w:u w:val="single" w:color="auto"/>
                <w:lang w:val="en-US" w:eastAsia="zh-CN"/>
              </w:rPr>
              <w:t>3</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r>
              <w:rPr>
                <w:rFonts w:hint="eastAsia" w:ascii="宋体" w:hAnsi="宋体" w:eastAsia="宋体" w:cs="宋体"/>
                <w:color w:val="auto"/>
                <w:kern w:val="0"/>
                <w:sz w:val="24"/>
                <w:szCs w:val="24"/>
                <w:highlight w:val="none"/>
              </w:rPr>
              <w:t>；</w:t>
            </w:r>
          </w:p>
          <w:p w14:paraId="5946E213">
            <w:pPr>
              <w:pStyle w:val="133"/>
              <w:widowControl/>
              <w:wordWrap w:val="0"/>
              <w:spacing w:line="400" w:lineRule="exact"/>
              <w:ind w:left="0" w:firstLine="240" w:firstLineChars="10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投标保证保险投保截止时间：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cs="宋体"/>
                <w:color w:val="auto"/>
                <w:spacing w:val="0"/>
                <w:position w:val="0"/>
                <w:sz w:val="24"/>
                <w:szCs w:val="24"/>
                <w:highlight w:val="none"/>
                <w:u w:val="single" w:color="auto"/>
                <w:lang w:val="en-US" w:eastAsia="zh-CN"/>
              </w:rPr>
              <w:t>3</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r>
              <w:rPr>
                <w:rFonts w:hint="eastAsia" w:ascii="宋体" w:hAnsi="宋体" w:eastAsia="宋体" w:cs="宋体"/>
                <w:color w:val="auto"/>
                <w:kern w:val="0"/>
                <w:sz w:val="24"/>
                <w:szCs w:val="24"/>
                <w:highlight w:val="none"/>
              </w:rPr>
              <w:t>。</w:t>
            </w:r>
          </w:p>
        </w:tc>
      </w:tr>
      <w:tr w14:paraId="5E5A822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0DD839A2">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6</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3E469A97">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电子投标</w:t>
            </w:r>
          </w:p>
          <w:p w14:paraId="312A01B0">
            <w:pPr>
              <w:pStyle w:val="133"/>
              <w:widowControl/>
              <w:wordWrap w:val="0"/>
              <w:spacing w:line="360" w:lineRule="exact"/>
              <w:jc w:val="center"/>
              <w:rPr>
                <w:rFonts w:hint="eastAsia" w:ascii="宋体" w:hAnsi="宋体" w:eastAsia="宋体" w:cs="宋体"/>
                <w:strike/>
                <w:dstrike w:val="0"/>
                <w:color w:val="auto"/>
                <w:kern w:val="0"/>
                <w:sz w:val="24"/>
                <w:szCs w:val="24"/>
                <w:highlight w:val="none"/>
                <w:lang w:val="en-US"/>
              </w:rPr>
            </w:pPr>
            <w:r>
              <w:rPr>
                <w:rFonts w:hint="eastAsia" w:ascii="宋体" w:hAnsi="宋体" w:eastAsia="宋体" w:cs="宋体"/>
                <w:color w:val="auto"/>
                <w:kern w:val="0"/>
                <w:sz w:val="24"/>
                <w:szCs w:val="24"/>
                <w:highlight w:val="none"/>
              </w:rPr>
              <w:t>截止时间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65CB2B96">
            <w:pPr>
              <w:pStyle w:val="133"/>
              <w:widowControl/>
              <w:wordWrap w:val="0"/>
              <w:spacing w:line="400" w:lineRule="exact"/>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p>
        </w:tc>
      </w:tr>
      <w:tr w14:paraId="034C206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428099B7">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7</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33EF7DB4">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投标相关资料（如有）</w:t>
            </w:r>
          </w:p>
          <w:p w14:paraId="4A9F2FC6">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递交时间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36E86EFF">
            <w:pPr>
              <w:pStyle w:val="133"/>
              <w:widowControl/>
              <w:wordWrap w:val="0"/>
              <w:spacing w:line="400" w:lineRule="exact"/>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cs="宋体"/>
                <w:color w:val="auto"/>
                <w:spacing w:val="0"/>
                <w:position w:val="0"/>
                <w:sz w:val="24"/>
                <w:szCs w:val="24"/>
                <w:highlight w:val="none"/>
                <w:u w:val="single" w:color="auto"/>
                <w:lang w:val="en-US" w:eastAsia="zh-CN"/>
              </w:rPr>
              <w:t>0</w:t>
            </w:r>
            <w:r>
              <w:rPr>
                <w:rFonts w:hint="eastAsia" w:ascii="宋体" w:hAnsi="宋体" w:eastAsia="宋体" w:cs="宋体"/>
                <w:color w:val="auto"/>
                <w:spacing w:val="0"/>
                <w:position w:val="0"/>
                <w:sz w:val="24"/>
                <w:szCs w:val="24"/>
                <w:highlight w:val="none"/>
                <w:u w:val="single" w:color="auto"/>
                <w:lang w:val="en-US" w:eastAsia="zh-CN"/>
              </w:rPr>
              <w:t>0</w:t>
            </w:r>
            <w:r>
              <w:rPr>
                <w:rFonts w:hint="eastAsia" w:ascii="宋体" w:hAnsi="宋体" w:eastAsia="宋体" w:cs="宋体"/>
                <w:color w:val="auto"/>
                <w:spacing w:val="0"/>
                <w:position w:val="0"/>
                <w:sz w:val="24"/>
                <w:szCs w:val="24"/>
                <w:highlight w:val="none"/>
              </w:rPr>
              <w:t>分</w:t>
            </w:r>
            <w:r>
              <w:rPr>
                <w:rFonts w:hint="eastAsia" w:ascii="宋体" w:hAnsi="宋体" w:eastAsia="宋体" w:cs="宋体"/>
                <w:color w:val="auto"/>
                <w:kern w:val="0"/>
                <w:sz w:val="24"/>
                <w:szCs w:val="24"/>
                <w:highlight w:val="none"/>
              </w:rPr>
              <w:t>至</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p>
        </w:tc>
      </w:tr>
      <w:tr w14:paraId="1357A4D1">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376D17F7">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8</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2B000469">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投标相关资料（如有）</w:t>
            </w:r>
          </w:p>
          <w:p w14:paraId="51F02BCD">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递交地点</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6A487489">
            <w:pPr>
              <w:pStyle w:val="133"/>
              <w:widowControl/>
              <w:wordWrap w:val="0"/>
              <w:spacing w:line="400" w:lineRule="exact"/>
              <w:ind w:lef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递交场所：</w:t>
            </w:r>
            <w:r>
              <w:rPr>
                <w:rFonts w:hint="eastAsia" w:ascii="宋体" w:hAnsi="宋体" w:eastAsia="宋体" w:cs="宋体"/>
                <w:color w:val="auto"/>
                <w:kern w:val="0"/>
                <w:sz w:val="24"/>
                <w:szCs w:val="24"/>
                <w:highlight w:val="none"/>
                <w:u w:val="single"/>
              </w:rPr>
              <w:t>韶关市公共资源交易中心乐昌分中心</w:t>
            </w:r>
            <w:r>
              <w:rPr>
                <w:rFonts w:hint="eastAsia" w:ascii="宋体" w:hAnsi="宋体" w:eastAsia="宋体" w:cs="宋体"/>
                <w:color w:val="auto"/>
                <w:kern w:val="0"/>
                <w:sz w:val="24"/>
                <w:szCs w:val="24"/>
                <w:highlight w:val="none"/>
              </w:rPr>
              <w:t>，</w:t>
            </w:r>
          </w:p>
          <w:p w14:paraId="683E2CF7">
            <w:pPr>
              <w:pStyle w:val="133"/>
              <w:widowControl/>
              <w:wordWrap w:val="0"/>
              <w:spacing w:line="400" w:lineRule="exact"/>
              <w:ind w:left="0" w:firstLine="240" w:firstLineChars="1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eastAsia="zh-CN"/>
              </w:rPr>
              <w:t>乐昌市昌山北路23号韶关市公共资源交易中心乐昌分中心</w:t>
            </w:r>
            <w:r>
              <w:rPr>
                <w:rFonts w:hint="eastAsia" w:ascii="宋体" w:hAnsi="宋体" w:eastAsia="宋体" w:cs="宋体"/>
                <w:color w:val="auto"/>
                <w:kern w:val="0"/>
                <w:sz w:val="24"/>
                <w:szCs w:val="24"/>
                <w:highlight w:val="none"/>
                <w:u w:val="single"/>
              </w:rPr>
              <w:t>，具体房间号以当日现场通知为准</w:t>
            </w:r>
            <w:r>
              <w:rPr>
                <w:rFonts w:hint="eastAsia" w:ascii="宋体" w:hAnsi="宋体" w:eastAsia="宋体" w:cs="宋体"/>
                <w:color w:val="auto"/>
                <w:kern w:val="0"/>
                <w:sz w:val="24"/>
                <w:szCs w:val="24"/>
                <w:highlight w:val="none"/>
              </w:rPr>
              <w:t>。</w:t>
            </w:r>
          </w:p>
        </w:tc>
      </w:tr>
      <w:tr w14:paraId="20D7A675">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09DF6047">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9</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0C09248D">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开标时间</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460746C3">
            <w:pPr>
              <w:pStyle w:val="133"/>
              <w:widowControl/>
              <w:wordWrap w:val="0"/>
              <w:spacing w:line="400" w:lineRule="exact"/>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color="auto"/>
                <w:lang w:val="en-US" w:eastAsia="zh-CN"/>
              </w:rPr>
              <w:t xml:space="preserve"> 6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color="auto"/>
                <w:lang w:val="en-US" w:eastAsia="zh-CN"/>
              </w:rPr>
              <w:t xml:space="preserve"> 4 </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auto"/>
                <w:spacing w:val="0"/>
                <w:position w:val="0"/>
                <w:sz w:val="24"/>
                <w:szCs w:val="24"/>
                <w:highlight w:val="none"/>
                <w:u w:val="single" w:color="auto"/>
                <w:lang w:val="en-US" w:eastAsia="zh-CN"/>
              </w:rPr>
              <w:t>9</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color="auto"/>
                <w:lang w:val="en-US" w:eastAsia="zh-CN"/>
              </w:rPr>
              <w:t>30</w:t>
            </w:r>
            <w:r>
              <w:rPr>
                <w:rFonts w:hint="eastAsia" w:ascii="宋体" w:hAnsi="宋体" w:eastAsia="宋体" w:cs="宋体"/>
                <w:color w:val="auto"/>
                <w:spacing w:val="0"/>
                <w:position w:val="0"/>
                <w:sz w:val="24"/>
                <w:szCs w:val="24"/>
                <w:highlight w:val="none"/>
              </w:rPr>
              <w:t>分</w:t>
            </w:r>
          </w:p>
        </w:tc>
      </w:tr>
      <w:tr w14:paraId="6B670C8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417" w:type="dxa"/>
            <w:tcBorders>
              <w:top w:val="outset" w:color="080000" w:sz="6" w:space="0"/>
              <w:left w:val="outset" w:color="080000" w:sz="6" w:space="0"/>
              <w:bottom w:val="outset" w:color="080000" w:sz="6" w:space="0"/>
              <w:right w:val="outset" w:color="080000" w:sz="6" w:space="0"/>
            </w:tcBorders>
            <w:noWrap w:val="0"/>
            <w:vAlign w:val="center"/>
          </w:tcPr>
          <w:p w14:paraId="22600E3F">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10</w:t>
            </w:r>
          </w:p>
        </w:tc>
        <w:tc>
          <w:tcPr>
            <w:tcW w:w="1352" w:type="dxa"/>
            <w:tcBorders>
              <w:top w:val="outset" w:color="080000" w:sz="6" w:space="0"/>
              <w:left w:val="single" w:color="auto" w:sz="2" w:space="0"/>
              <w:bottom w:val="outset" w:color="080000" w:sz="6" w:space="0"/>
              <w:right w:val="outset" w:color="080000" w:sz="6" w:space="0"/>
            </w:tcBorders>
            <w:noWrap w:val="0"/>
            <w:vAlign w:val="center"/>
          </w:tcPr>
          <w:p w14:paraId="52CB9285">
            <w:pPr>
              <w:pStyle w:val="133"/>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开标地点</w:t>
            </w:r>
          </w:p>
        </w:tc>
        <w:tc>
          <w:tcPr>
            <w:tcW w:w="7183" w:type="dxa"/>
            <w:tcBorders>
              <w:top w:val="outset" w:color="080000" w:sz="6" w:space="0"/>
              <w:left w:val="single" w:color="auto" w:sz="2" w:space="0"/>
              <w:bottom w:val="outset" w:color="080000" w:sz="6" w:space="0"/>
              <w:right w:val="outset" w:color="080000" w:sz="6" w:space="0"/>
            </w:tcBorders>
            <w:noWrap w:val="0"/>
            <w:vAlign w:val="center"/>
          </w:tcPr>
          <w:p w14:paraId="62F938C1">
            <w:pPr>
              <w:pStyle w:val="133"/>
              <w:widowControl/>
              <w:wordWrap w:val="0"/>
              <w:spacing w:line="400" w:lineRule="exact"/>
              <w:ind w:lef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开标场所：</w:t>
            </w:r>
            <w:r>
              <w:rPr>
                <w:rFonts w:hint="eastAsia" w:ascii="宋体" w:hAnsi="宋体" w:eastAsia="宋体" w:cs="宋体"/>
                <w:color w:val="auto"/>
                <w:kern w:val="0"/>
                <w:sz w:val="24"/>
                <w:szCs w:val="24"/>
                <w:highlight w:val="none"/>
                <w:u w:val="single"/>
              </w:rPr>
              <w:t>韶关市公共资源交易中心乐昌分中心</w:t>
            </w:r>
            <w:r>
              <w:rPr>
                <w:rFonts w:hint="eastAsia" w:ascii="宋体" w:hAnsi="宋体" w:eastAsia="宋体" w:cs="宋体"/>
                <w:color w:val="auto"/>
                <w:kern w:val="0"/>
                <w:sz w:val="24"/>
                <w:szCs w:val="24"/>
                <w:highlight w:val="none"/>
              </w:rPr>
              <w:t>，</w:t>
            </w:r>
          </w:p>
          <w:p w14:paraId="65D440DD">
            <w:pPr>
              <w:pStyle w:val="133"/>
              <w:widowControl/>
              <w:wordWrap w:val="0"/>
              <w:spacing w:line="400" w:lineRule="exact"/>
              <w:ind w:left="0" w:firstLine="240" w:firstLineChars="1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eastAsia="zh-CN"/>
              </w:rPr>
              <w:t>乐昌市昌山北路23号韶关市公共资源交易中心乐昌分中心</w:t>
            </w:r>
            <w:r>
              <w:rPr>
                <w:rFonts w:hint="eastAsia" w:ascii="宋体" w:hAnsi="宋体" w:eastAsia="宋体" w:cs="宋体"/>
                <w:color w:val="auto"/>
                <w:kern w:val="0"/>
                <w:sz w:val="24"/>
                <w:szCs w:val="24"/>
                <w:highlight w:val="none"/>
                <w:u w:val="single"/>
              </w:rPr>
              <w:t>，具体房间号以当日现场通知为准</w:t>
            </w:r>
            <w:r>
              <w:rPr>
                <w:rFonts w:hint="eastAsia" w:ascii="宋体" w:hAnsi="宋体" w:eastAsia="宋体" w:cs="宋体"/>
                <w:color w:val="auto"/>
                <w:kern w:val="0"/>
                <w:sz w:val="24"/>
                <w:szCs w:val="24"/>
                <w:highlight w:val="none"/>
              </w:rPr>
              <w:t>。</w:t>
            </w:r>
          </w:p>
        </w:tc>
      </w:tr>
    </w:tbl>
    <w:p w14:paraId="3BB5919F">
      <w:pPr>
        <w:widowControl/>
        <w:tabs>
          <w:tab w:val="left" w:pos="1830"/>
        </w:tabs>
        <w:wordWrap w:val="0"/>
        <w:autoSpaceDE w:val="0"/>
        <w:autoSpaceDN/>
        <w:spacing w:line="440" w:lineRule="exact"/>
        <w:ind w:left="885" w:hanging="885"/>
        <w:jc w:val="center"/>
        <w:outlineLvl w:val="9"/>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 xml:space="preserve"> </w:t>
      </w:r>
    </w:p>
    <w:p w14:paraId="276B91C9">
      <w:pPr>
        <w:shd w:val="clear" w:color="auto" w:fill="auto"/>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30"/>
          <w:szCs w:val="30"/>
          <w:highlight w:val="none"/>
        </w:rPr>
        <w:br w:type="page"/>
      </w:r>
      <w:bookmarkStart w:id="7" w:name="_Toc28552"/>
      <w:r>
        <w:rPr>
          <w:rFonts w:hint="eastAsia" w:ascii="宋体" w:hAnsi="宋体" w:eastAsia="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rPr>
        <w:t>、投标人须知</w:t>
      </w:r>
      <w:bookmarkEnd w:id="7"/>
      <w:r>
        <w:rPr>
          <w:rFonts w:hint="eastAsia" w:ascii="宋体" w:hAnsi="宋体" w:eastAsia="宋体" w:cs="宋体"/>
          <w:b/>
          <w:bCs/>
          <w:color w:val="auto"/>
          <w:sz w:val="30"/>
          <w:szCs w:val="30"/>
          <w:highlight w:val="none"/>
          <w:lang w:val="en-US" w:eastAsia="zh-CN"/>
        </w:rPr>
        <w:t>正文</w:t>
      </w:r>
    </w:p>
    <w:p w14:paraId="328EFAD4">
      <w:pPr>
        <w:keepNext w:val="0"/>
        <w:keepLines w:val="0"/>
        <w:pageBreakBefore w:val="0"/>
        <w:shd w:val="clear" w:color="auto" w:fill="auto"/>
        <w:kinsoku/>
        <w:wordWrap/>
        <w:overflowPunct/>
        <w:topLinePunct w:val="0"/>
        <w:bidi w:val="0"/>
        <w:adjustRightInd/>
        <w:snapToGrid/>
        <w:spacing w:line="340" w:lineRule="exact"/>
        <w:ind w:left="0" w:leftChars="0" w:firstLine="562" w:firstLineChars="200"/>
        <w:jc w:val="center"/>
        <w:textAlignment w:val="auto"/>
        <w:outlineLvl w:val="2"/>
        <w:rPr>
          <w:rFonts w:hint="eastAsia" w:ascii="宋体" w:hAnsi="宋体" w:eastAsia="宋体" w:cs="宋体"/>
          <w:color w:val="auto"/>
          <w:sz w:val="28"/>
          <w:szCs w:val="28"/>
          <w:highlight w:val="none"/>
        </w:rPr>
      </w:pPr>
      <w:bookmarkStart w:id="8" w:name="_Toc28115"/>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则</w:t>
      </w:r>
      <w:bookmarkEnd w:id="8"/>
    </w:p>
    <w:p w14:paraId="099D6D79">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项目概况</w:t>
      </w:r>
    </w:p>
    <w:p w14:paraId="767018E7">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.1根据《中华人民共和国招标投标法》等有关法律、法规和规章的规定，本招标项目已具备招标条件，通过招标方式选定承包人。</w:t>
      </w:r>
    </w:p>
    <w:p w14:paraId="5D073F8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项目业主：</w:t>
      </w:r>
      <w:r>
        <w:rPr>
          <w:rFonts w:hint="eastAsia" w:ascii="宋体" w:hAnsi="宋体" w:eastAsia="宋体" w:cs="宋体"/>
          <w:color w:val="auto"/>
          <w:sz w:val="24"/>
          <w:szCs w:val="24"/>
          <w:highlight w:val="none"/>
        </w:rPr>
        <w:t>见投标人须知前附表。</w:t>
      </w:r>
    </w:p>
    <w:p w14:paraId="621FAD8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.3招标人：见投标人须知前附表</w:t>
      </w:r>
      <w:r>
        <w:rPr>
          <w:rFonts w:hint="eastAsia" w:ascii="宋体" w:hAnsi="宋体" w:eastAsia="宋体" w:cs="宋体"/>
          <w:color w:val="auto"/>
          <w:sz w:val="24"/>
          <w:szCs w:val="24"/>
          <w:highlight w:val="none"/>
          <w:lang w:eastAsia="zh-CN"/>
        </w:rPr>
        <w:t>。</w:t>
      </w:r>
    </w:p>
    <w:p w14:paraId="25B22157">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.4招标代理机构：见投标人须知前附表。</w:t>
      </w:r>
    </w:p>
    <w:p w14:paraId="4439516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名称：见投标人须知前附表。</w:t>
      </w:r>
    </w:p>
    <w:p w14:paraId="581ACFC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.6项目建设地点：见投标人须知前附表。</w:t>
      </w:r>
    </w:p>
    <w:p w14:paraId="1E83772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项目建设规模：见投标人须知前附表。</w:t>
      </w:r>
    </w:p>
    <w:p w14:paraId="1A1F3E09">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．资金来源和落实情况</w:t>
      </w:r>
    </w:p>
    <w:p w14:paraId="5936037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.1资金来源及比例：</w:t>
      </w:r>
      <w:r>
        <w:rPr>
          <w:rFonts w:hint="eastAsia" w:ascii="宋体" w:hAnsi="宋体" w:eastAsia="宋体" w:cs="宋体"/>
          <w:color w:val="auto"/>
          <w:sz w:val="24"/>
          <w:szCs w:val="24"/>
          <w:highlight w:val="none"/>
        </w:rPr>
        <w:t>见投标人须知前附表。</w:t>
      </w:r>
    </w:p>
    <w:p w14:paraId="523C775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.2资金落实情况：见投标人须知前附表。</w:t>
      </w:r>
    </w:p>
    <w:p w14:paraId="79F27BE0">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工程类型</w:t>
      </w:r>
      <w:r>
        <w:rPr>
          <w:rFonts w:hint="eastAsia" w:ascii="宋体" w:hAnsi="宋体" w:eastAsia="宋体" w:cs="宋体"/>
          <w:b/>
          <w:bCs/>
          <w:color w:val="auto"/>
          <w:sz w:val="24"/>
          <w:szCs w:val="24"/>
          <w:highlight w:val="none"/>
        </w:rPr>
        <w:t>及招标范围</w:t>
      </w:r>
    </w:p>
    <w:p w14:paraId="7C51586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工程类型</w:t>
      </w:r>
      <w:r>
        <w:rPr>
          <w:rFonts w:hint="eastAsia" w:ascii="宋体" w:hAnsi="宋体" w:eastAsia="宋体" w:cs="宋体"/>
          <w:color w:val="auto"/>
          <w:sz w:val="24"/>
          <w:szCs w:val="24"/>
          <w:highlight w:val="none"/>
        </w:rPr>
        <w:t>：见投标人须知前附表。</w:t>
      </w:r>
    </w:p>
    <w:p w14:paraId="1670029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工程建设内容及</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：见投标人须知前附表</w:t>
      </w:r>
    </w:p>
    <w:p w14:paraId="6DEE53D4">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投标人资格要求</w:t>
      </w:r>
    </w:p>
    <w:p w14:paraId="4502F81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.1投标人应具备承担本招标项目资质条件、能力和信誉。</w:t>
      </w:r>
    </w:p>
    <w:p w14:paraId="4F69A9D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5AD52EE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（2）其他要求：见投标人须知前附表。</w:t>
      </w:r>
    </w:p>
    <w:p w14:paraId="3B3F52A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投标须知前附表规定接受联合体投标的，除应符合本章第</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款和投标人须知前附表的要求外，还应遵守以下规定：</w:t>
      </w:r>
    </w:p>
    <w:p w14:paraId="5568242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（1）联合体各方应按照招标文件提供的格式签订联合体共同投标协议书，明确联合体主办人和各方权利义务；</w:t>
      </w:r>
    </w:p>
    <w:p w14:paraId="1ADF66E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10778A7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w:t>
      </w:r>
    </w:p>
    <w:p w14:paraId="05089B5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项目负责人资格要求：具体要求见投标人须知前附表；</w:t>
      </w:r>
    </w:p>
    <w:p w14:paraId="2EF5673D">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w:t>
      </w:r>
      <w:r>
        <w:rPr>
          <w:rFonts w:hint="eastAsia" w:ascii="宋体" w:hAnsi="宋体" w:eastAsia="宋体" w:cs="宋体"/>
          <w:bCs/>
          <w:color w:val="auto"/>
          <w:kern w:val="0"/>
          <w:sz w:val="24"/>
          <w:szCs w:val="24"/>
          <w:highlight w:val="none"/>
        </w:rPr>
        <w:t>投标人拟派的项目负责人从投标截止时间起不得在其他建设工程担任项目负责人。</w:t>
      </w:r>
    </w:p>
    <w:p w14:paraId="4E492CD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本招标项目采用本投标人须知前附表所述的资格后审方式确定合格投标人。</w:t>
      </w:r>
    </w:p>
    <w:p w14:paraId="2CAA41C0">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0"/>
          <w:sz w:val="24"/>
          <w:highlight w:val="none"/>
        </w:rPr>
        <w:t>禁止投标条款</w:t>
      </w:r>
    </w:p>
    <w:p w14:paraId="1C5BC9DD">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.1 投标人不得存在下列情形之一：</w:t>
      </w:r>
    </w:p>
    <w:p w14:paraId="677ED2C1">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163F3CD8">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（2）为本招标项目前期准备提供设计或咨询服务的；</w:t>
      </w:r>
    </w:p>
    <w:p w14:paraId="133868B0">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14:paraId="79C429A2">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14:paraId="54BB83D0">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（5）为本招标项目的监理人；</w:t>
      </w:r>
    </w:p>
    <w:p w14:paraId="63E712BA">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（6）为本招标项目的代建人；</w:t>
      </w:r>
    </w:p>
    <w:p w14:paraId="20480276">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（7）为本招标项目的招标代理机构；</w:t>
      </w:r>
    </w:p>
    <w:p w14:paraId="6546A02F">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（8）与本招标项目的监理人或代建人或招标代理机构同为一个法定代表人；</w:t>
      </w:r>
    </w:p>
    <w:p w14:paraId="49E43214">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（9）与本招标项目的监理人或代建人或招标代理机构存在控股或参股关系；</w:t>
      </w:r>
    </w:p>
    <w:p w14:paraId="696041A0">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（10）与本招标项目的监理人或代建人或招标代理机构存在相互任职或工作关系；</w:t>
      </w:r>
    </w:p>
    <w:p w14:paraId="3E304A91">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（11）被依法暂停或者取消投标资格；</w:t>
      </w:r>
    </w:p>
    <w:p w14:paraId="1C14D6A1">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（12）被责令停产停业、暂扣或者吊销许可证、暂扣或者吊销执照；</w:t>
      </w:r>
    </w:p>
    <w:p w14:paraId="185B9E0D">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（13）进入清算程序，或被宣告破产，或其他丧失履约能力的情形；</w:t>
      </w:r>
    </w:p>
    <w:p w14:paraId="47030626">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378FDC4">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（15）被“信用中国”网站（https://www.creditchina.gov.cn）发布的《法人和非法人组织公共信用信息报告》列为严重失信主体名单的。</w:t>
      </w:r>
    </w:p>
    <w:p w14:paraId="1D24A4F3">
      <w:pPr>
        <w:pStyle w:val="133"/>
        <w:keepNext w:val="0"/>
        <w:keepLines w:val="0"/>
        <w:pageBreakBefore w:val="0"/>
        <w:wordWrap w:val="0"/>
        <w:overflowPunct/>
        <w:topLinePunct w:val="0"/>
        <w:autoSpaceDE/>
        <w:autoSpaceDN/>
        <w:bidi w:val="0"/>
        <w:adjustRightInd w:val="0"/>
        <w:snapToGrid w:val="0"/>
        <w:spacing w:line="400" w:lineRule="atLeas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 xml:space="preserve"> 招标人拒绝以下名单中的单位参加本次投标：</w:t>
      </w:r>
    </w:p>
    <w:tbl>
      <w:tblPr>
        <w:tblStyle w:val="43"/>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4523"/>
        <w:gridCol w:w="3597"/>
      </w:tblGrid>
      <w:tr w14:paraId="44C3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noWrap w:val="0"/>
            <w:vAlign w:val="center"/>
          </w:tcPr>
          <w:p w14:paraId="53CB9E48">
            <w:pPr>
              <w:keepNext w:val="0"/>
              <w:keepLines w:val="0"/>
              <w:pageBreakBefore w:val="0"/>
              <w:suppressLineNumbers w:val="0"/>
              <w:wordWrap w:val="0"/>
              <w:overflowPunct/>
              <w:topLinePunct w:val="0"/>
              <w:autoSpaceDE/>
              <w:autoSpaceDN/>
              <w:bidi w:val="0"/>
              <w:adjustRightInd w:val="0"/>
              <w:snapToGrid w:val="0"/>
              <w:spacing w:before="0" w:beforeAutospacing="0" w:after="0" w:afterAutospacing="0" w:line="400" w:lineRule="atLeast"/>
              <w:ind w:left="0" w:right="0"/>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序号</w:t>
            </w:r>
          </w:p>
        </w:tc>
        <w:tc>
          <w:tcPr>
            <w:tcW w:w="4523" w:type="dxa"/>
            <w:noWrap w:val="0"/>
            <w:vAlign w:val="center"/>
          </w:tcPr>
          <w:p w14:paraId="6596FCAA">
            <w:pPr>
              <w:keepNext w:val="0"/>
              <w:keepLines w:val="0"/>
              <w:pageBreakBefore w:val="0"/>
              <w:suppressLineNumbers w:val="0"/>
              <w:wordWrap w:val="0"/>
              <w:overflowPunct/>
              <w:topLinePunct w:val="0"/>
              <w:autoSpaceDE/>
              <w:autoSpaceDN/>
              <w:bidi w:val="0"/>
              <w:adjustRightInd w:val="0"/>
              <w:snapToGrid w:val="0"/>
              <w:spacing w:before="0" w:beforeAutospacing="0" w:after="0" w:afterAutospacing="0" w:line="400" w:lineRule="atLeast"/>
              <w:ind w:left="0" w:right="0"/>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单位名称</w:t>
            </w:r>
          </w:p>
        </w:tc>
        <w:tc>
          <w:tcPr>
            <w:tcW w:w="3597" w:type="dxa"/>
            <w:noWrap w:val="0"/>
            <w:vAlign w:val="center"/>
          </w:tcPr>
          <w:p w14:paraId="7D5D3EA9">
            <w:pPr>
              <w:keepNext w:val="0"/>
              <w:keepLines w:val="0"/>
              <w:pageBreakBefore w:val="0"/>
              <w:suppressLineNumbers w:val="0"/>
              <w:wordWrap w:val="0"/>
              <w:overflowPunct/>
              <w:topLinePunct w:val="0"/>
              <w:autoSpaceDE/>
              <w:autoSpaceDN/>
              <w:bidi w:val="0"/>
              <w:adjustRightInd w:val="0"/>
              <w:snapToGrid w:val="0"/>
              <w:spacing w:before="0" w:beforeAutospacing="0" w:after="0" w:afterAutospacing="0" w:line="400" w:lineRule="atLeast"/>
              <w:ind w:left="0" w:right="0"/>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拒绝原因</w:t>
            </w:r>
          </w:p>
        </w:tc>
      </w:tr>
      <w:tr w14:paraId="3560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55AD8655">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1</w:t>
            </w:r>
          </w:p>
        </w:tc>
        <w:tc>
          <w:tcPr>
            <w:tcW w:w="4523" w:type="dxa"/>
            <w:noWrap w:val="0"/>
            <w:vAlign w:val="center"/>
          </w:tcPr>
          <w:p w14:paraId="57726793">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bidi="ar"/>
              </w:rPr>
            </w:pPr>
            <w:r>
              <w:rPr>
                <w:rFonts w:hint="eastAsia" w:ascii="宋体" w:hAnsi="宋体" w:cs="Times New Roman"/>
                <w:snapToGrid w:val="0"/>
                <w:color w:val="auto"/>
                <w:kern w:val="0"/>
                <w:sz w:val="24"/>
                <w:szCs w:val="24"/>
                <w:highlight w:val="none"/>
                <w:lang w:val="en-US" w:eastAsia="zh-CN"/>
              </w:rPr>
              <w:t>乐昌产业转移工业园投资开发有限公司</w:t>
            </w:r>
          </w:p>
        </w:tc>
        <w:tc>
          <w:tcPr>
            <w:tcW w:w="3597" w:type="dxa"/>
            <w:noWrap w:val="0"/>
            <w:vAlign w:val="center"/>
          </w:tcPr>
          <w:p w14:paraId="0AD745EC">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bidi="ar"/>
              </w:rPr>
            </w:pPr>
            <w:r>
              <w:rPr>
                <w:rFonts w:hint="eastAsia" w:ascii="宋体" w:hAnsi="宋体"/>
                <w:snapToGrid w:val="0"/>
                <w:color w:val="auto"/>
                <w:kern w:val="0"/>
                <w:sz w:val="24"/>
                <w:szCs w:val="24"/>
                <w:highlight w:val="none"/>
              </w:rPr>
              <w:t>为本招标项目的</w:t>
            </w:r>
            <w:r>
              <w:rPr>
                <w:rFonts w:hint="eastAsia" w:ascii="宋体" w:hAnsi="宋体"/>
                <w:snapToGrid w:val="0"/>
                <w:color w:val="auto"/>
                <w:kern w:val="0"/>
                <w:sz w:val="24"/>
                <w:szCs w:val="24"/>
                <w:highlight w:val="none"/>
                <w:lang w:val="en-US" w:eastAsia="zh-CN"/>
              </w:rPr>
              <w:t>业主和</w:t>
            </w:r>
            <w:r>
              <w:rPr>
                <w:rFonts w:hint="eastAsia" w:ascii="宋体" w:hAnsi="宋体"/>
                <w:snapToGrid w:val="0"/>
                <w:color w:val="auto"/>
                <w:kern w:val="0"/>
                <w:sz w:val="24"/>
                <w:szCs w:val="24"/>
                <w:highlight w:val="none"/>
              </w:rPr>
              <w:t>招标人</w:t>
            </w:r>
          </w:p>
        </w:tc>
      </w:tr>
      <w:tr w14:paraId="4104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0D1FC38A">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2</w:t>
            </w:r>
          </w:p>
        </w:tc>
        <w:tc>
          <w:tcPr>
            <w:tcW w:w="4523" w:type="dxa"/>
            <w:noWrap w:val="0"/>
            <w:vAlign w:val="center"/>
          </w:tcPr>
          <w:p w14:paraId="21564401">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bidi="ar"/>
              </w:rPr>
            </w:pPr>
            <w:r>
              <w:rPr>
                <w:rFonts w:hint="eastAsia" w:ascii="宋体" w:hAnsi="宋体" w:cs="Times New Roman"/>
                <w:snapToGrid w:val="0"/>
                <w:color w:val="auto"/>
                <w:kern w:val="0"/>
                <w:sz w:val="24"/>
                <w:szCs w:val="24"/>
                <w:highlight w:val="none"/>
                <w:lang w:val="en-US" w:eastAsia="zh-CN"/>
              </w:rPr>
              <w:t>广州市云兴建设工程监理有限公司</w:t>
            </w:r>
          </w:p>
        </w:tc>
        <w:tc>
          <w:tcPr>
            <w:tcW w:w="3597" w:type="dxa"/>
            <w:noWrap w:val="0"/>
            <w:vAlign w:val="center"/>
          </w:tcPr>
          <w:p w14:paraId="3B42003A">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bidi="ar"/>
              </w:rPr>
            </w:pPr>
            <w:r>
              <w:rPr>
                <w:rFonts w:hint="eastAsia" w:ascii="宋体" w:hAnsi="宋体"/>
                <w:snapToGrid w:val="0"/>
                <w:color w:val="auto"/>
                <w:kern w:val="0"/>
                <w:sz w:val="24"/>
                <w:szCs w:val="24"/>
                <w:highlight w:val="none"/>
              </w:rPr>
              <w:t>为本招标项目的招标代理机构</w:t>
            </w:r>
          </w:p>
        </w:tc>
      </w:tr>
      <w:tr w14:paraId="7DEC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1C491C34">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3</w:t>
            </w:r>
          </w:p>
        </w:tc>
        <w:tc>
          <w:tcPr>
            <w:tcW w:w="4523" w:type="dxa"/>
            <w:noWrap w:val="0"/>
            <w:vAlign w:val="center"/>
          </w:tcPr>
          <w:p w14:paraId="1BB8B39A">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广东省华源建设项目管理有限公司</w:t>
            </w:r>
          </w:p>
        </w:tc>
        <w:tc>
          <w:tcPr>
            <w:tcW w:w="3597" w:type="dxa"/>
            <w:noWrap w:val="0"/>
            <w:vAlign w:val="center"/>
          </w:tcPr>
          <w:p w14:paraId="0BD80870">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为本招标项目的工可编制单位</w:t>
            </w:r>
          </w:p>
        </w:tc>
      </w:tr>
      <w:tr w14:paraId="46C4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2E6114CE">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4</w:t>
            </w:r>
          </w:p>
        </w:tc>
        <w:tc>
          <w:tcPr>
            <w:tcW w:w="4523" w:type="dxa"/>
            <w:noWrap w:val="0"/>
            <w:vAlign w:val="center"/>
          </w:tcPr>
          <w:p w14:paraId="07A4F19F">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重庆交通大学工程设计研究院有限公司</w:t>
            </w:r>
          </w:p>
        </w:tc>
        <w:tc>
          <w:tcPr>
            <w:tcW w:w="3597" w:type="dxa"/>
            <w:noWrap w:val="0"/>
            <w:vAlign w:val="center"/>
          </w:tcPr>
          <w:p w14:paraId="7F19065A">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为本招标项目的设计单位</w:t>
            </w:r>
          </w:p>
        </w:tc>
      </w:tr>
      <w:tr w14:paraId="6285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71764C8E">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5</w:t>
            </w:r>
          </w:p>
        </w:tc>
        <w:tc>
          <w:tcPr>
            <w:tcW w:w="4523" w:type="dxa"/>
            <w:noWrap w:val="0"/>
            <w:vAlign w:val="center"/>
          </w:tcPr>
          <w:p w14:paraId="0ED62896">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韶关市建投监理咨询有限公司</w:t>
            </w:r>
          </w:p>
        </w:tc>
        <w:tc>
          <w:tcPr>
            <w:tcW w:w="3597" w:type="dxa"/>
            <w:noWrap w:val="0"/>
            <w:vAlign w:val="center"/>
          </w:tcPr>
          <w:p w14:paraId="38035A28">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为本招标项目的造价咨询单位</w:t>
            </w:r>
          </w:p>
        </w:tc>
      </w:tr>
      <w:tr w14:paraId="6476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0" w:type="auto"/>
            <w:noWrap w:val="0"/>
            <w:vAlign w:val="center"/>
          </w:tcPr>
          <w:p w14:paraId="173FAA90">
            <w:pPr>
              <w:pStyle w:val="133"/>
              <w:keepNext w:val="0"/>
              <w:keepLines w:val="0"/>
              <w:pageBreakBefore w:val="0"/>
              <w:wordWrap w:val="0"/>
              <w:overflowPunct/>
              <w:topLinePunct w:val="0"/>
              <w:autoSpaceDE/>
              <w:autoSpaceDN/>
              <w:bidi w:val="0"/>
              <w:adjustRightInd w:val="0"/>
              <w:snapToGrid w:val="0"/>
              <w:spacing w:line="400" w:lineRule="atLeast"/>
              <w:jc w:val="center"/>
              <w:textAlignment w:val="auto"/>
              <w:rPr>
                <w:rFonts w:hint="default" w:ascii="宋体" w:hAnsi="宋体" w:eastAsia="宋体" w:cs="宋体"/>
                <w:bCs/>
                <w:snapToGrid w:val="0"/>
                <w:color w:val="auto"/>
                <w:kern w:val="0"/>
                <w:sz w:val="24"/>
                <w:szCs w:val="24"/>
                <w:highlight w:val="none"/>
                <w:lang w:val="en-US" w:eastAsia="zh-CN" w:bidi="ar-SA"/>
              </w:rPr>
            </w:pPr>
            <w:r>
              <w:rPr>
                <w:rFonts w:hint="eastAsia" w:ascii="宋体" w:hAnsi="宋体" w:cs="宋体"/>
                <w:bCs/>
                <w:snapToGrid w:val="0"/>
                <w:color w:val="auto"/>
                <w:kern w:val="0"/>
                <w:sz w:val="24"/>
                <w:szCs w:val="24"/>
                <w:highlight w:val="none"/>
                <w:lang w:val="en-US" w:eastAsia="zh-CN" w:bidi="ar-SA"/>
              </w:rPr>
              <w:t>6</w:t>
            </w:r>
          </w:p>
        </w:tc>
        <w:tc>
          <w:tcPr>
            <w:tcW w:w="4523" w:type="dxa"/>
            <w:noWrap w:val="0"/>
            <w:vAlign w:val="center"/>
          </w:tcPr>
          <w:p w14:paraId="05C86AF1">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乐昌市产业转移工业园服务中心</w:t>
            </w:r>
          </w:p>
        </w:tc>
        <w:tc>
          <w:tcPr>
            <w:tcW w:w="3597" w:type="dxa"/>
            <w:noWrap w:val="0"/>
            <w:vAlign w:val="center"/>
          </w:tcPr>
          <w:p w14:paraId="578E2682">
            <w:pPr>
              <w:pStyle w:val="133"/>
              <w:keepNext w:val="0"/>
              <w:keepLines w:val="0"/>
              <w:pageBreakBefore w:val="0"/>
              <w:wordWrap w:val="0"/>
              <w:overflowPunct/>
              <w:topLinePunct w:val="0"/>
              <w:autoSpaceDE/>
              <w:autoSpaceDN/>
              <w:bidi w:val="0"/>
              <w:adjustRightInd w:val="0"/>
              <w:snapToGrid w:val="0"/>
              <w:spacing w:line="400" w:lineRule="atLeast"/>
              <w:ind w:left="44" w:leftChars="21" w:right="61" w:rightChars="29"/>
              <w:textAlignment w:val="auto"/>
              <w:rPr>
                <w:rFonts w:hint="default"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为本招标项目的</w:t>
            </w:r>
            <w:r>
              <w:rPr>
                <w:rFonts w:hint="eastAsia" w:ascii="宋体" w:hAnsi="宋体" w:cs="Times New Roman"/>
                <w:snapToGrid w:val="0"/>
                <w:color w:val="auto"/>
                <w:kern w:val="0"/>
                <w:sz w:val="24"/>
                <w:szCs w:val="24"/>
                <w:highlight w:val="none"/>
                <w:lang w:val="en-US" w:eastAsia="zh-CN"/>
              </w:rPr>
              <w:t>监督单位</w:t>
            </w:r>
          </w:p>
        </w:tc>
      </w:tr>
    </w:tbl>
    <w:p w14:paraId="4DD94417">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 xml:space="preserve"> 分包</w:t>
      </w:r>
    </w:p>
    <w:p w14:paraId="167440E3">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投标人须知前附表规定允许分包的，招标人不得直接指定分包工程承包人，也不得对依法实施的分包活动进行干预，应当允许</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人将中标项目的部分非主体、非关键性工作进行分包。</w:t>
      </w:r>
    </w:p>
    <w:p w14:paraId="1B31AA0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投标人拟将允许分包的中标项目的部分非主体、非关键性工作进行分包的，应当符合有关法律法规规章的规定</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施工总承包的，建筑工程主体结构的施工必须由总承包单位自行完成。禁止总承包单位将工程分包给不具备相应资质条件的单位。禁止分包单位将其承包的工程再分包。</w:t>
      </w:r>
      <w:r>
        <w:rPr>
          <w:rFonts w:hint="eastAsia" w:ascii="宋体" w:hAnsi="宋体" w:eastAsia="宋体" w:cs="宋体"/>
          <w:color w:val="auto"/>
          <w:sz w:val="24"/>
          <w:szCs w:val="24"/>
          <w:highlight w:val="none"/>
          <w:lang w:eastAsia="zh-CN"/>
        </w:rPr>
        <w:t>拟分包工程前，中标人应当将拟分包工程内容、分包金额、分包工程理由、拟分包人名称及分包人资质等情况书面报送招标人同意</w:t>
      </w:r>
      <w:r>
        <w:rPr>
          <w:rFonts w:hint="eastAsia" w:ascii="宋体" w:hAnsi="宋体" w:eastAsia="宋体" w:cs="宋体"/>
          <w:color w:val="auto"/>
          <w:sz w:val="24"/>
          <w:szCs w:val="24"/>
          <w:highlight w:val="none"/>
        </w:rPr>
        <w:t>。</w:t>
      </w:r>
    </w:p>
    <w:p w14:paraId="44AC4EB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 xml:space="preserve"> 踏勘现场</w:t>
      </w:r>
    </w:p>
    <w:p w14:paraId="600ED8F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14:paraId="7640AF8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招标人向投标人提供的有关现场的数据和资料，是招标人现有的能被投标人利用的资料，招标人对投标人做出的任何推论、理解和结论均不负责任。</w:t>
      </w:r>
    </w:p>
    <w:p w14:paraId="3400B46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通用规定</w:t>
      </w:r>
    </w:p>
    <w:p w14:paraId="2698A38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语言文字</w:t>
      </w:r>
    </w:p>
    <w:p w14:paraId="20B6F37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1A1A08D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货币名称</w:t>
      </w:r>
    </w:p>
    <w:p w14:paraId="410D59E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招标投标文件采用的币种为人民币。</w:t>
      </w:r>
    </w:p>
    <w:p w14:paraId="3D0374E3">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.3计量单位</w:t>
      </w:r>
    </w:p>
    <w:p w14:paraId="711FF7E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招标投标文件所有计量均采用中华人民共和国法定计量单位。</w:t>
      </w:r>
    </w:p>
    <w:p w14:paraId="0327A906">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.4费用承担</w:t>
      </w:r>
    </w:p>
    <w:p w14:paraId="1D03D75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投标人准备和参加投标活动发生的费用自理。</w:t>
      </w:r>
    </w:p>
    <w:p w14:paraId="45BF0D4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.5保密责任</w:t>
      </w:r>
    </w:p>
    <w:p w14:paraId="4FDF122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538BF2CD">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7.6本招标文件中所称网上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交易平台或网站，除特别指明外，是指</w:t>
      </w:r>
      <w:r>
        <w:rPr>
          <w:rFonts w:hint="eastAsia" w:ascii="宋体" w:hAnsi="宋体" w:eastAsia="宋体" w:cs="宋体"/>
          <w:strike w:val="0"/>
          <w:dstrike w:val="0"/>
          <w:color w:val="auto"/>
          <w:sz w:val="24"/>
          <w:highlight w:val="none"/>
        </w:rPr>
        <w:t>全国公共资源交易平台（广东省·韶关市）</w:t>
      </w:r>
      <w:r>
        <w:rPr>
          <w:rFonts w:hint="eastAsia" w:ascii="宋体" w:hAnsi="宋体" w:eastAsia="宋体" w:cs="宋体"/>
          <w:color w:val="auto"/>
          <w:sz w:val="24"/>
          <w:highlight w:val="none"/>
        </w:rPr>
        <w:t>。</w:t>
      </w:r>
    </w:p>
    <w:p w14:paraId="7D42C4B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.7本招标文件所指天或日均为日历天，工作日均为国家机关法定工作日，时间均为北京时间。</w:t>
      </w:r>
    </w:p>
    <w:p w14:paraId="4149CF70">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.8 本招标文件所称本人身份证是指自然人的《居民身份证》或《临时居民身份证》。</w:t>
      </w:r>
    </w:p>
    <w:p w14:paraId="5C478063">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.9</w:t>
      </w:r>
      <w:r>
        <w:rPr>
          <w:rFonts w:hint="eastAsia" w:ascii="宋体" w:hAnsi="宋体" w:eastAsia="宋体" w:cs="宋体"/>
          <w:b w:val="0"/>
          <w:bCs/>
          <w:color w:val="auto"/>
          <w:sz w:val="24"/>
          <w:szCs w:val="24"/>
          <w:highlight w:val="none"/>
        </w:rPr>
        <w:t>本招标文件所称的承包人报价浮动率（中标下浮率），其计算公式为：承包人报价浮动率（中标下浮率）=[1-(中标价格-</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最高投标限</w:t>
      </w:r>
      <w:r>
        <w:rPr>
          <w:rFonts w:hint="eastAsia" w:ascii="宋体" w:hAnsi="宋体" w:eastAsia="宋体" w:cs="宋体"/>
          <w:b w:val="0"/>
          <w:bCs/>
          <w:color w:val="auto"/>
          <w:sz w:val="24"/>
          <w:szCs w:val="24"/>
          <w:highlight w:val="none"/>
        </w:rPr>
        <w:t>价-</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)]×100%。</w:t>
      </w:r>
      <w:r>
        <w:rPr>
          <w:rFonts w:hint="eastAsia" w:ascii="宋体" w:hAnsi="宋体" w:eastAsia="宋体" w:cs="宋体"/>
          <w:b/>
          <w:bCs w:val="0"/>
          <w:color w:val="auto"/>
          <w:sz w:val="24"/>
          <w:szCs w:val="24"/>
          <w:highlight w:val="none"/>
          <w:lang w:eastAsia="zh-CN"/>
        </w:rPr>
        <w:t>其中，本招标文件所称</w:t>
      </w:r>
      <w:r>
        <w:rPr>
          <w:rFonts w:hint="eastAsia" w:ascii="宋体" w:hAnsi="宋体" w:eastAsia="宋体" w:cs="宋体"/>
          <w:b/>
          <w:bCs w:val="0"/>
          <w:iCs/>
          <w:color w:val="auto"/>
          <w:sz w:val="24"/>
          <w:highlight w:val="none"/>
        </w:rPr>
        <w:t>安</w:t>
      </w:r>
      <w:r>
        <w:rPr>
          <w:rFonts w:hint="eastAsia" w:ascii="宋体" w:hAnsi="宋体" w:eastAsia="宋体" w:cs="宋体"/>
          <w:b/>
          <w:bCs w:val="0"/>
          <w:iCs/>
          <w:color w:val="auto"/>
          <w:sz w:val="24"/>
          <w:szCs w:val="24"/>
          <w:highlight w:val="none"/>
        </w:rPr>
        <w:t>全生产措施费</w:t>
      </w:r>
      <w:r>
        <w:rPr>
          <w:rFonts w:hint="eastAsia" w:ascii="宋体" w:hAnsi="宋体" w:eastAsia="宋体" w:cs="宋体"/>
          <w:b/>
          <w:bCs w:val="0"/>
          <w:iCs/>
          <w:color w:val="auto"/>
          <w:sz w:val="24"/>
          <w:szCs w:val="24"/>
          <w:highlight w:val="none"/>
          <w:lang w:eastAsia="zh-CN"/>
        </w:rPr>
        <w:t>，已</w:t>
      </w:r>
      <w:r>
        <w:rPr>
          <w:rFonts w:hint="eastAsia" w:ascii="宋体" w:hAnsi="宋体" w:eastAsia="宋体" w:cs="宋体"/>
          <w:b/>
          <w:bCs/>
          <w:i w:val="0"/>
          <w:iCs w:val="0"/>
          <w:color w:val="auto"/>
          <w:sz w:val="24"/>
          <w:szCs w:val="24"/>
          <w:highlight w:val="none"/>
        </w:rPr>
        <w:t>含安全生产责任险</w:t>
      </w:r>
      <w:r>
        <w:rPr>
          <w:rFonts w:hint="eastAsia" w:ascii="宋体" w:hAnsi="宋体" w:eastAsia="宋体" w:cs="宋体"/>
          <w:b/>
          <w:bCs/>
          <w:i w:val="0"/>
          <w:iCs w:val="0"/>
          <w:color w:val="auto"/>
          <w:sz w:val="24"/>
          <w:szCs w:val="24"/>
          <w:highlight w:val="none"/>
          <w:lang w:eastAsia="zh-CN"/>
        </w:rPr>
        <w:t>保费。</w:t>
      </w:r>
    </w:p>
    <w:p w14:paraId="5BACD44C">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7.10 投标文件中的大写金额和小写金额不一致的，以大写金额为准，总价金额与单价金额不一致的，以单价金额为准，但单价金额小数点有明显错误的除外。</w:t>
      </w:r>
    </w:p>
    <w:p w14:paraId="42BA7CAF">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7.11本招标文件所称的投标人拟派的项目负责人从投标截止时间起不得在其他建设工程担任项目负责人，其中“在其他建设工程担任项目负责人(以取得竣工验收备案为准)”的起止时间是指：在本招标项目以外的招标项目以中标结果公示时间首日起至工程竣工验收合格之日期间；直接发包项目以签订施工合同之日起至工程竣工验收合格之日期间。</w:t>
      </w:r>
    </w:p>
    <w:p w14:paraId="54BC641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.12 本招标文件所称其他利害关系人是指投标人以外，与招标项目或者招标活动有直接和间接利益关系的法人、其他组织和自然人。</w:t>
      </w:r>
    </w:p>
    <w:p w14:paraId="737C25E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.13 本招标文件所指</w:t>
      </w:r>
      <w:r>
        <w:rPr>
          <w:rFonts w:hint="eastAsia" w:ascii="宋体" w:hAnsi="宋体" w:eastAsia="宋体" w:cs="宋体"/>
          <w:bCs/>
          <w:color w:val="auto"/>
          <w:kern w:val="0"/>
          <w:sz w:val="24"/>
          <w:szCs w:val="24"/>
          <w:highlight w:val="none"/>
        </w:rPr>
        <w:t>政府投资项目，是指使用市、县本级财政一般预算资金、政府性基金、财政专户管理资金以及政府融资等其他财政性资金进行的固定资产投资建设项目。</w:t>
      </w:r>
    </w:p>
    <w:p w14:paraId="5B96C33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招标文件要求提供相关的证书、证照如已推行或实施电子证书、证照的，投标人应按规定</w:t>
      </w:r>
      <w:r>
        <w:rPr>
          <w:rFonts w:hint="eastAsia" w:ascii="宋体" w:hAnsi="宋体" w:eastAsia="宋体" w:cs="宋体"/>
          <w:b w:val="0"/>
          <w:bCs/>
          <w:color w:val="auto"/>
          <w:sz w:val="24"/>
          <w:szCs w:val="24"/>
          <w:highlight w:val="none"/>
        </w:rPr>
        <w:t>提供其有效的</w:t>
      </w:r>
      <w:r>
        <w:rPr>
          <w:rFonts w:hint="eastAsia" w:ascii="宋体" w:hAnsi="宋体" w:eastAsia="宋体" w:cs="宋体"/>
          <w:b w:val="0"/>
          <w:bCs/>
          <w:color w:val="auto"/>
          <w:sz w:val="24"/>
          <w:szCs w:val="24"/>
          <w:highlight w:val="none"/>
          <w:lang w:eastAsia="zh-CN"/>
        </w:rPr>
        <w:t>电子证书、证照</w:t>
      </w:r>
      <w:r>
        <w:rPr>
          <w:rFonts w:hint="eastAsia" w:ascii="宋体" w:hAnsi="宋体" w:eastAsia="宋体" w:cs="宋体"/>
          <w:b w:val="0"/>
          <w:bCs/>
          <w:color w:val="auto"/>
          <w:sz w:val="24"/>
          <w:szCs w:val="24"/>
          <w:highlight w:val="none"/>
        </w:rPr>
        <w:t>或</w:t>
      </w:r>
      <w:r>
        <w:rPr>
          <w:rFonts w:hint="eastAsia" w:ascii="宋体" w:hAnsi="宋体" w:eastAsia="宋体" w:cs="宋体"/>
          <w:b w:val="0"/>
          <w:bCs/>
          <w:color w:val="auto"/>
          <w:sz w:val="24"/>
          <w:szCs w:val="24"/>
          <w:highlight w:val="none"/>
          <w:lang w:eastAsia="zh-CN"/>
        </w:rPr>
        <w:t>其</w:t>
      </w:r>
      <w:r>
        <w:rPr>
          <w:rFonts w:hint="eastAsia" w:ascii="宋体" w:hAnsi="宋体" w:eastAsia="宋体" w:cs="宋体"/>
          <w:b w:val="0"/>
          <w:bCs/>
          <w:color w:val="auto"/>
          <w:sz w:val="24"/>
          <w:szCs w:val="24"/>
          <w:highlight w:val="none"/>
        </w:rPr>
        <w:t>原件扫描件。电子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证照与纸质</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证照具有同等法律效力。</w:t>
      </w:r>
      <w:r>
        <w:rPr>
          <w:rFonts w:hint="eastAsia" w:ascii="宋体" w:hAnsi="宋体" w:eastAsia="宋体" w:cs="宋体"/>
          <w:b w:val="0"/>
          <w:bCs/>
          <w:color w:val="auto"/>
          <w:sz w:val="24"/>
          <w:szCs w:val="24"/>
          <w:highlight w:val="none"/>
          <w:lang w:eastAsia="zh-CN"/>
        </w:rPr>
        <w:t>有关人员可在相关网站（平台）下载、查看或打印其相关</w:t>
      </w:r>
      <w:r>
        <w:rPr>
          <w:rFonts w:hint="eastAsia" w:ascii="宋体" w:hAnsi="宋体" w:eastAsia="宋体" w:cs="宋体"/>
          <w:b w:val="0"/>
          <w:bCs/>
          <w:color w:val="auto"/>
          <w:sz w:val="24"/>
          <w:szCs w:val="24"/>
          <w:highlight w:val="none"/>
        </w:rPr>
        <w:t>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w:t>
      </w:r>
      <w:r>
        <w:rPr>
          <w:rFonts w:hint="eastAsia" w:ascii="宋体" w:hAnsi="宋体" w:eastAsia="宋体" w:cs="宋体"/>
          <w:b w:val="0"/>
          <w:bCs/>
          <w:color w:val="auto"/>
          <w:sz w:val="24"/>
          <w:szCs w:val="24"/>
          <w:highlight w:val="none"/>
          <w:lang w:eastAsia="zh-CN"/>
        </w:rPr>
        <w:t>，并可在相关网站（平台）或通过扫描电子证书、证照上的二维码对其信息真伪进行验证。</w:t>
      </w:r>
    </w:p>
    <w:p w14:paraId="076FF98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本招标文件所指</w:t>
      </w:r>
      <w:r>
        <w:rPr>
          <w:rFonts w:hint="eastAsia" w:ascii="宋体" w:hAnsi="宋体" w:eastAsia="宋体" w:cs="宋体"/>
          <w:b w:val="0"/>
          <w:bCs/>
          <w:color w:val="auto"/>
          <w:kern w:val="0"/>
          <w:sz w:val="24"/>
          <w:szCs w:val="24"/>
          <w:highlight w:val="none"/>
        </w:rPr>
        <w:t>电子招标投标交易活动</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包括：发布招标公告；接受投标申请人网上下载招标资料（含招标公告、招标文件、施工图纸、施工</w:t>
      </w:r>
      <w:r>
        <w:rPr>
          <w:rFonts w:hint="eastAsia" w:ascii="宋体" w:hAnsi="宋体" w:eastAsia="宋体" w:cs="宋体"/>
          <w:b w:val="0"/>
          <w:bCs/>
          <w:color w:val="auto"/>
          <w:kern w:val="0"/>
          <w:sz w:val="24"/>
          <w:szCs w:val="24"/>
          <w:highlight w:val="none"/>
          <w:lang w:val="en-US" w:eastAsia="zh-CN"/>
        </w:rPr>
        <w:t>合同</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最高投标限价</w:t>
      </w:r>
      <w:r>
        <w:rPr>
          <w:rFonts w:hint="eastAsia" w:ascii="宋体" w:hAnsi="宋体" w:eastAsia="宋体" w:cs="宋体"/>
          <w:b w:val="0"/>
          <w:bCs/>
          <w:color w:val="auto"/>
          <w:kern w:val="0"/>
          <w:sz w:val="24"/>
          <w:szCs w:val="24"/>
          <w:highlight w:val="none"/>
        </w:rPr>
        <w:t>及工程量清单等）；网上</w:t>
      </w:r>
      <w:r>
        <w:rPr>
          <w:rFonts w:hint="eastAsia" w:ascii="宋体" w:hAnsi="宋体" w:eastAsia="宋体" w:cs="宋体"/>
          <w:b w:val="0"/>
          <w:bCs/>
          <w:color w:val="auto"/>
          <w:kern w:val="0"/>
          <w:sz w:val="24"/>
          <w:szCs w:val="24"/>
          <w:highlight w:val="none"/>
          <w:lang w:eastAsia="zh-CN"/>
        </w:rPr>
        <w:t>澄清、</w:t>
      </w:r>
      <w:r>
        <w:rPr>
          <w:rFonts w:hint="eastAsia" w:ascii="宋体" w:hAnsi="宋体" w:eastAsia="宋体" w:cs="宋体"/>
          <w:b w:val="0"/>
          <w:bCs/>
          <w:color w:val="auto"/>
          <w:kern w:val="0"/>
          <w:sz w:val="24"/>
          <w:szCs w:val="24"/>
          <w:highlight w:val="none"/>
        </w:rPr>
        <w:t>质疑答疑；网上投标；抽取评委；在电子招标投标系统进行开标、评标（含远程评标）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定</w:t>
      </w:r>
      <w:r>
        <w:rPr>
          <w:rFonts w:hint="eastAsia" w:ascii="宋体" w:hAnsi="宋体" w:eastAsia="宋体" w:cs="宋体"/>
          <w:b w:val="0"/>
          <w:bCs/>
          <w:color w:val="auto"/>
          <w:kern w:val="0"/>
          <w:sz w:val="24"/>
          <w:szCs w:val="24"/>
          <w:highlight w:val="none"/>
        </w:rPr>
        <w:t>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公示；定标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如</w:t>
      </w:r>
      <w:r>
        <w:rPr>
          <w:rFonts w:hint="eastAsia" w:ascii="宋体" w:hAnsi="宋体" w:eastAsia="宋体" w:cs="宋体"/>
          <w:color w:val="auto"/>
          <w:sz w:val="24"/>
          <w:highlight w:val="none"/>
        </w:rPr>
        <w:t>交易平台</w:t>
      </w:r>
      <w:r>
        <w:rPr>
          <w:rFonts w:hint="eastAsia" w:ascii="宋体" w:hAnsi="宋体" w:eastAsia="宋体" w:cs="宋体"/>
          <w:b w:val="0"/>
          <w:bCs/>
          <w:color w:val="auto"/>
          <w:kern w:val="0"/>
          <w:sz w:val="24"/>
          <w:szCs w:val="24"/>
          <w:highlight w:val="none"/>
          <w:lang w:val="en-US" w:eastAsia="zh-CN"/>
        </w:rPr>
        <w:t>不支持，则在线下进行</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；中标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公示；确定中标人</w:t>
      </w:r>
      <w:r>
        <w:rPr>
          <w:rFonts w:hint="eastAsia" w:ascii="宋体" w:hAnsi="宋体" w:eastAsia="宋体" w:cs="宋体"/>
          <w:b w:val="0"/>
          <w:bCs/>
          <w:color w:val="auto"/>
          <w:kern w:val="0"/>
          <w:sz w:val="24"/>
          <w:szCs w:val="24"/>
          <w:highlight w:val="none"/>
          <w:lang w:eastAsia="zh-CN"/>
        </w:rPr>
        <w:t>；发放中标通知书；中标结果公示；</w:t>
      </w:r>
      <w:r>
        <w:rPr>
          <w:rFonts w:hint="eastAsia" w:ascii="宋体" w:hAnsi="宋体" w:eastAsia="宋体" w:cs="宋体"/>
          <w:b w:val="0"/>
          <w:bCs/>
          <w:color w:val="auto"/>
          <w:kern w:val="0"/>
          <w:sz w:val="24"/>
          <w:szCs w:val="24"/>
          <w:highlight w:val="none"/>
          <w:lang w:val="en-US" w:eastAsia="zh-CN"/>
        </w:rPr>
        <w:t>上传</w:t>
      </w:r>
      <w:r>
        <w:rPr>
          <w:rFonts w:hint="eastAsia" w:ascii="宋体" w:hAnsi="宋体" w:eastAsia="宋体" w:cs="宋体"/>
          <w:b w:val="0"/>
          <w:bCs/>
          <w:color w:val="auto"/>
          <w:kern w:val="0"/>
          <w:sz w:val="24"/>
          <w:szCs w:val="24"/>
          <w:highlight w:val="none"/>
          <w:lang w:eastAsia="zh-CN"/>
        </w:rPr>
        <w:t>承包</w:t>
      </w:r>
      <w:r>
        <w:rPr>
          <w:rFonts w:hint="eastAsia" w:ascii="宋体" w:hAnsi="宋体" w:eastAsia="宋体" w:cs="宋体"/>
          <w:b w:val="0"/>
          <w:bCs/>
          <w:color w:val="auto"/>
          <w:sz w:val="24"/>
          <w:szCs w:val="24"/>
          <w:highlight w:val="none"/>
          <w:lang w:eastAsia="zh-CN"/>
        </w:rPr>
        <w:t>合同；</w:t>
      </w:r>
      <w:r>
        <w:rPr>
          <w:rFonts w:hint="eastAsia" w:ascii="宋体" w:hAnsi="宋体" w:eastAsia="宋体" w:cs="宋体"/>
          <w:b w:val="0"/>
          <w:bCs/>
          <w:color w:val="auto"/>
          <w:sz w:val="24"/>
          <w:szCs w:val="24"/>
          <w:highlight w:val="none"/>
        </w:rPr>
        <w:t>招标投标情况报告</w:t>
      </w:r>
      <w:r>
        <w:rPr>
          <w:rFonts w:hint="eastAsia" w:ascii="宋体" w:hAnsi="宋体" w:eastAsia="宋体" w:cs="宋体"/>
          <w:b w:val="0"/>
          <w:bCs/>
          <w:color w:val="auto"/>
          <w:sz w:val="24"/>
          <w:szCs w:val="24"/>
          <w:highlight w:val="none"/>
          <w:lang w:eastAsia="zh-CN"/>
        </w:rPr>
        <w:t>；异议和投诉</w:t>
      </w:r>
      <w:r>
        <w:rPr>
          <w:rFonts w:hint="eastAsia" w:ascii="宋体" w:hAnsi="宋体" w:eastAsia="宋体" w:cs="宋体"/>
          <w:b w:val="0"/>
          <w:bCs/>
          <w:color w:val="auto"/>
          <w:sz w:val="24"/>
          <w:szCs w:val="24"/>
          <w:highlight w:val="none"/>
        </w:rPr>
        <w:t>等。</w:t>
      </w:r>
      <w:r>
        <w:rPr>
          <w:rFonts w:hint="eastAsia" w:ascii="宋体" w:hAnsi="宋体" w:eastAsia="宋体" w:cs="宋体"/>
          <w:b w:val="0"/>
          <w:bCs/>
          <w:color w:val="auto"/>
          <w:sz w:val="24"/>
          <w:szCs w:val="24"/>
          <w:highlight w:val="none"/>
          <w:lang w:eastAsia="zh-CN"/>
        </w:rPr>
        <w:t>本招标文件所指的招标项目采韶关市建设工程交易系统全流程电子开标评标方式。</w:t>
      </w:r>
    </w:p>
    <w:p w14:paraId="1E39CC6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本</w:t>
      </w:r>
      <w:r>
        <w:rPr>
          <w:rFonts w:hint="eastAsia" w:ascii="宋体" w:hAnsi="宋体" w:eastAsia="宋体" w:cs="宋体"/>
          <w:b w:val="0"/>
          <w:bCs/>
          <w:color w:val="auto"/>
          <w:sz w:val="24"/>
          <w:szCs w:val="24"/>
          <w:highlight w:val="none"/>
          <w:lang w:eastAsia="zh-CN"/>
        </w:rPr>
        <w:t>招标文件所</w:t>
      </w:r>
      <w:r>
        <w:rPr>
          <w:rFonts w:hint="eastAsia" w:ascii="宋体" w:hAnsi="宋体" w:eastAsia="宋体" w:cs="宋体"/>
          <w:b w:val="0"/>
          <w:bCs/>
          <w:color w:val="auto"/>
          <w:sz w:val="24"/>
          <w:szCs w:val="24"/>
          <w:highlight w:val="none"/>
        </w:rPr>
        <w:t>称远程异地评标活动，是指以数据电文形式，依托电子交易系统通过远程调度、视频语音实时交互等方式，评标委员会成员在两个及以上不同电子评标场所对同一工程建设项目进行评标的活动。</w:t>
      </w:r>
    </w:p>
    <w:p w14:paraId="2D54E7A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lang w:val="en-US" w:eastAsia="zh-CN"/>
        </w:rPr>
        <w:t xml:space="preserve">7 </w:t>
      </w:r>
      <w:r>
        <w:rPr>
          <w:rFonts w:hint="eastAsia" w:ascii="宋体" w:hAnsi="宋体" w:eastAsia="宋体" w:cs="宋体"/>
          <w:b w:val="0"/>
          <w:bCs/>
          <w:color w:val="auto"/>
          <w:sz w:val="24"/>
          <w:szCs w:val="24"/>
          <w:highlight w:val="none"/>
          <w:lang w:eastAsia="zh-CN"/>
        </w:rPr>
        <w:t>远程异地评标活动场所分为主场和副场。招标人应当选择韶关市公共资源交易中心的评标场所为主场，主场以外的省内、省外其他交易评标场所为副场。副场由招标人按规定从韶关市公共资源交易中心已与签订远程异地评标协议的其他公共资源交易中心中确定。</w:t>
      </w:r>
    </w:p>
    <w:p w14:paraId="36D96E9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bCs/>
          <w:color w:val="auto"/>
          <w:sz w:val="24"/>
          <w:highlight w:val="none"/>
          <w:lang w:val="en-US" w:eastAsia="zh-CN"/>
        </w:rPr>
      </w:pPr>
      <w:bookmarkStart w:id="9" w:name="_Toc21129"/>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投标否决</w:t>
      </w:r>
      <w:bookmarkEnd w:id="9"/>
    </w:p>
    <w:p w14:paraId="23A1F32C">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.否决投标条款</w:t>
      </w:r>
    </w:p>
    <w:p w14:paraId="16EF76C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.1 开标时，投标人有下列情形之一其投标文件视为无效投标文件，</w:t>
      </w:r>
      <w:r>
        <w:rPr>
          <w:rFonts w:hint="eastAsia" w:ascii="宋体" w:hAnsi="宋体" w:eastAsia="宋体" w:cs="宋体"/>
          <w:b/>
          <w:bCs/>
          <w:color w:val="auto"/>
          <w:sz w:val="24"/>
          <w:highlight w:val="none"/>
        </w:rPr>
        <w:t>不得进入资格后审和评标：</w:t>
      </w:r>
    </w:p>
    <w:p w14:paraId="6C7411F3">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（1）投标人的电子投标文件逾期上传或者未上传送达指定交易平台</w:t>
      </w:r>
      <w:r>
        <w:rPr>
          <w:rFonts w:hint="eastAsia" w:ascii="宋体" w:hAnsi="宋体" w:eastAsia="宋体" w:cs="宋体"/>
          <w:color w:val="auto"/>
          <w:sz w:val="24"/>
          <w:highlight w:val="none"/>
          <w:lang w:eastAsia="zh-CN"/>
        </w:rPr>
        <w:t>。</w:t>
      </w:r>
    </w:p>
    <w:p w14:paraId="0FB6545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（2）投标人未能按照本招标文件要求提交投标保证金及其相关手续</w:t>
      </w:r>
      <w:r>
        <w:rPr>
          <w:rFonts w:hint="eastAsia" w:ascii="宋体" w:hAnsi="宋体" w:eastAsia="宋体" w:cs="宋体"/>
          <w:color w:val="auto"/>
          <w:sz w:val="24"/>
          <w:highlight w:val="none"/>
          <w:lang w:eastAsia="zh-CN"/>
        </w:rPr>
        <w:t>。</w:t>
      </w:r>
    </w:p>
    <w:p w14:paraId="6E14088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（3）投标人的电子投标文件无法解密或无法打开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6098D117">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（4）投标人上传递交的电子投标文件不符合招标文件要求</w:t>
      </w:r>
      <w:r>
        <w:rPr>
          <w:rFonts w:hint="eastAsia" w:ascii="宋体" w:hAnsi="宋体" w:eastAsia="宋体" w:cs="宋体"/>
          <w:color w:val="auto"/>
          <w:sz w:val="24"/>
          <w:highlight w:val="none"/>
          <w:lang w:eastAsia="zh-CN"/>
        </w:rPr>
        <w:t>。</w:t>
      </w:r>
    </w:p>
    <w:p w14:paraId="3B1BAFE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（5）投标人的投标报价超过投标报价上限</w:t>
      </w:r>
      <w:r>
        <w:rPr>
          <w:rFonts w:hint="eastAsia" w:ascii="宋体" w:hAnsi="宋体" w:eastAsia="宋体" w:cs="宋体"/>
          <w:color w:val="auto"/>
          <w:sz w:val="24"/>
          <w:highlight w:val="none"/>
          <w:lang w:eastAsia="zh-CN"/>
        </w:rPr>
        <w:t>。</w:t>
      </w:r>
    </w:p>
    <w:p w14:paraId="6F0148D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（6）开标现场电子招投标系统没有显示投标人的项目负责人姓名。</w:t>
      </w:r>
    </w:p>
    <w:p w14:paraId="154A74F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同一网卡地址、硬盘序列号、软件序列号或投标文件异常一致（通过交易中心计算机编制或上传的除外）</w:t>
      </w:r>
      <w:r>
        <w:rPr>
          <w:rFonts w:hint="eastAsia" w:ascii="宋体" w:hAnsi="宋体" w:eastAsia="宋体" w:cs="宋体"/>
          <w:color w:val="auto"/>
          <w:sz w:val="24"/>
          <w:highlight w:val="none"/>
          <w:lang w:eastAsia="zh-CN"/>
        </w:rPr>
        <w:t>。</w:t>
      </w:r>
    </w:p>
    <w:p w14:paraId="64F0C70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经现场确认，投标人有下列情形之一，一律按照</w:t>
      </w:r>
      <w:r>
        <w:rPr>
          <w:rFonts w:hint="eastAsia" w:ascii="宋体" w:hAnsi="宋体" w:eastAsia="宋体" w:cs="宋体"/>
          <w:b/>
          <w:bCs/>
          <w:color w:val="auto"/>
          <w:sz w:val="24"/>
          <w:highlight w:val="none"/>
          <w:lang w:eastAsia="zh-CN"/>
        </w:rPr>
        <w:t>无</w:t>
      </w:r>
      <w:r>
        <w:rPr>
          <w:rFonts w:hint="eastAsia" w:ascii="宋体" w:hAnsi="宋体" w:eastAsia="宋体" w:cs="宋体"/>
          <w:b/>
          <w:bCs/>
          <w:color w:val="auto"/>
          <w:sz w:val="24"/>
          <w:highlight w:val="none"/>
        </w:rPr>
        <w:t>提交投标保证金处理，视为投标人自动放弃投标资格：</w:t>
      </w:r>
    </w:p>
    <w:p w14:paraId="4498F2C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contextualSpacing/>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（1）投标人未按照招标文件</w:t>
      </w:r>
      <w:r>
        <w:rPr>
          <w:rFonts w:hint="eastAsia" w:ascii="宋体" w:hAnsi="宋体" w:eastAsia="宋体" w:cs="宋体"/>
          <w:color w:val="auto"/>
          <w:sz w:val="24"/>
          <w:highlight w:val="none"/>
          <w:lang w:val="en-US" w:eastAsia="zh-CN"/>
        </w:rPr>
        <w:t>规定</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转入投标保证金</w:t>
      </w:r>
      <w:r>
        <w:rPr>
          <w:rFonts w:hint="eastAsia" w:ascii="宋体" w:hAnsi="宋体" w:eastAsia="宋体" w:cs="宋体"/>
          <w:color w:val="auto"/>
          <w:sz w:val="24"/>
          <w:highlight w:val="none"/>
          <w:lang w:eastAsia="zh-CN"/>
        </w:rPr>
        <w:t>。</w:t>
      </w:r>
    </w:p>
    <w:p w14:paraId="17F7C17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default" w:ascii="宋体" w:hAnsi="宋体" w:eastAsia="宋体" w:cs="宋体"/>
          <w:color w:val="auto"/>
          <w:sz w:val="24"/>
          <w:highlight w:val="none"/>
          <w:lang w:val="en-US"/>
        </w:rPr>
        <w:t>2</w:t>
      </w:r>
      <w:r>
        <w:rPr>
          <w:rFonts w:hint="eastAsia" w:ascii="宋体" w:hAnsi="宋体" w:eastAsia="宋体" w:cs="宋体"/>
          <w:color w:val="auto"/>
          <w:sz w:val="24"/>
          <w:highlight w:val="none"/>
        </w:rPr>
        <w:t>）投标人未按照招标文件指定的账户转入投标保证金</w:t>
      </w:r>
      <w:r>
        <w:rPr>
          <w:rFonts w:hint="eastAsia" w:ascii="宋体" w:hAnsi="宋体" w:eastAsia="宋体" w:cs="宋体"/>
          <w:color w:val="auto"/>
          <w:sz w:val="24"/>
          <w:highlight w:val="none"/>
          <w:lang w:eastAsia="zh-CN"/>
        </w:rPr>
        <w:t>。</w:t>
      </w:r>
    </w:p>
    <w:p w14:paraId="1983566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default" w:ascii="宋体" w:hAnsi="宋体" w:eastAsia="宋体" w:cs="宋体"/>
          <w:color w:val="auto"/>
          <w:sz w:val="24"/>
          <w:highlight w:val="none"/>
          <w:lang w:val="en-US"/>
        </w:rPr>
        <w:t>3</w:t>
      </w:r>
      <w:r>
        <w:rPr>
          <w:rFonts w:hint="eastAsia" w:ascii="宋体" w:hAnsi="宋体" w:eastAsia="宋体" w:cs="宋体"/>
          <w:color w:val="auto"/>
          <w:sz w:val="24"/>
          <w:highlight w:val="none"/>
        </w:rPr>
        <w:t>）投标人未按照招标文件规定的金额或时间转入或提交本项目的投标保证金。</w:t>
      </w:r>
    </w:p>
    <w:p w14:paraId="53DF156C">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3 </w:t>
      </w:r>
      <w:r>
        <w:rPr>
          <w:rFonts w:hint="eastAsia" w:ascii="宋体" w:hAnsi="宋体" w:eastAsia="宋体" w:cs="宋体"/>
          <w:b/>
          <w:bCs/>
          <w:color w:val="auto"/>
          <w:sz w:val="24"/>
          <w:highlight w:val="none"/>
        </w:rPr>
        <w:t>资格评审环节</w:t>
      </w:r>
    </w:p>
    <w:p w14:paraId="244675E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投标人有下列情形之一的，评标委员会应否决其投标。被否决的投标人，不进入形式评审环节。</w:t>
      </w:r>
    </w:p>
    <w:p w14:paraId="404CA85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（1）有本章节第</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条“禁止投标条款”规定的任何一种情形；</w:t>
      </w:r>
    </w:p>
    <w:p w14:paraId="1F4A995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（2）投标人资质不符合规定的；</w:t>
      </w:r>
    </w:p>
    <w:p w14:paraId="0DBAAFB2">
      <w:pPr>
        <w:keepNext w:val="0"/>
        <w:keepLines w:val="0"/>
        <w:pageBreakBefore w:val="0"/>
        <w:widowControl w:val="0"/>
        <w:shd w:val="clear" w:color="auto" w:fill="auto"/>
        <w:kinsoku/>
        <w:wordWrap w:val="0"/>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（3）投标人名称与营业执照、资质证书、安全生产许可证上的企业名称相互不一致的；其资质证书、安全生产许可证不是由住房城乡建设主管部门颁发的；营业执照、资质证书、安全生产许可证（含</w:t>
      </w:r>
      <w:r>
        <w:rPr>
          <w:rFonts w:hint="eastAsia" w:ascii="宋体" w:hAnsi="宋体" w:eastAsia="宋体" w:cs="宋体"/>
          <w:b/>
          <w:bCs/>
          <w:color w:val="auto"/>
          <w:sz w:val="24"/>
          <w:highlight w:val="none"/>
        </w:rPr>
        <w:t>实时网页查询页</w:t>
      </w:r>
      <w:r>
        <w:rPr>
          <w:rFonts w:hint="eastAsia" w:ascii="宋体" w:hAnsi="宋体" w:eastAsia="宋体" w:cs="宋体"/>
          <w:color w:val="auto"/>
          <w:sz w:val="24"/>
          <w:highlight w:val="none"/>
        </w:rPr>
        <w:t>，可参考网址 https://zlaq.mohurd.gov.cn/fwmh/bjxcjgl/fwmh/pages/construction_safety/qyaqscxkz/qyaqscxk）被吊销、暂扣或不在有效期内的；</w:t>
      </w:r>
    </w:p>
    <w:p w14:paraId="4477E61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2AA54AD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有关文件精神，投标人的企业资质证书、安全生产许可证有效期届满的，但投标人提供了发证机构相关行业主管部门的证明材料（如自动顺延或推迟办理延期业务的通知），证明在开标日继续有效的，不得否决其投标。</w:t>
      </w:r>
    </w:p>
    <w:p w14:paraId="75713E7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（4）拟派项目经理、项目技术负责人、专职安全员的条件不符合规定的；拟派专职安全员数量不符合规定的；未</w:t>
      </w:r>
      <w:r>
        <w:rPr>
          <w:rFonts w:hint="eastAsia" w:ascii="宋体" w:hAnsi="宋体" w:eastAsia="宋体" w:cs="宋体"/>
          <w:color w:val="auto"/>
          <w:sz w:val="24"/>
          <w:highlight w:val="none"/>
          <w:lang w:val="en-US" w:eastAsia="zh-CN"/>
        </w:rPr>
        <w:t>按要求</w:t>
      </w:r>
      <w:r>
        <w:rPr>
          <w:rFonts w:hint="eastAsia" w:ascii="宋体" w:hAnsi="宋体" w:eastAsia="宋体" w:cs="宋体"/>
          <w:color w:val="auto"/>
          <w:sz w:val="24"/>
          <w:highlight w:val="none"/>
        </w:rPr>
        <w:t>在投标文件</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简历表中签字确认</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w:t>
      </w:r>
    </w:p>
    <w:p w14:paraId="78FED76E">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温馨提示：建造师打印电子证书后，应在个人签名处手写本人签名，未手写签名或与签名图像笔迹不一致的，该电子证书无效。</w:t>
      </w:r>
    </w:p>
    <w:p w14:paraId="58EC36C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经理简历表》中拟派项目经理与《开标一览表》不一致的；一级建造师的注册证书不是国家住建部颁发的；二级建造师的电子注册证书不是住建厅颁发的；建造师的注册单位与投标人不一致的；项目管理班子组成人员的各类证书、证件、证明不在有效期内的（建造师注册证书不在使用有效期内的）；擅自修改、遗漏《项目经理任职声明》实质性内容的；</w:t>
      </w:r>
    </w:p>
    <w:p w14:paraId="6D97778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注：投标人已经工商变更，但其员工执业资格注册证书的注册单位名称未完成变更的，不得否决其投标。</w:t>
      </w:r>
    </w:p>
    <w:p w14:paraId="59A56DA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（6）招标文件规定不接受联合体投标，但以联合体投标的；</w:t>
      </w:r>
    </w:p>
    <w:p w14:paraId="495E6F3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（7）投标人为外省建筑企业，但未提供“进粤企业和人员诚信信息登记平台”企业和拟派人员信息情况网页截图的。</w:t>
      </w:r>
    </w:p>
    <w:p w14:paraId="5240B59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.4 形式评审环节</w:t>
      </w:r>
    </w:p>
    <w:p w14:paraId="1255113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投标人有下列情形之一的，评标委员会应否决其投标。被否决的投标人，不进入响应性评审环节。</w:t>
      </w:r>
    </w:p>
    <w:p w14:paraId="5DE3684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（1）各分册没按招标文件规定加盖电子印章；</w:t>
      </w:r>
    </w:p>
    <w:p w14:paraId="1A77F32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（2）本章规定的“所有投标人均应提供”的组成内容（包括该组成内容的所附资料）中，任何一项有缺漏的；</w:t>
      </w:r>
    </w:p>
    <w:p w14:paraId="17BA192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35700AC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（4）投标文件未按规定签字、盖章的。</w:t>
      </w:r>
    </w:p>
    <w:p w14:paraId="6AC84A2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8.5 响应性评审环节</w:t>
      </w:r>
    </w:p>
    <w:p w14:paraId="55D8B0BE">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投标人有下列情形之一的，评标委员会应否决其投标。被否决的投标人，不进入详细评审阶段。</w:t>
      </w:r>
    </w:p>
    <w:p w14:paraId="70E611CE">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（1）承诺的投标有效期短于规定的；质量标准低于规定的；工期超出规定的；擅自修改、遗漏《投标函》《各项承诺一览表》实质性内容的；</w:t>
      </w:r>
    </w:p>
    <w:p w14:paraId="720FF25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（2）编制《投标总价》的造价工程师，其注册证书不是住建部门颁发的；其注册单位与投标人（或造价咨询人）不一致的；其注册证书不在有效期内的。</w:t>
      </w:r>
    </w:p>
    <w:p w14:paraId="251A04A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注：投标人（或造价咨询人）已经工商变更，但其员工的执业资格注册证书的注册单位名称未完成变更的，不得否决其投标。</w:t>
      </w:r>
    </w:p>
    <w:p w14:paraId="7857C75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（3）投标人委托造价咨询单位编制《投标总价》，但未在《投标总价扉页》（即扉—3）“投标人”栏目加盖造价咨询人公章的；未提供造价咨询人的营业执照扫描件的；</w:t>
      </w:r>
    </w:p>
    <w:p w14:paraId="5ADBD9E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（4）出现两个或两个以上投标总价的（同一个投标总价大、小写不一致的除外）；投标报价超出</w:t>
      </w:r>
      <w:r>
        <w:rPr>
          <w:rFonts w:hint="eastAsia" w:ascii="宋体" w:hAnsi="宋体" w:eastAsia="宋体" w:cs="宋体"/>
          <w:color w:val="auto"/>
          <w:sz w:val="24"/>
          <w:highlight w:val="none"/>
          <w:lang w:val="en-US" w:eastAsia="zh-CN"/>
        </w:rPr>
        <w:t>最高投标限价</w:t>
      </w:r>
      <w:r>
        <w:rPr>
          <w:rFonts w:hint="eastAsia" w:ascii="宋体" w:hAnsi="宋体" w:eastAsia="宋体" w:cs="宋体"/>
          <w:color w:val="auto"/>
          <w:sz w:val="24"/>
          <w:highlight w:val="none"/>
        </w:rPr>
        <w:t>；安全生产措施费少于规定的；暂列金额、暂估价未按照招标工程量清单统一报价的；擅自修改、增减招标工程量清单项目（包括措施项目）的；投标人的投标报价低于招标项目的成本警示价但未提供成本分析资料等报价依据</w:t>
      </w:r>
      <w:r>
        <w:rPr>
          <w:rFonts w:hint="eastAsia" w:ascii="宋体" w:hAnsi="宋体" w:eastAsia="宋体" w:cs="宋体"/>
          <w:color w:val="auto"/>
          <w:sz w:val="24"/>
          <w:highlight w:val="none"/>
          <w:lang w:eastAsia="zh-CN"/>
        </w:rPr>
        <w:t>；</w:t>
      </w:r>
    </w:p>
    <w:p w14:paraId="78ADDBB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成本警示价＝最高投标限价×85%。如果某投标人的投标报价低于招标项目的成本警示价，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699E70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（5）在施工组织设计评审中，评标委员会认定质量、进度保障措施与国家和省市现行有关规范、规定、标准有重大偏差，且该种过错将导致工程质量、进度管理目标无法实现的。</w:t>
      </w:r>
    </w:p>
    <w:p w14:paraId="407223A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6 </w:t>
      </w:r>
      <w:r>
        <w:rPr>
          <w:rFonts w:hint="eastAsia" w:ascii="宋体" w:hAnsi="宋体" w:eastAsia="宋体" w:cs="宋体"/>
          <w:b/>
          <w:color w:val="auto"/>
          <w:sz w:val="24"/>
          <w:highlight w:val="none"/>
        </w:rPr>
        <w:t>串通投标和以其他方式弄虚作假行为的认定</w:t>
      </w:r>
    </w:p>
    <w:p w14:paraId="3EA991A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.1下列情形之一的，属于投标人相互串通投标：</w:t>
      </w:r>
    </w:p>
    <w:p w14:paraId="3CE5CEE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（1）投标人之间协商投标报价等投标文件的实质性内容；</w:t>
      </w:r>
    </w:p>
    <w:p w14:paraId="30F4B1A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（2）投标人之间约定中标人；</w:t>
      </w:r>
    </w:p>
    <w:p w14:paraId="016F2C0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（3）投标人之间约定部分投标人放弃投标或者中标；</w:t>
      </w:r>
    </w:p>
    <w:p w14:paraId="6F55B3F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（4）属于同一集团、协会、商会等组织成员的投标人按照该组织要求协同投标；</w:t>
      </w:r>
    </w:p>
    <w:p w14:paraId="2BAC53B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（5）投标人之间为谋取中标或者排斥特定投标人而采取的其他联合行动。</w:t>
      </w:r>
    </w:p>
    <w:p w14:paraId="16D5ACF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.2有下列情形之一的，视为投标人相互串通投标：</w:t>
      </w:r>
    </w:p>
    <w:p w14:paraId="3C7E031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04B11C2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154EF83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）不同投标人的投标文件载明的项目管理成员为同一人；</w:t>
      </w:r>
    </w:p>
    <w:p w14:paraId="17A2396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6B25582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61B64F6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（6）不同投标人的投标保证金从同一单位或者个人的账户转出</w:t>
      </w:r>
      <w:r>
        <w:rPr>
          <w:rFonts w:hint="eastAsia" w:ascii="宋体" w:hAnsi="宋体" w:eastAsia="宋体" w:cs="宋体"/>
          <w:color w:val="auto"/>
          <w:sz w:val="24"/>
          <w:highlight w:val="none"/>
          <w:lang w:eastAsia="zh-CN"/>
        </w:rPr>
        <w:t>；</w:t>
      </w:r>
    </w:p>
    <w:p w14:paraId="3B265CA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（7）监督部门于韶关市公共交易一体化平台发现系统提示风险预警，如提示投标单位上传投标文件使用的电脑IP地址一致等</w:t>
      </w:r>
      <w:r>
        <w:rPr>
          <w:rFonts w:hint="eastAsia" w:ascii="宋体" w:hAnsi="宋体" w:eastAsia="宋体" w:cs="宋体"/>
          <w:color w:val="auto"/>
          <w:sz w:val="24"/>
          <w:highlight w:val="none"/>
        </w:rPr>
        <w:t>。</w:t>
      </w:r>
    </w:p>
    <w:p w14:paraId="349D2AF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.3有下列情形之一的，属于招标人与投标人串通投标：</w:t>
      </w:r>
    </w:p>
    <w:p w14:paraId="694EA16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（1）招标人在开标前开启投标文件并将有关信息泄露给其他投标人；</w:t>
      </w:r>
    </w:p>
    <w:p w14:paraId="2DFBF1D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（2）招标人直接或者间接向投标人泄露标底、评标委员会成员等信息；</w:t>
      </w:r>
    </w:p>
    <w:p w14:paraId="3380BA1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（3）招标人明示或者暗示投标人压低或者抬高投标报价；</w:t>
      </w:r>
    </w:p>
    <w:p w14:paraId="4CBB04A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（4）招标人授意投标人撤换、修改投标文件；</w:t>
      </w:r>
    </w:p>
    <w:p w14:paraId="6E19C91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（5）招标人明示或者暗示投标人为特定投标人中标提供方便；</w:t>
      </w:r>
    </w:p>
    <w:p w14:paraId="17B1E1E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（6）招标人与投标人为谋求特定投标人中标而采取的其他串通行为。</w:t>
      </w:r>
    </w:p>
    <w:p w14:paraId="62E6CE6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.4有下列情形之一的，属于投标人以其他方式弄虚作假：</w:t>
      </w:r>
    </w:p>
    <w:p w14:paraId="22AB2FA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（1）使用伪造、变造的许可证件；</w:t>
      </w:r>
    </w:p>
    <w:p w14:paraId="40777BC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（2）提供虚假的财务状况或者业绩；</w:t>
      </w:r>
    </w:p>
    <w:p w14:paraId="40A6DD6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（3）提供虚假的项目负责人或者主要技术人员简历、劳动关系证明；</w:t>
      </w:r>
    </w:p>
    <w:p w14:paraId="0194B41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（4）提供虚假的信用状况；</w:t>
      </w:r>
    </w:p>
    <w:p w14:paraId="75CE6BA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（5）其他弄虚作假的行为。</w:t>
      </w:r>
    </w:p>
    <w:p w14:paraId="737887C9">
      <w:pPr>
        <w:keepNext w:val="0"/>
        <w:keepLines w:val="0"/>
        <w:pageBreakBefore w:val="0"/>
        <w:kinsoku/>
        <w:wordWrap/>
        <w:overflowPunct/>
        <w:topLinePunct w:val="0"/>
        <w:autoSpaceDE/>
        <w:autoSpaceDN/>
        <w:bidi w:val="0"/>
        <w:adjustRightInd/>
        <w:snapToGrid/>
        <w:spacing w:line="400" w:lineRule="atLeast"/>
        <w:ind w:left="0" w:leftChars="0" w:right="0" w:rightChars="0" w:firstLine="562" w:firstLineChars="200"/>
        <w:jc w:val="center"/>
        <w:textAlignment w:val="auto"/>
        <w:outlineLvl w:val="2"/>
        <w:rPr>
          <w:rFonts w:hint="eastAsia" w:ascii="宋体" w:hAnsi="宋体" w:eastAsia="宋体" w:cs="宋体"/>
          <w:b/>
          <w:bCs/>
          <w:color w:val="auto"/>
          <w:sz w:val="24"/>
          <w:highlight w:val="none"/>
        </w:rPr>
      </w:pPr>
      <w:bookmarkStart w:id="10" w:name="_Toc9940"/>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）招标文件</w:t>
      </w:r>
      <w:bookmarkEnd w:id="10"/>
    </w:p>
    <w:p w14:paraId="2992F66C">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.招标文件</w:t>
      </w:r>
    </w:p>
    <w:p w14:paraId="6C62F83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 招标文件包括下列内容：</w:t>
      </w:r>
    </w:p>
    <w:p w14:paraId="58714A7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招标公告</w:t>
      </w:r>
    </w:p>
    <w:p w14:paraId="5444D6F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EC9096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评标办法</w:t>
      </w:r>
    </w:p>
    <w:p w14:paraId="7984269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投标文件格式</w:t>
      </w:r>
    </w:p>
    <w:p w14:paraId="3AE762B0">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合同条款及合同文件格式</w:t>
      </w:r>
    </w:p>
    <w:p w14:paraId="17028B4D">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施工图纸</w:t>
      </w:r>
    </w:p>
    <w:p w14:paraId="22D04417">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工程量清单</w:t>
      </w:r>
    </w:p>
    <w:p w14:paraId="396720F3">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第八章  </w:t>
      </w:r>
      <w:r>
        <w:rPr>
          <w:rFonts w:hint="eastAsia" w:ascii="宋体" w:hAnsi="宋体" w:eastAsia="宋体" w:cs="宋体"/>
          <w:color w:val="auto"/>
          <w:sz w:val="24"/>
          <w:szCs w:val="24"/>
          <w:highlight w:val="none"/>
          <w:lang w:val="en-US" w:eastAsia="zh-CN"/>
        </w:rPr>
        <w:t>最高投标限价</w:t>
      </w:r>
    </w:p>
    <w:p w14:paraId="6F218EE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 除</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.1款内容外，招标人按规定在网上发出对本招标文件的澄清、修改、补充和答疑内容，构成招标文件的组成部分，对招标人和投标人起约束作用。</w:t>
      </w:r>
    </w:p>
    <w:p w14:paraId="3381B4DC">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.招标文件发布、获取、修改或澄清</w:t>
      </w:r>
    </w:p>
    <w:p w14:paraId="2336EB1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.1招标人应按照招标公告、招标文件示范文本，并结合招标</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实际编制招标公告和招标文件，经招标管理部门招标备案后方可发布。</w:t>
      </w:r>
    </w:p>
    <w:p w14:paraId="09F798C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.2 招标公告应按规定在</w:t>
      </w:r>
      <w:r>
        <w:rPr>
          <w:rFonts w:hint="eastAsia" w:ascii="宋体" w:hAnsi="宋体" w:eastAsia="宋体" w:cs="宋体"/>
          <w:b/>
          <w:bCs/>
          <w:snapToGrid w:val="0"/>
          <w:color w:val="auto"/>
          <w:kern w:val="0"/>
          <w:sz w:val="24"/>
          <w:szCs w:val="24"/>
          <w:highlight w:val="none"/>
          <w:lang w:eastAsia="zh-CN"/>
        </w:rPr>
        <w:t>全国公共资源交易平台（广东省·韶关市）</w:t>
      </w:r>
      <w:r>
        <w:rPr>
          <w:rFonts w:hint="eastAsia" w:ascii="宋体" w:hAnsi="宋体" w:eastAsia="宋体" w:cs="宋体"/>
          <w:b w:val="0"/>
          <w:bCs w:val="0"/>
          <w:color w:val="auto"/>
          <w:sz w:val="24"/>
          <w:szCs w:val="24"/>
          <w:highlight w:val="none"/>
          <w:lang w:eastAsia="zh-CN"/>
        </w:rPr>
        <w:t>和</w:t>
      </w:r>
      <w:r>
        <w:rPr>
          <w:rFonts w:hint="eastAsia" w:ascii="宋体" w:hAnsi="宋体" w:eastAsia="宋体" w:cs="宋体"/>
          <w:b w:val="0"/>
          <w:bCs w:val="0"/>
          <w:color w:val="auto"/>
          <w:sz w:val="24"/>
          <w:szCs w:val="24"/>
          <w:highlight w:val="none"/>
        </w:rPr>
        <w:t>广东省招标投标监管网上同时发布，其中招标文件（含图纸、工程量清单、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rPr>
        <w:t>等）及相关资料须一</w:t>
      </w:r>
      <w:r>
        <w:rPr>
          <w:rFonts w:hint="eastAsia" w:ascii="宋体" w:hAnsi="宋体" w:eastAsia="宋体" w:cs="宋体"/>
          <w:b w:val="0"/>
          <w:bCs w:val="0"/>
          <w:color w:val="auto"/>
          <w:sz w:val="24"/>
          <w:szCs w:val="24"/>
          <w:highlight w:val="none"/>
          <w:lang w:eastAsia="zh-CN"/>
        </w:rPr>
        <w:t>并</w:t>
      </w:r>
      <w:r>
        <w:rPr>
          <w:rFonts w:hint="eastAsia" w:ascii="宋体" w:hAnsi="宋体" w:eastAsia="宋体" w:cs="宋体"/>
          <w:b w:val="0"/>
          <w:bCs w:val="0"/>
          <w:color w:val="auto"/>
          <w:sz w:val="24"/>
          <w:szCs w:val="24"/>
          <w:highlight w:val="none"/>
        </w:rPr>
        <w:t>在</w:t>
      </w:r>
      <w:r>
        <w:rPr>
          <w:rFonts w:hint="eastAsia" w:ascii="宋体" w:hAnsi="宋体" w:eastAsia="宋体" w:cs="宋体"/>
          <w:b/>
          <w:bCs/>
          <w:color w:val="auto"/>
          <w:sz w:val="24"/>
          <w:szCs w:val="24"/>
          <w:highlight w:val="none"/>
          <w:lang w:val="en-US" w:eastAsia="zh-CN"/>
        </w:rPr>
        <w:t>全国公共资源交易平台（广东省·韶关市）</w:t>
      </w:r>
      <w:r>
        <w:rPr>
          <w:rFonts w:hint="eastAsia" w:ascii="宋体" w:hAnsi="宋体" w:eastAsia="宋体" w:cs="宋体"/>
          <w:b w:val="0"/>
          <w:bCs w:val="0"/>
          <w:color w:val="auto"/>
          <w:sz w:val="24"/>
          <w:szCs w:val="24"/>
          <w:highlight w:val="none"/>
          <w:lang w:eastAsia="zh-CN"/>
        </w:rPr>
        <w:t>交易系统</w:t>
      </w:r>
      <w:r>
        <w:rPr>
          <w:rFonts w:hint="eastAsia" w:ascii="宋体" w:hAnsi="宋体" w:eastAsia="宋体" w:cs="宋体"/>
          <w:b w:val="0"/>
          <w:bCs w:val="0"/>
          <w:color w:val="auto"/>
          <w:sz w:val="24"/>
          <w:szCs w:val="24"/>
          <w:highlight w:val="none"/>
        </w:rPr>
        <w:t>上发布。招标公告及招标文件发布之日起至截标时间止，最短不得少于20日。投标人应自行在</w:t>
      </w:r>
      <w:r>
        <w:rPr>
          <w:rFonts w:hint="eastAsia" w:ascii="宋体" w:hAnsi="宋体" w:eastAsia="宋体" w:cs="宋体"/>
          <w:b/>
          <w:bCs/>
          <w:color w:val="auto"/>
          <w:sz w:val="24"/>
          <w:szCs w:val="24"/>
          <w:highlight w:val="none"/>
        </w:rPr>
        <w:t>全国公共资源交易平台（广东省·韶关市）</w:t>
      </w:r>
      <w:r>
        <w:rPr>
          <w:rFonts w:hint="eastAsia" w:ascii="宋体" w:hAnsi="宋体" w:eastAsia="宋体" w:cs="宋体"/>
          <w:b w:val="0"/>
          <w:bCs w:val="0"/>
          <w:color w:val="auto"/>
          <w:sz w:val="24"/>
          <w:highlight w:val="none"/>
        </w:rPr>
        <w:t>下载招标文件（含图纸、工程量清单、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highlight w:val="none"/>
        </w:rPr>
        <w:t>等）及相关资料。</w:t>
      </w:r>
    </w:p>
    <w:p w14:paraId="59AB467C">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10.2.1</w:t>
      </w:r>
      <w:r>
        <w:rPr>
          <w:rFonts w:hint="eastAsia" w:ascii="宋体" w:hAnsi="宋体" w:eastAsia="宋体" w:cs="宋体"/>
          <w:b w:val="0"/>
          <w:bCs w:val="0"/>
          <w:color w:val="auto"/>
          <w:sz w:val="24"/>
          <w:highlight w:val="none"/>
        </w:rPr>
        <w:t>请于招标文件获取期间（见</w:t>
      </w:r>
      <w:r>
        <w:rPr>
          <w:rFonts w:hint="eastAsia" w:ascii="宋体" w:hAnsi="宋体" w:eastAsia="宋体" w:cs="宋体"/>
          <w:b w:val="0"/>
          <w:bCs w:val="0"/>
          <w:color w:val="auto"/>
          <w:sz w:val="24"/>
          <w:highlight w:val="none"/>
          <w:lang w:eastAsia="zh-CN"/>
        </w:rPr>
        <w:t>本章“二、重要事项时间地点一览表”</w:t>
      </w:r>
      <w:r>
        <w:rPr>
          <w:rFonts w:hint="eastAsia" w:ascii="宋体" w:hAnsi="宋体" w:eastAsia="宋体" w:cs="宋体"/>
          <w:b w:val="0"/>
          <w:bCs w:val="0"/>
          <w:color w:val="auto"/>
          <w:sz w:val="24"/>
          <w:highlight w:val="none"/>
        </w:rPr>
        <w:t>招标文件获取期间与招标公告发布时间一致），投标人须登录全国公共资源交易平台（广东省·韶关市）（https://ygp.gdzwfw.gov.cn/ggzy-portal/#/440200/index），使用新建设工程交易系统进行下载招标文件及相关附件，并于电子投标截止时间（见</w:t>
      </w:r>
      <w:r>
        <w:rPr>
          <w:rFonts w:hint="eastAsia" w:ascii="宋体" w:hAnsi="宋体" w:eastAsia="宋体" w:cs="宋体"/>
          <w:b w:val="0"/>
          <w:bCs w:val="0"/>
          <w:color w:val="auto"/>
          <w:sz w:val="24"/>
          <w:highlight w:val="none"/>
          <w:lang w:eastAsia="zh-CN"/>
        </w:rPr>
        <w:t>本章“二、重要事项时间地点一览表”</w:t>
      </w:r>
      <w:r>
        <w:rPr>
          <w:rFonts w:hint="eastAsia" w:ascii="宋体" w:hAnsi="宋体" w:eastAsia="宋体" w:cs="宋体"/>
          <w:b w:val="0"/>
          <w:bCs w:val="0"/>
          <w:color w:val="auto"/>
          <w:sz w:val="24"/>
          <w:highlight w:val="none"/>
        </w:rPr>
        <w:t>）前完成电子投标。投标人可登录全国公共资源交易平台（广东省·韶关市），在【交易指引】栏目中建设工程交易中下载《全国公共资源交易平台（广东省·韶关市）整合建设项目建设工程交易（投标人）用户手册》（附件2），了解网上获取招标文件操作流程。技术咨询电话：18819797080/0751-8379671 伍先生，业务咨询电话：</w:t>
      </w:r>
      <w:r>
        <w:rPr>
          <w:rFonts w:hint="eastAsia" w:ascii="宋体" w:hAnsi="宋体" w:eastAsia="宋体" w:cs="宋体"/>
          <w:b w:val="0"/>
          <w:bCs w:val="0"/>
          <w:color w:val="auto"/>
          <w:sz w:val="24"/>
          <w:highlight w:val="none"/>
          <w:lang w:eastAsia="zh-CN"/>
        </w:rPr>
        <w:t>0751-5570106</w:t>
      </w:r>
      <w:r>
        <w:rPr>
          <w:rFonts w:hint="eastAsia" w:ascii="宋体" w:hAnsi="宋体" w:eastAsia="宋体" w:cs="宋体"/>
          <w:b w:val="0"/>
          <w:bCs w:val="0"/>
          <w:color w:val="auto"/>
          <w:sz w:val="24"/>
          <w:highlight w:val="none"/>
        </w:rPr>
        <w:t>。</w:t>
      </w:r>
    </w:p>
    <w:p w14:paraId="1B932D5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10.2.2 只有申领了数字证书（CA）、“粤企签”或GDCA/SZCA/NETCA等符合法律法规规定的电子印章，并在交易系统中完成企业信息数据入库的投标人，方可使用建设工程交易系统进行招标文件及附件获取和电子投标。</w:t>
      </w:r>
    </w:p>
    <w:p w14:paraId="7E0E05B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2785665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已入库企业有关信息（如单位名称、基本账号、资质、人员等）发生变化的，须及时在交易系统进行相应变更。投标人未及时变更信息而造成的损失和后果，由投标人自行承担。</w:t>
      </w:r>
    </w:p>
    <w:p w14:paraId="2A60FFA0">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eastAsia="宋体" w:cs="宋体"/>
          <w:b w:val="0"/>
          <w:bCs w:val="0"/>
          <w:color w:val="auto"/>
          <w:sz w:val="24"/>
          <w:highlight w:val="none"/>
        </w:rPr>
        <w:t xml:space="preserve"> </w:t>
      </w:r>
    </w:p>
    <w:p w14:paraId="21DCDCA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10.3招标文件在网上发布后，招标人发现招标文件有遗漏或不够完善的，可以对已发布招标文件在网上发布后，招标人发现招标文件有遗漏或不够完善的，可以对已发布的招标文件进行必要的澄清、修改或补充，其澄清、修改或补充内容应当形成补遗文件报招标管理部门备案后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14:paraId="0CBC61C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10.4当招标文件、招标文件的澄清、修改或补充等在同一内容的表述上不一致时，以网上最后发出的书面文件为准。</w:t>
      </w:r>
    </w:p>
    <w:p w14:paraId="08F6E2A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10.5 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14:paraId="697C783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.招标文件</w:t>
      </w:r>
      <w:r>
        <w:rPr>
          <w:rFonts w:hint="eastAsia" w:ascii="宋体" w:hAnsi="宋体" w:eastAsia="宋体" w:cs="宋体"/>
          <w:b/>
          <w:bCs/>
          <w:color w:val="auto"/>
          <w:sz w:val="24"/>
          <w:highlight w:val="none"/>
          <w:lang w:val="en-US" w:eastAsia="zh-CN"/>
        </w:rPr>
        <w:t>提问</w:t>
      </w:r>
      <w:r>
        <w:rPr>
          <w:rFonts w:hint="eastAsia" w:ascii="宋体" w:hAnsi="宋体" w:eastAsia="宋体" w:cs="宋体"/>
          <w:b/>
          <w:bCs/>
          <w:color w:val="auto"/>
          <w:sz w:val="24"/>
          <w:highlight w:val="none"/>
        </w:rPr>
        <w:t>和答疑</w:t>
      </w:r>
    </w:p>
    <w:p w14:paraId="52AAD99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11.1 投标人在网上获取招标文件后，应该详细检查招标文件的所有内容，同时审阅招标文件中的所有事项、格式、条款和规范要求等，如发现招标文件缺损、错漏或对招标文件有任何疑问，应在提问截止时间（见本章“二、重要事项时间地点一览表”）前使用建设工程交易系统提出问题且不得有任何可识别投标人及其人员的标识。未在指定时间前、未采用指定方式提出的，招标人不予受理。</w:t>
      </w:r>
    </w:p>
    <w:p w14:paraId="276AF05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11.2 对于投标人的任何有关招标文件的网上疑问，招标人在提问截止时间（见本章“二、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补遗文件作为招标文件的补充，是招标文件的组成部分。</w:t>
      </w:r>
    </w:p>
    <w:p w14:paraId="2DAF2CF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11.3 招标文件的答疑内容作为招标文件的组成部分，具有约束作用。投标人应从网上下载招标人对招标文件的答疑，招标人不再另行通知。投标人因自身原因未能获取答疑资料所造成的后果，由投标人自行承担。</w:t>
      </w:r>
    </w:p>
    <w:p w14:paraId="111B35F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.工程承包方式</w:t>
      </w:r>
    </w:p>
    <w:p w14:paraId="749D5FD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本招标工程合同承包方式</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u w:val="single"/>
        </w:rPr>
        <w:t>单价</w:t>
      </w:r>
      <w:r>
        <w:rPr>
          <w:rFonts w:hint="eastAsia" w:ascii="宋体" w:hAnsi="宋体" w:eastAsia="宋体" w:cs="宋体"/>
          <w:color w:val="auto"/>
          <w:sz w:val="24"/>
          <w:szCs w:val="24"/>
          <w:highlight w:val="none"/>
        </w:rPr>
        <w:t>合同承包方式</w:t>
      </w:r>
      <w:r>
        <w:rPr>
          <w:rFonts w:hint="eastAsia" w:ascii="宋体" w:hAnsi="宋体" w:eastAsia="宋体" w:cs="宋体"/>
          <w:color w:val="auto"/>
          <w:sz w:val="24"/>
          <w:highlight w:val="none"/>
        </w:rPr>
        <w:t>。</w:t>
      </w:r>
    </w:p>
    <w:p w14:paraId="2BF22E3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工程所需材料全部由中标单位自行组织采购供应，但所有材料必须与投标文件材料相符，并符合设计和规范要求，经建设单位和监理单位同意后，方能投入使用。</w:t>
      </w:r>
    </w:p>
    <w:p w14:paraId="588AD3D4">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.工程质量、工期及有关要求</w:t>
      </w:r>
    </w:p>
    <w:p w14:paraId="084C4A3C">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中标单位应按照投标人须知前附表要求的工程质量标准完成本工程施工任务。工程验收以国家现行的施工验收技术规范、工程质量验评标准、施工图纸、设计变更及技术说明书等设计、技术文件为依据。如施工质量不合格，中标单位须负责返工直至达到合格要求，所造成的损失和一切费用由中标单位负责。</w:t>
      </w:r>
    </w:p>
    <w:p w14:paraId="37A345C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鼓励中标单位采购节能环保产品。</w:t>
      </w:r>
    </w:p>
    <w:p w14:paraId="5A3420D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工期要求及</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规定</w:t>
      </w:r>
    </w:p>
    <w:p w14:paraId="3CC5777D">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(1)中标单位应按照投标人须知前附表要求的日历天（含节假日、停水、停电、风雨天在内）内完成招标内容全部施工项目。开工及竣工日期以承包合同签订规定为准。</w:t>
      </w:r>
    </w:p>
    <w:p w14:paraId="5546AAB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因建设单位原因或不可抗力的自然灾害造成施工工期延误的其工期可相应顺延，但必须经建设单位现场签证。</w:t>
      </w:r>
    </w:p>
    <w:p w14:paraId="24755563">
      <w:pPr>
        <w:keepNext w:val="0"/>
        <w:keepLines w:val="0"/>
        <w:pageBreakBefore w:val="0"/>
        <w:overflowPunct/>
        <w:topLinePunct w:val="0"/>
        <w:autoSpaceDE/>
        <w:autoSpaceDN/>
        <w:bidi w:val="0"/>
        <w:spacing w:line="40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rPr>
        <w:t>本工程最高投标限价编制依据及说明</w:t>
      </w:r>
    </w:p>
    <w:p w14:paraId="0B6E634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 本工程按照以下依据编制</w:t>
      </w:r>
    </w:p>
    <w:p w14:paraId="0E678F3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（1）《建设工程工程量清单计价标准》（GB/T50500—2024）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w:t>
      </w:r>
      <w:r>
        <w:rPr>
          <w:rFonts w:hint="eastAsia" w:ascii="宋体" w:hAnsi="宋体" w:eastAsia="宋体" w:cs="宋体"/>
          <w:b w:val="0"/>
          <w:bCs w:val="0"/>
          <w:color w:val="auto"/>
          <w:sz w:val="24"/>
          <w:highlight w:val="none"/>
          <w:lang w:val="en-US" w:eastAsia="zh-CN"/>
        </w:rPr>
        <w:t>《2024标准》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00EE5FA6">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广东省建设工程计价依据（2018）》和《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p>
    <w:p w14:paraId="638F9E8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（3）施工图及相关资料；</w:t>
      </w:r>
    </w:p>
    <w:p w14:paraId="14953495">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（4）招标文件及招标工程量清单；</w:t>
      </w:r>
    </w:p>
    <w:p w14:paraId="594AAE4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（5）施工现场情况、工程特点及常规施工方案；</w:t>
      </w:r>
    </w:p>
    <w:p w14:paraId="15957EC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（6）项目所在地工程造价管理机构发布的工程造价信息，工程造价信息缺项的，参照市场价格；</w:t>
      </w:r>
    </w:p>
    <w:p w14:paraId="60AD031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（7）与建设项目相关的标准、规范、技术资料。</w:t>
      </w:r>
    </w:p>
    <w:p w14:paraId="1B89CC5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14.2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75DF416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14.2 本招标项目以暂估价形式列入招标工程量清单中的材料、工程设备、专业工程（以下统称“暂估价项目”）包括：</w:t>
      </w:r>
      <w:r>
        <w:rPr>
          <w:rFonts w:hint="eastAsia" w:ascii="宋体" w:hAnsi="宋体" w:eastAsia="宋体" w:cs="宋体"/>
          <w:b w:val="0"/>
          <w:bCs w:val="0"/>
          <w:color w:val="auto"/>
          <w:sz w:val="24"/>
          <w:highlight w:val="none"/>
          <w:u w:val="single"/>
          <w:lang w:val="en-US" w:eastAsia="zh-CN"/>
        </w:rPr>
        <w:t>招标人在工程量清单中提供的用于支付必然发生但暂时不能确定价格的材料、工程设备的单价以及专业工程的金额。投标人必须按招标工程量清单中列出的单价、金额统一报价，其结算原则按本招标文件相关条款执行(若有，具体详见工程清单)</w:t>
      </w:r>
      <w:r>
        <w:rPr>
          <w:rFonts w:hint="eastAsia" w:ascii="宋体" w:hAnsi="宋体" w:eastAsia="宋体" w:cs="宋体"/>
          <w:b w:val="0"/>
          <w:bCs w:val="0"/>
          <w:color w:val="auto"/>
          <w:sz w:val="24"/>
          <w:highlight w:val="none"/>
          <w:lang w:val="en-US" w:eastAsia="zh-CN"/>
        </w:rPr>
        <w:t>。</w:t>
      </w:r>
    </w:p>
    <w:p w14:paraId="60E39AD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14.3 当暂估价项目的内容、标准、要求在项目实施过程中得以深化、明确、固定后，按以下原则发包：</w:t>
      </w:r>
    </w:p>
    <w:p w14:paraId="4CC7D4E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（1）暂估价项目按工程、货物（指材料或工程设备，下同）的类别分类汇总的金额，达到必须招标规模标准的，由</w:t>
      </w:r>
      <w:r>
        <w:rPr>
          <w:rFonts w:hint="eastAsia" w:ascii="宋体" w:hAnsi="宋体" w:eastAsia="宋体" w:cs="宋体"/>
          <w:b w:val="0"/>
          <w:bCs w:val="0"/>
          <w:color w:val="auto"/>
          <w:sz w:val="24"/>
          <w:highlight w:val="none"/>
          <w:u w:val="single"/>
          <w:lang w:val="en-US" w:eastAsia="zh-CN"/>
        </w:rPr>
        <w:t>中标人招标，招标人参与管理</w:t>
      </w:r>
      <w:r>
        <w:rPr>
          <w:rFonts w:hint="eastAsia" w:ascii="宋体" w:hAnsi="宋体" w:eastAsia="宋体" w:cs="宋体"/>
          <w:b w:val="0"/>
          <w:bCs w:val="0"/>
          <w:color w:val="auto"/>
          <w:sz w:val="24"/>
          <w:highlight w:val="none"/>
          <w:lang w:val="en-US" w:eastAsia="zh-CN"/>
        </w:rPr>
        <w:t>，确定专业工程承包人（或材料、工程设备供应商）和合同价格。</w:t>
      </w:r>
    </w:p>
    <w:p w14:paraId="1E7B397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（2）暂估价项目按工程、货物的类别分类汇总的金额，未达到必须招标规模标准但适用政府采购规定的，按照政府采购规定确定专业工程承包人（或材料、工程设备供应商）和合同价格。</w:t>
      </w:r>
    </w:p>
    <w:p w14:paraId="3B6C7FE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7F7D009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（4）暂估价项目按工程、货物的类别分类汇总的金额，未达到必须招标规模标准也不适用政府采购规定，中标人既不具备相应资格条件又不具备分包权的，由招标人另行发包。</w:t>
      </w:r>
    </w:p>
    <w:p w14:paraId="79CC1EC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（5）暂估价项目由其他承包人承包的，纳入中标人的管理和协调范围，由其他承包人向中标人承担质量、安全、文明施工、工期责任，中标人向招标人承担责任。</w:t>
      </w:r>
    </w:p>
    <w:p w14:paraId="0E5B4EB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14.4</w:t>
      </w:r>
      <w:r>
        <w:rPr>
          <w:rFonts w:hint="eastAsia" w:ascii="宋体" w:hAnsi="宋体" w:eastAsia="宋体" w:cs="宋体"/>
          <w:b w:val="0"/>
          <w:bCs w:val="0"/>
          <w:color w:val="auto"/>
          <w:sz w:val="24"/>
          <w:highlight w:val="none"/>
          <w:lang w:val="en-US" w:eastAsia="zh-CN"/>
        </w:rPr>
        <w:t xml:space="preserve"> 本招标项目以暂列金额形式列入招标工程量清单中的所需货物和服务的采购（以下统称“暂列金额项目”）若有发生，按照本节第</w:t>
      </w:r>
      <w:r>
        <w:rPr>
          <w:rFonts w:hint="eastAsia" w:ascii="宋体" w:hAnsi="宋体" w:cs="宋体"/>
          <w:b w:val="0"/>
          <w:bCs w:val="0"/>
          <w:color w:val="auto"/>
          <w:sz w:val="24"/>
          <w:highlight w:val="none"/>
          <w:lang w:val="en-US" w:eastAsia="zh-CN"/>
        </w:rPr>
        <w:t>14.3</w:t>
      </w:r>
      <w:r>
        <w:rPr>
          <w:rFonts w:hint="eastAsia" w:ascii="宋体" w:hAnsi="宋体" w:eastAsia="宋体" w:cs="宋体"/>
          <w:b w:val="0"/>
          <w:bCs w:val="0"/>
          <w:color w:val="auto"/>
          <w:sz w:val="24"/>
          <w:highlight w:val="none"/>
          <w:lang w:val="en-US" w:eastAsia="zh-CN"/>
        </w:rPr>
        <w:t>条的规定确定货物（或服务）供应商和合同价格。暂列金额项目由其他承包人承包的，纳入中标人的管理和协调范围，由其他承包人向中标人承担质量、安全、文明施工、工期责任，中标人向招标人承担责任。</w:t>
      </w:r>
    </w:p>
    <w:p w14:paraId="1D55334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p>
    <w:p w14:paraId="5E92DA4F">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p>
    <w:p w14:paraId="19502C4C">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bCs/>
          <w:color w:val="auto"/>
          <w:sz w:val="28"/>
          <w:szCs w:val="28"/>
          <w:highlight w:val="none"/>
        </w:rPr>
      </w:pPr>
      <w:bookmarkStart w:id="11" w:name="_Toc32541"/>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）投标文件</w:t>
      </w:r>
      <w:bookmarkEnd w:id="11"/>
    </w:p>
    <w:p w14:paraId="7BDFD8C8">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.投标文件组成</w:t>
      </w:r>
    </w:p>
    <w:p w14:paraId="7FBE40A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投标文件包括商务标书、经济标书、施工组织设计</w:t>
      </w:r>
      <w:r>
        <w:rPr>
          <w:rFonts w:hint="eastAsia" w:ascii="宋体" w:hAnsi="宋体" w:eastAsia="宋体" w:cs="宋体"/>
          <w:b w:val="0"/>
          <w:bCs w:val="0"/>
          <w:color w:val="auto"/>
          <w:sz w:val="24"/>
          <w:highlight w:val="none"/>
          <w:lang w:val="en-US" w:eastAsia="zh-CN"/>
        </w:rPr>
        <w:t>和定标文件四</w:t>
      </w:r>
      <w:r>
        <w:rPr>
          <w:rFonts w:hint="eastAsia" w:ascii="宋体" w:hAnsi="宋体" w:eastAsia="宋体" w:cs="宋体"/>
          <w:b w:val="0"/>
          <w:bCs w:val="0"/>
          <w:color w:val="auto"/>
          <w:sz w:val="24"/>
          <w:highlight w:val="none"/>
        </w:rPr>
        <w:t>个分册。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6FE16487">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.投标文件编制</w:t>
      </w:r>
    </w:p>
    <w:p w14:paraId="07C00E7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投标文件应按第</w:t>
      </w:r>
      <w:r>
        <w:rPr>
          <w:rFonts w:hint="eastAsia" w:ascii="宋体" w:hAnsi="宋体" w:eastAsia="宋体" w:cs="宋体"/>
          <w:b w:val="0"/>
          <w:bCs w:val="0"/>
          <w:color w:val="auto"/>
          <w:sz w:val="24"/>
          <w:highlight w:val="none"/>
          <w:lang w:val="en-US" w:eastAsia="zh-CN"/>
        </w:rPr>
        <w:t>四</w:t>
      </w:r>
      <w:r>
        <w:rPr>
          <w:rFonts w:hint="eastAsia" w:ascii="宋体" w:hAnsi="宋体" w:eastAsia="宋体" w:cs="宋体"/>
          <w:b w:val="0"/>
          <w:bCs w:val="0"/>
          <w:color w:val="auto"/>
          <w:sz w:val="24"/>
          <w:highlight w:val="none"/>
        </w:rPr>
        <w:t>章 投标文件格式规定的内容，投标人提交的投标文件应当使用招标文件所提供的投标文件全部格式。</w:t>
      </w:r>
    </w:p>
    <w:p w14:paraId="2329AFD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16.1 </w:t>
      </w:r>
      <w:r>
        <w:rPr>
          <w:rFonts w:hint="eastAsia" w:ascii="宋体" w:hAnsi="宋体" w:eastAsia="宋体" w:cs="宋体"/>
          <w:b w:val="0"/>
          <w:bCs w:val="0"/>
          <w:color w:val="auto"/>
          <w:sz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28F76E3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16.2 </w:t>
      </w:r>
      <w:r>
        <w:rPr>
          <w:rFonts w:hint="eastAsia" w:ascii="宋体" w:hAnsi="宋体" w:eastAsia="宋体" w:cs="宋体"/>
          <w:b w:val="0"/>
          <w:bCs w:val="0"/>
          <w:color w:val="auto"/>
          <w:sz w:val="24"/>
          <w:highlight w:val="none"/>
        </w:rPr>
        <w:t>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5065A4B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w:t>
      </w:r>
      <w:r>
        <w:rPr>
          <w:rFonts w:hint="eastAsia" w:ascii="宋体" w:hAnsi="宋体" w:eastAsia="宋体" w:cs="宋体"/>
          <w:b w:val="0"/>
          <w:bCs w:val="0"/>
          <w:color w:val="auto"/>
          <w:sz w:val="24"/>
          <w:highlight w:val="none"/>
        </w:rPr>
        <w:t xml:space="preserve"> 投标文件需按以下要求签字、盖章：</w:t>
      </w:r>
    </w:p>
    <w:p w14:paraId="711E52D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电子投标文件：</w:t>
      </w:r>
    </w:p>
    <w:p w14:paraId="17F4766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16.3.1</w:t>
      </w:r>
      <w:r>
        <w:rPr>
          <w:rFonts w:hint="eastAsia" w:ascii="宋体" w:hAnsi="宋体" w:eastAsia="宋体" w:cs="宋体"/>
          <w:b w:val="0"/>
          <w:bCs w:val="0"/>
          <w:color w:val="auto"/>
          <w:sz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298C05A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16.3.2</w:t>
      </w:r>
      <w:r>
        <w:rPr>
          <w:rFonts w:hint="eastAsia" w:ascii="宋体" w:hAnsi="宋体" w:eastAsia="宋体" w:cs="宋体"/>
          <w:b w:val="0"/>
          <w:bCs w:val="0"/>
          <w:color w:val="auto"/>
          <w:sz w:val="24"/>
          <w:highlight w:val="none"/>
        </w:rPr>
        <w:t xml:space="preserve"> 投标文件封套、封面、组成内容中凡要求录入投标人名称且注明“盖单位章”处盖单位法人公章（电子印章）。</w:t>
      </w:r>
    </w:p>
    <w:p w14:paraId="1E7B33B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16.3.3</w:t>
      </w:r>
      <w:r>
        <w:rPr>
          <w:rFonts w:hint="eastAsia" w:ascii="宋体" w:hAnsi="宋体" w:eastAsia="宋体" w:cs="宋体"/>
          <w:b w:val="0"/>
          <w:bCs w:val="0"/>
          <w:color w:val="auto"/>
          <w:sz w:val="24"/>
          <w:highlight w:val="none"/>
        </w:rPr>
        <w:t xml:space="preserve"> 投标文件的签字均为签字人本人亲笔署名或签章（电子印章），其余部分的彩色扫描件无须另行签字、盖章。</w:t>
      </w:r>
    </w:p>
    <w:p w14:paraId="2D59162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2" w:name="_Toc18556"/>
      <w:bookmarkStart w:id="13" w:name="_Toc27757"/>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 xml:space="preserve"> 商务标书的编制要求</w:t>
      </w:r>
      <w:bookmarkEnd w:id="12"/>
      <w:bookmarkEnd w:id="13"/>
    </w:p>
    <w:p w14:paraId="4EE2C59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16.4.1</w:t>
      </w:r>
      <w:r>
        <w:rPr>
          <w:rFonts w:hint="eastAsia" w:ascii="宋体" w:hAnsi="宋体" w:eastAsia="宋体" w:cs="宋体"/>
          <w:b w:val="0"/>
          <w:bCs w:val="0"/>
          <w:color w:val="auto"/>
          <w:sz w:val="24"/>
          <w:highlight w:val="none"/>
        </w:rPr>
        <w:t xml:space="preserve"> 商务标书包括但不限于以下内容：</w:t>
      </w:r>
    </w:p>
    <w:p w14:paraId="6A41269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0D6FAE9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（2）目录； </w:t>
      </w:r>
    </w:p>
    <w:p w14:paraId="227420E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（3）《投标函》（格式二）；</w:t>
      </w:r>
    </w:p>
    <w:p w14:paraId="41163C8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（4）《各项承诺一览表》（格式三）；</w:t>
      </w:r>
    </w:p>
    <w:p w14:paraId="2BD5298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（5）《法定代表人身份证明》（格式四）；</w:t>
      </w:r>
    </w:p>
    <w:p w14:paraId="12B7FF7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（6）《授权委托书》（格式五）；</w:t>
      </w:r>
    </w:p>
    <w:p w14:paraId="6F924D4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（7）投标保证缴纳证明（</w:t>
      </w:r>
      <w:r>
        <w:rPr>
          <w:rFonts w:hint="eastAsia" w:ascii="宋体" w:hAnsi="宋体" w:eastAsia="宋体" w:cs="宋体"/>
          <w:b/>
          <w:bCs/>
          <w:color w:val="auto"/>
          <w:sz w:val="24"/>
          <w:highlight w:val="none"/>
        </w:rPr>
        <w:t>投标人附建设工程交易系统《韶关市公共资源交易一体化平台保证金缴纳信息》页面截图外，采用投标保证金的，附银行转账单截图；采用投标保证担保的，附电子保函截图；采用投标保证保险的，附电子保单截图</w:t>
      </w:r>
      <w:r>
        <w:rPr>
          <w:rFonts w:hint="eastAsia" w:ascii="宋体" w:hAnsi="宋体" w:eastAsia="宋体" w:cs="宋体"/>
          <w:b w:val="0"/>
          <w:bCs w:val="0"/>
          <w:color w:val="auto"/>
          <w:sz w:val="24"/>
          <w:highlight w:val="none"/>
        </w:rPr>
        <w:t>）；</w:t>
      </w:r>
    </w:p>
    <w:p w14:paraId="5FCC8DE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 《投标人基本情况表》（格式六）及所附资料；</w:t>
      </w:r>
    </w:p>
    <w:p w14:paraId="0FD88E7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 《项目经理简历表》（格式七）及所附资料；</w:t>
      </w:r>
    </w:p>
    <w:p w14:paraId="391D6E1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（10）《项目经理任职声明》（格式八）；</w:t>
      </w:r>
    </w:p>
    <w:p w14:paraId="21A2417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（11）《项目技术负责人简历表》（格式九）及所附资料；</w:t>
      </w:r>
    </w:p>
    <w:p w14:paraId="525C6F0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（12）《专职安全员简历表》（格式十）及所附资料；</w:t>
      </w:r>
    </w:p>
    <w:p w14:paraId="4F3B189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（13）《项目管理机构组成表》（格式十一）及所附资料；</w:t>
      </w:r>
    </w:p>
    <w:p w14:paraId="00C8090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（14） 建造师查询页（有效期）（格式十二）；</w:t>
      </w:r>
    </w:p>
    <w:p w14:paraId="0670B6E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（15）</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危险性较大的分部分项工程清单及超过一定规模的危险性较大的分部分项工程清单</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（格式十三）</w:t>
      </w:r>
    </w:p>
    <w:p w14:paraId="1D4CEC8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（16）《助力项目承诺书》（</w:t>
      </w:r>
      <w:r>
        <w:rPr>
          <w:rFonts w:hint="eastAsia" w:ascii="宋体" w:hAnsi="宋体" w:eastAsia="宋体" w:cs="宋体"/>
          <w:b w:val="0"/>
          <w:bCs w:val="0"/>
          <w:color w:val="auto"/>
          <w:sz w:val="24"/>
          <w:highlight w:val="none"/>
          <w:lang w:val="en-US" w:eastAsia="zh-CN"/>
        </w:rPr>
        <w:t>如需，</w:t>
      </w:r>
      <w:r>
        <w:rPr>
          <w:rFonts w:hint="eastAsia" w:ascii="宋体" w:hAnsi="宋体" w:eastAsia="宋体" w:cs="宋体"/>
          <w:b w:val="0"/>
          <w:bCs w:val="0"/>
          <w:color w:val="auto"/>
          <w:sz w:val="24"/>
          <w:highlight w:val="none"/>
          <w:lang w:eastAsia="zh-CN"/>
        </w:rPr>
        <w:t>格式十四</w:t>
      </w:r>
      <w:r>
        <w:rPr>
          <w:rFonts w:hint="eastAsia" w:ascii="宋体" w:hAnsi="宋体" w:eastAsia="宋体" w:cs="宋体"/>
          <w:b w:val="0"/>
          <w:bCs w:val="0"/>
          <w:color w:val="auto"/>
          <w:sz w:val="24"/>
          <w:highlight w:val="none"/>
        </w:rPr>
        <w:t>）；</w:t>
      </w:r>
    </w:p>
    <w:p w14:paraId="567577C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（17）《原件一览表》（</w:t>
      </w:r>
      <w:r>
        <w:rPr>
          <w:rFonts w:hint="eastAsia" w:ascii="宋体" w:hAnsi="宋体" w:eastAsia="宋体" w:cs="宋体"/>
          <w:b w:val="0"/>
          <w:bCs w:val="0"/>
          <w:color w:val="auto"/>
          <w:sz w:val="24"/>
          <w:highlight w:val="none"/>
          <w:lang w:val="en-US" w:eastAsia="zh-CN"/>
        </w:rPr>
        <w:t>如需，</w:t>
      </w:r>
      <w:r>
        <w:rPr>
          <w:rFonts w:hint="eastAsia" w:ascii="宋体" w:hAnsi="宋体" w:eastAsia="宋体" w:cs="宋体"/>
          <w:b w:val="0"/>
          <w:bCs w:val="0"/>
          <w:color w:val="auto"/>
          <w:sz w:val="24"/>
          <w:highlight w:val="none"/>
          <w:lang w:eastAsia="zh-CN"/>
        </w:rPr>
        <w:t>格式十五</w:t>
      </w:r>
      <w:r>
        <w:rPr>
          <w:rFonts w:hint="eastAsia" w:ascii="宋体" w:hAnsi="宋体" w:eastAsia="宋体" w:cs="宋体"/>
          <w:b w:val="0"/>
          <w:bCs w:val="0"/>
          <w:color w:val="auto"/>
          <w:sz w:val="24"/>
          <w:highlight w:val="none"/>
        </w:rPr>
        <w:t>）；</w:t>
      </w:r>
    </w:p>
    <w:p w14:paraId="6F2A094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AFD5B9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.2 本节第1</w:t>
      </w:r>
      <w:r>
        <w:rPr>
          <w:rFonts w:hint="eastAsia" w:ascii="宋体" w:hAnsi="宋体" w:eastAsia="宋体" w:cs="宋体"/>
          <w:b w:val="0"/>
          <w:bCs w:val="0"/>
          <w:color w:val="auto"/>
          <w:sz w:val="24"/>
          <w:highlight w:val="none"/>
          <w:lang w:val="en-US" w:eastAsia="zh-CN"/>
        </w:rPr>
        <w:t>6.4</w:t>
      </w:r>
      <w:r>
        <w:rPr>
          <w:rFonts w:hint="eastAsia" w:ascii="宋体" w:hAnsi="宋体" w:eastAsia="宋体" w:cs="宋体"/>
          <w:b w:val="0"/>
          <w:bCs w:val="0"/>
          <w:color w:val="auto"/>
          <w:sz w:val="24"/>
          <w:highlight w:val="none"/>
        </w:rPr>
        <w:t>.1目中所列出的商务标书组成内容中，第（1）至第（</w:t>
      </w:r>
      <w:r>
        <w:rPr>
          <w:rFonts w:hint="eastAsia" w:ascii="宋体" w:hAnsi="宋体" w:eastAsia="宋体" w:cs="宋体"/>
          <w:b w:val="0"/>
          <w:bCs w:val="0"/>
          <w:color w:val="auto"/>
          <w:sz w:val="24"/>
          <w:highlight w:val="none"/>
          <w:lang w:val="en-US" w:eastAsia="zh-CN"/>
        </w:rPr>
        <w:t>15</w:t>
      </w:r>
      <w:r>
        <w:rPr>
          <w:rFonts w:hint="eastAsia" w:ascii="宋体" w:hAnsi="宋体" w:eastAsia="宋体" w:cs="宋体"/>
          <w:b w:val="0"/>
          <w:bCs w:val="0"/>
          <w:color w:val="auto"/>
          <w:sz w:val="24"/>
          <w:highlight w:val="none"/>
        </w:rPr>
        <w:t>）项所有投标人均应提供</w:t>
      </w:r>
      <w:r>
        <w:rPr>
          <w:rFonts w:hint="eastAsia" w:ascii="宋体" w:hAnsi="宋体" w:eastAsia="宋体" w:cs="宋体"/>
          <w:b w:val="0"/>
          <w:bCs w:val="0"/>
          <w:color w:val="auto"/>
          <w:sz w:val="24"/>
          <w:highlight w:val="none"/>
          <w:lang w:val="en-US" w:eastAsia="zh-CN"/>
        </w:rPr>
        <w:t>。</w:t>
      </w:r>
    </w:p>
    <w:p w14:paraId="5CB9B71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16.4.3商务标书的组成内容按本节16.4.1目规定的顺序整理、编排后，逐页（页码起始从封面开始）连续标记页码</w:t>
      </w:r>
      <w:r>
        <w:rPr>
          <w:rFonts w:hint="eastAsia" w:ascii="宋体" w:hAnsi="宋体" w:eastAsia="宋体" w:cs="宋体"/>
          <w:b w:val="0"/>
          <w:bCs w:val="0"/>
          <w:color w:val="auto"/>
          <w:sz w:val="24"/>
          <w:highlight w:val="none"/>
        </w:rPr>
        <w:t>。</w:t>
      </w:r>
    </w:p>
    <w:p w14:paraId="30C4196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4" w:name="_Hlt87783273"/>
      <w:bookmarkEnd w:id="14"/>
      <w:bookmarkStart w:id="15" w:name="_Hlt69670029"/>
      <w:bookmarkEnd w:id="15"/>
      <w:bookmarkStart w:id="16" w:name="_Toc3328"/>
      <w:bookmarkStart w:id="17" w:name="_Toc274313881"/>
      <w:bookmarkStart w:id="18" w:name="_Toc12870"/>
      <w:r>
        <w:rPr>
          <w:rFonts w:hint="eastAsia" w:ascii="宋体" w:hAnsi="宋体" w:eastAsia="宋体" w:cs="宋体"/>
          <w:b w:val="0"/>
          <w:bCs w:val="0"/>
          <w:color w:val="auto"/>
          <w:sz w:val="24"/>
          <w:highlight w:val="none"/>
        </w:rPr>
        <w:t>1</w:t>
      </w:r>
      <w:bookmarkStart w:id="19" w:name="_Hlt69670035"/>
      <w:bookmarkEnd w:id="19"/>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 xml:space="preserve"> 经济标书的编制要求</w:t>
      </w:r>
      <w:bookmarkEnd w:id="16"/>
      <w:bookmarkEnd w:id="17"/>
      <w:bookmarkEnd w:id="18"/>
    </w:p>
    <w:p w14:paraId="53FBDEC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 经济标书包括以下内容：</w:t>
      </w:r>
    </w:p>
    <w:p w14:paraId="4E1F4D5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6F4BCC7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027C650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0" w:name="_Hlt69699579"/>
      <w:bookmarkEnd w:id="20"/>
      <w:r>
        <w:rPr>
          <w:rFonts w:hint="eastAsia" w:ascii="宋体" w:hAnsi="宋体" w:eastAsia="宋体" w:cs="宋体"/>
          <w:b w:val="0"/>
          <w:bCs w:val="0"/>
          <w:color w:val="auto"/>
          <w:sz w:val="24"/>
          <w:highlight w:val="none"/>
        </w:rPr>
        <w:t>（3）《投标总价》；</w:t>
      </w:r>
    </w:p>
    <w:p w14:paraId="43BE8B3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说明：《投标总价》的格式按照《建设工程工程量清单计价标准》（GB/T50500—2024）执行，并应满足以下要求：</w:t>
      </w:r>
    </w:p>
    <w:p w14:paraId="40A6D9C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a．《投标总价扉页》（即扉—3）后应附编制人的造价工程师注册证书彩色扫描件（非电子证书须扫描至变更注册栏）；投标人委托造价咨询单位编制《投标总价》的，在该扉页“投标人”栏目加盖造价咨询人公章，并在该扉页后附造价咨询人的营业执照副本彩色扫描件。</w:t>
      </w:r>
    </w:p>
    <w:p w14:paraId="619B7FA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b．《总说明》（即表—01）中的填写内容除按照《建设工程工程量清单计价标准》（GB/T50500—2024）第16.0.4条第3项执行外，尚应就造价软件的名称、版本、加密锁编号作出专项说明。</w:t>
      </w:r>
    </w:p>
    <w:p w14:paraId="2271CFF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（4）投标人认为有必要补充的其他资料（例如关于</w:t>
      </w:r>
      <w:r>
        <w:rPr>
          <w:rFonts w:hint="eastAsia" w:ascii="宋体" w:hAnsi="宋体" w:eastAsia="宋体" w:cs="宋体"/>
          <w:color w:val="auto"/>
          <w:sz w:val="24"/>
          <w:highlight w:val="none"/>
        </w:rPr>
        <w:t>投标报价低于招标项目的成本警示价</w:t>
      </w:r>
      <w:r>
        <w:rPr>
          <w:rFonts w:hint="eastAsia" w:ascii="宋体" w:hAnsi="宋体" w:eastAsia="宋体" w:cs="宋体"/>
          <w:b w:val="0"/>
          <w:bCs w:val="0"/>
          <w:color w:val="auto"/>
          <w:sz w:val="24"/>
          <w:highlight w:val="none"/>
        </w:rPr>
        <w:t>的书面说明和佐证材料）。</w:t>
      </w:r>
    </w:p>
    <w:p w14:paraId="3D086BC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.2 本节第1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.1目中所列出的经济标书组成内容中，第（1）至第（3）项所有投标人均应提供</w:t>
      </w:r>
      <w:bookmarkStart w:id="21" w:name="_Hlt145127239"/>
      <w:bookmarkEnd w:id="21"/>
      <w:r>
        <w:rPr>
          <w:rFonts w:hint="eastAsia" w:ascii="宋体" w:hAnsi="宋体" w:eastAsia="宋体" w:cs="宋体"/>
          <w:b w:val="0"/>
          <w:bCs w:val="0"/>
          <w:color w:val="auto"/>
          <w:sz w:val="24"/>
          <w:highlight w:val="none"/>
        </w:rPr>
        <w:t>。</w:t>
      </w:r>
    </w:p>
    <w:p w14:paraId="48C2BCD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.3 经济标书的组成内容按本节</w:t>
      </w:r>
      <w:r>
        <w:rPr>
          <w:rFonts w:hint="eastAsia" w:ascii="宋体" w:hAnsi="宋体" w:eastAsia="宋体" w:cs="宋体"/>
          <w:b w:val="0"/>
          <w:bCs w:val="0"/>
          <w:color w:val="auto"/>
          <w:sz w:val="24"/>
          <w:highlight w:val="none"/>
          <w:lang w:val="en-US" w:eastAsia="zh-CN"/>
        </w:rPr>
        <w:t>16.5</w:t>
      </w:r>
      <w:r>
        <w:rPr>
          <w:rFonts w:hint="eastAsia" w:ascii="宋体" w:hAnsi="宋体" w:eastAsia="宋体" w:cs="宋体"/>
          <w:b w:val="0"/>
          <w:bCs w:val="0"/>
          <w:color w:val="auto"/>
          <w:sz w:val="24"/>
          <w:highlight w:val="none"/>
        </w:rPr>
        <w:t>.1目规定的顺序整理、编排后，逐页（页码起始从封面开始）连续标记页码。</w:t>
      </w:r>
    </w:p>
    <w:p w14:paraId="365B023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2" w:name="_Toc16279"/>
      <w:bookmarkStart w:id="23" w:name="_Toc27751"/>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 xml:space="preserve"> 施工组织设计的编制要求</w:t>
      </w:r>
      <w:bookmarkEnd w:id="22"/>
      <w:bookmarkEnd w:id="23"/>
    </w:p>
    <w:p w14:paraId="238490D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.1 施工组织设计的编制依据包括且不限于：</w:t>
      </w:r>
    </w:p>
    <w:p w14:paraId="3EF769D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（1）招标文件及其答疑（或修改）公告；</w:t>
      </w:r>
    </w:p>
    <w:p w14:paraId="6D1672B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（2）施工图及相关资料；</w:t>
      </w:r>
    </w:p>
    <w:p w14:paraId="13ECE54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（3）施工现场情况、工程特点；</w:t>
      </w:r>
    </w:p>
    <w:p w14:paraId="18DDFAB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（4）相关法律、法规、规定；</w:t>
      </w:r>
    </w:p>
    <w:p w14:paraId="4EE0140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EDBCE2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（6）企业内部标准、工法。</w:t>
      </w:r>
    </w:p>
    <w:p w14:paraId="03AA3C6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 施工组织设计包括但不限于以下内容：</w:t>
      </w:r>
    </w:p>
    <w:p w14:paraId="045E140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5D8CD85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4543EEA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（3）总体概述（包括施工程序总体设想及施工段划分等内容）；</w:t>
      </w:r>
    </w:p>
    <w:p w14:paraId="5E8FF03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（4）施工总进度计划及保证措施（包括进度管理目标；以横道图或标明关键线路的网络进度计划；保障进度计划需要的人、材、机需求计划及保证措施；违约责任承诺等内容）；</w:t>
      </w:r>
    </w:p>
    <w:p w14:paraId="6681333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（5）质量保证措施（包括质量管理目标；相应保证措施；违约责任承诺等内容）；</w:t>
      </w:r>
    </w:p>
    <w:p w14:paraId="6083CDB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（6）施工技术措施（包括关键施工技术、工艺及工程项目实施的重点、难点分析和解决方案；新技术应用与承诺等内容）；</w:t>
      </w:r>
    </w:p>
    <w:p w14:paraId="596302B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（7）绿色施工、安全防护、文明施工措施计划（应对建设单位组织的勘察设计等单位在施工招标文件中列出的危大工程清单（</w:t>
      </w:r>
      <w:r>
        <w:rPr>
          <w:rFonts w:hint="eastAsia" w:ascii="宋体" w:hAnsi="宋体" w:eastAsia="宋体" w:cs="宋体"/>
          <w:b w:val="0"/>
          <w:bCs w:val="0"/>
          <w:color w:val="auto"/>
          <w:sz w:val="24"/>
          <w:highlight w:val="none"/>
          <w:lang w:val="en-US" w:eastAsia="zh-CN"/>
        </w:rPr>
        <w:t>格式十三</w:t>
      </w:r>
      <w:r>
        <w:rPr>
          <w:rFonts w:hint="eastAsia" w:ascii="宋体" w:hAnsi="宋体" w:eastAsia="宋体" w:cs="宋体"/>
          <w:b w:val="0"/>
          <w:bCs w:val="0"/>
          <w:color w:val="auto"/>
          <w:sz w:val="24"/>
          <w:highlight w:val="none"/>
        </w:rPr>
        <w:t>）进行投标文件回应，如有）；</w:t>
      </w:r>
    </w:p>
    <w:p w14:paraId="152EFBD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1FC63BB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（9）项目管理机构；</w:t>
      </w:r>
    </w:p>
    <w:p w14:paraId="78BD81B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（10）投标人认为有必要补充的其他内容（例如对总包管理的认识以及对专业分包工程的管理、协调、配合、服务方案）。</w:t>
      </w:r>
    </w:p>
    <w:p w14:paraId="78FD867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.3 本节第1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.2目中所列出的施工组织设计组成内容中，第（1）至第（</w:t>
      </w: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）项所有投标人均应提供。</w:t>
      </w:r>
    </w:p>
    <w:p w14:paraId="00B42BA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.4 施工组织设计的组成内容按本节第</w:t>
      </w:r>
      <w:r>
        <w:rPr>
          <w:rFonts w:hint="eastAsia" w:ascii="宋体" w:hAnsi="宋体" w:eastAsia="宋体" w:cs="宋体"/>
          <w:b w:val="0"/>
          <w:bCs w:val="0"/>
          <w:color w:val="auto"/>
          <w:sz w:val="24"/>
          <w:highlight w:val="none"/>
          <w:lang w:val="en-US" w:eastAsia="zh-CN"/>
        </w:rPr>
        <w:t>16.6</w:t>
      </w:r>
      <w:r>
        <w:rPr>
          <w:rFonts w:hint="eastAsia" w:ascii="宋体" w:hAnsi="宋体" w:eastAsia="宋体" w:cs="宋体"/>
          <w:b w:val="0"/>
          <w:bCs w:val="0"/>
          <w:color w:val="auto"/>
          <w:sz w:val="24"/>
          <w:highlight w:val="none"/>
        </w:rPr>
        <w:t>.2目规定的顺序整理、编排后，逐页（页码起始从封面开始）连续标记页码。</w:t>
      </w:r>
    </w:p>
    <w:p w14:paraId="68FBBF7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16.6.5 施工组织设计的正文除施工现场平面布置图和进度计划图用白色标准A3纸设置外，其他内容一律用白色标准A4纸设置。施工组织设计的正文建议不超</w:t>
      </w:r>
      <w:r>
        <w:rPr>
          <w:rFonts w:hint="eastAsia" w:ascii="宋体" w:hAnsi="宋体" w:cs="宋体"/>
          <w:b w:val="0"/>
          <w:bCs w:val="0"/>
          <w:color w:val="auto"/>
          <w:sz w:val="24"/>
          <w:highlight w:val="none"/>
          <w:lang w:val="en-US" w:eastAsia="zh-CN"/>
        </w:rPr>
        <w:t>过</w:t>
      </w:r>
      <w:r>
        <w:rPr>
          <w:rFonts w:hint="eastAsia" w:ascii="宋体" w:hAnsi="宋体" w:cs="宋体"/>
          <w:b w:val="0"/>
          <w:bCs w:val="0"/>
          <w:color w:val="auto"/>
          <w:sz w:val="24"/>
          <w:highlight w:val="none"/>
          <w:u w:val="single"/>
          <w:lang w:val="en-US" w:eastAsia="zh-CN"/>
        </w:rPr>
        <w:t>150</w:t>
      </w:r>
      <w:r>
        <w:rPr>
          <w:rFonts w:hint="eastAsia" w:ascii="宋体" w:hAnsi="宋体" w:eastAsia="宋体" w:cs="宋体"/>
          <w:b w:val="0"/>
          <w:bCs w:val="0"/>
          <w:color w:val="auto"/>
          <w:sz w:val="24"/>
          <w:highlight w:val="none"/>
          <w:lang w:val="en-US" w:eastAsia="zh-CN"/>
        </w:rPr>
        <w:t>页。</w:t>
      </w:r>
    </w:p>
    <w:p w14:paraId="04942CB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16.7定标文件的编制要求：</w:t>
      </w:r>
    </w:p>
    <w:p w14:paraId="0F2A7B9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5F0C707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highlight w:val="none"/>
          <w:lang w:val="en-US" w:eastAsia="zh-CN"/>
        </w:rPr>
        <w:t>1) 定标因素评审资料（格式十六）</w:t>
      </w:r>
    </w:p>
    <w:p w14:paraId="464F63F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 xml:space="preserve"> 本节第1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目中所列出的组成内容中，第（1）项所有投标人均应提供。</w:t>
      </w:r>
    </w:p>
    <w:p w14:paraId="1431124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.投标报价</w:t>
      </w:r>
    </w:p>
    <w:p w14:paraId="058D4F3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17.1投标人报价可依据《2024标准》规定自主确定投标报价，并应对已标价工程量清单填报价格的一致性及合理性负责，承担不合理报价及总价合同的工程量清单缺陷等风险。</w:t>
      </w:r>
    </w:p>
    <w:p w14:paraId="4D429EF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（1）《2024标准》和相关工程国家级行业工程量计算标准；</w:t>
      </w:r>
    </w:p>
    <w:p w14:paraId="56DCBFF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（2）招标文件（包括招标工程量清单、合同条款、招标图纸、计算标准规范等）及其补遗、答疑、异议澄清或修正；</w:t>
      </w:r>
    </w:p>
    <w:p w14:paraId="1D4C2FB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（3）国家及省级、行业建设主管部门颁发的工程计量与计价相关规定，以及根据工程需要补充的工程量计算规则；</w:t>
      </w:r>
    </w:p>
    <w:p w14:paraId="3B39D8A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（4）与招标工程相关的技术标准规范等技术资料；</w:t>
      </w:r>
    </w:p>
    <w:p w14:paraId="5C72826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（5）工程特点及交付标准、地勘水文资料、现场踏勘情况；</w:t>
      </w:r>
    </w:p>
    <w:p w14:paraId="51F91BD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（6）投标人的工程实施方案及投标工期；</w:t>
      </w:r>
    </w:p>
    <w:p w14:paraId="5977CCE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（7）投标人企业定额、工程造价数据、市场价格信息及价格变动预期、装备及管理水平、造价资讯等；</w:t>
      </w:r>
    </w:p>
    <w:p w14:paraId="5CF64E2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（8）其他相关资料。</w:t>
      </w:r>
    </w:p>
    <w:p w14:paraId="48E4E87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17.2投标人的投标报价均不得高于招标人公布的最高投标限价。投标人对投标总价的所有优惠（降价、让利等），均应当反映在具体清单项目或其综合单价的报价上。</w:t>
      </w:r>
    </w:p>
    <w:p w14:paraId="1B994B7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 投标人应在接收招标文件后，在规定时间内根据招标文件说明的工程特点及合同要求复查招标文件中计划工期的可行性及其风险与影响，对计划工期存有疑问或异议的，应按招标文件的规定以书面形式提请招标人澄清或修正。投标人对计划工期或招标人澄清或修正后的计划工期无疑问或无异议的投标人应根据自身的实施方案、施工技术、管理水平、合同履约风险及专业分包工程工期等合理确定投标工期并投标报价。投标工期不得超过招标人的计划工期或澄清修正的计划工期。</w:t>
      </w:r>
    </w:p>
    <w:p w14:paraId="41CF03A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投标人应在接收招标文件后，在规定时间内根据工程特点、合同要求及现场踏勘情况，复查措施项目清单列项的完整性和适用性。如投标人对措施项目清单有疑问或异议的，可按招标文件的规定以书面形式提请招标人澄清或修正，若投标人认为需要增加措施项目的，可在措施项目中补充列项及报价并对措施项日清单的准确性和完整性负责。</w:t>
      </w:r>
    </w:p>
    <w:p w14:paraId="12810EE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 采用单价合同的招标工程，投标人应在接收招标文件后，在规定时间内对招标工程量清单的分部分项工程项目清单进行复核。如投标人对分部分项工程项目清单有疑问或异议的，应按招标文件的规定以书面形式提请招标人澄清，招标人核实后作出修正的，投标人应按修正后的分部分项工程项目清单进行投标报价。无论投标人是否已提出疑问或异议，分部分项工程项目清单的完整性和准确性由招标人负责，清单项目或修正后(如有)的清单项目存在工程量清单缺陷的，应按《2024标准》第8.2节的规定调整相关价款及合同总价。</w:t>
      </w:r>
    </w:p>
    <w:p w14:paraId="4293C76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17.6 采用总价合同的招标工程，投标人应在接收招标文件后，在规定时间内对招标工程量清单进行复核。如投标人对工程项目清单有疑问或异议的，应按招标文件的规定以书面形式提请招标人澄清，招标人核实后作出修正的投标人应按修正后的工程量清单进行报价。如投标人经复核认为招标工程量清单及其修正后(如有)的分部分项工程项目清单存在工程量清单缺陷的，可在已标价工程量清单的分部分项工程项目清单中进行补充完善及报价，并对已标价分部分项工程项目清单的完整性和准确性负责。无论投标人是否已提出疑问、异议或按已修正后的工程量清单报价、或对分部分项工程项目清单做出补充完善及报价除招标工程量清单说明为暂定数量的单价计价分部分项工程项目清单外，合同价格不应因存在工程量清单缺陷而调整。</w:t>
      </w:r>
    </w:p>
    <w:p w14:paraId="6A7373D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17.7 投标人的投标价应包括招标文件中规定的由承包人承担范围及幅度内的风险费用。如招标文件中未明确相关风险责任的，投标人应在接收招标文件后，在规定的时间内提请招标人明确，招标人应在规定时间内子以书面答复。</w:t>
      </w:r>
    </w:p>
    <w:p w14:paraId="3298AEE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17.8采用单价合同的工程，投标人应按要求完整填报工程量清单中所有清单项目的综合单价及其合价和(或)总价计价项目的价格，且每个清单项目应只填报一个报价，未按要求填报(漏填或未填)综合单价及其合价和(或)清单项目价格的，宜按《2024标准》第3.5.4条的规定完成相关的投标报价澄清或谈明，相关清单项目报价可视为已包含在投标总价中。</w:t>
      </w:r>
    </w:p>
    <w:p w14:paraId="300A12A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17.9 采用总价合同的工程，投标人应按《2024标准》第6.1.7条的定补充完善工程量清单，并完整填报工程量清单中所有清单项目的综合单价及合价和(或)总价计价项目的价格，且每个清单项目应只填报一个报价，未按求填报(漏填或未填)综合单价及其合价和(或)清单项目价格的，可按《2024标准》第3.5.4条的规定完成相关的投标报价澄清或说明，相关清单项目报价可视为已包含在其他的清单项目中。</w:t>
      </w:r>
    </w:p>
    <w:p w14:paraId="05A6F31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17.10 投标人的投标总价应与分部分项工程项目清单、措施项清单、其他项目清单、增值税的合价总额一致。如投标总价与前述合价总额不符的、应在保持投标总价不变的前提下，按《2024标准》第3.5节的规定调整已标价程量清单。</w:t>
      </w:r>
    </w:p>
    <w:p w14:paraId="1F8B5084">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18</w:t>
      </w:r>
      <w:r>
        <w:rPr>
          <w:rFonts w:hint="eastAsia" w:ascii="宋体" w:hAnsi="宋体" w:eastAsia="宋体" w:cs="宋体"/>
          <w:b/>
          <w:bCs/>
          <w:color w:val="auto"/>
          <w:sz w:val="24"/>
          <w:highlight w:val="none"/>
        </w:rPr>
        <w:t>.投标有效期</w:t>
      </w:r>
    </w:p>
    <w:p w14:paraId="73BCC8E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 投标有效期从提交投标文件的截止之日起算。本招标工程投标有效期见本投标人须知前附表规定的期限，在此期间，凡符合本招标文件要求的投标文件均保持有效。</w:t>
      </w:r>
    </w:p>
    <w:p w14:paraId="59C67846">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 在投标有效期结束前出现特殊情况的，</w:t>
      </w:r>
      <w:r>
        <w:rPr>
          <w:rFonts w:hint="eastAsia" w:ascii="宋体" w:hAnsi="宋体" w:eastAsia="宋体" w:cs="宋体"/>
          <w:color w:val="auto"/>
          <w:kern w:val="0"/>
          <w:sz w:val="24"/>
          <w:highlight w:val="none"/>
        </w:rPr>
        <w:t>招标人可形成延长投标有效期的书面文件</w:t>
      </w:r>
      <w:r>
        <w:rPr>
          <w:rFonts w:hint="eastAsia" w:ascii="宋体" w:hAnsi="宋体" w:eastAsia="宋体" w:cs="宋体"/>
          <w:color w:val="auto"/>
          <w:sz w:val="24"/>
          <w:highlight w:val="none"/>
        </w:rPr>
        <w:t>报招标管理部门备案后在网上发布告知所有投标人</w:t>
      </w:r>
      <w:r>
        <w:rPr>
          <w:rFonts w:hint="eastAsia" w:ascii="宋体" w:hAnsi="宋体" w:eastAsia="宋体" w:cs="宋体"/>
          <w:color w:val="auto"/>
          <w:kern w:val="0"/>
          <w:sz w:val="24"/>
          <w:highlight w:val="none"/>
        </w:rPr>
        <w:t>。投标人同意延长的，不得要求或者被允许修改其投标文件的实质性内容，但应当相应延长其投标保证金的有效期；投标人拒绝延长的，其投标无效，但投标人有权收回其投标保证金。</w:t>
      </w:r>
    </w:p>
    <w:p w14:paraId="171CE11B">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highlight w:val="none"/>
          <w:lang w:val="en-US" w:eastAsia="zh-CN"/>
        </w:rPr>
        <w:t>绿色建筑与装配式</w:t>
      </w:r>
    </w:p>
    <w:p w14:paraId="6CE26068">
      <w:pPr>
        <w:keepNext w:val="0"/>
        <w:keepLines w:val="0"/>
        <w:pageBreakBefore w:val="0"/>
        <w:widowControl w:val="0"/>
        <w:suppressLineNumbers w:val="0"/>
        <w:wordWrap w:val="0"/>
        <w:overflowPunct/>
        <w:topLinePunct w:val="0"/>
        <w:autoSpaceDE/>
        <w:autoSpaceDN/>
        <w:bidi w:val="0"/>
        <w:spacing w:before="0" w:beforeAutospacing="0" w:after="0" w:afterAutospacing="0" w:line="400" w:lineRule="atLeast"/>
        <w:ind w:left="0" w:right="0" w:firstLine="56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19.1根据韶关市人民政府《关于加快推进全市绿色建筑发展工作的通知》（韶府办明电〔2013〕277号）及《韶关市住建管理局关于贯彻落实&lt;广东省绿色建筑条例&gt;有关工作的通知》（韶市建字〔2021〕85号）等有关规定，本招标项目</w:t>
      </w:r>
      <w:r>
        <w:rPr>
          <w:rFonts w:hint="eastAsia" w:ascii="宋体" w:hAnsi="宋体" w:eastAsia="宋体" w:cs="宋体"/>
          <w:b/>
          <w:bCs/>
          <w:color w:val="auto"/>
          <w:kern w:val="0"/>
          <w:sz w:val="24"/>
          <w:szCs w:val="24"/>
          <w:highlight w:val="none"/>
          <w:u w:val="single"/>
          <w:lang w:val="en-US" w:eastAsia="zh-CN" w:bidi="ar"/>
        </w:rPr>
        <w:t>不纳入</w:t>
      </w:r>
      <w:r>
        <w:rPr>
          <w:rFonts w:hint="eastAsia" w:ascii="宋体" w:hAnsi="宋体" w:eastAsia="宋体" w:cs="宋体"/>
          <w:color w:val="auto"/>
          <w:kern w:val="0"/>
          <w:sz w:val="24"/>
          <w:szCs w:val="24"/>
          <w:highlight w:val="none"/>
          <w:lang w:val="en-US" w:eastAsia="zh-CN" w:bidi="ar"/>
        </w:rPr>
        <w:t>绿色建设实施范围。</w:t>
      </w:r>
    </w:p>
    <w:p w14:paraId="7AB57073">
      <w:pPr>
        <w:keepNext w:val="0"/>
        <w:keepLines w:val="0"/>
        <w:pageBreakBefore w:val="0"/>
        <w:widowControl w:val="0"/>
        <w:suppressLineNumbers w:val="0"/>
        <w:wordWrap w:val="0"/>
        <w:overflowPunct/>
        <w:topLinePunct w:val="0"/>
        <w:autoSpaceDE/>
        <w:autoSpaceDN/>
        <w:bidi w:val="0"/>
        <w:spacing w:before="0" w:beforeAutospacing="0" w:after="0" w:afterAutospacing="0" w:line="400" w:lineRule="atLeast"/>
        <w:ind w:left="0" w:right="0" w:firstLine="560"/>
        <w:jc w:val="both"/>
        <w:textAlignment w:val="auto"/>
        <w:rPr>
          <w:rFonts w:hint="eastAsia" w:ascii="宋体" w:hAnsi="宋体" w:eastAsia="宋体" w:cs="宋体"/>
          <w:i w:val="0"/>
          <w:iCs w:val="0"/>
          <w:caps w:val="0"/>
          <w:color w:val="auto"/>
          <w:spacing w:val="0"/>
          <w:sz w:val="24"/>
          <w:szCs w:val="24"/>
          <w:highlight w:val="none"/>
          <w:shd w:val="clear" w:color="auto" w:fill="FFFFFF"/>
          <w:lang w:val="en-US"/>
        </w:rPr>
      </w:pPr>
      <w:r>
        <w:rPr>
          <w:rFonts w:hint="eastAsia" w:ascii="宋体" w:hAnsi="宋体" w:eastAsia="宋体" w:cs="宋体"/>
          <w:color w:val="auto"/>
          <w:kern w:val="0"/>
          <w:sz w:val="24"/>
          <w:szCs w:val="24"/>
          <w:highlight w:val="none"/>
          <w:lang w:val="en-US" w:eastAsia="zh-CN" w:bidi="ar"/>
        </w:rPr>
        <w:t>19.2 根据《韶关市人民政</w:t>
      </w:r>
      <w:r>
        <w:rPr>
          <w:rFonts w:hint="eastAsia" w:ascii="宋体" w:hAnsi="宋体" w:eastAsia="宋体" w:cs="宋体"/>
          <w:i w:val="0"/>
          <w:iCs w:val="0"/>
          <w:caps w:val="0"/>
          <w:color w:val="auto"/>
          <w:spacing w:val="0"/>
          <w:sz w:val="24"/>
          <w:szCs w:val="24"/>
          <w:highlight w:val="none"/>
          <w:shd w:val="clear" w:color="auto" w:fill="FFFFFF"/>
          <w:lang w:val="en-US" w:eastAsia="zh-CN"/>
        </w:rPr>
        <w:t>府办公厅关</w:t>
      </w:r>
      <w:r>
        <w:rPr>
          <w:rFonts w:hint="eastAsia" w:ascii="宋体" w:hAnsi="宋体" w:eastAsia="宋体" w:cs="宋体"/>
          <w:i w:val="0"/>
          <w:iCs w:val="0"/>
          <w:caps w:val="0"/>
          <w:color w:val="auto"/>
          <w:spacing w:val="0"/>
          <w:sz w:val="24"/>
          <w:szCs w:val="24"/>
          <w:highlight w:val="none"/>
          <w:shd w:val="clear" w:color="auto" w:fill="FFFFFF"/>
        </w:rPr>
        <w:t>于大力发展装配式建筑的实施意见》（韶府办〔2019〕25号）等文件要求，本招标项目</w:t>
      </w:r>
      <w:r>
        <w:rPr>
          <w:rFonts w:hint="eastAsia" w:ascii="宋体" w:hAnsi="宋体" w:eastAsia="宋体" w:cs="宋体"/>
          <w:b/>
          <w:bCs/>
          <w:i w:val="0"/>
          <w:iCs w:val="0"/>
          <w:caps w:val="0"/>
          <w:color w:val="auto"/>
          <w:spacing w:val="0"/>
          <w:sz w:val="24"/>
          <w:szCs w:val="24"/>
          <w:highlight w:val="none"/>
          <w:u w:val="single"/>
          <w:shd w:val="clear" w:color="auto" w:fill="FFFFFF"/>
        </w:rPr>
        <w:t>不纳入</w:t>
      </w:r>
      <w:r>
        <w:rPr>
          <w:rFonts w:hint="eastAsia" w:ascii="宋体" w:hAnsi="宋体" w:eastAsia="宋体" w:cs="宋体"/>
          <w:i w:val="0"/>
          <w:iCs w:val="0"/>
          <w:caps w:val="0"/>
          <w:color w:val="auto"/>
          <w:spacing w:val="0"/>
          <w:sz w:val="24"/>
          <w:szCs w:val="24"/>
          <w:highlight w:val="none"/>
          <w:shd w:val="clear" w:color="auto" w:fill="FFFFFF"/>
        </w:rPr>
        <w:t>装配式建造建设实施范围</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14:paraId="5A71191B">
      <w:pPr>
        <w:keepNext w:val="0"/>
        <w:keepLines w:val="0"/>
        <w:pageBreakBefore w:val="0"/>
        <w:widowControl/>
        <w:kinsoku/>
        <w:wordWrap/>
        <w:overflowPunct/>
        <w:topLinePunct w:val="0"/>
        <w:autoSpaceDE/>
        <w:autoSpaceDN/>
        <w:bidi w:val="0"/>
        <w:adjustRightInd/>
        <w:snapToGrid/>
        <w:spacing w:line="400" w:lineRule="atLeas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投标保证金</w:t>
      </w:r>
    </w:p>
    <w:p w14:paraId="37A07088">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 投标人应按本投标人须知前附表所规定的数额和方式提交投标保证金，</w:t>
      </w:r>
      <w:r>
        <w:rPr>
          <w:rFonts w:hint="eastAsia" w:ascii="宋体" w:hAnsi="宋体" w:eastAsia="宋体" w:cs="宋体"/>
          <w:color w:val="auto"/>
          <w:sz w:val="24"/>
          <w:highlight w:val="none"/>
          <w:lang w:eastAsia="zh-CN"/>
        </w:rPr>
        <w:t>不按照</w:t>
      </w:r>
      <w:r>
        <w:rPr>
          <w:rFonts w:hint="eastAsia" w:ascii="宋体" w:hAnsi="宋体" w:eastAsia="宋体" w:cs="宋体"/>
          <w:color w:val="auto"/>
          <w:sz w:val="24"/>
          <w:highlight w:val="none"/>
        </w:rPr>
        <w:t>招标文件要求提交投标保证金</w:t>
      </w:r>
      <w:r>
        <w:rPr>
          <w:rFonts w:hint="eastAsia" w:ascii="宋体" w:hAnsi="宋体" w:eastAsia="宋体" w:cs="宋体"/>
          <w:color w:val="auto"/>
          <w:sz w:val="24"/>
          <w:highlight w:val="none"/>
          <w:lang w:eastAsia="zh-CN"/>
        </w:rPr>
        <w:t>的投标人</w:t>
      </w:r>
      <w:r>
        <w:rPr>
          <w:rFonts w:hint="eastAsia" w:ascii="宋体" w:hAnsi="宋体" w:eastAsia="宋体" w:cs="宋体"/>
          <w:color w:val="auto"/>
          <w:sz w:val="24"/>
          <w:highlight w:val="none"/>
        </w:rPr>
        <w:t>不得进入资格后审和评标；投标保证金有效期应当与投标有效期一致。</w:t>
      </w:r>
    </w:p>
    <w:p w14:paraId="3038AAA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联合体投标的，应当以联合体各方或者联合体中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人的名义提交投标保证金。以联合体中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人名义提交的投标保证金，对联合体各成员具有约束力。</w:t>
      </w:r>
    </w:p>
    <w:p w14:paraId="36FCE89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pacing w:val="0"/>
          <w:sz w:val="24"/>
          <w:szCs w:val="24"/>
          <w:highlight w:val="none"/>
        </w:rPr>
        <w:t>设有投标保证金的，</w:t>
      </w:r>
      <w:r>
        <w:rPr>
          <w:rFonts w:hint="eastAsia" w:ascii="宋体" w:hAnsi="宋体" w:eastAsia="宋体" w:cs="宋体"/>
          <w:color w:val="auto"/>
          <w:kern w:val="0"/>
          <w:sz w:val="24"/>
          <w:szCs w:val="24"/>
          <w:highlight w:val="none"/>
          <w:u w:val="none"/>
        </w:rPr>
        <w:t>招标人应当在中标通知书发出之日起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日内将投标保证金及银行同期存款利息退回中标候选人以外的投标人，在书面合同订立之日起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日内将投标保证金及银行同期存款利息退回中标人和其他中标候选人。</w:t>
      </w:r>
    </w:p>
    <w:p w14:paraId="54C0443D">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atLeas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有下列情形之一，招标人应在发生后5个工作日内全额退还投标人的投标保证金及银行同期存款利息：</w:t>
      </w:r>
    </w:p>
    <w:p w14:paraId="0CA6FA61">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atLeas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（1）招标终止</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招标失败需要重新招标；</w:t>
      </w:r>
    </w:p>
    <w:p w14:paraId="1A0889AB">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atLeas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（2）投标人拒绝在投标有效期限终止之后延长投标有效期限。</w:t>
      </w:r>
    </w:p>
    <w:p w14:paraId="220A2E13">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有下列情形之一，招标人可以没收投标人的投标保证金：</w:t>
      </w:r>
    </w:p>
    <w:p w14:paraId="01FAB68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在投标截止时间之后至投标有效期限终止期间撤回投标文件的；</w:t>
      </w:r>
    </w:p>
    <w:p w14:paraId="412E09F7">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中标人无正当理由放弃中标或未能在规定期限内提交履约担保或不与招标人签订承包合同或在签订合同时向招标人提出附加条件的；</w:t>
      </w:r>
    </w:p>
    <w:p w14:paraId="1D295EE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由于违法行为被取消投标资格、中标无效的；</w:t>
      </w:r>
    </w:p>
    <w:p w14:paraId="5B1EB48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法律、法规、规章或招标文件规定可以没收投标保证金的其他情形。</w:t>
      </w:r>
      <w:r>
        <w:rPr>
          <w:rFonts w:hint="eastAsia" w:ascii="宋体" w:hAnsi="宋体" w:eastAsia="宋体" w:cs="宋体"/>
          <w:b/>
          <w:color w:val="auto"/>
          <w:sz w:val="24"/>
          <w:highlight w:val="none"/>
        </w:rPr>
        <w:t xml:space="preserve">      </w:t>
      </w:r>
    </w:p>
    <w:p w14:paraId="2E3001B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.投标文件提交</w:t>
      </w:r>
    </w:p>
    <w:p w14:paraId="3AEC62BB">
      <w:pPr>
        <w:keepNext w:val="0"/>
        <w:keepLines w:val="0"/>
        <w:pageBreakBefore w:val="0"/>
        <w:widowControl w:val="0"/>
        <w:shd w:val="clear" w:color="auto" w:fill="auto"/>
        <w:kinsoku w:val="0"/>
        <w:wordWrap w:val="0"/>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投标人应按照投标人须知前附表要求，在投标文件提交截止时间前，投标人通过全国公共资源交易平台（广东省·韶关市）（https://ygp.gdzwfw.gov.cn/ggzy-portal/#/440200/index）提交已加密投标文件。逾期提交的电子投标文件，全国公共资源交易平台（广东省·韶关市）（https://ygp.gdzwfw.gov.cn/ggzy-portal/#/440200/index）将予以拒收。</w:t>
      </w:r>
    </w:p>
    <w:p w14:paraId="283C594B">
      <w:pPr>
        <w:keepNext w:val="0"/>
        <w:keepLines w:val="0"/>
        <w:pageBreakBefore w:val="0"/>
        <w:widowControl w:val="0"/>
        <w:shd w:val="clear" w:color="auto" w:fill="auto"/>
        <w:kinsoku w:val="0"/>
        <w:wordWrap w:val="0"/>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 在建设工程交易系统上传加盖了电子印章的投标文件、录入相关信息及标书页码信息，并提交投标标书。提交标书为已加密投标文件。具体操作参照《韶关市公共资源一体化平台——建设工程交易投标人操作指南（电子评标）V1.6》。本项目评标采用全流程电子化进行招标投标（投标人应根据韶关市公共资源建设工程交易系统-招标人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35E0AC8">
      <w:pPr>
        <w:keepNext w:val="0"/>
        <w:keepLines w:val="0"/>
        <w:pageBreakBefore w:val="0"/>
        <w:widowControl w:val="0"/>
        <w:shd w:val="clear" w:color="auto" w:fill="auto"/>
        <w:kinsoku w:val="0"/>
        <w:wordWrap w:val="0"/>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029B6E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highlight w:val="none"/>
          <w:lang w:val="en-US" w:eastAsia="zh-CN"/>
        </w:rPr>
        <w:t xml:space="preserve"> 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p w14:paraId="32746647">
      <w:pPr>
        <w:keepNext w:val="0"/>
        <w:keepLines w:val="0"/>
        <w:pageBreakBefore w:val="0"/>
        <w:widowControl w:val="0"/>
        <w:shd w:val="clear" w:color="auto" w:fill="auto"/>
        <w:kinsoku w:val="0"/>
        <w:wordWrap w:val="0"/>
        <w:overflowPunct/>
        <w:topLinePunct w:val="0"/>
        <w:autoSpaceDE/>
        <w:autoSpaceDN/>
        <w:bidi w:val="0"/>
        <w:adjustRightInd/>
        <w:snapToGrid/>
        <w:spacing w:line="400" w:lineRule="atLeast"/>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p>
    <w:p w14:paraId="0B0ECFFC">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color w:val="auto"/>
          <w:sz w:val="28"/>
          <w:szCs w:val="28"/>
          <w:highlight w:val="none"/>
        </w:rPr>
      </w:pPr>
      <w:bookmarkStart w:id="24" w:name="_Toc8563"/>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 开标规定</w:t>
      </w:r>
      <w:bookmarkEnd w:id="24"/>
    </w:p>
    <w:p w14:paraId="1EEBF93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p>
    <w:p w14:paraId="5F446C82">
      <w:pPr>
        <w:pStyle w:val="22"/>
        <w:keepNext w:val="0"/>
        <w:keepLines w:val="0"/>
        <w:pageBreakBefore w:val="0"/>
        <w:shd w:val="clear" w:color="auto" w:fill="auto"/>
        <w:tabs>
          <w:tab w:val="left" w:pos="6149"/>
        </w:tabs>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开标</w:t>
      </w:r>
      <w:r>
        <w:rPr>
          <w:rFonts w:hint="eastAsia" w:hAnsi="宋体" w:cs="宋体"/>
          <w:b/>
          <w:color w:val="auto"/>
          <w:sz w:val="24"/>
          <w:highlight w:val="none"/>
          <w:lang w:eastAsia="zh-CN"/>
        </w:rPr>
        <w:tab/>
      </w:r>
    </w:p>
    <w:p w14:paraId="6A25334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2D17217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22.1.1开标时间和地点：见本章“二、重要事项时间地点一览表”。</w:t>
      </w:r>
    </w:p>
    <w:p w14:paraId="0EC7E2FD">
      <w:pPr>
        <w:keepNext w:val="0"/>
        <w:keepLines w:val="0"/>
        <w:pageBreakBefore w:val="0"/>
        <w:widowControl w:val="0"/>
        <w:kinsoku w:val="0"/>
        <w:wordWrap w:val="0"/>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22.1.2开标前24小时，若建设工程交易系统显示缴纳投标保证（包括投标保证金、投标保证担保、投标保证保险）的投标人数量不足3个时，招标人将取消原定于次日召开的开标活动。投标人可在投标保证缴纳截止时间（见本章“二、重要事项时间地点一览表”）至电子投标截止时间（见本章“二、重要事项时间地点一览表”）期间登录全国公共资源交易平台（广东省·韶关市）（https://ygp.gdzwfw.gov.cn/ggzy-portal/#/440200/index）查询是否发布了取消开标活动的相关信息。</w:t>
      </w:r>
    </w:p>
    <w:p w14:paraId="77B16AA8">
      <w:pPr>
        <w:keepNext w:val="0"/>
        <w:keepLines w:val="0"/>
        <w:pageBreakBefore w:val="0"/>
        <w:widowControl w:val="0"/>
        <w:kinsoku w:val="0"/>
        <w:wordWrap w:val="0"/>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7A2BB6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strike w:val="0"/>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lang w:eastAsia="zh-CN"/>
        </w:rPr>
        <w:t>本项目的开标起始时间即为投标人递交</w:t>
      </w:r>
      <w:r>
        <w:rPr>
          <w:rFonts w:hint="eastAsia" w:ascii="宋体" w:hAnsi="宋体" w:eastAsia="宋体" w:cs="宋体"/>
          <w:b w:val="0"/>
          <w:bCs w:val="0"/>
          <w:color w:val="auto"/>
          <w:sz w:val="24"/>
          <w:szCs w:val="24"/>
          <w:highlight w:val="none"/>
          <w:lang w:val="en-US" w:eastAsia="zh-CN"/>
        </w:rPr>
        <w:t>投标文件的截止时间。投标人使用全国互认CA的，必须由投标人自行解密外，投标人电子</w:t>
      </w:r>
      <w:r>
        <w:rPr>
          <w:rFonts w:hint="eastAsia" w:ascii="宋体" w:hAnsi="宋体" w:eastAsia="宋体" w:cs="宋体"/>
          <w:color w:val="auto"/>
          <w:sz w:val="24"/>
          <w:szCs w:val="24"/>
          <w:highlight w:val="none"/>
          <w:lang w:val="en-US" w:eastAsia="zh-CN"/>
        </w:rPr>
        <w:t>投标信息由招标代理进行解密，建设工程交易系统自动生成《投标保证缴纳情况表》和《开标一览表》。</w:t>
      </w:r>
    </w:p>
    <w:p w14:paraId="22ACD4E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开标由招标人或其招标代理机构主持，其程序如下：</w:t>
      </w:r>
    </w:p>
    <w:p w14:paraId="547ECC8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（1）主持人（招标人代表或招标人授权的招标代理机构人员）宣读开标纪律。</w:t>
      </w:r>
    </w:p>
    <w:p w14:paraId="1369138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（2）主持人宣布唱标人、记录人、见证人、监督人等有关人员姓名。</w:t>
      </w:r>
    </w:p>
    <w:p w14:paraId="50FF2CE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（3）招标代理机构会同交易场所工作人员对投标人的电子投标信息进行解密，建设工程交易系统自动生成《投标保证缴纳情况表》和《开标一览表》。</w:t>
      </w:r>
    </w:p>
    <w:p w14:paraId="312BF7B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111BE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开标会上，符合要求的</w:t>
      </w:r>
      <w:r>
        <w:rPr>
          <w:rFonts w:hint="eastAsia" w:ascii="宋体" w:hAnsi="宋体" w:eastAsia="宋体" w:cs="宋体"/>
          <w:color w:val="auto"/>
          <w:sz w:val="24"/>
          <w:szCs w:val="24"/>
          <w:highlight w:val="none"/>
        </w:rPr>
        <w:t>投标人少于3</w:t>
      </w:r>
      <w:r>
        <w:rPr>
          <w:rFonts w:hint="eastAsia" w:ascii="宋体" w:hAnsi="宋体" w:eastAsia="宋体" w:cs="宋体"/>
          <w:color w:val="auto"/>
          <w:sz w:val="24"/>
          <w:szCs w:val="24"/>
          <w:highlight w:val="none"/>
          <w:lang w:eastAsia="zh-CN"/>
        </w:rPr>
        <w:t>家时</w:t>
      </w:r>
      <w:r>
        <w:rPr>
          <w:rFonts w:hint="eastAsia" w:ascii="宋体" w:hAnsi="宋体" w:eastAsia="宋体" w:cs="宋体"/>
          <w:color w:val="auto"/>
          <w:sz w:val="24"/>
          <w:szCs w:val="24"/>
          <w:highlight w:val="none"/>
        </w:rPr>
        <w:t>，该项目招标失败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招标人应依法重新招标或</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3D09FC6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6AE6848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640" w:firstLineChars="200"/>
        <w:jc w:val="both"/>
        <w:textAlignment w:val="auto"/>
        <w:outlineLvl w:val="9"/>
        <w:rPr>
          <w:rFonts w:hint="eastAsia" w:ascii="宋体" w:hAnsi="宋体" w:eastAsia="宋体" w:cs="宋体"/>
          <w:color w:val="auto"/>
          <w:sz w:val="32"/>
          <w:szCs w:val="32"/>
          <w:highlight w:val="none"/>
        </w:rPr>
      </w:pPr>
    </w:p>
    <w:p w14:paraId="1762A92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color w:val="auto"/>
          <w:sz w:val="30"/>
          <w:szCs w:val="30"/>
          <w:highlight w:val="none"/>
          <w:lang w:eastAsia="zh-CN"/>
        </w:rPr>
      </w:pPr>
      <w:bookmarkStart w:id="25" w:name="_Toc30929"/>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）评标</w:t>
      </w:r>
      <w:r>
        <w:rPr>
          <w:rFonts w:hint="eastAsia" w:ascii="宋体" w:hAnsi="宋体" w:eastAsia="宋体" w:cs="宋体"/>
          <w:b/>
          <w:color w:val="auto"/>
          <w:sz w:val="28"/>
          <w:szCs w:val="28"/>
          <w:highlight w:val="none"/>
          <w:lang w:eastAsia="zh-CN"/>
        </w:rPr>
        <w:t>规定</w:t>
      </w:r>
      <w:bookmarkEnd w:id="25"/>
    </w:p>
    <w:p w14:paraId="51FC61EC">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p>
    <w:p w14:paraId="2ADFE043">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lang w:eastAsia="zh-CN"/>
        </w:rPr>
        <w:t>评标委员会</w:t>
      </w:r>
    </w:p>
    <w:p w14:paraId="0F1D6DF3">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.1 </w:t>
      </w:r>
      <w:r>
        <w:rPr>
          <w:rFonts w:hint="eastAsia" w:ascii="宋体" w:hAnsi="宋体" w:eastAsia="宋体" w:cs="宋体"/>
          <w:b w:val="0"/>
          <w:bCs w:val="0"/>
          <w:color w:val="auto"/>
          <w:sz w:val="24"/>
          <w:szCs w:val="24"/>
          <w:highlight w:val="none"/>
          <w:lang w:eastAsia="zh-CN"/>
        </w:rPr>
        <w:t>本项目采用韶关市公共资源交易中心交易系统电子评标。</w:t>
      </w:r>
      <w:r>
        <w:rPr>
          <w:rFonts w:hint="eastAsia" w:ascii="宋体" w:hAnsi="宋体" w:eastAsia="宋体" w:cs="宋体"/>
          <w:color w:val="auto"/>
          <w:sz w:val="24"/>
          <w:highlight w:val="none"/>
        </w:rPr>
        <w:t>评标委员会由招标人依法组建，</w:t>
      </w:r>
      <w:r>
        <w:rPr>
          <w:rFonts w:hint="eastAsia" w:ascii="宋体" w:hAnsi="宋体" w:eastAsia="宋体" w:cs="宋体"/>
          <w:color w:val="auto"/>
          <w:sz w:val="24"/>
          <w:highlight w:val="none"/>
          <w:lang w:eastAsia="zh-CN"/>
        </w:rPr>
        <w:t>其中，</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，招标人应</w:t>
      </w:r>
      <w:r>
        <w:rPr>
          <w:rFonts w:hint="eastAsia" w:ascii="宋体" w:hAnsi="宋体" w:eastAsia="宋体" w:cs="宋体"/>
          <w:color w:val="auto"/>
          <w:kern w:val="0"/>
          <w:sz w:val="24"/>
          <w:szCs w:val="24"/>
          <w:highlight w:val="none"/>
        </w:rPr>
        <w:t>合理确定主场、副场评标专家专业类别及专家人数，依法组建</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kern w:val="0"/>
          <w:sz w:val="24"/>
          <w:szCs w:val="24"/>
          <w:highlight w:val="none"/>
        </w:rPr>
        <w:t>，并在规定时间内抽取专家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rPr>
        <w:t>其组成人员数见本投标人须知前附表。委员会成员按有关规定从广东省综合评标评审专家库中随机抽取，并从中推选出</w:t>
      </w:r>
      <w:r>
        <w:rPr>
          <w:rFonts w:hint="eastAsia" w:ascii="宋体" w:hAnsi="宋体" w:eastAsia="宋体" w:cs="宋体"/>
          <w:color w:val="auto"/>
          <w:sz w:val="24"/>
          <w:highlight w:val="none"/>
          <w:lang w:eastAsia="zh-CN"/>
        </w:rPr>
        <w:t>评标委员会组长</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组长</w:t>
      </w:r>
      <w:r>
        <w:rPr>
          <w:rFonts w:hint="eastAsia" w:ascii="宋体" w:hAnsi="宋体" w:eastAsia="宋体" w:cs="宋体"/>
          <w:color w:val="auto"/>
          <w:sz w:val="24"/>
          <w:highlight w:val="none"/>
        </w:rPr>
        <w:t>主持</w:t>
      </w: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工作。</w:t>
      </w:r>
    </w:p>
    <w:p w14:paraId="632429E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招标人可以派代表参加评标委员会，原则上以一人为限，该代表应为招标人的正式员工，且具备国家和省规定的评标专家条件和要求，但不得担任评标委员会负责人，不得接受评标报酬，不得以任何方式影响其他评标专家独立评审。</w:t>
      </w:r>
    </w:p>
    <w:p w14:paraId="65BF2AF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评标专家</w:t>
      </w:r>
      <w:r>
        <w:rPr>
          <w:rFonts w:hint="eastAsia" w:ascii="宋体" w:hAnsi="宋体" w:eastAsia="宋体" w:cs="宋体"/>
          <w:color w:val="auto"/>
          <w:sz w:val="24"/>
          <w:highlight w:val="none"/>
        </w:rPr>
        <w:t>应按时参加评标活动，自觉遵守工作纪律和服从现场管理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主场、副场各自负责本场所</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成员推举产生</w:t>
      </w:r>
      <w:r>
        <w:rPr>
          <w:rFonts w:hint="eastAsia" w:ascii="宋体" w:hAnsi="宋体" w:eastAsia="宋体" w:cs="宋体"/>
          <w:color w:val="auto"/>
          <w:sz w:val="24"/>
          <w:highlight w:val="none"/>
          <w:lang w:eastAsia="zh-CN"/>
        </w:rPr>
        <w:t>的评标委员会组长</w:t>
      </w:r>
      <w:r>
        <w:rPr>
          <w:rFonts w:hint="eastAsia" w:ascii="宋体" w:hAnsi="宋体" w:eastAsia="宋体" w:cs="宋体"/>
          <w:color w:val="auto"/>
          <w:sz w:val="24"/>
          <w:highlight w:val="none"/>
        </w:rPr>
        <w:t>组织</w:t>
      </w:r>
      <w:r>
        <w:rPr>
          <w:rFonts w:hint="eastAsia" w:ascii="宋体" w:hAnsi="宋体" w:eastAsia="宋体" w:cs="宋体"/>
          <w:color w:val="auto"/>
          <w:sz w:val="24"/>
          <w:highlight w:val="none"/>
          <w:lang w:eastAsia="zh-CN"/>
        </w:rPr>
        <w:t>各</w:t>
      </w:r>
      <w:r>
        <w:rPr>
          <w:rFonts w:hint="eastAsia" w:ascii="宋体" w:hAnsi="宋体" w:eastAsia="宋体" w:cs="宋体"/>
          <w:color w:val="auto"/>
          <w:sz w:val="24"/>
          <w:highlight w:val="none"/>
        </w:rPr>
        <w:t>成员协商讨论。在评标过程中需要进行讨论或者通过实名投票方式表决意见的，应当通过视频会议系统进行，并做好相关记录。</w:t>
      </w:r>
    </w:p>
    <w:p w14:paraId="31A1958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25CC5B9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0FCBD51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14279F3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．评标过程的回避</w:t>
      </w:r>
    </w:p>
    <w:p w14:paraId="039E170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.1 </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专家参加评标活动时实行主动回避制度。有下列情形之一的，应当主动提出回避，不得担任该招标项目的</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成员。</w:t>
      </w:r>
    </w:p>
    <w:p w14:paraId="21F5203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（1）投标人或者投标人主要负责人的近亲属；</w:t>
      </w:r>
    </w:p>
    <w:p w14:paraId="587A164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（2）项目行政监督部门的人员；</w:t>
      </w:r>
    </w:p>
    <w:p w14:paraId="43B3FA6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（3）与投标人有其他社会关系或者经济利益关系，可能影响对投标公正评审的； </w:t>
      </w:r>
    </w:p>
    <w:p w14:paraId="6D17495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（4）曾因在招标、评标以及其他与招标投标有关活动中从事违法行为而受过行政处罚或刑事处罚的。 </w:t>
      </w:r>
    </w:p>
    <w:p w14:paraId="1E3A666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1D036B9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.3 </w:t>
      </w:r>
      <w:r>
        <w:rPr>
          <w:rFonts w:hint="eastAsia" w:ascii="宋体" w:hAnsi="宋体" w:eastAsia="宋体" w:cs="宋体"/>
          <w:color w:val="auto"/>
          <w:kern w:val="0"/>
          <w:sz w:val="24"/>
          <w:highlight w:val="none"/>
        </w:rPr>
        <w:t>有下列情形之一的，经招标人与公共资源交易中心审核确认后，</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kern w:val="0"/>
          <w:sz w:val="24"/>
          <w:highlight w:val="none"/>
        </w:rPr>
        <w:t>专家应按规定重新抽取。</w:t>
      </w:r>
    </w:p>
    <w:p w14:paraId="0FCF093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（1）已抽取的评标专家与评标的项目有利害关系，可能会妨碍公正评审；</w:t>
      </w:r>
    </w:p>
    <w:p w14:paraId="09F5D378">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（2）由于原评标专家的违规行为，评标无效，评标活动需重新组织；</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（3）已抽取的评标专家未能参加评标活动或未能按时完成评标任务。</w:t>
      </w:r>
    </w:p>
    <w:p w14:paraId="19350E7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 评标过程的保密</w:t>
      </w:r>
    </w:p>
    <w:p w14:paraId="3D66F47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.1  开标后，直至授予中标人合同为止，凡属于对投标人文件的审查、澄清、评价和比较有关的资料及与中标候选人的推荐情况，与评标有关的其他任何情况均应严格保密。</w:t>
      </w:r>
    </w:p>
    <w:p w14:paraId="66C631E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.2  在投标文件的评审和比较、中标候选人推荐以及授予合同的过程中，投标人向招标人和评标委员会施加影响的任何行为，都将会导致其投标被拒绝。</w:t>
      </w:r>
    </w:p>
    <w:p w14:paraId="167AD4E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.3  中标人确定后，招标人不对未中标人就评标过程以及未能中标原因作出任何解释。未中标人不得向评标委员会组成人员或其他有关人员索问评标过程的情况和材料。</w:t>
      </w:r>
    </w:p>
    <w:p w14:paraId="7FDD580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．评标办法（评标办法见本招标文件第三章）</w:t>
      </w:r>
    </w:p>
    <w:p w14:paraId="0D028EB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本工程评标办法由招标人按本投标人须知前附表的规定确定。</w:t>
      </w:r>
    </w:p>
    <w:p w14:paraId="1E2087CB">
      <w:pPr>
        <w:keepNext w:val="0"/>
        <w:keepLines w:val="0"/>
        <w:pageBreakBefore w:val="0"/>
        <w:widowControl w:val="0"/>
        <w:shd w:val="clear" w:color="auto" w:fill="auto"/>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评标结果公示</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p>
    <w:p w14:paraId="231B7F3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val="en-US" w:eastAsia="zh-CN"/>
        </w:rPr>
        <w:t>当在收到评标报告后3日内将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50D3F58">
      <w:pPr>
        <w:keepNext w:val="0"/>
        <w:keepLines w:val="0"/>
        <w:pageBreakBefore w:val="0"/>
        <w:shd w:val="clear" w:color="auto" w:fill="auto"/>
        <w:kinsoku/>
        <w:wordWrap/>
        <w:overflowPunct/>
        <w:topLinePunct w:val="0"/>
        <w:autoSpaceDE/>
        <w:autoSpaceDN/>
        <w:bidi w:val="0"/>
        <w:adjustRightInd/>
        <w:snapToGrid/>
        <w:spacing w:line="400" w:lineRule="atLeast"/>
        <w:ind w:left="0" w:leftChars="0" w:right="0" w:rightChars="0" w:firstLine="562" w:firstLineChars="200"/>
        <w:jc w:val="center"/>
        <w:textAlignment w:val="auto"/>
        <w:outlineLvl w:val="2"/>
        <w:rPr>
          <w:rFonts w:hint="eastAsia" w:ascii="宋体" w:hAnsi="宋体" w:eastAsia="宋体" w:cs="宋体"/>
          <w:b/>
          <w:color w:val="auto"/>
          <w:sz w:val="28"/>
          <w:szCs w:val="28"/>
          <w:highlight w:val="none"/>
        </w:rPr>
      </w:pPr>
    </w:p>
    <w:p w14:paraId="253C17F8">
      <w:pPr>
        <w:keepNext w:val="0"/>
        <w:keepLines w:val="0"/>
        <w:pageBreakBefore w:val="0"/>
        <w:shd w:val="clear" w:color="auto" w:fill="auto"/>
        <w:kinsoku/>
        <w:wordWrap/>
        <w:overflowPunct/>
        <w:topLinePunct w:val="0"/>
        <w:autoSpaceDE/>
        <w:autoSpaceDN/>
        <w:bidi w:val="0"/>
        <w:adjustRightInd/>
        <w:snapToGrid/>
        <w:spacing w:line="400" w:lineRule="atLeast"/>
        <w:ind w:left="0" w:leftChars="0" w:right="0" w:rightChars="0" w:firstLine="562" w:firstLineChars="200"/>
        <w:jc w:val="center"/>
        <w:textAlignment w:val="auto"/>
        <w:outlineLvl w:val="2"/>
        <w:rPr>
          <w:rFonts w:hint="eastAsia" w:ascii="宋体" w:hAnsi="宋体" w:eastAsia="宋体" w:cs="宋体"/>
          <w:b/>
          <w:color w:val="auto"/>
          <w:sz w:val="30"/>
          <w:szCs w:val="30"/>
          <w:highlight w:val="none"/>
          <w:lang w:eastAsia="zh-CN"/>
        </w:rPr>
      </w:pPr>
      <w:bookmarkStart w:id="26" w:name="_Toc14272"/>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）定标</w:t>
      </w:r>
      <w:r>
        <w:rPr>
          <w:rFonts w:hint="eastAsia" w:ascii="宋体" w:hAnsi="宋体" w:eastAsia="宋体" w:cs="宋体"/>
          <w:b/>
          <w:color w:val="auto"/>
          <w:sz w:val="28"/>
          <w:szCs w:val="28"/>
          <w:highlight w:val="none"/>
          <w:lang w:eastAsia="zh-CN"/>
        </w:rPr>
        <w:t>规定</w:t>
      </w:r>
      <w:bookmarkEnd w:id="26"/>
    </w:p>
    <w:p w14:paraId="79D9A1C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atLeast"/>
        <w:ind w:leftChars="200" w:right="0" w:rightChars="0"/>
        <w:jc w:val="both"/>
        <w:textAlignment w:val="auto"/>
        <w:outlineLvl w:val="9"/>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p>
    <w:p w14:paraId="25E8647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atLeast"/>
        <w:ind w:right="0" w:righ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u w:val="none"/>
        </w:rPr>
        <w:t>招标人</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自</w:t>
      </w:r>
      <w:r>
        <w:rPr>
          <w:rFonts w:hint="eastAsia" w:ascii="宋体" w:hAnsi="宋体" w:eastAsia="宋体" w:cs="宋体"/>
          <w:color w:val="auto"/>
          <w:sz w:val="24"/>
          <w:szCs w:val="24"/>
          <w:highlight w:val="none"/>
          <w:u w:val="none"/>
          <w:lang w:val="en-US" w:eastAsia="zh-CN"/>
        </w:rPr>
        <w:t>定标候选人</w:t>
      </w:r>
      <w:r>
        <w:rPr>
          <w:rFonts w:hint="eastAsia" w:ascii="宋体" w:hAnsi="宋体" w:eastAsia="宋体" w:cs="宋体"/>
          <w:color w:val="auto"/>
          <w:sz w:val="24"/>
          <w:szCs w:val="24"/>
          <w:highlight w:val="none"/>
          <w:u w:val="none"/>
        </w:rPr>
        <w:t>公示期满后</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个工作日内进入公共资源交易平台（与评标阶段公共资源交易平台相同）进行定标。定标会议全过程录音录像。招标人需要延期定标的，</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通过公共资源交易平台公布延期原因和定标时间。</w:t>
      </w:r>
    </w:p>
    <w:p w14:paraId="5EC38D71">
      <w:pPr>
        <w:keepNext w:val="0"/>
        <w:keepLines w:val="0"/>
        <w:pageBreakBefore w:val="0"/>
        <w:widowControl w:val="0"/>
        <w:shd w:val="clear" w:color="auto" w:fill="auto"/>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p>
    <w:p w14:paraId="18675BE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atLeast"/>
        <w:ind w:left="0" w:leftChars="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2AED8B0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atLeast"/>
        <w:ind w:right="0" w:rightChars="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182E133">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30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w:t>
      </w:r>
      <w:r>
        <w:rPr>
          <w:rFonts w:hint="eastAsia" w:ascii="宋体" w:hAnsi="宋体" w:eastAsia="宋体" w:cs="宋体"/>
          <w:b/>
          <w:color w:val="auto"/>
          <w:sz w:val="24"/>
          <w:highlight w:val="none"/>
        </w:rPr>
        <w:t>标办法见本招标文件第三章）</w:t>
      </w:r>
    </w:p>
    <w:p w14:paraId="7AB44D4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本项目定标办法由招标人按本投标人须知前附表的规定确定（只能选定其中一种定标办法）。</w:t>
      </w:r>
    </w:p>
    <w:p w14:paraId="48158E6B">
      <w:pPr>
        <w:pStyle w:val="15"/>
        <w:keepNext w:val="0"/>
        <w:keepLines w:val="0"/>
        <w:pageBreakBefore w:val="0"/>
        <w:kinsoku/>
        <w:wordWrap/>
        <w:overflowPunct/>
        <w:topLinePunct w:val="0"/>
        <w:autoSpaceDE/>
        <w:autoSpaceDN/>
        <w:bidi w:val="0"/>
        <w:adjustRightInd/>
        <w:snapToGrid/>
        <w:spacing w:beforeAutospacing="0" w:afterAutospacing="0" w:line="400" w:lineRule="atLeast"/>
        <w:ind w:left="0" w:leftChars="0" w:firstLine="482"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rPr>
      </w:pPr>
      <w:r>
        <w:rPr>
          <w:rFonts w:hint="eastAsia" w:ascii="宋体" w:hAnsi="宋体" w:eastAsia="宋体" w:cs="宋体"/>
          <w:b/>
          <w:bCs/>
          <w:color w:val="auto"/>
          <w:sz w:val="24"/>
          <w:highlight w:val="none"/>
          <w:lang w:val="en-US" w:eastAsia="zh-CN"/>
        </w:rPr>
        <w:t>31</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p>
    <w:p w14:paraId="40F58699">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2D3310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 xml:space="preserve">公示  </w:t>
      </w:r>
    </w:p>
    <w:p w14:paraId="58A9686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当自收到定标报告之日起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17BDFDD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p>
    <w:p w14:paraId="4965BFA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bCs/>
          <w:color w:val="auto"/>
          <w:sz w:val="28"/>
          <w:szCs w:val="28"/>
          <w:highlight w:val="none"/>
        </w:rPr>
      </w:pPr>
      <w:bookmarkStart w:id="27" w:name="_Toc27464"/>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）中标确认</w:t>
      </w:r>
      <w:bookmarkEnd w:id="27"/>
    </w:p>
    <w:p w14:paraId="0455110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p>
    <w:p w14:paraId="14A1C190">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.中标人确定</w:t>
      </w:r>
    </w:p>
    <w:p w14:paraId="292E19C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中标人确定。</w:t>
      </w:r>
      <w:r>
        <w:rPr>
          <w:rFonts w:hint="eastAsia" w:ascii="宋体" w:hAnsi="宋体" w:eastAsia="宋体" w:cs="宋体"/>
          <w:color w:val="auto"/>
          <w:sz w:val="24"/>
          <w:highlight w:val="none"/>
          <w:lang w:val="en-US" w:eastAsia="zh-CN"/>
        </w:rPr>
        <w:t>定</w:t>
      </w:r>
      <w:r>
        <w:rPr>
          <w:rFonts w:hint="eastAsia" w:ascii="宋体" w:hAnsi="宋体" w:eastAsia="宋体" w:cs="宋体"/>
          <w:color w:val="auto"/>
          <w:sz w:val="24"/>
          <w:highlight w:val="none"/>
        </w:rPr>
        <w:t>标结果公示期满无异议的，招标人确认</w:t>
      </w:r>
      <w:r>
        <w:rPr>
          <w:rFonts w:hint="eastAsia" w:ascii="宋体" w:hAnsi="宋体" w:eastAsia="宋体" w:cs="宋体"/>
          <w:strike w:val="0"/>
          <w:dstrike w:val="0"/>
          <w:color w:val="auto"/>
          <w:sz w:val="24"/>
          <w:highlight w:val="none"/>
        </w:rPr>
        <w:t>第一</w:t>
      </w:r>
      <w:r>
        <w:rPr>
          <w:rFonts w:hint="eastAsia" w:ascii="宋体" w:hAnsi="宋体" w:eastAsia="宋体" w:cs="宋体"/>
          <w:color w:val="auto"/>
          <w:sz w:val="24"/>
          <w:highlight w:val="none"/>
        </w:rPr>
        <w:t>中标候选人为中标人，中标人的投标报价即为中标价。</w:t>
      </w:r>
    </w:p>
    <w:p w14:paraId="01948B2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.2 </w:t>
      </w:r>
      <w:r>
        <w:rPr>
          <w:rFonts w:hint="eastAsia" w:ascii="宋体" w:hAnsi="宋体" w:eastAsia="宋体" w:cs="宋体"/>
          <w:color w:val="auto"/>
          <w:sz w:val="24"/>
          <w:szCs w:val="24"/>
          <w:highlight w:val="none"/>
        </w:rPr>
        <w:t>中标人确定后，招标人应当</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7日</w:t>
      </w:r>
      <w:r>
        <w:rPr>
          <w:rFonts w:hint="eastAsia" w:ascii="宋体" w:hAnsi="宋体" w:eastAsia="宋体" w:cs="宋体"/>
          <w:color w:val="auto"/>
          <w:sz w:val="24"/>
          <w:szCs w:val="24"/>
          <w:highlight w:val="none"/>
          <w:u w:val="none"/>
        </w:rPr>
        <w:t>内</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eastAsia="zh-CN"/>
        </w:rPr>
        <w:t>线</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u w:val="none"/>
        </w:rPr>
        <w:t>加盖招标人单位</w:t>
      </w:r>
      <w:r>
        <w:rPr>
          <w:rFonts w:hint="eastAsia" w:ascii="宋体" w:hAnsi="宋体" w:eastAsia="宋体" w:cs="宋体"/>
          <w:color w:val="auto"/>
          <w:sz w:val="24"/>
          <w:szCs w:val="24"/>
          <w:highlight w:val="none"/>
          <w:u w:val="none"/>
          <w:lang w:eastAsia="zh-CN"/>
        </w:rPr>
        <w:t>电子签</w:t>
      </w:r>
      <w:r>
        <w:rPr>
          <w:rFonts w:hint="eastAsia" w:ascii="宋体" w:hAnsi="宋体" w:eastAsia="宋体" w:cs="宋体"/>
          <w:color w:val="auto"/>
          <w:sz w:val="24"/>
          <w:szCs w:val="24"/>
          <w:highlight w:val="none"/>
          <w:u w:val="none"/>
        </w:rPr>
        <w:t>章的中标通知书</w:t>
      </w:r>
      <w:r>
        <w:rPr>
          <w:rFonts w:hint="eastAsia" w:ascii="宋体" w:hAnsi="宋体" w:eastAsia="宋体" w:cs="宋体"/>
          <w:color w:val="auto"/>
          <w:sz w:val="24"/>
          <w:szCs w:val="24"/>
          <w:highlight w:val="none"/>
          <w:u w:val="none"/>
          <w:lang w:eastAsia="zh-CN"/>
        </w:rPr>
        <w:t>并</w:t>
      </w:r>
      <w:r>
        <w:rPr>
          <w:rFonts w:hint="eastAsia" w:ascii="宋体" w:hAnsi="宋体" w:eastAsia="宋体" w:cs="宋体"/>
          <w:color w:val="auto"/>
          <w:sz w:val="24"/>
          <w:szCs w:val="24"/>
          <w:highlight w:val="none"/>
          <w:u w:val="none"/>
        </w:rPr>
        <w:t>发放到中标人及各相关单位</w:t>
      </w:r>
      <w:r>
        <w:rPr>
          <w:rFonts w:hint="eastAsia" w:ascii="宋体" w:hAnsi="宋体" w:eastAsia="宋体" w:cs="宋体"/>
          <w:color w:val="auto"/>
          <w:sz w:val="24"/>
          <w:highlight w:val="none"/>
        </w:rPr>
        <w:t>。招标人最迟应当在投标有效期届满30日前发出中标通知书，否则，应当按照本投标人须知投标有效期的规定延长投标有效期。</w:t>
      </w:r>
    </w:p>
    <w:p w14:paraId="3E211D88">
      <w:pPr>
        <w:pStyle w:val="113"/>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kern w:val="2"/>
          <w:highlight w:val="none"/>
          <w:u w:val="none"/>
        </w:rPr>
      </w:pPr>
      <w:r>
        <w:rPr>
          <w:rFonts w:hint="eastAsia" w:ascii="宋体" w:hAnsi="宋体" w:eastAsia="宋体" w:cs="宋体"/>
          <w:color w:val="auto"/>
          <w:kern w:val="2"/>
          <w:highlight w:val="none"/>
          <w:u w:val="none"/>
        </w:rPr>
        <w:t>3</w:t>
      </w:r>
      <w:r>
        <w:rPr>
          <w:rFonts w:hint="eastAsia" w:ascii="宋体" w:hAnsi="宋体" w:eastAsia="宋体" w:cs="宋体"/>
          <w:color w:val="auto"/>
          <w:kern w:val="2"/>
          <w:highlight w:val="none"/>
          <w:u w:val="none"/>
          <w:lang w:val="en-US" w:eastAsia="zh-CN"/>
        </w:rPr>
        <w:t>3</w:t>
      </w:r>
      <w:r>
        <w:rPr>
          <w:rFonts w:hint="eastAsia" w:ascii="宋体" w:hAnsi="宋体" w:eastAsia="宋体" w:cs="宋体"/>
          <w:color w:val="auto"/>
          <w:kern w:val="2"/>
          <w:highlight w:val="none"/>
          <w:u w:val="none"/>
        </w:rPr>
        <w:t>.3</w:t>
      </w:r>
      <w:r>
        <w:rPr>
          <w:rFonts w:hint="eastAsia" w:ascii="宋体" w:hAnsi="宋体" w:eastAsia="宋体" w:cs="宋体"/>
          <w:color w:val="auto"/>
          <w:kern w:val="2"/>
          <w:highlight w:val="none"/>
          <w:u w:val="none"/>
          <w:lang w:val="en-US" w:eastAsia="zh-CN"/>
        </w:rPr>
        <w:t xml:space="preserve"> </w:t>
      </w:r>
      <w:r>
        <w:rPr>
          <w:rFonts w:hint="eastAsia" w:ascii="宋体" w:hAnsi="宋体" w:eastAsia="宋体" w:cs="宋体"/>
          <w:color w:val="auto"/>
          <w:sz w:val="24"/>
          <w:szCs w:val="24"/>
          <w:highlight w:val="none"/>
          <w:u w:val="none"/>
        </w:rPr>
        <w:t>招标人应当</w:t>
      </w:r>
      <w:r>
        <w:rPr>
          <w:rFonts w:hint="eastAsia" w:ascii="宋体" w:hAnsi="宋体" w:eastAsia="宋体" w:cs="宋体"/>
          <w:i w:val="0"/>
          <w:color w:val="auto"/>
          <w:kern w:val="0"/>
          <w:sz w:val="24"/>
          <w:szCs w:val="24"/>
          <w:highlight w:val="none"/>
          <w:u w:val="none"/>
          <w:lang w:val="en-US" w:eastAsia="zh-CN" w:bidi="ar"/>
        </w:rPr>
        <w:t>自中标通知书发出之日起15日内</w:t>
      </w:r>
      <w:r>
        <w:rPr>
          <w:rFonts w:hint="eastAsia" w:ascii="宋体" w:hAnsi="宋体" w:eastAsia="宋体" w:cs="宋体"/>
          <w:color w:val="auto"/>
          <w:spacing w:val="0"/>
          <w:sz w:val="24"/>
          <w:szCs w:val="24"/>
          <w:highlight w:val="none"/>
          <w:u w:val="none"/>
          <w:lang w:eastAsia="zh-CN"/>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pacing w:val="0"/>
          <w:sz w:val="24"/>
          <w:szCs w:val="24"/>
          <w:highlight w:val="none"/>
          <w:u w:val="none"/>
          <w:lang w:eastAsia="zh-CN"/>
        </w:rPr>
        <w:t>发布中标结果公示。</w:t>
      </w:r>
      <w:r>
        <w:rPr>
          <w:rFonts w:hint="eastAsia" w:ascii="宋体" w:hAnsi="宋体" w:eastAsia="宋体" w:cs="宋体"/>
          <w:color w:val="auto"/>
          <w:kern w:val="2"/>
          <w:highlight w:val="none"/>
          <w:u w:val="none"/>
        </w:rPr>
        <w:t xml:space="preserve"> </w:t>
      </w:r>
      <w:r>
        <w:rPr>
          <w:rFonts w:hint="eastAsia" w:ascii="宋体" w:hAnsi="宋体" w:eastAsia="宋体" w:cs="宋体"/>
          <w:color w:val="auto"/>
          <w:highlight w:val="none"/>
          <w:u w:val="none"/>
        </w:rPr>
        <w:t>招标人应当自确定中标人之日起15日内，</w:t>
      </w:r>
      <w:r>
        <w:rPr>
          <w:rFonts w:hint="eastAsia" w:ascii="宋体" w:hAnsi="宋体" w:eastAsia="宋体" w:cs="宋体"/>
          <w:color w:val="auto"/>
          <w:highlight w:val="none"/>
          <w:u w:val="none"/>
          <w:lang w:eastAsia="zh-CN"/>
        </w:rPr>
        <w:t>在线</w:t>
      </w:r>
      <w:r>
        <w:rPr>
          <w:rFonts w:hint="eastAsia" w:ascii="宋体" w:hAnsi="宋体" w:eastAsia="宋体" w:cs="宋体"/>
          <w:color w:val="auto"/>
          <w:highlight w:val="none"/>
          <w:u w:val="none"/>
        </w:rPr>
        <w:t>向有关</w:t>
      </w:r>
      <w:r>
        <w:rPr>
          <w:rFonts w:hint="eastAsia" w:ascii="宋体" w:hAnsi="宋体" w:eastAsia="宋体" w:cs="宋体"/>
          <w:color w:val="auto"/>
          <w:highlight w:val="none"/>
          <w:u w:val="none"/>
          <w:lang w:eastAsia="zh-CN"/>
        </w:rPr>
        <w:t>招标管理</w:t>
      </w:r>
      <w:r>
        <w:rPr>
          <w:rFonts w:hint="eastAsia" w:ascii="宋体" w:hAnsi="宋体" w:eastAsia="宋体" w:cs="宋体"/>
          <w:color w:val="auto"/>
          <w:highlight w:val="none"/>
          <w:u w:val="none"/>
        </w:rPr>
        <w:t>部门提交招标投标情况的书面报告。</w:t>
      </w:r>
    </w:p>
    <w:p w14:paraId="2DB8A75F">
      <w:pPr>
        <w:keepNext w:val="0"/>
        <w:keepLines w:val="0"/>
        <w:pageBreakBefore w:val="0"/>
        <w:widowControl w:val="0"/>
        <w:shd w:val="clear" w:color="auto" w:fill="auto"/>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异议和投诉</w:t>
      </w:r>
    </w:p>
    <w:p w14:paraId="30A2773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投标人或者其他利害关系人对招标项目的</w:t>
      </w:r>
      <w:r>
        <w:rPr>
          <w:rFonts w:hint="eastAsia" w:ascii="宋体" w:hAnsi="宋体" w:eastAsia="宋体" w:cs="宋体"/>
          <w:color w:val="auto"/>
          <w:sz w:val="24"/>
          <w:highlight w:val="none"/>
          <w:lang w:eastAsia="zh-CN"/>
        </w:rPr>
        <w:t>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eastAsia="zh-CN"/>
        </w:rPr>
        <w:t>和中标</w:t>
      </w:r>
      <w:r>
        <w:rPr>
          <w:rFonts w:hint="eastAsia" w:ascii="宋体" w:hAnsi="宋体" w:eastAsia="宋体" w:cs="宋体"/>
          <w:color w:val="auto"/>
          <w:sz w:val="24"/>
          <w:highlight w:val="none"/>
        </w:rPr>
        <w:t>结果有异议的，应当在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sz w:val="24"/>
          <w:highlight w:val="none"/>
        </w:rPr>
        <w:t>公示期</w:t>
      </w:r>
      <w:r>
        <w:rPr>
          <w:rFonts w:hint="eastAsia" w:ascii="宋体" w:hAnsi="宋体" w:eastAsia="宋体" w:cs="宋体"/>
          <w:color w:val="auto"/>
          <w:sz w:val="24"/>
          <w:highlight w:val="none"/>
          <w:lang w:eastAsia="zh-CN"/>
        </w:rPr>
        <w:t>间按规定线上</w:t>
      </w:r>
      <w:r>
        <w:rPr>
          <w:rFonts w:hint="eastAsia" w:ascii="宋体" w:hAnsi="宋体" w:eastAsia="宋体" w:cs="宋体"/>
          <w:color w:val="auto"/>
          <w:sz w:val="24"/>
          <w:highlight w:val="none"/>
        </w:rPr>
        <w:t>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FD997D1">
      <w:pPr>
        <w:keepNext w:val="0"/>
        <w:keepLines w:val="0"/>
        <w:pageBreakBefore w:val="0"/>
        <w:widowControl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0"/>
          <w:sz w:val="24"/>
          <w:szCs w:val="24"/>
          <w:highlight w:val="none"/>
        </w:rPr>
        <w:t>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kern w:val="0"/>
          <w:sz w:val="24"/>
          <w:szCs w:val="24"/>
          <w:highlight w:val="none"/>
        </w:rPr>
        <w:t>公示期间有关评标结果的异议成立的，招标人</w:t>
      </w:r>
      <w:r>
        <w:rPr>
          <w:rFonts w:hint="eastAsia" w:ascii="宋体" w:hAnsi="宋体" w:eastAsia="宋体" w:cs="宋体"/>
          <w:color w:val="auto"/>
          <w:kern w:val="0"/>
          <w:sz w:val="24"/>
          <w:szCs w:val="24"/>
          <w:highlight w:val="none"/>
          <w:lang w:eastAsia="zh-CN"/>
        </w:rPr>
        <w:t>原则上</w:t>
      </w:r>
      <w:r>
        <w:rPr>
          <w:rFonts w:hint="eastAsia" w:ascii="宋体" w:hAnsi="宋体" w:eastAsia="宋体" w:cs="宋体"/>
          <w:color w:val="auto"/>
          <w:kern w:val="0"/>
          <w:sz w:val="24"/>
          <w:szCs w:val="24"/>
          <w:highlight w:val="none"/>
        </w:rPr>
        <w:t>应当组织原评标委员会</w:t>
      </w:r>
      <w:r>
        <w:rPr>
          <w:rFonts w:hint="eastAsia" w:ascii="宋体" w:hAnsi="宋体" w:eastAsia="宋体" w:cs="宋体"/>
          <w:color w:val="auto"/>
          <w:kern w:val="0"/>
          <w:sz w:val="24"/>
          <w:szCs w:val="24"/>
          <w:highlight w:val="none"/>
          <w:lang w:eastAsia="zh-CN"/>
        </w:rPr>
        <w:t>和原定标委员会</w:t>
      </w:r>
      <w:r>
        <w:rPr>
          <w:rFonts w:hint="eastAsia" w:ascii="宋体" w:hAnsi="宋体" w:eastAsia="宋体" w:cs="宋体"/>
          <w:color w:val="auto"/>
          <w:kern w:val="0"/>
          <w:sz w:val="24"/>
          <w:szCs w:val="24"/>
          <w:highlight w:val="none"/>
        </w:rPr>
        <w:t>对有关的问题予以纠正，问题纠正后再公示</w:t>
      </w:r>
      <w:r>
        <w:rPr>
          <w:rFonts w:hint="eastAsia" w:ascii="宋体" w:hAnsi="宋体" w:eastAsia="宋体" w:cs="宋体"/>
          <w:color w:val="auto"/>
          <w:kern w:val="0"/>
          <w:sz w:val="24"/>
          <w:szCs w:val="24"/>
          <w:highlight w:val="none"/>
          <w:lang w:eastAsia="zh-CN"/>
        </w:rPr>
        <w:t>定标候选人和</w:t>
      </w:r>
      <w:r>
        <w:rPr>
          <w:rFonts w:hint="eastAsia" w:ascii="宋体" w:hAnsi="宋体" w:eastAsia="宋体" w:cs="宋体"/>
          <w:color w:val="auto"/>
          <w:kern w:val="0"/>
          <w:sz w:val="24"/>
          <w:szCs w:val="24"/>
          <w:highlight w:val="none"/>
        </w:rPr>
        <w:t>中标候选人。</w:t>
      </w:r>
    </w:p>
    <w:p w14:paraId="4824668C">
      <w:pPr>
        <w:pStyle w:val="3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400" w:lineRule="atLeast"/>
        <w:ind w:left="0" w:lef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highlight w:val="none"/>
        </w:rPr>
        <w:t>投标人或其他利害关系人认为招标投标活动不符合法律、行政法规规定的，可以自知道或者应当知道之日起10日内</w:t>
      </w:r>
      <w:r>
        <w:rPr>
          <w:rFonts w:hint="eastAsia" w:ascii="宋体" w:hAnsi="宋体" w:eastAsia="宋体" w:cs="宋体"/>
          <w:color w:val="auto"/>
          <w:highlight w:val="none"/>
          <w:lang w:eastAsia="zh-CN"/>
        </w:rPr>
        <w:t>按规定线上</w:t>
      </w:r>
      <w:r>
        <w:rPr>
          <w:rFonts w:hint="eastAsia" w:ascii="宋体" w:hAnsi="宋体" w:eastAsia="宋体" w:cs="宋体"/>
          <w:color w:val="auto"/>
          <w:highlight w:val="none"/>
        </w:rPr>
        <w:t>向有关</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部门投诉。投诉应当有明确的请求和必要的证明材料。</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部门应当自收到投诉之日起30个工作日内作出书面处理决定。</w:t>
      </w:r>
    </w:p>
    <w:p w14:paraId="086133B6">
      <w:pPr>
        <w:pStyle w:val="3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400" w:lineRule="atLeast"/>
        <w:ind w:left="0" w:leftChars="0" w:firstLine="482" w:firstLineChars="200"/>
        <w:jc w:val="both"/>
        <w:textAlignment w:val="auto"/>
        <w:outlineLvl w:val="9"/>
        <w:rPr>
          <w:rFonts w:hint="eastAsia" w:ascii="宋体" w:hAnsi="宋体" w:eastAsia="宋体" w:cs="宋体"/>
          <w:b/>
          <w:bCs/>
          <w:i/>
          <w:color w:val="auto"/>
          <w:highlight w:val="none"/>
        </w:rPr>
      </w:pPr>
      <w:bookmarkStart w:id="28" w:name="_Toc236550039"/>
      <w:r>
        <w:rPr>
          <w:rStyle w:val="49"/>
          <w:rFonts w:hint="eastAsia" w:ascii="宋体" w:hAnsi="宋体" w:eastAsia="宋体" w:cs="宋体"/>
          <w:b/>
          <w:bCs/>
          <w:i w:val="0"/>
          <w:color w:val="auto"/>
          <w:highlight w:val="none"/>
          <w:lang w:val="en-US" w:eastAsia="zh-CN"/>
        </w:rPr>
        <w:t>35</w:t>
      </w:r>
      <w:r>
        <w:rPr>
          <w:rStyle w:val="49"/>
          <w:rFonts w:hint="eastAsia" w:ascii="宋体" w:hAnsi="宋体" w:eastAsia="宋体" w:cs="宋体"/>
          <w:b/>
          <w:bCs/>
          <w:i w:val="0"/>
          <w:color w:val="auto"/>
          <w:highlight w:val="none"/>
        </w:rPr>
        <w:t>．废除授标</w:t>
      </w:r>
      <w:bookmarkEnd w:id="28"/>
      <w:r>
        <w:rPr>
          <w:rStyle w:val="49"/>
          <w:rFonts w:hint="eastAsia" w:ascii="宋体" w:hAnsi="宋体" w:eastAsia="宋体" w:cs="宋体"/>
          <w:b/>
          <w:bCs/>
          <w:i w:val="0"/>
          <w:color w:val="auto"/>
          <w:highlight w:val="none"/>
        </w:rPr>
        <w:t>及授标</w:t>
      </w:r>
    </w:p>
    <w:p w14:paraId="7E0F730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highlight w:val="none"/>
        </w:rPr>
        <w:t>：</w:t>
      </w:r>
    </w:p>
    <w:p w14:paraId="5A6709FA">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（1）以他人名义投标或者以其他方式弄虚作假骗取中标的；</w:t>
      </w:r>
    </w:p>
    <w:p w14:paraId="0A08FF6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（2）与其他投标人串通投标或以行贿的手段谋取中标的；</w:t>
      </w:r>
    </w:p>
    <w:p w14:paraId="10FA6F6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）不是从本投标企业基本账户</w:t>
      </w:r>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w:t>
      </w:r>
      <w:r>
        <w:rPr>
          <w:rFonts w:hint="eastAsia" w:ascii="宋体" w:hAnsi="宋体" w:eastAsia="宋体" w:cs="宋体"/>
          <w:color w:val="auto"/>
          <w:sz w:val="24"/>
          <w:highlight w:val="none"/>
          <w:lang w:eastAsia="zh-CN"/>
        </w:rPr>
        <w:t>或以虚假方式提交投标保证金保函（保单）</w:t>
      </w:r>
      <w:r>
        <w:rPr>
          <w:rFonts w:hint="eastAsia" w:ascii="宋体" w:hAnsi="宋体" w:eastAsia="宋体" w:cs="宋体"/>
          <w:color w:val="auto"/>
          <w:sz w:val="24"/>
          <w:highlight w:val="none"/>
        </w:rPr>
        <w:t>的；</w:t>
      </w:r>
    </w:p>
    <w:p w14:paraId="7FE5383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于投标有效期终止之前撤回投标文件，或者排名第一的中标候选人放弃中标资格的；</w:t>
      </w:r>
    </w:p>
    <w:p w14:paraId="717F524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）因中标人过错而未能按照规定与招标人签订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承包合同或中标人因不可抗力提出不能履行合同的；</w:t>
      </w:r>
    </w:p>
    <w:p w14:paraId="6D28B417">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）因中标人过错而未能按照招标文件要求向招标人提交履约</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保的；</w:t>
      </w:r>
    </w:p>
    <w:p w14:paraId="2C336452">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lang w:val="en-US" w:eastAsia="zh-CN"/>
        </w:rPr>
        <w:t>中标单位拟派的项目负责人从投标截止时间起在其他建设工程担任项目负责人；</w:t>
      </w:r>
    </w:p>
    <w:p w14:paraId="77CDB48F">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中标人被有关部门查实存在影响中标结果的违法行为，不符合中标条件的</w:t>
      </w:r>
      <w:r>
        <w:rPr>
          <w:rFonts w:hint="eastAsia" w:ascii="宋体" w:hAnsi="宋体" w:eastAsia="宋体" w:cs="宋体"/>
          <w:color w:val="auto"/>
          <w:sz w:val="24"/>
          <w:highlight w:val="none"/>
          <w:lang w:val="en-US" w:eastAsia="zh-CN"/>
        </w:rPr>
        <w:t>；</w:t>
      </w:r>
    </w:p>
    <w:p w14:paraId="3C7E58B5">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人在参加本项目投标时有本企业投标承诺书所列被依法限制或暂停承揽业务</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停业的处罚的；</w:t>
      </w:r>
    </w:p>
    <w:p w14:paraId="1A06AB59">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）招标文件明确规定可以废除授标的其他情形。</w:t>
      </w:r>
    </w:p>
    <w:p w14:paraId="0E8EA238">
      <w:pPr>
        <w:pStyle w:val="1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00" w:lineRule="atLeast"/>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 xml:space="preserve">.2 </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highlight w:val="none"/>
          <w:lang w:eastAsia="zh-CN"/>
        </w:rPr>
        <w:t>被</w:t>
      </w:r>
      <w:r>
        <w:rPr>
          <w:rFonts w:hint="eastAsia" w:ascii="宋体" w:hAnsi="宋体" w:eastAsia="宋体" w:cs="宋体"/>
          <w:color w:val="auto"/>
          <w:sz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highlight w:val="none"/>
        </w:rPr>
        <w:t>或报原项目审批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1368BBD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.3 招标人有下列情形之一的，应依法承担相应的责任：</w:t>
      </w:r>
    </w:p>
    <w:p w14:paraId="4E2B7DC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（1）无正当理由不发出中标通知书的</w:t>
      </w:r>
      <w:r>
        <w:rPr>
          <w:rFonts w:hint="eastAsia" w:ascii="宋体" w:hAnsi="宋体" w:eastAsia="宋体" w:cs="宋体"/>
          <w:color w:val="auto"/>
          <w:sz w:val="24"/>
          <w:highlight w:val="none"/>
          <w:lang w:eastAsia="zh-CN"/>
        </w:rPr>
        <w:t>；</w:t>
      </w:r>
    </w:p>
    <w:p w14:paraId="24F7629B">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（2）招标人不按照规定确定中标人的；</w:t>
      </w:r>
    </w:p>
    <w:p w14:paraId="56E7D37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（3）中标通知书发出后无正当理由改变中标结果的；</w:t>
      </w:r>
    </w:p>
    <w:p w14:paraId="2A5471DD">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（4）无正当理由不与中标人签订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承包合同的；</w:t>
      </w:r>
    </w:p>
    <w:p w14:paraId="2F6DFD24">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（5）在签订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承包合同时向中标人提出附加条件或者更改合同实质性内容的。</w:t>
      </w:r>
    </w:p>
    <w:p w14:paraId="4259BDD1">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bCs/>
          <w:color w:val="auto"/>
          <w:sz w:val="28"/>
          <w:szCs w:val="28"/>
          <w:highlight w:val="none"/>
          <w:lang w:eastAsia="zh-CN"/>
        </w:rPr>
      </w:pPr>
    </w:p>
    <w:p w14:paraId="7E7265E6">
      <w:pPr>
        <w:keepNext w:val="0"/>
        <w:keepLines w:val="0"/>
        <w:pageBreakBefore w:val="0"/>
        <w:shd w:val="clear" w:color="auto" w:fill="auto"/>
        <w:kinsoku/>
        <w:wordWrap/>
        <w:overflowPunct/>
        <w:topLinePunct w:val="0"/>
        <w:autoSpaceDE/>
        <w:autoSpaceDN/>
        <w:bidi w:val="0"/>
        <w:adjustRightInd/>
        <w:snapToGrid/>
        <w:spacing w:line="400" w:lineRule="atLeast"/>
        <w:ind w:left="0" w:leftChars="0" w:firstLine="562" w:firstLineChars="200"/>
        <w:jc w:val="center"/>
        <w:textAlignment w:val="auto"/>
        <w:outlineLvl w:val="2"/>
        <w:rPr>
          <w:rFonts w:hint="eastAsia" w:ascii="宋体" w:hAnsi="宋体" w:eastAsia="宋体" w:cs="宋体"/>
          <w:b/>
          <w:bCs/>
          <w:color w:val="auto"/>
          <w:sz w:val="28"/>
          <w:szCs w:val="28"/>
          <w:highlight w:val="none"/>
          <w:lang w:val="en-US" w:eastAsia="zh-CN"/>
        </w:rPr>
      </w:pPr>
      <w:bookmarkStart w:id="29" w:name="_Toc354"/>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合同授予</w:t>
      </w:r>
      <w:bookmarkEnd w:id="29"/>
    </w:p>
    <w:p w14:paraId="0ED1081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36.合同授予</w:t>
      </w:r>
    </w:p>
    <w:p w14:paraId="5596516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.1 本工程的施工承包合同将授予按本投标人须知确定的中标人。</w:t>
      </w:r>
    </w:p>
    <w:p w14:paraId="1EDCD27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招标人和中标人应当在投标有效期内并自中标通知书发出之日起30日内，按照招标文件和中标人的投标文件订立施工承包合同</w:t>
      </w:r>
      <w:r>
        <w:rPr>
          <w:rFonts w:hint="eastAsia" w:ascii="宋体" w:hAnsi="宋体" w:eastAsia="宋体" w:cs="宋体"/>
          <w:b w:val="0"/>
          <w:bCs w:val="0"/>
          <w:color w:val="auto"/>
          <w:spacing w:val="0"/>
          <w:sz w:val="24"/>
          <w:szCs w:val="24"/>
          <w:highlight w:val="none"/>
          <w:u w:val="none" w:color="auto"/>
        </w:rPr>
        <w:t>，中标人的投标报价为合同价；合同的标的、价款、质量、履行期限等主要条款应当与招标文件和中标人的投标文件的内容一致。</w:t>
      </w:r>
      <w:r>
        <w:rPr>
          <w:rFonts w:hint="eastAsia" w:ascii="宋体" w:hAnsi="宋体" w:eastAsia="宋体" w:cs="宋体"/>
          <w:color w:val="auto"/>
          <w:sz w:val="24"/>
          <w:szCs w:val="24"/>
          <w:highlight w:val="none"/>
          <w:lang w:val="en-US" w:eastAsia="zh-CN"/>
        </w:rPr>
        <w:t>签订合同必须以招标人发布招标项目招标文件时的合同文本为蓝本，不得另行采用未经发布的合同文本签订本工程</w:t>
      </w:r>
      <w:r>
        <w:rPr>
          <w:rFonts w:hint="eastAsia" w:ascii="宋体" w:hAnsi="宋体" w:eastAsia="宋体" w:cs="宋体"/>
          <w:color w:val="auto"/>
          <w:sz w:val="24"/>
          <w:highlight w:val="none"/>
          <w:lang w:eastAsia="zh-CN"/>
        </w:rPr>
        <w:t>施工承包合同</w:t>
      </w:r>
      <w:r>
        <w:rPr>
          <w:rFonts w:hint="eastAsia" w:ascii="宋体" w:hAnsi="宋体" w:eastAsia="宋体" w:cs="宋体"/>
          <w:color w:val="auto"/>
          <w:sz w:val="24"/>
          <w:szCs w:val="24"/>
          <w:highlight w:val="none"/>
          <w:lang w:val="en-US" w:eastAsia="zh-CN"/>
        </w:rPr>
        <w:t>。同时，</w:t>
      </w:r>
      <w:r>
        <w:rPr>
          <w:rFonts w:hint="eastAsia" w:ascii="宋体" w:hAnsi="宋体" w:eastAsia="宋体" w:cs="宋体"/>
          <w:b w:val="0"/>
          <w:bCs w:val="0"/>
          <w:color w:val="auto"/>
          <w:spacing w:val="0"/>
          <w:sz w:val="24"/>
          <w:szCs w:val="24"/>
          <w:highlight w:val="none"/>
          <w:u w:val="none" w:color="auto"/>
        </w:rPr>
        <w:t>招标人和中标人不得另行订立背离招标文件、投标文件实质性内容的其他协议。</w:t>
      </w:r>
    </w:p>
    <w:p w14:paraId="36D6AAA7">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.3 招标人如不按本投标人须知第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款的规定与中标人</w:t>
      </w:r>
      <w:r>
        <w:rPr>
          <w:rFonts w:hint="eastAsia" w:ascii="宋体" w:hAnsi="宋体" w:eastAsia="宋体" w:cs="宋体"/>
          <w:b w:val="0"/>
          <w:bCs w:val="0"/>
          <w:color w:val="auto"/>
          <w:spacing w:val="0"/>
          <w:sz w:val="24"/>
          <w:szCs w:val="24"/>
          <w:highlight w:val="none"/>
          <w:u w:val="none" w:color="auto"/>
        </w:rPr>
        <w:t>订立</w:t>
      </w:r>
      <w:r>
        <w:rPr>
          <w:rFonts w:hint="eastAsia" w:ascii="宋体" w:hAnsi="宋体" w:eastAsia="宋体" w:cs="宋体"/>
          <w:color w:val="auto"/>
          <w:sz w:val="24"/>
          <w:highlight w:val="none"/>
        </w:rPr>
        <w:t>施工承包合同，或者招标人、中标人订立背离合同实质性内容的其他协议，应改正并处以投标保证金额罚款。</w:t>
      </w:r>
    </w:p>
    <w:p w14:paraId="6EE03DE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.4 中标人如不按本投标人须知第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款的规定与招标人订立施工承包合同，则招标人将废除授标，投标保证金不予退还，给招标人造成的损失超过投标保证金数额的，还应当对超过部分予以赔偿，同时依法承担相应法律责任。</w:t>
      </w:r>
    </w:p>
    <w:p w14:paraId="45AC57B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5 </w:t>
      </w:r>
      <w:r>
        <w:rPr>
          <w:rFonts w:hint="eastAsia" w:ascii="宋体" w:hAnsi="宋体" w:eastAsia="宋体" w:cs="宋体"/>
          <w:color w:val="auto"/>
          <w:sz w:val="24"/>
          <w:highlight w:val="none"/>
        </w:rPr>
        <w:t>中标人应当按照施工承包合同约定履行义务，完成中标项目施工任务，不得将中标项目施工任务转让（转包）或者违法分包给其他人。</w:t>
      </w:r>
    </w:p>
    <w:p w14:paraId="60E685A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szCs w:val="24"/>
          <w:highlight w:val="none"/>
          <w:u w:val="none"/>
        </w:rPr>
        <w:t>招标人、中标人</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自合同签订后的20日内</w:t>
      </w:r>
      <w:r>
        <w:rPr>
          <w:rFonts w:hint="eastAsia" w:ascii="宋体" w:hAnsi="宋体" w:eastAsia="宋体" w:cs="宋体"/>
          <w:color w:val="auto"/>
          <w:sz w:val="24"/>
          <w:szCs w:val="24"/>
          <w:highlight w:val="none"/>
          <w:u w:val="none"/>
          <w:lang w:val="en-US" w:eastAsia="zh-CN"/>
        </w:rPr>
        <w:t>,按照规定</w:t>
      </w:r>
      <w:r>
        <w:rPr>
          <w:rFonts w:hint="eastAsia" w:ascii="宋体" w:hAnsi="宋体" w:eastAsia="宋体" w:cs="宋体"/>
          <w:color w:val="auto"/>
          <w:sz w:val="24"/>
          <w:szCs w:val="24"/>
          <w:highlight w:val="none"/>
          <w:u w:val="none"/>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z w:val="24"/>
          <w:szCs w:val="24"/>
          <w:highlight w:val="none"/>
          <w:u w:val="none"/>
        </w:rPr>
        <w:t>公布中标合同履行情况等信息。</w:t>
      </w:r>
      <w:r>
        <w:rPr>
          <w:rFonts w:hint="eastAsia" w:ascii="宋体" w:hAnsi="宋体" w:eastAsia="宋体" w:cs="宋体"/>
          <w:color w:val="auto"/>
          <w:kern w:val="0"/>
          <w:sz w:val="24"/>
          <w:szCs w:val="24"/>
          <w:highlight w:val="none"/>
          <w:u w:val="none"/>
          <w:lang w:eastAsia="zh-CN"/>
        </w:rPr>
        <w:t>主要内容应包括</w:t>
      </w:r>
      <w:r>
        <w:rPr>
          <w:rFonts w:hint="eastAsia" w:ascii="宋体" w:hAnsi="宋体" w:eastAsia="宋体" w:cs="宋体"/>
          <w:color w:val="auto"/>
          <w:kern w:val="0"/>
          <w:sz w:val="24"/>
          <w:szCs w:val="24"/>
          <w:highlight w:val="none"/>
          <w:u w:val="none"/>
        </w:rPr>
        <w:t>招标人及中标人名称及社会信用代码</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合同签订人或其委托人全称</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合同金额及合同单位；合同签署时间及合同期限；质量要求；合同其他主要内容；其他依法应当载明的内容</w:t>
      </w:r>
      <w:r>
        <w:rPr>
          <w:rFonts w:hint="eastAsia" w:ascii="宋体" w:hAnsi="宋体" w:eastAsia="宋体" w:cs="宋体"/>
          <w:color w:val="auto"/>
          <w:kern w:val="0"/>
          <w:sz w:val="24"/>
          <w:szCs w:val="24"/>
          <w:highlight w:val="none"/>
          <w:u w:val="none"/>
          <w:lang w:eastAsia="zh-CN"/>
        </w:rPr>
        <w:t>等</w:t>
      </w:r>
      <w:r>
        <w:rPr>
          <w:rFonts w:hint="eastAsia" w:ascii="宋体" w:hAnsi="宋体" w:eastAsia="宋体" w:cs="宋体"/>
          <w:color w:val="auto"/>
          <w:kern w:val="0"/>
          <w:sz w:val="24"/>
          <w:szCs w:val="24"/>
          <w:highlight w:val="none"/>
          <w:u w:val="none"/>
        </w:rPr>
        <w:t>。</w:t>
      </w:r>
    </w:p>
    <w:p w14:paraId="221D988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37.</w:t>
      </w:r>
      <w:r>
        <w:rPr>
          <w:rFonts w:hint="eastAsia" w:ascii="宋体" w:hAnsi="宋体" w:eastAsia="宋体" w:cs="宋体"/>
          <w:b/>
          <w:bCs/>
          <w:color w:val="auto"/>
          <w:sz w:val="24"/>
          <w:highlight w:val="none"/>
        </w:rPr>
        <w:t>履约和支付担保</w:t>
      </w:r>
    </w:p>
    <w:p w14:paraId="3ECA915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.1 中标人</w:t>
      </w:r>
      <w:r>
        <w:rPr>
          <w:rFonts w:hint="eastAsia" w:ascii="宋体" w:hAnsi="宋体" w:eastAsia="宋体" w:cs="宋体"/>
          <w:color w:val="auto"/>
          <w:sz w:val="24"/>
          <w:highlight w:val="none"/>
          <w:lang w:eastAsia="zh-CN"/>
        </w:rPr>
        <w:t>须</w:t>
      </w:r>
      <w:r>
        <w:rPr>
          <w:rFonts w:hint="eastAsia" w:ascii="宋体" w:hAnsi="宋体" w:eastAsia="宋体" w:cs="宋体"/>
          <w:color w:val="auto"/>
          <w:sz w:val="24"/>
          <w:highlight w:val="none"/>
        </w:rPr>
        <w:t>在签订施工承包合同后</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向招标人提交履约担保，</w:t>
      </w:r>
      <w:r>
        <w:rPr>
          <w:rFonts w:hint="eastAsia" w:ascii="宋体" w:hAnsi="宋体" w:eastAsia="宋体" w:cs="宋体"/>
          <w:color w:val="auto"/>
          <w:spacing w:val="0"/>
          <w:sz w:val="24"/>
          <w:szCs w:val="24"/>
          <w:highlight w:val="none"/>
          <w:u w:val="none"/>
        </w:rPr>
        <w:t>履约担保额</w:t>
      </w:r>
      <w:r>
        <w:rPr>
          <w:rFonts w:hint="eastAsia" w:ascii="宋体" w:hAnsi="宋体" w:eastAsia="宋体" w:cs="宋体"/>
          <w:color w:val="auto"/>
          <w:spacing w:val="0"/>
          <w:sz w:val="24"/>
          <w:szCs w:val="24"/>
          <w:highlight w:val="none"/>
          <w:u w:val="none"/>
          <w:lang w:eastAsia="zh-CN"/>
        </w:rPr>
        <w:t>不得超过中标</w:t>
      </w:r>
      <w:r>
        <w:rPr>
          <w:rFonts w:hint="eastAsia" w:ascii="宋体" w:hAnsi="宋体" w:eastAsia="宋体" w:cs="宋体"/>
          <w:color w:val="auto"/>
          <w:spacing w:val="0"/>
          <w:sz w:val="24"/>
          <w:szCs w:val="24"/>
          <w:highlight w:val="none"/>
          <w:u w:val="none"/>
        </w:rPr>
        <w:t>合同</w:t>
      </w:r>
      <w:r>
        <w:rPr>
          <w:rFonts w:hint="eastAsia" w:ascii="宋体" w:hAnsi="宋体" w:eastAsia="宋体" w:cs="宋体"/>
          <w:color w:val="auto"/>
          <w:spacing w:val="0"/>
          <w:sz w:val="24"/>
          <w:szCs w:val="24"/>
          <w:highlight w:val="none"/>
          <w:u w:val="none"/>
          <w:lang w:eastAsia="zh-CN"/>
        </w:rPr>
        <w:t>金额</w:t>
      </w:r>
      <w:r>
        <w:rPr>
          <w:rFonts w:hint="eastAsia" w:ascii="宋体" w:hAnsi="宋体" w:eastAsia="宋体" w:cs="宋体"/>
          <w:color w:val="auto"/>
          <w:spacing w:val="0"/>
          <w:sz w:val="24"/>
          <w:szCs w:val="24"/>
          <w:highlight w:val="none"/>
          <w:u w:val="none"/>
        </w:rPr>
        <w:t>的10%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highlight w:val="none"/>
        </w:rPr>
        <w:t>具体要求以投标人须知前附表要求为准。</w:t>
      </w:r>
    </w:p>
    <w:p w14:paraId="654C991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若中标人不能按本投标人须知第</w:t>
      </w:r>
      <w:r>
        <w:rPr>
          <w:rFonts w:hint="eastAsia" w:ascii="宋体" w:hAnsi="宋体" w:eastAsia="宋体" w:cs="宋体"/>
          <w:b/>
          <w:color w:val="auto"/>
          <w:sz w:val="24"/>
          <w:highlight w:val="none"/>
          <w:lang w:val="en-US" w:eastAsia="zh-CN"/>
        </w:rPr>
        <w:t>37</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款的规定金额向招标人提交履约担保的，招标人将有充分的理由解除承包合同，并没收其投标保证金，给招标人造成的损失超过投标保证金数额的，还应当对超过部分予以赔偿。</w:t>
      </w:r>
    </w:p>
    <w:p w14:paraId="5153351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pacing w:val="0"/>
          <w:sz w:val="24"/>
          <w:szCs w:val="24"/>
          <w:highlight w:val="none"/>
          <w:u w:val="none"/>
        </w:rPr>
        <w:t>招标人要求中标人提供履约担保的，应当向中标人提供工程款支付担保</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rPr>
        <w:t>工程款支付担保</w:t>
      </w:r>
      <w:r>
        <w:rPr>
          <w:rFonts w:hint="eastAsia" w:ascii="宋体" w:hAnsi="宋体" w:eastAsia="宋体" w:cs="宋体"/>
          <w:color w:val="auto"/>
          <w:spacing w:val="0"/>
          <w:sz w:val="24"/>
          <w:szCs w:val="24"/>
          <w:highlight w:val="none"/>
          <w:u w:val="none"/>
          <w:lang w:eastAsia="zh-CN"/>
        </w:rPr>
        <w:t>可以</w:t>
      </w:r>
      <w:r>
        <w:rPr>
          <w:rFonts w:hint="eastAsia" w:ascii="宋体" w:hAnsi="宋体" w:eastAsia="宋体" w:cs="宋体"/>
          <w:color w:val="auto"/>
          <w:spacing w:val="0"/>
          <w:sz w:val="24"/>
          <w:szCs w:val="24"/>
          <w:highlight w:val="none"/>
          <w:u w:val="none"/>
        </w:rPr>
        <w:t>选择现金保证金、银行保函、保证保险、融资担保公司保函等</w:t>
      </w:r>
      <w:r>
        <w:rPr>
          <w:rFonts w:hint="eastAsia" w:ascii="宋体" w:hAnsi="宋体" w:eastAsia="宋体" w:cs="宋体"/>
          <w:color w:val="auto"/>
          <w:spacing w:val="0"/>
          <w:sz w:val="24"/>
          <w:szCs w:val="24"/>
          <w:highlight w:val="none"/>
          <w:u w:val="none"/>
          <w:lang w:eastAsia="zh-CN"/>
        </w:rPr>
        <w:t>方式提交</w:t>
      </w:r>
      <w:r>
        <w:rPr>
          <w:rFonts w:hint="eastAsia" w:ascii="宋体" w:hAnsi="宋体" w:eastAsia="宋体" w:cs="宋体"/>
          <w:color w:val="auto"/>
          <w:spacing w:val="0"/>
          <w:sz w:val="24"/>
          <w:szCs w:val="24"/>
          <w:highlight w:val="none"/>
          <w:u w:val="none"/>
        </w:rPr>
        <w:t>。</w:t>
      </w:r>
    </w:p>
    <w:p w14:paraId="6DD613AF">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38</w:t>
      </w:r>
      <w:r>
        <w:rPr>
          <w:rFonts w:hint="eastAsia" w:ascii="宋体" w:hAnsi="宋体" w:eastAsia="宋体" w:cs="宋体"/>
          <w:b/>
          <w:color w:val="auto"/>
          <w:sz w:val="24"/>
          <w:szCs w:val="24"/>
          <w:highlight w:val="none"/>
          <w:u w:val="none"/>
        </w:rPr>
        <w:t>.合同</w:t>
      </w:r>
      <w:r>
        <w:rPr>
          <w:rFonts w:hint="eastAsia" w:ascii="宋体" w:hAnsi="宋体" w:eastAsia="宋体" w:cs="宋体"/>
          <w:b/>
          <w:color w:val="auto"/>
          <w:sz w:val="24"/>
          <w:szCs w:val="24"/>
          <w:highlight w:val="none"/>
          <w:u w:val="none"/>
          <w:lang w:eastAsia="zh-CN"/>
        </w:rPr>
        <w:t>存档</w:t>
      </w:r>
    </w:p>
    <w:p w14:paraId="787EC975">
      <w:pPr>
        <w:pStyle w:val="3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color w:val="auto"/>
          <w:sz w:val="24"/>
          <w:szCs w:val="24"/>
          <w:highlight w:val="none"/>
          <w:u w:val="none"/>
        </w:rPr>
        <w:t>招标人应当自签订施工承包合同之日起30日内，按照规定将</w:t>
      </w:r>
      <w:r>
        <w:rPr>
          <w:rFonts w:hint="eastAsia" w:ascii="宋体" w:hAnsi="宋体" w:eastAsia="宋体" w:cs="宋体"/>
          <w:color w:val="auto"/>
          <w:sz w:val="24"/>
          <w:szCs w:val="24"/>
          <w:highlight w:val="none"/>
          <w:u w:val="none"/>
          <w:lang w:eastAsia="zh-CN"/>
        </w:rPr>
        <w:t>电子版</w:t>
      </w:r>
      <w:r>
        <w:rPr>
          <w:rFonts w:hint="eastAsia" w:ascii="宋体" w:hAnsi="宋体" w:eastAsia="宋体" w:cs="宋体"/>
          <w:color w:val="auto"/>
          <w:sz w:val="24"/>
          <w:szCs w:val="24"/>
          <w:highlight w:val="none"/>
          <w:u w:val="none"/>
        </w:rPr>
        <w:t>施工承包合同及其相关资料报送</w:t>
      </w:r>
      <w:r>
        <w:rPr>
          <w:rFonts w:hint="eastAsia" w:ascii="宋体" w:hAnsi="宋体" w:eastAsia="宋体" w:cs="宋体"/>
          <w:color w:val="auto"/>
          <w:sz w:val="24"/>
          <w:szCs w:val="24"/>
          <w:highlight w:val="none"/>
          <w:u w:val="none"/>
          <w:lang w:eastAsia="zh-CN"/>
        </w:rPr>
        <w:t>招标管理</w:t>
      </w:r>
      <w:r>
        <w:rPr>
          <w:rFonts w:hint="eastAsia" w:ascii="宋体" w:hAnsi="宋体" w:eastAsia="宋体" w:cs="宋体"/>
          <w:b w:val="0"/>
          <w:bCs w:val="0"/>
          <w:color w:val="auto"/>
          <w:sz w:val="24"/>
          <w:szCs w:val="24"/>
          <w:highlight w:val="none"/>
          <w:u w:val="none"/>
          <w:lang w:eastAsia="zh-CN"/>
        </w:rPr>
        <w:t>部门存档</w:t>
      </w:r>
      <w:r>
        <w:rPr>
          <w:rFonts w:hint="eastAsia" w:ascii="宋体" w:hAnsi="宋体" w:eastAsia="宋体" w:cs="宋体"/>
          <w:b w:val="0"/>
          <w:bCs w:val="0"/>
          <w:color w:val="auto"/>
          <w:sz w:val="24"/>
          <w:szCs w:val="24"/>
          <w:highlight w:val="none"/>
          <w:u w:val="none"/>
        </w:rPr>
        <w:t>。</w:t>
      </w:r>
    </w:p>
    <w:p w14:paraId="59197034">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p>
    <w:p w14:paraId="38748B19">
      <w:pPr>
        <w:keepNext w:val="0"/>
        <w:keepLines w:val="0"/>
        <w:pageBreakBefore w:val="0"/>
        <w:kinsoku/>
        <w:wordWrap/>
        <w:overflowPunct/>
        <w:topLinePunct w:val="0"/>
        <w:autoSpaceDE/>
        <w:autoSpaceDN/>
        <w:bidi w:val="0"/>
        <w:adjustRightInd/>
        <w:snapToGrid/>
        <w:spacing w:line="400" w:lineRule="atLeast"/>
        <w:ind w:left="0" w:leftChars="0" w:right="0" w:rightChars="0" w:firstLine="562" w:firstLineChars="200"/>
        <w:jc w:val="center"/>
        <w:textAlignment w:val="auto"/>
        <w:outlineLvl w:val="2"/>
        <w:rPr>
          <w:rFonts w:hint="eastAsia" w:ascii="宋体" w:hAnsi="宋体" w:eastAsia="宋体" w:cs="宋体"/>
          <w:b/>
          <w:bCs/>
          <w:color w:val="auto"/>
          <w:sz w:val="28"/>
          <w:szCs w:val="28"/>
          <w:highlight w:val="none"/>
        </w:rPr>
      </w:pPr>
      <w:bookmarkStart w:id="30" w:name="_Toc26608"/>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）电子管理规定</w:t>
      </w:r>
      <w:bookmarkEnd w:id="30"/>
    </w:p>
    <w:p w14:paraId="33799681">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39</w:t>
      </w:r>
      <w:r>
        <w:rPr>
          <w:rFonts w:hint="eastAsia" w:ascii="宋体" w:hAnsi="宋体" w:eastAsia="宋体" w:cs="宋体"/>
          <w:b/>
          <w:color w:val="auto"/>
          <w:kern w:val="0"/>
          <w:sz w:val="24"/>
          <w:highlight w:val="none"/>
        </w:rPr>
        <w:t>.应急管理</w:t>
      </w:r>
    </w:p>
    <w:p w14:paraId="119600C3">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14:paraId="5F3A0618">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（1）因国际互联网中断、停电、网络入侵、不可抗力等非可控因素导致系统不能正常运行；</w:t>
      </w:r>
    </w:p>
    <w:p w14:paraId="2A1A2189">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（2）因系统服务器发生故障而无法访问系统或无法使用系统</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因电子招标投标系统软件或网络数据库出现错误不能进行正常操作；</w:t>
      </w:r>
    </w:p>
    <w:p w14:paraId="129FE61E">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）电子招</w:t>
      </w:r>
      <w:r>
        <w:rPr>
          <w:rFonts w:hint="eastAsia" w:ascii="宋体" w:hAnsi="宋体" w:eastAsia="宋体" w:cs="宋体"/>
          <w:color w:val="auto"/>
          <w:kern w:val="0"/>
          <w:sz w:val="24"/>
          <w:highlight w:val="none"/>
          <w:lang w:eastAsia="zh-CN"/>
        </w:rPr>
        <w:t>标</w:t>
      </w:r>
      <w:r>
        <w:rPr>
          <w:rFonts w:hint="eastAsia" w:ascii="宋体" w:hAnsi="宋体" w:eastAsia="宋体" w:cs="宋体"/>
          <w:color w:val="auto"/>
          <w:kern w:val="0"/>
          <w:sz w:val="24"/>
          <w:highlight w:val="none"/>
        </w:rPr>
        <w:t>投标系统发现有安全漏洞，有潜在的泄密危险；</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计算机病毒造成影响；</w:t>
      </w:r>
    </w:p>
    <w:p w14:paraId="510A12A8">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）其他无法保证电子招标投标过程公平、公正和信息安全的意外情况；</w:t>
      </w:r>
    </w:p>
    <w:p w14:paraId="7F585E10">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）相关行政监督部门</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司法、纪检监察等机关依法要求中止或终止电子招标投标活动；</w:t>
      </w:r>
    </w:p>
    <w:p w14:paraId="0357F898">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）法律法规规定的其他情形。</w:t>
      </w:r>
    </w:p>
    <w:p w14:paraId="49295B42">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14:paraId="443366FE">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.2评审或评标过程中如遇系统故障等突发事件，评标</w:t>
      </w:r>
      <w:r>
        <w:rPr>
          <w:rFonts w:hint="eastAsia" w:ascii="宋体" w:hAnsi="宋体" w:eastAsia="宋体" w:cs="宋体"/>
          <w:color w:val="auto"/>
          <w:kern w:val="0"/>
          <w:sz w:val="24"/>
          <w:highlight w:val="none"/>
          <w:lang w:eastAsia="zh-CN"/>
        </w:rPr>
        <w:t>定标</w:t>
      </w:r>
      <w:r>
        <w:rPr>
          <w:rFonts w:hint="eastAsia" w:ascii="宋体" w:hAnsi="宋体" w:eastAsia="宋体" w:cs="宋体"/>
          <w:color w:val="auto"/>
          <w:kern w:val="0"/>
          <w:sz w:val="24"/>
          <w:highlight w:val="none"/>
        </w:rPr>
        <w:t>专家应及时与现场工作人员沟通解决。</w:t>
      </w:r>
    </w:p>
    <w:p w14:paraId="4F833670">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14:paraId="4EB46C92">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9EFDA7C">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14:paraId="7ABEC41F">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电子招标投标中止、终止或结束后，招标人（招标代理机构）应将电子招标投标活动的记录下载打印成纸质文档存档。</w:t>
      </w:r>
    </w:p>
    <w:p w14:paraId="59662154">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40</w:t>
      </w:r>
      <w:r>
        <w:rPr>
          <w:rFonts w:hint="eastAsia" w:ascii="宋体" w:hAnsi="宋体" w:eastAsia="宋体" w:cs="宋体"/>
          <w:b/>
          <w:color w:val="auto"/>
          <w:kern w:val="0"/>
          <w:sz w:val="24"/>
          <w:highlight w:val="none"/>
        </w:rPr>
        <w:t>.相关规定</w:t>
      </w:r>
    </w:p>
    <w:p w14:paraId="5B3445B6">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1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14:paraId="6782141A">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2投标人在电子招标投标活动中实施下列行为之一，所产生的后果由投标人自行承担。</w:t>
      </w:r>
    </w:p>
    <w:p w14:paraId="10DFC1BF">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（1）投标人的数字证书和密码被他人冒用、盗用；</w:t>
      </w:r>
    </w:p>
    <w:p w14:paraId="2A01C7B6">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（2）使用他人数字证书或把数字证书借给他人使用的，依法按以他人名义投标处理；有围标串标行为的，依法按串通投标处理；</w:t>
      </w:r>
    </w:p>
    <w:p w14:paraId="459C8122">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（3）因投标人计算机系统遭遇网络堵塞、病毒入侵、硬件故障等导致不能正常登录网上招标投标系统参与投标；</w:t>
      </w:r>
    </w:p>
    <w:p w14:paraId="70C4921F">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4"/>
          <w:highlight w:val="none"/>
        </w:rPr>
        <w:t>（4）经</w:t>
      </w:r>
      <w:r>
        <w:rPr>
          <w:rFonts w:hint="eastAsia" w:ascii="宋体" w:hAnsi="宋体" w:eastAsia="宋体" w:cs="宋体"/>
          <w:color w:val="auto"/>
          <w:kern w:val="0"/>
          <w:sz w:val="24"/>
          <w:highlight w:val="none"/>
          <w:lang w:eastAsia="zh-CN"/>
        </w:rPr>
        <w:t>电子招标投标</w:t>
      </w:r>
      <w:r>
        <w:rPr>
          <w:rFonts w:hint="eastAsia" w:ascii="宋体" w:hAnsi="宋体" w:eastAsia="宋体" w:cs="宋体"/>
          <w:color w:val="auto"/>
          <w:kern w:val="0"/>
          <w:sz w:val="24"/>
          <w:highlight w:val="none"/>
        </w:rPr>
        <w:t>系统检测到投标人</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w:t>
      </w:r>
      <w:r>
        <w:rPr>
          <w:rFonts w:hint="eastAsia" w:ascii="宋体" w:hAnsi="宋体" w:eastAsia="宋体" w:cs="宋体"/>
          <w:color w:val="auto"/>
          <w:sz w:val="24"/>
          <w:highlight w:val="none"/>
          <w:lang w:eastAsia="zh-CN"/>
        </w:rPr>
        <w:t>公共资源</w:t>
      </w:r>
      <w:r>
        <w:rPr>
          <w:rFonts w:hint="eastAsia" w:ascii="宋体" w:hAnsi="宋体" w:eastAsia="宋体" w:cs="宋体"/>
          <w:color w:val="auto"/>
          <w:sz w:val="24"/>
          <w:highlight w:val="none"/>
        </w:rPr>
        <w:t>交易中心计算机编制或上传的除外）</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情形</w:t>
      </w:r>
      <w:r>
        <w:rPr>
          <w:rFonts w:hint="eastAsia" w:ascii="宋体" w:hAnsi="宋体" w:eastAsia="宋体" w:cs="宋体"/>
          <w:color w:val="auto"/>
          <w:kern w:val="0"/>
          <w:sz w:val="24"/>
          <w:highlight w:val="none"/>
        </w:rPr>
        <w:t>，视为串通投标行为，其投标无效，并依法处理。</w:t>
      </w:r>
    </w:p>
    <w:p w14:paraId="3C9ACA1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电子招标</w:t>
      </w:r>
      <w:r>
        <w:rPr>
          <w:rFonts w:hint="eastAsia" w:ascii="宋体" w:hAnsi="宋体" w:eastAsia="宋体" w:cs="宋体"/>
          <w:color w:val="auto"/>
          <w:sz w:val="24"/>
          <w:szCs w:val="24"/>
          <w:highlight w:val="none"/>
        </w:rPr>
        <w:t>投标活动的各类注册人员和相关从业人员，应当在</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中选取。</w:t>
      </w:r>
      <w:r>
        <w:rPr>
          <w:rFonts w:hint="eastAsia" w:ascii="宋体" w:hAnsi="宋体" w:eastAsia="宋体" w:cs="宋体"/>
          <w:color w:val="auto"/>
          <w:kern w:val="0"/>
          <w:sz w:val="24"/>
          <w:highlight w:val="none"/>
        </w:rPr>
        <w:t xml:space="preserve"> 参加投标之前，投标人应</w:t>
      </w:r>
      <w:r>
        <w:rPr>
          <w:rFonts w:hint="eastAsia" w:ascii="宋体" w:hAnsi="宋体" w:eastAsia="宋体" w:cs="宋体"/>
          <w:color w:val="auto"/>
          <w:kern w:val="0"/>
          <w:sz w:val="24"/>
          <w:highlight w:val="none"/>
          <w:lang w:eastAsia="zh-CN"/>
        </w:rPr>
        <w:t>确保</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lang w:eastAsia="zh-CN"/>
        </w:rPr>
        <w:t>人员</w:t>
      </w:r>
      <w:r>
        <w:rPr>
          <w:rFonts w:hint="eastAsia" w:ascii="宋体" w:hAnsi="宋体" w:eastAsia="宋体" w:cs="宋体"/>
          <w:color w:val="auto"/>
          <w:kern w:val="0"/>
          <w:sz w:val="24"/>
          <w:highlight w:val="none"/>
        </w:rPr>
        <w:t>信息与</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人员</w:t>
      </w:r>
      <w:r>
        <w:rPr>
          <w:rFonts w:hint="eastAsia" w:ascii="宋体" w:hAnsi="宋体" w:eastAsia="宋体" w:cs="宋体"/>
          <w:b w:val="0"/>
          <w:bCs w:val="0"/>
          <w:color w:val="auto"/>
          <w:sz w:val="24"/>
          <w:highlight w:val="none"/>
        </w:rPr>
        <w:t>信息</w:t>
      </w:r>
      <w:r>
        <w:rPr>
          <w:rFonts w:hint="eastAsia" w:ascii="宋体" w:hAnsi="宋体" w:eastAsia="宋体" w:cs="宋体"/>
          <w:color w:val="auto"/>
          <w:kern w:val="0"/>
          <w:sz w:val="24"/>
          <w:highlight w:val="none"/>
        </w:rPr>
        <w:t>一致，以免造成投标不成功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因其可能引起的一切后果由投标人自行承担。</w:t>
      </w:r>
    </w:p>
    <w:p w14:paraId="51E56A9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.4 </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sz w:val="24"/>
          <w:szCs w:val="24"/>
          <w:highlight w:val="none"/>
        </w:rPr>
        <w:t>担任</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项目负责人的建造师，在施工报建时，由核发施工许可证的主管部门对其进行锁定。工程项目已通过竣工验收并提供竣工验收报告，</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eastAsia="zh-CN"/>
        </w:rPr>
        <w:t>原</w:t>
      </w:r>
      <w:r>
        <w:rPr>
          <w:rFonts w:hint="eastAsia" w:ascii="宋体" w:hAnsi="宋体" w:eastAsia="宋体" w:cs="宋体"/>
          <w:color w:val="auto"/>
          <w:sz w:val="24"/>
          <w:szCs w:val="24"/>
          <w:highlight w:val="none"/>
        </w:rPr>
        <w:t>核发施工许可证的主管部门申请解锁</w:t>
      </w:r>
      <w:r>
        <w:rPr>
          <w:rFonts w:hint="eastAsia" w:ascii="宋体" w:hAnsi="宋体" w:eastAsia="宋体" w:cs="宋体"/>
          <w:color w:val="auto"/>
          <w:sz w:val="24"/>
          <w:szCs w:val="24"/>
          <w:highlight w:val="none"/>
          <w:lang w:eastAsia="zh-CN"/>
        </w:rPr>
        <w:t>原已</w:t>
      </w:r>
      <w:r>
        <w:rPr>
          <w:rFonts w:hint="eastAsia" w:ascii="宋体" w:hAnsi="宋体" w:eastAsia="宋体" w:cs="宋体"/>
          <w:color w:val="auto"/>
          <w:sz w:val="24"/>
          <w:szCs w:val="24"/>
          <w:highlight w:val="none"/>
        </w:rPr>
        <w:t>锁定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建造师</w:t>
      </w:r>
      <w:r>
        <w:rPr>
          <w:rFonts w:hint="eastAsia" w:ascii="宋体" w:hAnsi="宋体" w:eastAsia="宋体" w:cs="宋体"/>
          <w:color w:val="auto"/>
          <w:sz w:val="24"/>
          <w:szCs w:val="24"/>
          <w:highlight w:val="none"/>
          <w:lang w:eastAsia="zh-CN"/>
        </w:rPr>
        <w:t>。</w:t>
      </w:r>
    </w:p>
    <w:p w14:paraId="0F87E1E8">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电子评标的项目，</w:t>
      </w:r>
      <w:r>
        <w:rPr>
          <w:rFonts w:hint="eastAsia" w:ascii="宋体" w:hAnsi="宋体" w:eastAsia="宋体" w:cs="宋体"/>
          <w:color w:val="auto"/>
          <w:kern w:val="0"/>
          <w:sz w:val="24"/>
          <w:highlight w:val="none"/>
          <w:lang w:eastAsia="zh-CN"/>
        </w:rPr>
        <w:t>投标时，</w:t>
      </w:r>
      <w:r>
        <w:rPr>
          <w:rFonts w:hint="eastAsia" w:ascii="宋体" w:hAnsi="宋体" w:eastAsia="宋体" w:cs="宋体"/>
          <w:color w:val="auto"/>
          <w:kern w:val="0"/>
          <w:sz w:val="24"/>
          <w:highlight w:val="none"/>
        </w:rPr>
        <w:t>投标文件一律不接受纸质文件，投标人须递交具备法律效力的电子投标文件。</w:t>
      </w:r>
    </w:p>
    <w:p w14:paraId="58DAB2C3">
      <w:pPr>
        <w:keepNext w:val="0"/>
        <w:keepLines w:val="0"/>
        <w:pageBreakBefore w:val="0"/>
        <w:widowControl/>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经数字证书签章签名上传的招标资料或投标资料具有法律效力。招标人（招标代理机构）、潜在投标人应当对其上传资料的真实性、完整性和准确性负责。</w:t>
      </w:r>
    </w:p>
    <w:p w14:paraId="52EAC4AE">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.7</w:t>
      </w:r>
      <w:r>
        <w:rPr>
          <w:rFonts w:hint="eastAsia" w:ascii="宋体" w:hAnsi="宋体" w:eastAsia="宋体" w:cs="宋体"/>
          <w:color w:val="auto"/>
          <w:kern w:val="0"/>
          <w:sz w:val="24"/>
          <w:highlight w:val="none"/>
        </w:rPr>
        <w:t>评标（定标）工作完成后，电子招标投标系统将电子辅助评标（定标）过程产生的数据和记录自动存档，并进行数据的汇总、统计，供有关部门查询、监督。</w:t>
      </w:r>
    </w:p>
    <w:p w14:paraId="26DEB21D">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.8电子辅助评标（定标）的档案，除纪检监察机关、行政监督部门或者司法机关依法进行核查外，其他任何单位或个人不得擅自查阅档案资料。</w:t>
      </w:r>
    </w:p>
    <w:p w14:paraId="1C67D5DB">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p>
    <w:p w14:paraId="078CBC7F">
      <w:pPr>
        <w:keepNext w:val="0"/>
        <w:keepLines w:val="0"/>
        <w:pageBreakBefore w:val="0"/>
        <w:kinsoku/>
        <w:wordWrap/>
        <w:overflowPunct/>
        <w:topLinePunct w:val="0"/>
        <w:autoSpaceDE/>
        <w:autoSpaceDN/>
        <w:bidi w:val="0"/>
        <w:adjustRightInd/>
        <w:snapToGrid/>
        <w:spacing w:line="400" w:lineRule="atLeast"/>
        <w:ind w:right="0" w:rightChars="0"/>
        <w:jc w:val="center"/>
        <w:textAlignment w:val="auto"/>
        <w:outlineLvl w:val="2"/>
        <w:rPr>
          <w:rFonts w:hint="default" w:ascii="宋体" w:hAnsi="宋体" w:eastAsia="宋体" w:cs="宋体"/>
          <w:b/>
          <w:bCs/>
          <w:color w:val="auto"/>
          <w:sz w:val="28"/>
          <w:szCs w:val="28"/>
          <w:highlight w:val="none"/>
          <w:lang w:val="en-US" w:eastAsia="zh-CN"/>
        </w:rPr>
      </w:pPr>
      <w:bookmarkStart w:id="31" w:name="_Toc18664"/>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其他</w:t>
      </w:r>
      <w:bookmarkEnd w:id="31"/>
    </w:p>
    <w:p w14:paraId="33753A2D">
      <w:pPr>
        <w:keepNext w:val="0"/>
        <w:keepLines w:val="0"/>
        <w:pageBreakBefore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41.放弃中标的处理</w:t>
      </w:r>
    </w:p>
    <w:p w14:paraId="300FF3B2">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41.1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373BD86">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41.2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0DC8DB6">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41.3 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C44ACE0">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43.本项目的招标代理费用和评标专家参加评标的相关费用（包括食宿费用、交通费、专家评审劳务费等）由中标人支付。中标人须在中标公告公示期结束后，领取中标通知书前向招标代理机构</w:t>
      </w:r>
      <w:r>
        <w:rPr>
          <w:rFonts w:hint="eastAsia" w:ascii="宋体" w:hAnsi="宋体" w:cs="宋体"/>
          <w:color w:val="auto"/>
          <w:kern w:val="0"/>
          <w:sz w:val="24"/>
          <w:highlight w:val="none"/>
          <w:lang w:val="en-US" w:eastAsia="zh-CN"/>
        </w:rPr>
        <w:t>一次性</w:t>
      </w:r>
      <w:r>
        <w:rPr>
          <w:rFonts w:hint="eastAsia" w:ascii="宋体" w:hAnsi="宋体" w:eastAsia="宋体" w:cs="宋体"/>
          <w:color w:val="auto"/>
          <w:kern w:val="0"/>
          <w:sz w:val="24"/>
          <w:highlight w:val="none"/>
          <w:lang w:val="en-US" w:eastAsia="zh-CN"/>
        </w:rPr>
        <w:t>缴纳招标代理费用和评标专家参加评标的相关费用。</w:t>
      </w:r>
    </w:p>
    <w:p w14:paraId="4B8FBA6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2F8D21D9">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45.本次招标鼓励投标人积极响应政策号召，充分利用其人才、技术、专业、资源、资金、设备或管理优势，通过技术创新和资源优化，以投标人自愿为原则，助力百千万工程公益性项目。</w:t>
      </w:r>
    </w:p>
    <w:p w14:paraId="12BC96EA">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投标人需提供自愿助力百千万工程公益性项目公益捐建（捐赠或配建）进度计划及保证措施；以投标人自愿为原则，按招标文件格式格式十四要求提供《助力项目承诺书》。</w:t>
      </w:r>
    </w:p>
    <w:p w14:paraId="324C0525">
      <w:pPr>
        <w:pStyle w:val="2"/>
        <w:bidi w:val="0"/>
        <w:ind w:left="0" w:leftChars="0" w:firstLine="0" w:firstLineChars="0"/>
        <w:jc w:val="center"/>
        <w:rPr>
          <w:rFonts w:hint="eastAsia"/>
          <w:color w:val="auto"/>
          <w:highlight w:val="none"/>
        </w:rPr>
      </w:pPr>
      <w:r>
        <w:rPr>
          <w:rFonts w:hint="eastAsia" w:ascii="宋体" w:hAnsi="宋体" w:eastAsia="宋体" w:cs="宋体"/>
          <w:b w:val="0"/>
          <w:bCs/>
          <w:color w:val="auto"/>
          <w:szCs w:val="28"/>
          <w:highlight w:val="none"/>
        </w:rPr>
        <w:br w:type="page"/>
      </w:r>
      <w:bookmarkStart w:id="32" w:name="_Toc31368"/>
      <w:r>
        <w:rPr>
          <w:rFonts w:hint="eastAsia"/>
          <w:color w:val="auto"/>
          <w:highlight w:val="none"/>
        </w:rPr>
        <w:t>第三章   评标</w:t>
      </w:r>
      <w:r>
        <w:rPr>
          <w:rFonts w:hint="eastAsia"/>
          <w:color w:val="auto"/>
          <w:highlight w:val="none"/>
          <w:lang w:eastAsia="zh-CN"/>
        </w:rPr>
        <w:t>定标</w:t>
      </w:r>
      <w:r>
        <w:rPr>
          <w:rFonts w:hint="eastAsia"/>
          <w:color w:val="auto"/>
          <w:highlight w:val="none"/>
        </w:rPr>
        <w:t>办法</w:t>
      </w:r>
      <w:bookmarkEnd w:id="32"/>
    </w:p>
    <w:p w14:paraId="5F130C1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一、评标</w:t>
      </w:r>
      <w:r>
        <w:rPr>
          <w:rFonts w:hint="eastAsia" w:ascii="宋体" w:hAnsi="宋体" w:eastAsia="宋体" w:cs="宋体"/>
          <w:b/>
          <w:color w:val="auto"/>
          <w:sz w:val="28"/>
          <w:szCs w:val="28"/>
          <w:highlight w:val="none"/>
          <w:lang w:eastAsia="zh-CN"/>
        </w:rPr>
        <w:t>定标</w:t>
      </w:r>
      <w:r>
        <w:rPr>
          <w:rFonts w:hint="eastAsia" w:ascii="宋体" w:hAnsi="宋体" w:eastAsia="宋体" w:cs="宋体"/>
          <w:b/>
          <w:color w:val="auto"/>
          <w:sz w:val="28"/>
          <w:szCs w:val="28"/>
          <w:highlight w:val="none"/>
        </w:rPr>
        <w:t>原则</w:t>
      </w:r>
    </w:p>
    <w:p w14:paraId="2F16103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638C3B6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、评标</w:t>
      </w:r>
      <w:r>
        <w:rPr>
          <w:rFonts w:hint="eastAsia" w:ascii="宋体" w:hAnsi="宋体" w:eastAsia="宋体" w:cs="宋体"/>
          <w:b/>
          <w:color w:val="auto"/>
          <w:sz w:val="28"/>
          <w:szCs w:val="28"/>
          <w:highlight w:val="none"/>
          <w:lang w:val="en-US" w:eastAsia="zh-CN"/>
        </w:rPr>
        <w:t>定标</w:t>
      </w:r>
      <w:r>
        <w:rPr>
          <w:rFonts w:hint="eastAsia" w:ascii="宋体" w:hAnsi="宋体" w:eastAsia="宋体" w:cs="宋体"/>
          <w:b/>
          <w:color w:val="auto"/>
          <w:sz w:val="28"/>
          <w:szCs w:val="28"/>
          <w:highlight w:val="none"/>
          <w:lang w:eastAsia="zh-CN"/>
        </w:rPr>
        <w:t>规则</w:t>
      </w:r>
    </w:p>
    <w:p w14:paraId="6426933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（一）评标委员会应当根据招标文件规定的评标标准和方法，对投标文件进行系统地评审和比较。招标文件中没有规定的标准和方法不得作为评标的依据。评标委员会成员应依照评标办法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独立完成对投标文件的评审，并对评标结果签字确认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评标委员会应依照评标办法规定的工作方法和标准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对各评标委员会成员的评标结果进行汇总。</w:t>
      </w:r>
    </w:p>
    <w:p w14:paraId="79EE995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标委员会应当根据招标文件规定的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w:t>
      </w:r>
      <w:r>
        <w:rPr>
          <w:rFonts w:hint="eastAsia" w:ascii="宋体" w:hAnsi="宋体" w:eastAsia="宋体" w:cs="宋体"/>
          <w:b w:val="0"/>
          <w:i w:val="0"/>
          <w:snapToGrid/>
          <w:color w:val="auto"/>
          <w:sz w:val="24"/>
          <w:szCs w:val="24"/>
          <w:highlight w:val="none"/>
          <w:u w:val="none"/>
          <w:shd w:val="clear" w:color="auto" w:fill="FFFFFF"/>
          <w:lang w:eastAsia="zh-CN"/>
        </w:rPr>
        <w:t>对定标候选人</w:t>
      </w:r>
      <w:r>
        <w:rPr>
          <w:rFonts w:hint="eastAsia" w:ascii="宋体" w:hAnsi="宋体" w:eastAsia="宋体" w:cs="宋体"/>
          <w:color w:val="auto"/>
          <w:sz w:val="24"/>
          <w:szCs w:val="24"/>
          <w:highlight w:val="none"/>
        </w:rPr>
        <w:t>进行系统地评审和比较。招标文件中没有规定的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不得作为</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标的依据。</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独立完成对</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color w:val="auto"/>
          <w:sz w:val="24"/>
          <w:szCs w:val="24"/>
          <w:highlight w:val="none"/>
        </w:rPr>
        <w:t>的评审，并对</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对各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标结果进行汇总。</w:t>
      </w:r>
    </w:p>
    <w:p w14:paraId="4E4320EA">
      <w:pPr>
        <w:keepNext w:val="0"/>
        <w:keepLines w:val="0"/>
        <w:pageBreakBefore w:val="0"/>
        <w:kinsoku/>
        <w:wordWrap/>
        <w:overflowPunct/>
        <w:topLinePunct w:val="0"/>
        <w:autoSpaceDE/>
        <w:autoSpaceDN/>
        <w:bidi w:val="0"/>
        <w:adjustRightInd/>
        <w:snapToGrid/>
        <w:spacing w:line="4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、评</w:t>
      </w:r>
      <w:r>
        <w:rPr>
          <w:rFonts w:hint="eastAsia" w:ascii="宋体" w:hAnsi="宋体" w:eastAsia="宋体" w:cs="宋体"/>
          <w:b/>
          <w:color w:val="auto"/>
          <w:sz w:val="28"/>
          <w:szCs w:val="28"/>
          <w:highlight w:val="none"/>
          <w:lang w:eastAsia="zh-CN"/>
        </w:rPr>
        <w:t>标</w:t>
      </w:r>
      <w:r>
        <w:rPr>
          <w:rFonts w:hint="eastAsia" w:ascii="宋体" w:hAnsi="宋体" w:eastAsia="宋体" w:cs="宋体"/>
          <w:b/>
          <w:color w:val="auto"/>
          <w:sz w:val="28"/>
          <w:szCs w:val="28"/>
          <w:highlight w:val="none"/>
        </w:rPr>
        <w:t>细则</w:t>
      </w:r>
    </w:p>
    <w:p w14:paraId="0A50BDC8">
      <w:pPr>
        <w:keepNext w:val="0"/>
        <w:keepLines w:val="0"/>
        <w:pageBreakBefore w:val="0"/>
        <w:kinsoku/>
        <w:wordWrap/>
        <w:overflowPunct/>
        <w:topLinePunct w:val="0"/>
        <w:autoSpaceDE/>
        <w:autoSpaceDN/>
        <w:bidi w:val="0"/>
        <w:adjustRightInd/>
        <w:snapToGrid/>
        <w:spacing w:line="400" w:lineRule="exact"/>
        <w:ind w:firstLine="361" w:firstLineChars="15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综合评估法</w:t>
      </w:r>
    </w:p>
    <w:p w14:paraId="338F474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根据有关法律、法规的相关规定，结合本招标项目资金来源和规模特点，本次招标采用综合评估法进行评标。</w:t>
      </w:r>
    </w:p>
    <w:p w14:paraId="40AF2BA8">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3" w:name="_Toc9289"/>
      <w:bookmarkStart w:id="34" w:name="_Toc1657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评审范围</w:t>
      </w:r>
      <w:bookmarkEnd w:id="33"/>
      <w:bookmarkEnd w:id="34"/>
    </w:p>
    <w:p w14:paraId="07F4A82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评标委员会应对所有投标人的投标文件进行评审。</w:t>
      </w:r>
    </w:p>
    <w:p w14:paraId="7C1C8EA4">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5" w:name="_Toc20456"/>
      <w:bookmarkStart w:id="36" w:name="_Toc17846"/>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初步评审阶段</w:t>
      </w:r>
      <w:bookmarkEnd w:id="35"/>
      <w:bookmarkEnd w:id="36"/>
    </w:p>
    <w:p w14:paraId="13F81D6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初步评审阶段分为资格评审、形式评审和响应性评审三个环节。</w:t>
      </w:r>
    </w:p>
    <w:p w14:paraId="233CF45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初步评审阶段各个环节否决投标的全部条件，在</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w:t>
      </w:r>
      <w:r>
        <w:rPr>
          <w:rFonts w:hint="eastAsia" w:ascii="宋体" w:hAnsi="宋体" w:eastAsia="宋体" w:cs="宋体"/>
          <w:bCs/>
          <w:color w:val="auto"/>
          <w:sz w:val="24"/>
          <w:szCs w:val="24"/>
          <w:highlight w:val="none"/>
          <w:lang w:val="en-US" w:eastAsia="zh-CN"/>
        </w:rPr>
        <w:t>正文</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投标否决”</w:t>
      </w:r>
      <w:r>
        <w:rPr>
          <w:rFonts w:hint="eastAsia" w:ascii="宋体" w:hAnsi="宋体" w:eastAsia="宋体" w:cs="宋体"/>
          <w:color w:val="auto"/>
          <w:sz w:val="24"/>
          <w:szCs w:val="24"/>
          <w:highlight w:val="none"/>
        </w:rPr>
        <w:t>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r>
        <w:rPr>
          <w:rFonts w:hint="eastAsia" w:ascii="宋体" w:hAnsi="宋体" w:eastAsia="宋体" w:cs="宋体"/>
          <w:color w:val="auto"/>
          <w:sz w:val="24"/>
          <w:szCs w:val="24"/>
          <w:highlight w:val="none"/>
          <w:lang w:eastAsia="zh-CN"/>
        </w:rPr>
        <w:t>。</w:t>
      </w:r>
    </w:p>
    <w:p w14:paraId="023CCEDE">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7" w:name="_Toc9470"/>
      <w:bookmarkStart w:id="38" w:name="_Toc17066"/>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详细评审阶段</w:t>
      </w:r>
      <w:bookmarkEnd w:id="37"/>
      <w:bookmarkEnd w:id="38"/>
    </w:p>
    <w:p w14:paraId="12555B5E">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评审程序</w:t>
      </w:r>
    </w:p>
    <w:p w14:paraId="2C0D23BB">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评审内容分为商务技术和投标报价两大部分。其中，商务技术合计满分100分，权重为</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%；投标报价满分100分，权重为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%。两大部分权重之和应为100%。</w:t>
      </w:r>
    </w:p>
    <w:p w14:paraId="7100979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除特别注明外，综合得分以及商务技术得分、投标报价得分的中间过程计算值和最终值，均按“四舍五入”原则精确到两位小数。</w:t>
      </w:r>
    </w:p>
    <w:p w14:paraId="06704A93">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（1）商务技术得分M</w:t>
      </w:r>
    </w:p>
    <w:p w14:paraId="78C91C8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a．评标委员会按照《综合评分表》商务部分指定的评分标准对各评分因素进行打分。各评分因素得分之和即为某投标人的商务得分M1。</w:t>
      </w:r>
    </w:p>
    <w:p w14:paraId="353526B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2。</w:t>
      </w:r>
    </w:p>
    <w:p w14:paraId="33B6F8A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c．M＝M1＋M2</w:t>
      </w:r>
    </w:p>
    <w:p w14:paraId="3B908A7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式中：M1为某投标人的商务得分，M2为某投标人的技术得分。</w:t>
      </w:r>
    </w:p>
    <w:p w14:paraId="17805B6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（2）投标报价得分N</w:t>
      </w:r>
    </w:p>
    <w:p w14:paraId="1A85C70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a．评标委员会按照《综合评分表》投标报价部分指定的方法计算评标基准价D。</w:t>
      </w:r>
    </w:p>
    <w:p w14:paraId="611675FB">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b．采用内插法计算某投标人的投标报价得分N，即当投标人的投标总价等于评标基准价时得100分，每高于评标基准价一个百分点扣1分, 每低于评标基准价一个百分点扣0.5分，扣完为止。公式如下：</w:t>
      </w:r>
    </w:p>
    <w:p w14:paraId="73E0A4C4">
      <w:pPr>
        <w:keepNext w:val="0"/>
        <w:keepLines w:val="0"/>
        <w:pageBreakBefore w:val="0"/>
        <w:widowControl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N＝100－（| Di－D | ÷D）×100×E</w:t>
      </w:r>
    </w:p>
    <w:p w14:paraId="5CBAD6E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式中：D为评标基准价；Di为某投标人的投标总价；E为扣分因子，当Di＞D时，E＝1；当Di＜D时，E＝0.5。</w:t>
      </w:r>
    </w:p>
    <w:p w14:paraId="59AE5F1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（3）综合得分</w:t>
      </w:r>
    </w:p>
    <w:p w14:paraId="0491D4B9">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综合得分换算为百分制，满分100分，公式如下：</w:t>
      </w:r>
    </w:p>
    <w:p w14:paraId="01290E3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综合得分＝M÷商务技术合计满分×100×商务技术权重＋N×投标报价权重</w:t>
      </w:r>
    </w:p>
    <w:p w14:paraId="28306F5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式中：M为商务技术得分，N为投标报价得分。</w:t>
      </w:r>
    </w:p>
    <w:p w14:paraId="7FB0007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w:t>
      </w:r>
      <w:r>
        <w:rPr>
          <w:rFonts w:hint="eastAsia" w:ascii="宋体" w:hAnsi="宋体" w:eastAsia="宋体" w:cs="宋体"/>
          <w:b/>
          <w:bCs/>
          <w:color w:val="auto"/>
          <w:sz w:val="24"/>
          <w:szCs w:val="24"/>
          <w:highlight w:val="none"/>
        </w:rPr>
        <w:t>按企业统一社会信用代码</w:t>
      </w:r>
      <w:r>
        <w:rPr>
          <w:rFonts w:hint="eastAsia" w:ascii="宋体" w:hAnsi="宋体" w:eastAsia="宋体" w:cs="宋体"/>
          <w:b/>
          <w:bCs/>
          <w:color w:val="auto"/>
          <w:sz w:val="24"/>
          <w:szCs w:val="24"/>
          <w:highlight w:val="none"/>
          <w:lang w:eastAsia="zh-CN"/>
        </w:rPr>
        <w:t>后4位从小到大排位，先比后4位的首位，小的排前，如遇相同再比下一位，以此类推；数字＜字母，字母按A→Z顺序</w:t>
      </w:r>
      <w:r>
        <w:rPr>
          <w:rFonts w:hint="eastAsia" w:ascii="宋体" w:hAnsi="宋体" w:eastAsia="宋体" w:cs="宋体"/>
          <w:color w:val="auto"/>
          <w:sz w:val="24"/>
          <w:szCs w:val="24"/>
          <w:highlight w:val="none"/>
        </w:rPr>
        <w:t>）的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w:t>
      </w:r>
    </w:p>
    <w:p w14:paraId="48FFA7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定标候选人得分只作为评标委员会的推荐依据，不作为定标委员会对中标候选人排序的依据。</w:t>
      </w:r>
      <w:r>
        <w:rPr>
          <w:rFonts w:hint="eastAsia" w:ascii="宋体" w:hAnsi="宋体" w:eastAsia="宋体" w:cs="宋体"/>
          <w:color w:val="auto"/>
          <w:sz w:val="24"/>
          <w:szCs w:val="24"/>
          <w:highlight w:val="none"/>
          <w:lang w:val="en-US" w:eastAsia="zh-CN"/>
        </w:rPr>
        <w:t>当有效投标人数量不足5名但满足法定要求时，所有通过评审的有效投标人均应作为定标候选人。</w:t>
      </w:r>
    </w:p>
    <w:p w14:paraId="5AFD1E74">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否决投标说明</w:t>
      </w:r>
    </w:p>
    <w:p w14:paraId="6CB7C5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详细评审阶段否决投标的全部条件，在“第二章 投标人须知”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lang w:val="en-US" w:eastAsia="zh-CN"/>
        </w:rPr>
        <w:t>正文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“（二）投标否决”集中列示。投标人有其中所列任何一种情形的，由评标委员会否决其投标。经详细评审后，有效投标人数量不足3个时，招标人应依法重新组织招标。</w:t>
      </w:r>
    </w:p>
    <w:p w14:paraId="629746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注：投标人在详细评审阶段根据评分方法提供的佐证材料，其合法性、有效性和准确性不符合要求的，有关量化因素（或评分标准）的折算、调整（或评分）按相应量化标准（或评分标准）处理，但不否决投标。</w:t>
      </w:r>
    </w:p>
    <w:p w14:paraId="7F3276C4">
      <w:pPr>
        <w:pStyle w:val="22"/>
        <w:widowControl w:val="0"/>
        <w:numPr>
          <w:ilvl w:val="0"/>
          <w:numId w:val="0"/>
        </w:numPr>
        <w:jc w:val="both"/>
        <w:rPr>
          <w:rFonts w:hint="eastAsia" w:ascii="宋体" w:hAnsi="宋体" w:eastAsia="宋体" w:cs="宋体"/>
          <w:color w:val="auto"/>
          <w:highlight w:val="none"/>
        </w:rPr>
      </w:pPr>
    </w:p>
    <w:p w14:paraId="4BC8E46A">
      <w:pPr>
        <w:pStyle w:val="22"/>
        <w:widowControl w:val="0"/>
        <w:numPr>
          <w:ilvl w:val="0"/>
          <w:numId w:val="0"/>
        </w:numPr>
        <w:jc w:val="both"/>
        <w:rPr>
          <w:rFonts w:hint="eastAsia" w:ascii="宋体" w:hAnsi="宋体" w:eastAsia="宋体" w:cs="宋体"/>
          <w:color w:val="auto"/>
          <w:highlight w:val="none"/>
        </w:rPr>
      </w:pPr>
    </w:p>
    <w:p w14:paraId="419FEF9C">
      <w:pPr>
        <w:keepNext w:val="0"/>
        <w:keepLines w:val="0"/>
        <w:pageBreakBefore w:val="0"/>
        <w:widowControl/>
        <w:kinsoku/>
        <w:wordWrap w:val="0"/>
        <w:overflowPunct/>
        <w:topLinePunct w:val="0"/>
        <w:autoSpaceDE/>
        <w:autoSpaceDN/>
        <w:bidi w:val="0"/>
        <w:adjustRightInd w:val="0"/>
        <w:snapToGrid w:val="0"/>
        <w:spacing w:line="240" w:lineRule="auto"/>
        <w:ind w:firstLine="602" w:firstLineChars="200"/>
        <w:jc w:val="center"/>
        <w:textAlignment w:val="baseline"/>
        <w:rPr>
          <w:rFonts w:hint="eastAsia" w:ascii="宋体" w:hAnsi="宋体" w:eastAsia="宋体" w:cs="宋体"/>
          <w:b/>
          <w:bCs/>
          <w:snapToGrid w:val="0"/>
          <w:color w:val="auto"/>
          <w:kern w:val="0"/>
          <w:sz w:val="30"/>
          <w:szCs w:val="30"/>
          <w:highlight w:val="none"/>
          <w:lang w:eastAsia="zh-CN"/>
        </w:rPr>
      </w:pPr>
      <w:r>
        <w:rPr>
          <w:rFonts w:hint="eastAsia" w:ascii="宋体" w:hAnsi="宋体" w:eastAsia="宋体" w:cs="宋体"/>
          <w:b/>
          <w:bCs/>
          <w:snapToGrid w:val="0"/>
          <w:color w:val="auto"/>
          <w:kern w:val="0"/>
          <w:sz w:val="30"/>
          <w:szCs w:val="30"/>
          <w:highlight w:val="none"/>
        </w:rPr>
        <w:t>综合评分表</w:t>
      </w:r>
    </w:p>
    <w:tbl>
      <w:tblPr>
        <w:tblStyle w:val="43"/>
        <w:tblW w:w="9960" w:type="dxa"/>
        <w:jc w:val="center"/>
        <w:tblLayout w:type="fixed"/>
        <w:tblCellMar>
          <w:top w:w="0" w:type="dxa"/>
          <w:left w:w="108" w:type="dxa"/>
          <w:bottom w:w="0" w:type="dxa"/>
          <w:right w:w="108" w:type="dxa"/>
        </w:tblCellMar>
      </w:tblPr>
      <w:tblGrid>
        <w:gridCol w:w="1322"/>
        <w:gridCol w:w="4290"/>
        <w:gridCol w:w="4348"/>
      </w:tblGrid>
      <w:tr w14:paraId="54FBBF33">
        <w:tblPrEx>
          <w:tblCellMar>
            <w:top w:w="0" w:type="dxa"/>
            <w:left w:w="108" w:type="dxa"/>
            <w:bottom w:w="0" w:type="dxa"/>
            <w:right w:w="108" w:type="dxa"/>
          </w:tblCellMar>
        </w:tblPrEx>
        <w:trPr>
          <w:trHeight w:val="53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A8511DD">
            <w:pPr>
              <w:pStyle w:val="17"/>
              <w:keepNext w:val="0"/>
              <w:keepLines w:val="0"/>
              <w:pageBreakBefore w:val="0"/>
              <w:widowControl w:val="0"/>
              <w:suppressLineNumbers w:val="0"/>
              <w:tabs>
                <w:tab w:val="left" w:pos="1354"/>
                <w:tab w:val="left" w:pos="1459"/>
                <w:tab w:val="center" w:pos="3902"/>
                <w:tab w:val="right" w:pos="7805"/>
              </w:tabs>
              <w:kinsoku/>
              <w:wordWrap w:val="0"/>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商务部分，满分：</w:t>
            </w:r>
            <w:r>
              <w:rPr>
                <w:rFonts w:hint="eastAsia" w:hAnsi="宋体" w:cs="宋体"/>
                <w:snapToGrid w:val="0"/>
                <w:color w:val="auto"/>
                <w:kern w:val="0"/>
                <w:sz w:val="21"/>
                <w:szCs w:val="21"/>
                <w:highlight w:val="none"/>
                <w:u w:val="single"/>
                <w:lang w:val="en-US" w:eastAsia="zh-CN"/>
              </w:rPr>
              <w:t xml:space="preserve">87.5 </w:t>
            </w:r>
            <w:r>
              <w:rPr>
                <w:rFonts w:hint="eastAsia" w:ascii="Times New Roman" w:hAnsi="宋体" w:cs="宋体"/>
                <w:snapToGrid w:val="0"/>
                <w:color w:val="auto"/>
                <w:kern w:val="0"/>
                <w:sz w:val="21"/>
                <w:szCs w:val="21"/>
                <w:highlight w:val="none"/>
              </w:rPr>
              <w:t>分。</w:t>
            </w:r>
          </w:p>
        </w:tc>
      </w:tr>
      <w:tr w14:paraId="06910076">
        <w:tblPrEx>
          <w:tblCellMar>
            <w:top w:w="0" w:type="dxa"/>
            <w:left w:w="108" w:type="dxa"/>
            <w:bottom w:w="0" w:type="dxa"/>
            <w:right w:w="108" w:type="dxa"/>
          </w:tblCellMar>
        </w:tblPrEx>
        <w:trPr>
          <w:trHeight w:val="493"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4D1424AE">
            <w:pPr>
              <w:pStyle w:val="17"/>
              <w:keepNext w:val="0"/>
              <w:keepLines w:val="0"/>
              <w:pageBreakBefore w:val="0"/>
              <w:widowControl w:val="0"/>
              <w:suppressLineNumbers w:val="0"/>
              <w:tabs>
                <w:tab w:val="left" w:pos="1354"/>
                <w:tab w:val="left" w:pos="1459"/>
                <w:tab w:val="center" w:pos="3902"/>
                <w:tab w:val="right" w:pos="7805"/>
              </w:tabs>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评分因素</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921A132">
            <w:pPr>
              <w:pStyle w:val="17"/>
              <w:keepNext w:val="0"/>
              <w:keepLines w:val="0"/>
              <w:pageBreakBefore w:val="0"/>
              <w:widowControl w:val="0"/>
              <w:suppressLineNumbers w:val="0"/>
              <w:tabs>
                <w:tab w:val="left" w:pos="1354"/>
                <w:tab w:val="left" w:pos="1459"/>
                <w:tab w:val="center" w:pos="3902"/>
                <w:tab w:val="right" w:pos="7805"/>
              </w:tabs>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评分标准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377CC46C">
            <w:pPr>
              <w:pStyle w:val="17"/>
              <w:keepNext w:val="0"/>
              <w:keepLines w:val="0"/>
              <w:pageBreakBefore w:val="0"/>
              <w:widowControl w:val="0"/>
              <w:suppressLineNumbers w:val="0"/>
              <w:tabs>
                <w:tab w:val="left" w:pos="1354"/>
                <w:tab w:val="left" w:pos="1459"/>
                <w:tab w:val="center" w:pos="3902"/>
                <w:tab w:val="right" w:pos="7805"/>
              </w:tabs>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备注</w:t>
            </w:r>
          </w:p>
        </w:tc>
      </w:tr>
      <w:tr w14:paraId="43933511">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786BF790">
            <w:pPr>
              <w:keepNext w:val="0"/>
              <w:keepLines w:val="0"/>
              <w:pageBreakBefore w:val="0"/>
              <w:suppressLineNumbers w:val="0"/>
              <w:kinsoku/>
              <w:overflowPunct/>
              <w:topLinePunct w:val="0"/>
              <w:autoSpaceDE/>
              <w:autoSpaceDN/>
              <w:bidi w:val="0"/>
              <w:spacing w:before="0" w:beforeAutospacing="0" w:after="0" w:afterAutospacing="0" w:line="360" w:lineRule="exact"/>
              <w:ind w:left="0" w:right="0"/>
              <w:jc w:val="center"/>
              <w:textAlignment w:val="auto"/>
              <w:rPr>
                <w:rFonts w:hint="default" w:ascii="Times New Roman" w:hAnsi="宋体" w:cs="宋体"/>
                <w:color w:val="auto"/>
                <w:sz w:val="21"/>
                <w:szCs w:val="21"/>
                <w:highlight w:val="none"/>
              </w:rPr>
            </w:pPr>
            <w:r>
              <w:rPr>
                <w:rFonts w:hint="default" w:ascii="Times New Roman" w:hAnsi="宋体" w:cs="宋体"/>
                <w:color w:val="auto"/>
                <w:sz w:val="21"/>
                <w:szCs w:val="21"/>
                <w:highlight w:val="none"/>
              </w:rPr>
              <w:t>企业奖项</w:t>
            </w:r>
          </w:p>
          <w:p w14:paraId="1189D3E4">
            <w:pPr>
              <w:keepNext w:val="0"/>
              <w:keepLines w:val="0"/>
              <w:pageBreakBefore w:val="0"/>
              <w:suppressLineNumbers w:val="0"/>
              <w:kinsoku/>
              <w:overflowPunct/>
              <w:topLinePunct w:val="0"/>
              <w:autoSpaceDE/>
              <w:autoSpaceDN/>
              <w:bidi w:val="0"/>
              <w:spacing w:before="0" w:beforeAutospacing="0" w:after="0" w:afterAutospacing="0" w:line="360" w:lineRule="exact"/>
              <w:ind w:left="0" w:right="0"/>
              <w:jc w:val="center"/>
              <w:textAlignment w:val="auto"/>
              <w:rPr>
                <w:rFonts w:hint="default" w:ascii="Times New Roman" w:hAnsi="宋体" w:cs="宋体"/>
                <w:snapToGrid w:val="0"/>
                <w:color w:val="auto"/>
                <w:kern w:val="0"/>
                <w:sz w:val="21"/>
                <w:szCs w:val="21"/>
                <w:highlight w:val="none"/>
              </w:rPr>
            </w:pPr>
            <w:r>
              <w:rPr>
                <w:rFonts w:hint="default" w:ascii="Times New Roman" w:hAnsi="宋体" w:cs="宋体"/>
                <w:color w:val="auto"/>
                <w:sz w:val="21"/>
                <w:szCs w:val="21"/>
                <w:highlight w:val="none"/>
              </w:rPr>
              <w:t>（</w:t>
            </w:r>
            <w:r>
              <w:rPr>
                <w:rFonts w:hint="eastAsia" w:ascii="Times New Roman" w:hAnsi="宋体" w:cs="宋体"/>
                <w:color w:val="auto"/>
                <w:sz w:val="21"/>
                <w:szCs w:val="21"/>
                <w:highlight w:val="none"/>
                <w:lang w:val="en-US" w:eastAsia="zh-CN"/>
              </w:rPr>
              <w:t>10</w:t>
            </w:r>
            <w:r>
              <w:rPr>
                <w:rFonts w:hint="default" w:ascii="Times New Roman" w:hAnsi="宋体" w:cs="宋体"/>
                <w:color w:val="auto"/>
                <w:sz w:val="21"/>
                <w:szCs w:val="21"/>
                <w:highlight w:val="none"/>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733441C">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企业近</w:t>
            </w:r>
            <w:r>
              <w:rPr>
                <w:rFonts w:hint="eastAsia" w:ascii="Times New Roman" w:hAnsi="宋体" w:cs="宋体"/>
                <w:snapToGrid w:val="0"/>
                <w:color w:val="auto"/>
                <w:kern w:val="0"/>
                <w:sz w:val="21"/>
                <w:szCs w:val="21"/>
                <w:highlight w:val="none"/>
                <w:u w:val="single"/>
              </w:rPr>
              <w:t xml:space="preserve"> 5 </w:t>
            </w:r>
            <w:r>
              <w:rPr>
                <w:rFonts w:hint="eastAsia" w:ascii="Times New Roman" w:hAnsi="宋体" w:cs="宋体"/>
                <w:snapToGrid w:val="0"/>
                <w:color w:val="auto"/>
                <w:kern w:val="0"/>
                <w:sz w:val="21"/>
                <w:szCs w:val="21"/>
                <w:highlight w:val="none"/>
              </w:rPr>
              <w:t>年来（20</w:t>
            </w:r>
            <w:r>
              <w:rPr>
                <w:rFonts w:hint="eastAsia" w:ascii="Times New Roman" w:hAnsi="宋体" w:cs="宋体"/>
                <w:snapToGrid w:val="0"/>
                <w:color w:val="auto"/>
                <w:kern w:val="0"/>
                <w:sz w:val="21"/>
                <w:szCs w:val="21"/>
                <w:highlight w:val="none"/>
                <w:lang w:val="en-US" w:eastAsia="zh-CN"/>
              </w:rPr>
              <w:t>2</w:t>
            </w:r>
            <w:r>
              <w:rPr>
                <w:rFonts w:hint="eastAsia" w:hAnsi="宋体" w:cs="宋体"/>
                <w:snapToGrid w:val="0"/>
                <w:color w:val="auto"/>
                <w:kern w:val="0"/>
                <w:sz w:val="21"/>
                <w:szCs w:val="21"/>
                <w:highlight w:val="none"/>
                <w:lang w:val="en-US" w:eastAsia="zh-CN"/>
              </w:rPr>
              <w:t>1</w:t>
            </w:r>
            <w:r>
              <w:rPr>
                <w:rFonts w:hint="eastAsia" w:ascii="Times New Roman" w:hAnsi="宋体" w:cs="宋体"/>
                <w:snapToGrid w:val="0"/>
                <w:color w:val="auto"/>
                <w:kern w:val="0"/>
                <w:sz w:val="21"/>
                <w:szCs w:val="21"/>
                <w:highlight w:val="none"/>
              </w:rPr>
              <w:t>年1月1日至今）企业获</w:t>
            </w:r>
            <w:r>
              <w:rPr>
                <w:rFonts w:hint="eastAsia" w:ascii="Times New Roman" w:hAnsi="宋体" w:cs="宋体"/>
                <w:snapToGrid w:val="0"/>
                <w:color w:val="auto"/>
                <w:kern w:val="0"/>
                <w:sz w:val="21"/>
                <w:szCs w:val="21"/>
                <w:highlight w:val="none"/>
                <w:lang w:val="en-US" w:eastAsia="zh-CN"/>
              </w:rPr>
              <w:t>得</w:t>
            </w:r>
            <w:r>
              <w:rPr>
                <w:rFonts w:hint="eastAsia" w:ascii="Times New Roman" w:hAnsi="宋体" w:cs="宋体"/>
                <w:strike w:val="0"/>
                <w:dstrike w:val="0"/>
                <w:snapToGrid w:val="0"/>
                <w:color w:val="auto"/>
                <w:kern w:val="0"/>
                <w:sz w:val="21"/>
                <w:szCs w:val="21"/>
                <w:highlight w:val="none"/>
                <w:u w:val="single"/>
                <w:lang w:val="en-US" w:eastAsia="zh-CN"/>
              </w:rPr>
              <w:t>市政</w:t>
            </w:r>
            <w:r>
              <w:rPr>
                <w:rFonts w:hint="eastAsia" w:ascii="Times New Roman" w:hAnsi="宋体" w:cs="宋体"/>
                <w:strike w:val="0"/>
                <w:dstrike w:val="0"/>
                <w:snapToGrid w:val="0"/>
                <w:color w:val="auto"/>
                <w:kern w:val="0"/>
                <w:sz w:val="21"/>
                <w:szCs w:val="21"/>
                <w:highlight w:val="none"/>
              </w:rPr>
              <w:t>工程类</w:t>
            </w:r>
            <w:r>
              <w:rPr>
                <w:rFonts w:hint="eastAsia" w:ascii="Times New Roman" w:hAnsi="宋体" w:cs="宋体"/>
                <w:snapToGrid w:val="0"/>
                <w:color w:val="auto"/>
                <w:kern w:val="0"/>
                <w:sz w:val="21"/>
                <w:szCs w:val="21"/>
                <w:highlight w:val="none"/>
              </w:rPr>
              <w:t>奖项（不含参建奖项）：</w:t>
            </w:r>
          </w:p>
          <w:p w14:paraId="2218AC7C">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．获得省级</w:t>
            </w:r>
            <w:r>
              <w:rPr>
                <w:rFonts w:hint="eastAsia" w:ascii="Times New Roman" w:hAnsi="宋体" w:cs="宋体"/>
                <w:snapToGrid w:val="0"/>
                <w:color w:val="auto"/>
                <w:kern w:val="0"/>
                <w:sz w:val="21"/>
                <w:szCs w:val="21"/>
                <w:highlight w:val="none"/>
              </w:rPr>
              <w:t>或以上奖项</w:t>
            </w:r>
            <w:r>
              <w:rPr>
                <w:rFonts w:hint="eastAsia" w:hAnsi="宋体" w:cs="宋体"/>
                <w:snapToGrid w:val="0"/>
                <w:color w:val="auto"/>
                <w:kern w:val="0"/>
                <w:sz w:val="21"/>
                <w:szCs w:val="21"/>
                <w:highlight w:val="none"/>
              </w:rPr>
              <w:t>的，每个得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p w14:paraId="5CC4A1EB">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hAnsi="宋体" w:cs="宋体"/>
                <w:snapToGrid w:val="0"/>
                <w:color w:val="auto"/>
                <w:kern w:val="0"/>
                <w:sz w:val="21"/>
                <w:szCs w:val="21"/>
                <w:highlight w:val="none"/>
              </w:rPr>
              <w:t>．获得地市级</w:t>
            </w:r>
            <w:r>
              <w:rPr>
                <w:rFonts w:hint="eastAsia" w:ascii="Times New Roman" w:hAnsi="宋体" w:cs="宋体"/>
                <w:snapToGrid w:val="0"/>
                <w:color w:val="auto"/>
                <w:kern w:val="0"/>
                <w:sz w:val="21"/>
                <w:szCs w:val="21"/>
                <w:highlight w:val="none"/>
              </w:rPr>
              <w:t>奖项</w:t>
            </w:r>
            <w:r>
              <w:rPr>
                <w:rFonts w:hint="eastAsia" w:hAnsi="宋体" w:cs="宋体"/>
                <w:snapToGrid w:val="0"/>
                <w:color w:val="auto"/>
                <w:kern w:val="0"/>
                <w:sz w:val="21"/>
                <w:szCs w:val="21"/>
                <w:highlight w:val="none"/>
              </w:rPr>
              <w:t>的，每个得</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p w14:paraId="62964CF8">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．未获得以上</w:t>
            </w:r>
            <w:r>
              <w:rPr>
                <w:rFonts w:hint="eastAsia" w:ascii="Times New Roman" w:hAnsi="宋体" w:cs="宋体"/>
                <w:snapToGrid w:val="0"/>
                <w:color w:val="auto"/>
                <w:kern w:val="0"/>
                <w:sz w:val="21"/>
                <w:szCs w:val="21"/>
                <w:highlight w:val="none"/>
              </w:rPr>
              <w:t>奖项</w:t>
            </w:r>
            <w:r>
              <w:rPr>
                <w:rFonts w:hint="eastAsia" w:hAnsi="宋体" w:cs="宋体"/>
                <w:snapToGrid w:val="0"/>
                <w:color w:val="auto"/>
                <w:kern w:val="0"/>
                <w:sz w:val="21"/>
                <w:szCs w:val="21"/>
                <w:highlight w:val="none"/>
              </w:rPr>
              <w:t>的，不予计分。</w:t>
            </w:r>
          </w:p>
          <w:p w14:paraId="057A8F25">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4</w:t>
            </w:r>
            <w:r>
              <w:rPr>
                <w:rFonts w:hint="eastAsia" w:hAnsi="宋体" w:cs="宋体"/>
                <w:snapToGrid w:val="0"/>
                <w:color w:val="auto"/>
                <w:kern w:val="0"/>
                <w:sz w:val="21"/>
                <w:szCs w:val="21"/>
                <w:highlight w:val="none"/>
              </w:rPr>
              <w:t>．本项最高得10分。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15536050">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1．允许投标人提交多个业绩，但同一业绩只按最高级别奖项计分一次。</w:t>
            </w:r>
          </w:p>
          <w:p w14:paraId="003E116C">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2．需附有关奖项证明彩色扫描件。</w:t>
            </w:r>
          </w:p>
          <w:p w14:paraId="4523F1D8">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3．颁发机构限定以下范围：</w:t>
            </w:r>
          </w:p>
          <w:p w14:paraId="07500716">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①国家级奖项：</w:t>
            </w:r>
            <w:r>
              <w:rPr>
                <w:rFonts w:hint="eastAsia" w:ascii="Times New Roman" w:hAnsi="宋体" w:cs="宋体"/>
                <w:snapToGrid w:val="0"/>
                <w:color w:val="auto"/>
                <w:kern w:val="0"/>
                <w:sz w:val="21"/>
                <w:szCs w:val="21"/>
                <w:highlight w:val="none"/>
                <w:u w:val="single"/>
              </w:rPr>
              <w:t>国务院、住建部、国家建筑行业协会、</w:t>
            </w:r>
            <w:r>
              <w:rPr>
                <w:rFonts w:hint="eastAsia" w:hAnsi="宋体" w:cs="宋体"/>
                <w:snapToGrid w:val="0"/>
                <w:color w:val="auto"/>
                <w:kern w:val="0"/>
                <w:sz w:val="21"/>
                <w:szCs w:val="21"/>
                <w:highlight w:val="none"/>
                <w:u w:val="single"/>
                <w:lang w:eastAsia="zh-CN"/>
              </w:rPr>
              <w:t>国家级市政类行业协会</w:t>
            </w:r>
            <w:r>
              <w:rPr>
                <w:rFonts w:hint="eastAsia" w:ascii="Times New Roman" w:hAnsi="宋体" w:cs="宋体"/>
                <w:snapToGrid w:val="0"/>
                <w:color w:val="auto"/>
                <w:kern w:val="0"/>
                <w:sz w:val="21"/>
                <w:szCs w:val="21"/>
                <w:highlight w:val="none"/>
                <w:u w:val="single"/>
              </w:rPr>
              <w:t>；（相关协会需经民政部门备案，须提供备案截图，否则不得分）</w:t>
            </w:r>
            <w:r>
              <w:rPr>
                <w:rFonts w:hint="eastAsia" w:ascii="Times New Roman" w:hAnsi="宋体" w:cs="宋体"/>
                <w:snapToGrid w:val="0"/>
                <w:color w:val="auto"/>
                <w:kern w:val="0"/>
                <w:sz w:val="21"/>
                <w:szCs w:val="21"/>
                <w:highlight w:val="none"/>
              </w:rPr>
              <w:t>；</w:t>
            </w:r>
          </w:p>
          <w:p w14:paraId="1E1D19DC">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②省级奖项：</w:t>
            </w:r>
            <w:r>
              <w:rPr>
                <w:rFonts w:hint="eastAsia" w:ascii="Times New Roman" w:hAnsi="宋体" w:cs="宋体"/>
                <w:snapToGrid w:val="0"/>
                <w:color w:val="auto"/>
                <w:kern w:val="0"/>
                <w:sz w:val="21"/>
                <w:szCs w:val="21"/>
                <w:highlight w:val="none"/>
                <w:u w:val="single"/>
              </w:rPr>
              <w:t>省级人民政府、省级住建部门、省建筑行业协会、省级市政行业协会；（相关协会需经民政部门备案，须提供备案截图，否则不得分）</w:t>
            </w:r>
            <w:r>
              <w:rPr>
                <w:rFonts w:hint="eastAsia" w:ascii="Times New Roman" w:hAnsi="宋体" w:cs="宋体"/>
                <w:snapToGrid w:val="0"/>
                <w:color w:val="auto"/>
                <w:kern w:val="0"/>
                <w:sz w:val="21"/>
                <w:szCs w:val="21"/>
                <w:highlight w:val="none"/>
              </w:rPr>
              <w:t>；</w:t>
            </w:r>
          </w:p>
          <w:p w14:paraId="5C7486EC">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 xml:space="preserve">③地市级奖项： </w:t>
            </w:r>
            <w:r>
              <w:rPr>
                <w:rFonts w:hint="eastAsia" w:ascii="Times New Roman" w:hAnsi="宋体" w:cs="宋体"/>
                <w:snapToGrid w:val="0"/>
                <w:color w:val="auto"/>
                <w:kern w:val="0"/>
                <w:sz w:val="21"/>
                <w:szCs w:val="21"/>
                <w:highlight w:val="none"/>
                <w:u w:val="single"/>
              </w:rPr>
              <w:t>地市级人民政府、地市级住建部门、地市级建筑行业协会、地市级市政类行业协会。（相关协会需经民政部门备案，须提供备案截图，否则不得分）</w:t>
            </w:r>
            <w:r>
              <w:rPr>
                <w:rFonts w:hint="eastAsia" w:ascii="Times New Roman" w:hAnsi="宋体" w:cs="宋体"/>
                <w:snapToGrid w:val="0"/>
                <w:color w:val="auto"/>
                <w:kern w:val="0"/>
                <w:sz w:val="21"/>
                <w:szCs w:val="21"/>
                <w:highlight w:val="none"/>
              </w:rPr>
              <w:t>。</w:t>
            </w:r>
          </w:p>
          <w:p w14:paraId="115C9147">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4．获奖时间以奖项证明的落款日期为准。</w:t>
            </w:r>
          </w:p>
          <w:p w14:paraId="1F2A7A7D">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5．任一奖项有以下情形之一的，该奖项视为无效，不予计分：</w:t>
            </w:r>
          </w:p>
          <w:p w14:paraId="7F8D3E5C">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①奖项不属于指定类别的；</w:t>
            </w:r>
          </w:p>
          <w:p w14:paraId="58DFBE79">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②颁发机构不符合要求的；</w:t>
            </w:r>
          </w:p>
          <w:p w14:paraId="0294FBD5">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③获奖时间不符合要求的。</w:t>
            </w:r>
          </w:p>
          <w:p w14:paraId="7D518B96">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说明：以上所称“要求”均指本表评分标准及备注的要求，下同。</w:t>
            </w:r>
          </w:p>
        </w:tc>
      </w:tr>
      <w:tr w14:paraId="355C7B70">
        <w:tblPrEx>
          <w:tblCellMar>
            <w:top w:w="0" w:type="dxa"/>
            <w:left w:w="108" w:type="dxa"/>
            <w:bottom w:w="0" w:type="dxa"/>
            <w:right w:w="108" w:type="dxa"/>
          </w:tblCellMar>
        </w:tblPrEx>
        <w:trPr>
          <w:trHeight w:val="27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2D7E0C2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lang w:val="en-US" w:eastAsia="zh-CN" w:bidi="ar-SA"/>
              </w:rPr>
            </w:pPr>
            <w:r>
              <w:rPr>
                <w:rFonts w:hint="eastAsia" w:ascii="Times New Roman" w:hAnsi="宋体" w:cs="宋体"/>
                <w:snapToGrid w:val="0"/>
                <w:color w:val="auto"/>
                <w:kern w:val="0"/>
                <w:sz w:val="21"/>
                <w:szCs w:val="21"/>
                <w:highlight w:val="none"/>
                <w:lang w:val="en-US" w:eastAsia="zh-CN" w:bidi="ar-SA"/>
              </w:rPr>
              <w:t>项目经理</w:t>
            </w:r>
          </w:p>
          <w:p w14:paraId="57DAFB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lang w:val="en-US" w:eastAsia="zh-CN" w:bidi="ar-SA"/>
              </w:rPr>
            </w:pPr>
            <w:r>
              <w:rPr>
                <w:rFonts w:hint="eastAsia" w:ascii="Times New Roman" w:hAnsi="宋体" w:cs="宋体"/>
                <w:snapToGrid w:val="0"/>
                <w:color w:val="auto"/>
                <w:kern w:val="0"/>
                <w:sz w:val="21"/>
                <w:szCs w:val="21"/>
                <w:highlight w:val="none"/>
                <w:lang w:val="en-US" w:eastAsia="zh-CN" w:bidi="ar-SA"/>
              </w:rPr>
              <w:t>综合素质</w:t>
            </w:r>
          </w:p>
          <w:p w14:paraId="1A88884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lang w:val="en-US" w:eastAsia="zh-CN" w:bidi="ar-SA"/>
              </w:rPr>
            </w:pPr>
            <w:r>
              <w:rPr>
                <w:rFonts w:hint="eastAsia" w:ascii="Times New Roman" w:hAnsi="宋体" w:cs="宋体"/>
                <w:snapToGrid w:val="0"/>
                <w:color w:val="auto"/>
                <w:kern w:val="0"/>
                <w:sz w:val="21"/>
                <w:szCs w:val="21"/>
                <w:highlight w:val="none"/>
                <w:lang w:val="en-US" w:eastAsia="zh-CN" w:bidi="ar-SA"/>
              </w:rPr>
              <w:t>（ 1</w:t>
            </w:r>
            <w:r>
              <w:rPr>
                <w:rFonts w:hint="eastAsia" w:hAnsi="宋体" w:cs="宋体"/>
                <w:snapToGrid w:val="0"/>
                <w:color w:val="auto"/>
                <w:kern w:val="0"/>
                <w:sz w:val="21"/>
                <w:szCs w:val="21"/>
                <w:highlight w:val="none"/>
                <w:lang w:val="en-US" w:eastAsia="zh-CN" w:bidi="ar-SA"/>
              </w:rPr>
              <w:t>0</w:t>
            </w:r>
            <w:r>
              <w:rPr>
                <w:rFonts w:hint="eastAsia" w:ascii="Times New Roman" w:hAnsi="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7BFA7BCB">
            <w:pPr>
              <w:pStyle w:val="1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项目经理工程类技术职称情况：</w:t>
            </w:r>
          </w:p>
          <w:p w14:paraId="6D3396B1">
            <w:pPr>
              <w:pStyle w:val="1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具备工程师或以上职称的，得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p w14:paraId="47B91EFF">
            <w:pPr>
              <w:pStyle w:val="1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具备助理工程师职称的，得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p w14:paraId="60DD8603">
            <w:pPr>
              <w:pStyle w:val="1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3.不具备以上职称的，或未提供职称 证原件的，不予计分。</w:t>
            </w:r>
          </w:p>
          <w:p w14:paraId="3F5348B7">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textAlignment w:val="auto"/>
              <w:rPr>
                <w:rFonts w:hint="default" w:cs="Times New Roman"/>
                <w:color w:val="auto"/>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bidi="ar-SA"/>
              </w:rPr>
              <w:t>4.本项最高得10分。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4AF5694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snapToGrid w:val="0"/>
                <w:color w:val="auto"/>
                <w:kern w:val="0"/>
                <w:sz w:val="21"/>
                <w:szCs w:val="21"/>
                <w:highlight w:val="none"/>
              </w:rPr>
              <w:t>须附职称证彩色扫描件（具备职称评审公告网址可查条件的，需提供职称评审公告网址与</w:t>
            </w:r>
            <w:r>
              <w:rPr>
                <w:rFonts w:hint="eastAsia" w:ascii="宋体" w:hAnsi="宋体" w:cs="宋体"/>
                <w:snapToGrid w:val="0"/>
                <w:color w:val="auto"/>
                <w:kern w:val="0"/>
                <w:sz w:val="21"/>
                <w:szCs w:val="21"/>
                <w:highlight w:val="none"/>
                <w:lang w:val="en-US" w:eastAsia="zh-CN"/>
              </w:rPr>
              <w:t>截图</w:t>
            </w:r>
            <w:r>
              <w:rPr>
                <w:rFonts w:hint="eastAsia" w:ascii="宋体" w:hAnsi="宋体" w:eastAsia="宋体" w:cs="宋体"/>
                <w:snapToGrid w:val="0"/>
                <w:color w:val="auto"/>
                <w:kern w:val="0"/>
                <w:sz w:val="21"/>
                <w:szCs w:val="21"/>
                <w:highlight w:val="none"/>
              </w:rPr>
              <w:t>），一经发生职称相关异议时需提供原件供核对（职称证为电子证书的除外）</w:t>
            </w:r>
            <w:r>
              <w:rPr>
                <w:rFonts w:hint="eastAsia" w:ascii="宋体" w:hAnsi="宋体" w:cs="宋体"/>
                <w:snapToGrid w:val="0"/>
                <w:color w:val="auto"/>
                <w:kern w:val="0"/>
                <w:sz w:val="21"/>
                <w:szCs w:val="21"/>
                <w:highlight w:val="none"/>
                <w:lang w:eastAsia="zh-CN"/>
              </w:rPr>
              <w:t>。</w:t>
            </w:r>
          </w:p>
        </w:tc>
      </w:tr>
      <w:tr w14:paraId="32049718">
        <w:tblPrEx>
          <w:tblCellMar>
            <w:top w:w="0" w:type="dxa"/>
            <w:left w:w="108" w:type="dxa"/>
            <w:bottom w:w="0" w:type="dxa"/>
            <w:right w:w="108" w:type="dxa"/>
          </w:tblCellMar>
        </w:tblPrEx>
        <w:trPr>
          <w:trHeight w:val="9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5DF987E7">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企业业绩</w:t>
            </w:r>
          </w:p>
          <w:p w14:paraId="6FB0E839">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w:t>
            </w:r>
            <w:r>
              <w:rPr>
                <w:rFonts w:hint="eastAsia" w:ascii="Times New Roman" w:hAnsi="宋体" w:cs="宋体"/>
                <w:snapToGrid w:val="0"/>
                <w:color w:val="auto"/>
                <w:kern w:val="0"/>
                <w:sz w:val="21"/>
                <w:szCs w:val="21"/>
                <w:highlight w:val="none"/>
                <w:lang w:val="en-US" w:eastAsia="zh-CN"/>
              </w:rPr>
              <w:t>15</w:t>
            </w:r>
            <w:r>
              <w:rPr>
                <w:rFonts w:hint="eastAsia" w:ascii="Times New Roman" w:hAnsi="宋体" w:cs="宋体"/>
                <w:snapToGrid w:val="0"/>
                <w:color w:val="auto"/>
                <w:kern w:val="0"/>
                <w:sz w:val="21"/>
                <w:szCs w:val="21"/>
                <w:highlight w:val="none"/>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4E028F7B">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投标人</w:t>
            </w:r>
            <w:r>
              <w:rPr>
                <w:rFonts w:hint="eastAsia" w:hAnsi="宋体" w:cs="宋体"/>
                <w:snapToGrid w:val="0"/>
                <w:color w:val="auto"/>
                <w:kern w:val="0"/>
                <w:sz w:val="21"/>
                <w:szCs w:val="21"/>
                <w:highlight w:val="none"/>
              </w:rPr>
              <w:t>近</w:t>
            </w:r>
            <w:r>
              <w:rPr>
                <w:rFonts w:hint="eastAsia" w:hAnsi="宋体" w:cs="宋体"/>
                <w:snapToGrid w:val="0"/>
                <w:color w:val="auto"/>
                <w:kern w:val="0"/>
                <w:sz w:val="21"/>
                <w:szCs w:val="21"/>
                <w:highlight w:val="none"/>
                <w:u w:val="single"/>
              </w:rPr>
              <w:t xml:space="preserve"> 5 </w:t>
            </w:r>
            <w:r>
              <w:rPr>
                <w:rFonts w:hint="eastAsia" w:hAnsi="宋体" w:cs="宋体"/>
                <w:snapToGrid w:val="0"/>
                <w:color w:val="auto"/>
                <w:kern w:val="0"/>
                <w:sz w:val="21"/>
                <w:szCs w:val="21"/>
                <w:highlight w:val="none"/>
              </w:rPr>
              <w:t>年来（</w:t>
            </w:r>
            <w:r>
              <w:rPr>
                <w:rFonts w:hint="eastAsia" w:hAnsi="宋体" w:cs="宋体"/>
                <w:snapToGrid w:val="0"/>
                <w:color w:val="auto"/>
                <w:kern w:val="0"/>
                <w:sz w:val="21"/>
                <w:szCs w:val="21"/>
                <w:highlight w:val="none"/>
                <w:lang w:val="en-US" w:eastAsia="zh-CN"/>
              </w:rPr>
              <w:t>2021</w:t>
            </w:r>
            <w:r>
              <w:rPr>
                <w:rFonts w:hint="eastAsia" w:hAnsi="宋体" w:cs="宋体"/>
                <w:snapToGrid w:val="0"/>
                <w:color w:val="auto"/>
                <w:kern w:val="0"/>
                <w:sz w:val="21"/>
                <w:szCs w:val="21"/>
                <w:highlight w:val="none"/>
              </w:rPr>
              <w:t>年</w:t>
            </w: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月</w:t>
            </w: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日至</w:t>
            </w:r>
            <w:r>
              <w:rPr>
                <w:rFonts w:hint="eastAsia" w:hAnsi="宋体" w:cs="宋体"/>
                <w:snapToGrid w:val="0"/>
                <w:color w:val="auto"/>
                <w:kern w:val="0"/>
                <w:sz w:val="21"/>
                <w:szCs w:val="21"/>
                <w:highlight w:val="none"/>
                <w:lang w:val="en-US" w:eastAsia="zh-CN"/>
              </w:rPr>
              <w:t>今</w:t>
            </w:r>
            <w:r>
              <w:rPr>
                <w:rFonts w:hint="eastAsia" w:hAnsi="宋体" w:cs="宋体"/>
                <w:snapToGrid w:val="0"/>
                <w:color w:val="auto"/>
                <w:kern w:val="0"/>
                <w:sz w:val="21"/>
                <w:szCs w:val="21"/>
                <w:highlight w:val="none"/>
              </w:rPr>
              <w:t>）业绩情况：</w:t>
            </w:r>
          </w:p>
          <w:p w14:paraId="6AFEDC7F">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b w:val="0"/>
                <w:bCs w:val="0"/>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b w:val="0"/>
                <w:bCs w:val="0"/>
                <w:snapToGrid w:val="0"/>
                <w:color w:val="auto"/>
                <w:kern w:val="0"/>
                <w:sz w:val="21"/>
                <w:szCs w:val="21"/>
                <w:highlight w:val="none"/>
                <w:u w:val="single"/>
              </w:rPr>
              <w:t>完成</w:t>
            </w:r>
            <w:r>
              <w:rPr>
                <w:rFonts w:hint="eastAsia" w:hAnsi="宋体" w:cs="宋体"/>
                <w:b w:val="0"/>
                <w:bCs w:val="0"/>
                <w:snapToGrid w:val="0"/>
                <w:color w:val="auto"/>
                <w:kern w:val="0"/>
                <w:sz w:val="21"/>
                <w:szCs w:val="21"/>
                <w:highlight w:val="none"/>
              </w:rPr>
              <w:t>过类似工程的，每个得</w:t>
            </w:r>
            <w:r>
              <w:rPr>
                <w:rFonts w:hint="eastAsia" w:hAnsi="宋体" w:cs="宋体"/>
                <w:b w:val="0"/>
                <w:bCs w:val="0"/>
                <w:snapToGrid w:val="0"/>
                <w:color w:val="auto"/>
                <w:kern w:val="0"/>
                <w:sz w:val="21"/>
                <w:szCs w:val="21"/>
                <w:highlight w:val="none"/>
                <w:lang w:val="en-US" w:eastAsia="zh-CN"/>
              </w:rPr>
              <w:t>7.5</w:t>
            </w:r>
            <w:r>
              <w:rPr>
                <w:rFonts w:hint="eastAsia" w:hAnsi="宋体" w:cs="宋体"/>
                <w:b w:val="0"/>
                <w:bCs w:val="0"/>
                <w:snapToGrid w:val="0"/>
                <w:color w:val="auto"/>
                <w:kern w:val="0"/>
                <w:sz w:val="21"/>
                <w:szCs w:val="21"/>
                <w:highlight w:val="none"/>
              </w:rPr>
              <w:t>分。</w:t>
            </w:r>
          </w:p>
          <w:p w14:paraId="28124EA9">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b w:val="0"/>
                <w:bCs w:val="0"/>
                <w:snapToGrid w:val="0"/>
                <w:color w:val="auto"/>
                <w:kern w:val="0"/>
                <w:sz w:val="21"/>
                <w:szCs w:val="21"/>
                <w:highlight w:val="none"/>
              </w:rPr>
              <w:t>2．</w:t>
            </w:r>
            <w:r>
              <w:rPr>
                <w:rFonts w:hint="eastAsia" w:hAnsi="宋体" w:cs="宋体"/>
                <w:b w:val="0"/>
                <w:bCs w:val="0"/>
                <w:snapToGrid w:val="0"/>
                <w:color w:val="auto"/>
                <w:kern w:val="0"/>
                <w:sz w:val="21"/>
                <w:szCs w:val="21"/>
                <w:highlight w:val="none"/>
                <w:u w:val="single"/>
              </w:rPr>
              <w:t>未完成</w:t>
            </w:r>
            <w:r>
              <w:rPr>
                <w:rFonts w:hint="eastAsia" w:hAnsi="宋体" w:cs="宋体"/>
                <w:b w:val="0"/>
                <w:bCs w:val="0"/>
                <w:snapToGrid w:val="0"/>
                <w:color w:val="auto"/>
                <w:kern w:val="0"/>
                <w:sz w:val="21"/>
                <w:szCs w:val="21"/>
                <w:highlight w:val="none"/>
              </w:rPr>
              <w:t>过类似工程的，不</w:t>
            </w:r>
            <w:r>
              <w:rPr>
                <w:rFonts w:hint="eastAsia" w:hAnsi="宋体" w:cs="宋体"/>
                <w:snapToGrid w:val="0"/>
                <w:color w:val="auto"/>
                <w:kern w:val="0"/>
                <w:sz w:val="21"/>
                <w:szCs w:val="21"/>
                <w:highlight w:val="none"/>
              </w:rPr>
              <w:t>予计分。</w:t>
            </w:r>
          </w:p>
          <w:p w14:paraId="3E988FC6">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hAnsi="宋体" w:cs="宋体"/>
                <w:snapToGrid w:val="0"/>
                <w:color w:val="auto"/>
                <w:kern w:val="0"/>
                <w:sz w:val="21"/>
                <w:szCs w:val="21"/>
                <w:highlight w:val="none"/>
              </w:rPr>
              <w:t>3．本项最高得1</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6ADFDB6B">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u w:val="none"/>
              </w:rPr>
            </w:pPr>
            <w:r>
              <w:rPr>
                <w:rFonts w:hint="eastAsia" w:ascii="Times New Roman" w:hAnsi="宋体" w:cs="宋体"/>
                <w:snapToGrid w:val="0"/>
                <w:color w:val="auto"/>
                <w:kern w:val="0"/>
                <w:sz w:val="21"/>
                <w:szCs w:val="21"/>
                <w:highlight w:val="none"/>
              </w:rPr>
              <w:t>1．类似工程指：</w:t>
            </w:r>
            <w:r>
              <w:rPr>
                <w:rFonts w:hint="eastAsia" w:ascii="Times New Roman" w:hAnsi="宋体" w:cs="宋体"/>
                <w:snapToGrid w:val="0"/>
                <w:color w:val="auto"/>
                <w:kern w:val="0"/>
                <w:sz w:val="21"/>
                <w:szCs w:val="21"/>
                <w:highlight w:val="none"/>
                <w:u w:val="single"/>
              </w:rPr>
              <w:t>工程造价≥</w:t>
            </w:r>
            <w:r>
              <w:rPr>
                <w:rFonts w:hint="eastAsia" w:ascii="Times New Roman" w:hAnsi="宋体" w:cs="宋体"/>
                <w:snapToGrid w:val="0"/>
                <w:color w:val="auto"/>
                <w:kern w:val="0"/>
                <w:sz w:val="21"/>
                <w:szCs w:val="21"/>
                <w:highlight w:val="none"/>
                <w:u w:val="single"/>
                <w:lang w:val="en-US" w:eastAsia="zh-CN"/>
              </w:rPr>
              <w:t>1</w:t>
            </w:r>
            <w:r>
              <w:rPr>
                <w:rFonts w:hint="eastAsia" w:hAnsi="宋体" w:cs="宋体"/>
                <w:snapToGrid w:val="0"/>
                <w:color w:val="auto"/>
                <w:kern w:val="0"/>
                <w:sz w:val="21"/>
                <w:szCs w:val="21"/>
                <w:highlight w:val="none"/>
                <w:u w:val="single"/>
                <w:lang w:val="en-US" w:eastAsia="zh-CN"/>
              </w:rPr>
              <w:t>5</w:t>
            </w:r>
            <w:r>
              <w:rPr>
                <w:rFonts w:hint="eastAsia" w:ascii="Times New Roman" w:hAnsi="宋体" w:cs="宋体"/>
                <w:snapToGrid w:val="0"/>
                <w:color w:val="auto"/>
                <w:kern w:val="0"/>
                <w:sz w:val="21"/>
                <w:szCs w:val="21"/>
                <w:highlight w:val="none"/>
                <w:u w:val="single"/>
                <w:lang w:val="en-US" w:eastAsia="zh-CN"/>
              </w:rPr>
              <w:t>0</w:t>
            </w:r>
            <w:r>
              <w:rPr>
                <w:rFonts w:hint="eastAsia" w:ascii="Times New Roman" w:hAnsi="宋体" w:cs="宋体"/>
                <w:snapToGrid w:val="0"/>
                <w:color w:val="auto"/>
                <w:kern w:val="0"/>
                <w:sz w:val="21"/>
                <w:szCs w:val="21"/>
                <w:highlight w:val="none"/>
                <w:u w:val="single"/>
              </w:rPr>
              <w:t>0万元以上的</w:t>
            </w:r>
            <w:r>
              <w:rPr>
                <w:rFonts w:hint="eastAsia" w:ascii="Times New Roman" w:hAnsi="宋体" w:cs="宋体"/>
                <w:snapToGrid w:val="0"/>
                <w:color w:val="auto"/>
                <w:kern w:val="0"/>
                <w:sz w:val="21"/>
                <w:szCs w:val="21"/>
                <w:highlight w:val="none"/>
                <w:u w:val="single"/>
                <w:lang w:val="en-US" w:eastAsia="zh-CN"/>
              </w:rPr>
              <w:t>市政</w:t>
            </w:r>
            <w:r>
              <w:rPr>
                <w:rFonts w:hint="eastAsia" w:ascii="Times New Roman" w:hAnsi="宋体" w:cs="宋体"/>
                <w:snapToGrid w:val="0"/>
                <w:color w:val="auto"/>
                <w:kern w:val="0"/>
                <w:sz w:val="21"/>
                <w:szCs w:val="21"/>
                <w:highlight w:val="none"/>
                <w:u w:val="single"/>
                <w:lang w:eastAsia="zh-CN"/>
              </w:rPr>
              <w:t>类工程</w:t>
            </w:r>
            <w:r>
              <w:rPr>
                <w:rFonts w:hint="eastAsia" w:ascii="Times New Roman" w:hAnsi="宋体" w:cs="宋体"/>
                <w:snapToGrid w:val="0"/>
                <w:color w:val="auto"/>
                <w:kern w:val="0"/>
                <w:sz w:val="21"/>
                <w:szCs w:val="21"/>
                <w:highlight w:val="none"/>
                <w:u w:val="none"/>
              </w:rPr>
              <w:t>。</w:t>
            </w:r>
          </w:p>
          <w:p w14:paraId="472277ED">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2．需附有关业绩（</w:t>
            </w:r>
            <w:r>
              <w:rPr>
                <w:rFonts w:hint="eastAsia" w:hAnsi="宋体" w:cs="宋体"/>
                <w:snapToGrid w:val="0"/>
                <w:color w:val="auto"/>
                <w:kern w:val="0"/>
                <w:sz w:val="21"/>
                <w:szCs w:val="21"/>
                <w:highlight w:val="none"/>
              </w:rPr>
              <w:t>仅限于以</w:t>
            </w:r>
            <w:r>
              <w:rPr>
                <w:rFonts w:hint="eastAsia" w:hAnsi="宋体" w:cs="宋体"/>
                <w:b w:val="0"/>
                <w:bCs w:val="0"/>
                <w:snapToGrid w:val="0"/>
                <w:color w:val="auto"/>
                <w:kern w:val="0"/>
                <w:sz w:val="21"/>
                <w:szCs w:val="21"/>
                <w:highlight w:val="none"/>
              </w:rPr>
              <w:t>施工</w:t>
            </w:r>
            <w:r>
              <w:rPr>
                <w:rFonts w:hint="eastAsia" w:hAnsi="宋体" w:cs="宋体"/>
                <w:b w:val="0"/>
                <w:bCs w:val="0"/>
                <w:snapToGrid w:val="0"/>
                <w:color w:val="auto"/>
                <w:kern w:val="0"/>
                <w:sz w:val="21"/>
                <w:szCs w:val="21"/>
                <w:highlight w:val="none"/>
                <w:u w:val="single"/>
              </w:rPr>
              <w:t>总承包单位</w:t>
            </w:r>
            <w:r>
              <w:rPr>
                <w:rFonts w:hint="eastAsia" w:hAnsi="宋体" w:cs="宋体"/>
                <w:snapToGrid w:val="0"/>
                <w:color w:val="auto"/>
                <w:kern w:val="0"/>
                <w:sz w:val="21"/>
                <w:szCs w:val="21"/>
                <w:highlight w:val="none"/>
              </w:rPr>
              <w:t>身份参建的项目</w:t>
            </w:r>
            <w:r>
              <w:rPr>
                <w:rFonts w:hint="eastAsia" w:ascii="Times New Roman" w:hAnsi="宋体" w:cs="宋体"/>
                <w:snapToGrid w:val="0"/>
                <w:color w:val="auto"/>
                <w:kern w:val="0"/>
                <w:sz w:val="21"/>
                <w:szCs w:val="21"/>
                <w:highlight w:val="none"/>
              </w:rPr>
              <w:t>）合同协议书和竣工验收报告的彩色扫描件。</w:t>
            </w:r>
          </w:p>
          <w:p w14:paraId="357E706E">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3．业绩时间以竣工验收报告日期为准。</w:t>
            </w:r>
          </w:p>
          <w:p w14:paraId="3D5AB32E">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4．任一业绩有以下情形之一的，该业绩视为无 效，不予计分：</w:t>
            </w:r>
          </w:p>
          <w:p w14:paraId="5F3CD0F7">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①业绩不属于类似工程的；</w:t>
            </w:r>
          </w:p>
          <w:p w14:paraId="4EF997F1">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②不是以指定身份参建的；</w:t>
            </w:r>
          </w:p>
          <w:p w14:paraId="59030499">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③业绩时间不符合要求的；</w:t>
            </w:r>
          </w:p>
          <w:p w14:paraId="58C9CCEA">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④业绩未竣工验收的。</w:t>
            </w:r>
          </w:p>
        </w:tc>
      </w:tr>
      <w:tr w14:paraId="5D5EBE23">
        <w:tblPrEx>
          <w:tblCellMar>
            <w:top w:w="0" w:type="dxa"/>
            <w:left w:w="108" w:type="dxa"/>
            <w:bottom w:w="0" w:type="dxa"/>
            <w:right w:w="108" w:type="dxa"/>
          </w:tblCellMar>
        </w:tblPrEx>
        <w:trPr>
          <w:trHeight w:val="308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266C84EF">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Times New Roman" w:cs="Times New Roman"/>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rPr>
              <w:t>企业银行</w:t>
            </w:r>
          </w:p>
          <w:p w14:paraId="705E6280">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Times New Roman" w:cs="Times New Roman"/>
                <w:snapToGrid w:val="0"/>
                <w:color w:val="auto"/>
                <w:kern w:val="0"/>
                <w:sz w:val="21"/>
                <w:szCs w:val="21"/>
                <w:highlight w:val="none"/>
              </w:rPr>
            </w:pPr>
            <w:r>
              <w:rPr>
                <w:rFonts w:hint="eastAsia" w:ascii="Times New Roman" w:hAnsi="Times New Roman" w:cs="Times New Roman"/>
                <w:snapToGrid w:val="0"/>
                <w:color w:val="auto"/>
                <w:kern w:val="0"/>
                <w:sz w:val="21"/>
                <w:szCs w:val="21"/>
                <w:highlight w:val="none"/>
              </w:rPr>
              <w:t>资信评级</w:t>
            </w:r>
          </w:p>
          <w:p w14:paraId="04408D21">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Times New Roman" w:hAnsi="宋体" w:cs="宋体"/>
                <w:snapToGrid w:val="0"/>
                <w:color w:val="auto"/>
                <w:kern w:val="0"/>
                <w:sz w:val="21"/>
                <w:szCs w:val="21"/>
                <w:highlight w:val="none"/>
                <w:lang w:val="en-US" w:eastAsia="zh-CN"/>
              </w:rPr>
              <w:t>（10分）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2B39867F">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1．银行资信评级AAA的，得</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u w:val="single"/>
                <w:lang w:val="en-US" w:eastAsia="zh-CN"/>
              </w:rPr>
              <w:t>10</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rPr>
              <w:t>分；</w:t>
            </w:r>
          </w:p>
          <w:p w14:paraId="7EE80DD0">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2．银行资信评级AA（含AA＋、AA－）的，得</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u w:val="single"/>
                <w:lang w:val="en-US" w:eastAsia="zh-CN"/>
              </w:rPr>
              <w:t>7</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rPr>
              <w:t>分。</w:t>
            </w:r>
          </w:p>
          <w:p w14:paraId="3C873F9E">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3．银行资信评级A（含A＋、A－）的，得</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u w:val="single"/>
                <w:lang w:val="en-US" w:eastAsia="zh-CN"/>
              </w:rPr>
              <w:t>3</w:t>
            </w:r>
            <w:r>
              <w:rPr>
                <w:rFonts w:hint="eastAsia" w:asciiTheme="majorEastAsia" w:hAnsiTheme="majorEastAsia" w:eastAsiaTheme="majorEastAsia" w:cstheme="majorEastAsia"/>
                <w:snapToGrid w:val="0"/>
                <w:color w:val="auto"/>
                <w:kern w:val="0"/>
                <w:sz w:val="21"/>
                <w:szCs w:val="21"/>
                <w:highlight w:val="none"/>
                <w:u w:val="single"/>
              </w:rPr>
              <w:t xml:space="preserve"> </w:t>
            </w:r>
            <w:r>
              <w:rPr>
                <w:rFonts w:hint="eastAsia" w:asciiTheme="majorEastAsia" w:hAnsiTheme="majorEastAsia" w:eastAsiaTheme="majorEastAsia" w:cstheme="majorEastAsia"/>
                <w:snapToGrid w:val="0"/>
                <w:color w:val="auto"/>
                <w:kern w:val="0"/>
                <w:sz w:val="21"/>
                <w:szCs w:val="21"/>
                <w:highlight w:val="none"/>
              </w:rPr>
              <w:t>分。</w:t>
            </w:r>
          </w:p>
          <w:p w14:paraId="35C41CED">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4．未获得过以上评级的，或评级证书无效的，不予计分。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11FAB19F">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1．需附在有效期内的资信评级证书（证明）</w:t>
            </w:r>
            <w:r>
              <w:rPr>
                <w:rFonts w:hint="eastAsia" w:ascii="Times New Roman" w:hAnsi="宋体" w:cs="宋体"/>
                <w:snapToGrid w:val="0"/>
                <w:color w:val="auto"/>
                <w:kern w:val="0"/>
                <w:sz w:val="21"/>
                <w:szCs w:val="21"/>
                <w:highlight w:val="none"/>
                <w:lang w:eastAsia="zh-CN"/>
              </w:rPr>
              <w:t>彩色扫描件</w:t>
            </w:r>
            <w:r>
              <w:rPr>
                <w:rFonts w:hint="eastAsia" w:asciiTheme="majorEastAsia" w:hAnsiTheme="majorEastAsia" w:eastAsiaTheme="majorEastAsia" w:cstheme="majorEastAsia"/>
                <w:snapToGrid w:val="0"/>
                <w:color w:val="auto"/>
                <w:kern w:val="0"/>
                <w:sz w:val="21"/>
                <w:szCs w:val="21"/>
                <w:highlight w:val="none"/>
                <w:lang w:eastAsia="zh-CN"/>
              </w:rPr>
              <w:t>。</w:t>
            </w:r>
          </w:p>
          <w:p w14:paraId="3DD1B263">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2．评级证书（证明）须由</w:t>
            </w:r>
            <w:r>
              <w:rPr>
                <w:rFonts w:hint="eastAsia" w:asciiTheme="majorEastAsia" w:hAnsiTheme="majorEastAsia" w:eastAsiaTheme="majorEastAsia" w:cstheme="majorEastAsia"/>
                <w:snapToGrid w:val="0"/>
                <w:color w:val="auto"/>
                <w:kern w:val="0"/>
                <w:sz w:val="21"/>
                <w:szCs w:val="21"/>
                <w:highlight w:val="none"/>
                <w:u w:val="single"/>
              </w:rPr>
              <w:t xml:space="preserve"> 企业基本账户开户银行 </w:t>
            </w:r>
            <w:r>
              <w:rPr>
                <w:rFonts w:hint="eastAsia" w:asciiTheme="majorEastAsia" w:hAnsiTheme="majorEastAsia" w:eastAsiaTheme="majorEastAsia" w:cstheme="majorEastAsia"/>
                <w:snapToGrid w:val="0"/>
                <w:color w:val="auto"/>
                <w:kern w:val="0"/>
                <w:sz w:val="21"/>
                <w:szCs w:val="21"/>
                <w:highlight w:val="none"/>
              </w:rPr>
              <w:t>出具。</w:t>
            </w:r>
          </w:p>
          <w:p w14:paraId="2A847B25">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3．评级证书（证明）有以下情形之一的，视为无效：</w:t>
            </w:r>
          </w:p>
          <w:p w14:paraId="70337A81">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heme="majorEastAsia" w:hAnsiTheme="majorEastAsia" w:eastAsiaTheme="majorEastAsia" w:cstheme="majorEastAsia"/>
                <w:strike/>
                <w:dstrike w:val="0"/>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①评级证书（证明）不在有效期内的；</w:t>
            </w:r>
          </w:p>
          <w:p w14:paraId="7FFFA6A7">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Theme="majorEastAsia" w:hAnsiTheme="majorEastAsia" w:eastAsiaTheme="majorEastAsia" w:cstheme="majorEastAsia"/>
                <w:snapToGrid w:val="0"/>
                <w:color w:val="auto"/>
                <w:kern w:val="0"/>
                <w:sz w:val="21"/>
                <w:szCs w:val="21"/>
                <w:highlight w:val="none"/>
              </w:rPr>
              <w:t>②出具机构不符合要求的。</w:t>
            </w:r>
          </w:p>
        </w:tc>
      </w:tr>
      <w:tr w14:paraId="6D58E321">
        <w:tblPrEx>
          <w:tblCellMar>
            <w:top w:w="0" w:type="dxa"/>
            <w:left w:w="108" w:type="dxa"/>
            <w:bottom w:w="0" w:type="dxa"/>
            <w:right w:w="108" w:type="dxa"/>
          </w:tblCellMar>
        </w:tblPrEx>
        <w:trPr>
          <w:trHeight w:val="1429"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60C534A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企业管理</w:t>
            </w:r>
          </w:p>
          <w:p w14:paraId="4009C1F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体系认证</w:t>
            </w:r>
          </w:p>
          <w:p w14:paraId="2B7789FB">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w:t>
            </w:r>
            <w:r>
              <w:rPr>
                <w:rFonts w:hint="eastAsia" w:hAnsi="宋体" w:cs="宋体"/>
                <w:snapToGrid w:val="0"/>
                <w:color w:val="auto"/>
                <w:kern w:val="0"/>
                <w:sz w:val="21"/>
                <w:szCs w:val="21"/>
                <w:highlight w:val="none"/>
                <w:lang w:val="en-US" w:eastAsia="zh-CN"/>
              </w:rPr>
              <w:t>7.5</w:t>
            </w:r>
            <w:r>
              <w:rPr>
                <w:rFonts w:hint="eastAsia" w:ascii="宋体" w:hAnsi="宋体" w:eastAsia="宋体" w:cs="宋体"/>
                <w:snapToGrid w:val="0"/>
                <w:color w:val="auto"/>
                <w:kern w:val="0"/>
                <w:sz w:val="21"/>
                <w:szCs w:val="21"/>
                <w:highlight w:val="none"/>
                <w:lang w:val="en-US" w:eastAsia="zh-CN"/>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7861689D">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1．质量管理体系认证、职业健康安全管理体系认证、环境管理体系认证中，每获得1项认证得2.5分，最高得7.5分。</w:t>
            </w:r>
          </w:p>
          <w:p w14:paraId="4EA5DBF5">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Times New Roman" w:cs="Times New Roman"/>
                <w:color w:val="auto"/>
                <w:highlight w:val="none"/>
              </w:rPr>
            </w:pPr>
            <w:r>
              <w:rPr>
                <w:rFonts w:hint="eastAsia" w:hAnsi="宋体" w:cs="宋体"/>
                <w:snapToGrid w:val="0"/>
                <w:color w:val="auto"/>
                <w:kern w:val="0"/>
                <w:sz w:val="21"/>
                <w:szCs w:val="21"/>
                <w:highlight w:val="none"/>
                <w:lang w:val="en-US" w:eastAsia="zh-CN"/>
              </w:rPr>
              <w:t>2．未获得以上认证的，不予计分。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78FAB0A6">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lang w:val="en-US" w:eastAsia="zh-CN"/>
              </w:rPr>
            </w:pPr>
            <w:r>
              <w:rPr>
                <w:rFonts w:hint="eastAsia" w:ascii="Times New Roman" w:hAnsi="宋体" w:cs="宋体"/>
                <w:snapToGrid w:val="0"/>
                <w:color w:val="auto"/>
                <w:kern w:val="0"/>
                <w:sz w:val="21"/>
                <w:szCs w:val="21"/>
                <w:highlight w:val="none"/>
                <w:lang w:val="en-US" w:eastAsia="zh-CN"/>
              </w:rPr>
              <w:t>1．需附在有效期内的认证证书彩色扫描件。</w:t>
            </w:r>
          </w:p>
          <w:p w14:paraId="27E3EDC6">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lang w:val="en-US" w:eastAsia="zh-CN"/>
              </w:rPr>
            </w:pPr>
            <w:r>
              <w:rPr>
                <w:rFonts w:hint="eastAsia" w:ascii="Times New Roman" w:hAnsi="宋体" w:cs="宋体"/>
                <w:snapToGrid w:val="0"/>
                <w:color w:val="auto"/>
                <w:kern w:val="0"/>
                <w:sz w:val="21"/>
                <w:szCs w:val="21"/>
                <w:highlight w:val="none"/>
                <w:lang w:val="en-US" w:eastAsia="zh-CN"/>
              </w:rPr>
              <w:t>2．任一认证证书不在有效期内的，该认证证书视为无效，不予计分。</w:t>
            </w:r>
          </w:p>
          <w:p w14:paraId="029C5F32">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宋体"/>
                <w:snapToGrid w:val="0"/>
                <w:color w:val="auto"/>
                <w:kern w:val="0"/>
                <w:sz w:val="21"/>
                <w:szCs w:val="21"/>
                <w:highlight w:val="none"/>
              </w:rPr>
            </w:pPr>
          </w:p>
        </w:tc>
      </w:tr>
      <w:tr w14:paraId="1BBF64B9">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22BDF6C5">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w:t>
            </w:r>
          </w:p>
          <w:p w14:paraId="2D2B591A">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财务状况</w:t>
            </w:r>
          </w:p>
          <w:p w14:paraId="5854DF2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Times New Roman"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4A732456">
            <w:pPr>
              <w:pStyle w:val="17"/>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1．提供不少于</w:t>
            </w:r>
            <w:r>
              <w:rPr>
                <w:rFonts w:hint="eastAsia" w:hAnsi="宋体" w:cs="宋体"/>
                <w:snapToGrid w:val="0"/>
                <w:color w:val="auto"/>
                <w:kern w:val="0"/>
                <w:sz w:val="21"/>
                <w:szCs w:val="21"/>
                <w:highlight w:val="none"/>
                <w:u w:val="single"/>
                <w:lang w:val="en-US" w:eastAsia="zh-CN"/>
              </w:rPr>
              <w:t>130</w:t>
            </w:r>
            <w:r>
              <w:rPr>
                <w:rFonts w:hint="eastAsia" w:hAnsi="宋体" w:cs="宋体"/>
                <w:snapToGrid w:val="0"/>
                <w:color w:val="auto"/>
                <w:kern w:val="0"/>
                <w:sz w:val="21"/>
                <w:szCs w:val="21"/>
                <w:highlight w:val="none"/>
              </w:rPr>
              <w:t>万元银行授信证明的，得</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p w14:paraId="4A50133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Times New Roman" w:hAnsi="Times New Roman" w:cs="Times New Roman"/>
                <w:color w:val="auto"/>
                <w:highlight w:val="none"/>
              </w:rPr>
            </w:pPr>
            <w:r>
              <w:rPr>
                <w:rFonts w:hint="eastAsia" w:hAnsi="宋体" w:cs="宋体"/>
                <w:snapToGrid w:val="0"/>
                <w:color w:val="auto"/>
                <w:kern w:val="0"/>
                <w:sz w:val="21"/>
                <w:szCs w:val="21"/>
                <w:highlight w:val="none"/>
              </w:rPr>
              <w:t>2．提供投标人基本账户在本项目招标公告发布之日起至投标截止时间期间出现过至少连续3日不少于</w:t>
            </w:r>
            <w:r>
              <w:rPr>
                <w:rFonts w:hint="eastAsia" w:hAnsi="宋体" w:cs="宋体"/>
                <w:snapToGrid w:val="0"/>
                <w:color w:val="auto"/>
                <w:kern w:val="0"/>
                <w:sz w:val="21"/>
                <w:szCs w:val="21"/>
                <w:highlight w:val="none"/>
                <w:u w:val="single"/>
                <w:lang w:val="en-US" w:eastAsia="zh-CN"/>
              </w:rPr>
              <w:t>130</w:t>
            </w:r>
            <w:r>
              <w:rPr>
                <w:rFonts w:hint="eastAsia" w:hAnsi="宋体" w:cs="宋体"/>
                <w:snapToGrid w:val="0"/>
                <w:color w:val="auto"/>
                <w:kern w:val="0"/>
                <w:sz w:val="21"/>
                <w:szCs w:val="21"/>
                <w:highlight w:val="none"/>
              </w:rPr>
              <w:t>万元存款余额资金流水证明的，得5分。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3EA3F03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1．需附在有效期内的有关证明</w:t>
            </w:r>
            <w:r>
              <w:rPr>
                <w:rFonts w:hint="eastAsia" w:ascii="宋体" w:hAnsi="宋体" w:cs="宋体"/>
                <w:snapToGrid w:val="0"/>
                <w:color w:val="auto"/>
                <w:kern w:val="0"/>
                <w:sz w:val="21"/>
                <w:szCs w:val="21"/>
                <w:highlight w:val="none"/>
                <w:lang w:val="en-US" w:eastAsia="zh-CN" w:bidi="ar-SA"/>
              </w:rPr>
              <w:t>彩色</w:t>
            </w:r>
            <w:r>
              <w:rPr>
                <w:rFonts w:hint="eastAsia" w:ascii="宋体" w:hAnsi="宋体" w:eastAsia="宋体" w:cs="宋体"/>
                <w:snapToGrid w:val="0"/>
                <w:color w:val="auto"/>
                <w:kern w:val="0"/>
                <w:sz w:val="21"/>
                <w:szCs w:val="21"/>
                <w:highlight w:val="none"/>
                <w:lang w:val="en-US" w:eastAsia="zh-CN" w:bidi="ar-SA"/>
              </w:rPr>
              <w:t>扫描件。</w:t>
            </w:r>
          </w:p>
          <w:p w14:paraId="5936FC8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2．银行授信证明有以下情形之一的，视为无效，不予计分：</w:t>
            </w:r>
          </w:p>
          <w:p w14:paraId="0B71388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①授信证明不在有效期内的；</w:t>
            </w:r>
          </w:p>
          <w:p w14:paraId="623F0AD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②授信额度不符合要求的；</w:t>
            </w:r>
          </w:p>
          <w:p w14:paraId="6EC1DA7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3．存款余额资金流水证明有以下情形之一的，视为无效，不予计分：</w:t>
            </w:r>
          </w:p>
          <w:p w14:paraId="733328D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①存款账户不是基本账户的；</w:t>
            </w:r>
          </w:p>
          <w:p w14:paraId="7519BD7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②存款时间不符合要求的；</w:t>
            </w:r>
          </w:p>
          <w:p w14:paraId="70D5FEC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default" w:ascii="Times New Roman" w:hAnsi="宋体" w:eastAsia="宋体" w:cs="宋体"/>
                <w:i/>
                <w:i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③存款额度不符合要求的。</w:t>
            </w:r>
          </w:p>
        </w:tc>
      </w:tr>
      <w:tr w14:paraId="2F575E4B">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44602D8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eastAsia="zh-CN"/>
              </w:rPr>
              <w:t>企业安全、质量管理</w:t>
            </w:r>
          </w:p>
          <w:p w14:paraId="5D8008C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eastAsia="zh-CN"/>
              </w:rPr>
              <w:t>（10分）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23093D3">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近</w:t>
            </w:r>
            <w:r>
              <w:rPr>
                <w:rFonts w:hint="eastAsia" w:ascii="宋体" w:hAnsi="宋体" w:eastAsia="宋体"/>
                <w:snapToGrid w:val="0"/>
                <w:color w:val="auto"/>
                <w:kern w:val="0"/>
                <w:szCs w:val="21"/>
                <w:highlight w:val="none"/>
                <w:u w:val="single"/>
                <w:lang w:val="en-US" w:eastAsia="zh-CN"/>
              </w:rPr>
              <w:t>3</w:t>
            </w:r>
            <w:r>
              <w:rPr>
                <w:rFonts w:hint="eastAsia" w:ascii="宋体" w:hAnsi="宋体" w:eastAsia="宋体"/>
                <w:snapToGrid w:val="0"/>
                <w:color w:val="auto"/>
                <w:kern w:val="0"/>
                <w:szCs w:val="21"/>
                <w:highlight w:val="none"/>
              </w:rPr>
              <w:t>年来（</w:t>
            </w:r>
            <w:r>
              <w:rPr>
                <w:rFonts w:hint="eastAsia" w:ascii="宋体" w:hAnsi="宋体" w:eastAsia="宋体"/>
                <w:snapToGrid w:val="0"/>
                <w:color w:val="auto"/>
                <w:kern w:val="0"/>
                <w:szCs w:val="21"/>
                <w:highlight w:val="none"/>
                <w:lang w:val="en-US" w:eastAsia="zh-CN"/>
              </w:rPr>
              <w:t>2023</w:t>
            </w:r>
            <w:r>
              <w:rPr>
                <w:rFonts w:hint="eastAsia" w:ascii="宋体" w:hAnsi="宋体" w:eastAsia="宋体"/>
                <w:snapToGrid w:val="0"/>
                <w:color w:val="auto"/>
                <w:kern w:val="0"/>
                <w:szCs w:val="21"/>
                <w:highlight w:val="none"/>
              </w:rPr>
              <w:t>年</w:t>
            </w: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月</w:t>
            </w: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日至</w:t>
            </w:r>
            <w:r>
              <w:rPr>
                <w:rFonts w:hint="eastAsia" w:ascii="宋体" w:hAnsi="宋体" w:eastAsia="宋体"/>
                <w:snapToGrid w:val="0"/>
                <w:color w:val="auto"/>
                <w:kern w:val="0"/>
                <w:szCs w:val="21"/>
                <w:highlight w:val="none"/>
                <w:lang w:val="en-US" w:eastAsia="zh-CN"/>
              </w:rPr>
              <w:t>今</w:t>
            </w:r>
            <w:r>
              <w:rPr>
                <w:rFonts w:hint="eastAsia" w:ascii="宋体" w:hAnsi="宋体" w:eastAsia="宋体"/>
                <w:snapToGrid w:val="0"/>
                <w:color w:val="auto"/>
                <w:kern w:val="0"/>
                <w:szCs w:val="21"/>
                <w:highlight w:val="none"/>
              </w:rPr>
              <w:t>）投标人未发生事故等级为一般事故及以上的生产安全事故、一般质量事故及以上的工程质量事故的，得</w:t>
            </w:r>
            <w:r>
              <w:rPr>
                <w:rFonts w:hint="eastAsia" w:ascii="宋体" w:hAnsi="宋体" w:eastAsia="宋体"/>
                <w:snapToGrid w:val="0"/>
                <w:color w:val="auto"/>
                <w:kern w:val="0"/>
                <w:szCs w:val="21"/>
                <w:highlight w:val="none"/>
                <w:lang w:val="en-US" w:eastAsia="zh-CN"/>
              </w:rPr>
              <w:t>10</w:t>
            </w:r>
            <w:r>
              <w:rPr>
                <w:rFonts w:hint="eastAsia" w:ascii="宋体" w:hAnsi="宋体" w:eastAsia="宋体"/>
                <w:snapToGrid w:val="0"/>
                <w:color w:val="auto"/>
                <w:kern w:val="0"/>
                <w:szCs w:val="21"/>
                <w:highlight w:val="none"/>
              </w:rPr>
              <w:t>分；</w:t>
            </w:r>
          </w:p>
          <w:p w14:paraId="483C7337">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hAnsi="宋体" w:cs="宋体"/>
                <w:snapToGrid w:val="0"/>
                <w:color w:val="auto"/>
                <w:kern w:val="0"/>
                <w:sz w:val="21"/>
                <w:szCs w:val="21"/>
                <w:highlight w:val="none"/>
              </w:rPr>
            </w:pPr>
            <w:r>
              <w:rPr>
                <w:rFonts w:hint="eastAsia" w:ascii="宋体" w:hAnsi="宋体" w:eastAsia="宋体"/>
                <w:snapToGrid w:val="0"/>
                <w:color w:val="auto"/>
                <w:kern w:val="0"/>
                <w:szCs w:val="21"/>
                <w:highlight w:val="none"/>
              </w:rPr>
              <w:t>2.其他情形的，不予计分。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130A5263">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需提供本单位承诺书（格式自定）并加盖本单位公章。</w:t>
            </w:r>
          </w:p>
          <w:p w14:paraId="541887E3">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rPr>
              <w:t>2.</w:t>
            </w:r>
            <w:r>
              <w:rPr>
                <w:rFonts w:hint="eastAsia" w:hAnsi="宋体" w:cs="宋体"/>
                <w:snapToGrid w:val="0"/>
                <w:color w:val="auto"/>
                <w:kern w:val="0"/>
                <w:sz w:val="21"/>
                <w:szCs w:val="21"/>
                <w:highlight w:val="none"/>
              </w:rPr>
              <w:t>未提供本单位承诺书并加盖本单位公章的，按第2项标准处理。</w:t>
            </w:r>
          </w:p>
        </w:tc>
      </w:tr>
      <w:tr w14:paraId="771AC840">
        <w:tblPrEx>
          <w:tblCellMar>
            <w:top w:w="0" w:type="dxa"/>
            <w:left w:w="108" w:type="dxa"/>
            <w:bottom w:w="0" w:type="dxa"/>
            <w:right w:w="108" w:type="dxa"/>
          </w:tblCellMar>
        </w:tblPrEx>
        <w:trPr>
          <w:trHeight w:val="1816" w:hRule="atLeast"/>
          <w:jc w:val="center"/>
        </w:trPr>
        <w:tc>
          <w:tcPr>
            <w:tcW w:w="1322" w:type="dxa"/>
            <w:vMerge w:val="restart"/>
            <w:tcBorders>
              <w:top w:val="single" w:color="auto" w:sz="4" w:space="0"/>
              <w:left w:val="single" w:color="auto" w:sz="4" w:space="0"/>
              <w:right w:val="single" w:color="auto" w:sz="4" w:space="0"/>
            </w:tcBorders>
            <w:noWrap w:val="0"/>
            <w:vAlign w:val="center"/>
          </w:tcPr>
          <w:p w14:paraId="0DB9CD83">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Times New Roman"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招标人自拟项</w:t>
            </w:r>
            <w:r>
              <w:rPr>
                <w:rFonts w:hint="eastAsia" w:hAnsi="宋体" w:cs="宋体"/>
                <w:snapToGrid w:val="0"/>
                <w:color w:val="auto"/>
                <w:kern w:val="0"/>
                <w:sz w:val="21"/>
                <w:szCs w:val="21"/>
                <w:highlight w:val="none"/>
                <w:lang w:eastAsia="zh-CN"/>
              </w:rPr>
              <w:t>（</w:t>
            </w:r>
            <w:r>
              <w:rPr>
                <w:rFonts w:hint="eastAsia" w:hAnsi="宋体" w:cs="宋体"/>
                <w:snapToGrid w:val="0"/>
                <w:color w:val="auto"/>
                <w:kern w:val="0"/>
                <w:sz w:val="21"/>
                <w:szCs w:val="21"/>
                <w:highlight w:val="none"/>
                <w:lang w:val="en-US" w:eastAsia="zh-CN"/>
              </w:rPr>
              <w:t>15分）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397B40C8">
            <w:pPr>
              <w:pStyle w:val="17"/>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textAlignment w:val="auto"/>
              <w:rPr>
                <w:rFonts w:hint="eastAsia" w:ascii="宋体" w:hAnsi="宋体" w:eastAsia="宋体" w:cs="宋体"/>
                <w:color w:val="auto"/>
                <w:sz w:val="21"/>
                <w:szCs w:val="21"/>
                <w:highlight w:val="none"/>
              </w:rPr>
            </w:pPr>
            <w:r>
              <w:rPr>
                <w:rFonts w:hint="eastAsia" w:ascii="Times New Roman" w:hAnsi="Times New Roman" w:cs="Times New Roman"/>
                <w:color w:val="auto"/>
                <w:sz w:val="21"/>
                <w:szCs w:val="21"/>
                <w:highlight w:val="none"/>
              </w:rPr>
              <w:t>企业连续</w:t>
            </w:r>
            <w:r>
              <w:rPr>
                <w:rFonts w:hint="eastAsia" w:cs="Times New Roman"/>
                <w:color w:val="auto"/>
                <w:sz w:val="21"/>
                <w:szCs w:val="21"/>
                <w:highlight w:val="none"/>
                <w:lang w:val="en-US" w:eastAsia="zh-CN"/>
              </w:rPr>
              <w:t>5</w:t>
            </w:r>
            <w:r>
              <w:rPr>
                <w:rFonts w:hint="eastAsia" w:ascii="Times New Roman" w:hAnsi="Times New Roman" w:cs="Times New Roman"/>
                <w:color w:val="auto"/>
                <w:sz w:val="21"/>
                <w:szCs w:val="21"/>
                <w:highlight w:val="none"/>
              </w:rPr>
              <w:t>年</w:t>
            </w:r>
            <w:r>
              <w:rPr>
                <w:rFonts w:hint="eastAsia" w:cs="Times New Roman"/>
                <w:color w:val="auto"/>
                <w:sz w:val="21"/>
                <w:szCs w:val="21"/>
                <w:highlight w:val="none"/>
                <w:lang w:val="en-US" w:eastAsia="zh-CN"/>
              </w:rPr>
              <w:t>或以上</w:t>
            </w:r>
            <w:r>
              <w:rPr>
                <w:rFonts w:hint="eastAsia" w:ascii="Times New Roman" w:hAnsi="Times New Roman" w:cs="Times New Roman"/>
                <w:color w:val="auto"/>
                <w:sz w:val="21"/>
                <w:szCs w:val="21"/>
                <w:highlight w:val="none"/>
              </w:rPr>
              <w:t>获得纳税信用A级纳税人的</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分</w:t>
            </w:r>
            <w:r>
              <w:rPr>
                <w:rFonts w:hint="eastAsia" w:ascii="宋体" w:hAnsi="宋体" w:eastAsia="宋体" w:cs="宋体"/>
                <w:snapToGrid w:val="0"/>
                <w:color w:val="auto"/>
                <w:kern w:val="0"/>
                <w:sz w:val="21"/>
                <w:szCs w:val="21"/>
                <w:highlight w:val="none"/>
              </w:rPr>
              <w:t>。(其中必须有</w:t>
            </w:r>
            <w:r>
              <w:rPr>
                <w:rFonts w:hint="eastAsia" w:ascii="宋体" w:hAnsi="宋体" w:cs="宋体"/>
                <w:snapToGrid w:val="0"/>
                <w:color w:val="auto"/>
                <w:kern w:val="0"/>
                <w:sz w:val="21"/>
                <w:szCs w:val="21"/>
                <w:highlight w:val="none"/>
                <w:lang w:val="en-US" w:eastAsia="zh-CN"/>
              </w:rPr>
              <w:t>2025</w:t>
            </w:r>
            <w:r>
              <w:rPr>
                <w:rFonts w:hint="eastAsia" w:ascii="宋体" w:hAnsi="宋体" w:eastAsia="宋体" w:cs="宋体"/>
                <w:snapToGrid w:val="0"/>
                <w:color w:val="auto"/>
                <w:kern w:val="0"/>
                <w:sz w:val="21"/>
                <w:szCs w:val="21"/>
                <w:highlight w:val="none"/>
              </w:rPr>
              <w:t>年度)</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583FCDD2">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Times New Roman"/>
                <w:color w:val="auto"/>
                <w:kern w:val="0"/>
                <w:sz w:val="21"/>
                <w:szCs w:val="21"/>
                <w:highlight w:val="none"/>
              </w:rPr>
            </w:pPr>
            <w:r>
              <w:rPr>
                <w:rFonts w:hint="eastAsia" w:ascii="Times New Roman" w:hAnsi="宋体" w:cs="Times New Roman"/>
                <w:color w:val="auto"/>
                <w:kern w:val="0"/>
                <w:sz w:val="21"/>
                <w:szCs w:val="21"/>
                <w:highlight w:val="none"/>
              </w:rPr>
              <w:t>1.必须提供企业纳税信用A级纳税人证明材料（或证书）彩色扫描件及国家税务总局（或省级电子税务局）网上查询截图，否则不得分。</w:t>
            </w:r>
          </w:p>
          <w:p w14:paraId="033E7176">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eastAsia="宋体" w:cs="宋体"/>
                <w:color w:val="auto"/>
                <w:sz w:val="21"/>
                <w:szCs w:val="21"/>
                <w:highlight w:val="none"/>
                <w:lang w:val="en-US" w:eastAsia="zh-CN"/>
              </w:rPr>
            </w:pPr>
            <w:r>
              <w:rPr>
                <w:rFonts w:hint="eastAsia" w:ascii="Times New Roman" w:hAnsi="宋体" w:cs="Times New Roman"/>
                <w:color w:val="auto"/>
                <w:kern w:val="0"/>
                <w:sz w:val="21"/>
                <w:szCs w:val="21"/>
                <w:highlight w:val="none"/>
              </w:rPr>
              <w:t>2.只计算投标人自身（不计算投标人的分公司、子公司及分支机构）</w:t>
            </w:r>
            <w:r>
              <w:rPr>
                <w:rFonts w:hint="eastAsia" w:ascii="Times New Roman" w:hAnsi="宋体" w:cs="Times New Roman"/>
                <w:color w:val="auto"/>
                <w:kern w:val="0"/>
                <w:sz w:val="21"/>
                <w:szCs w:val="21"/>
                <w:highlight w:val="none"/>
                <w:lang w:eastAsia="zh-CN"/>
              </w:rPr>
              <w:t>。</w:t>
            </w:r>
          </w:p>
        </w:tc>
      </w:tr>
      <w:tr w14:paraId="3D37FBDF">
        <w:tblPrEx>
          <w:tblCellMar>
            <w:top w:w="0" w:type="dxa"/>
            <w:left w:w="108" w:type="dxa"/>
            <w:bottom w:w="0" w:type="dxa"/>
            <w:right w:w="108" w:type="dxa"/>
          </w:tblCellMar>
        </w:tblPrEx>
        <w:trPr>
          <w:trHeight w:val="2041" w:hRule="atLeast"/>
          <w:jc w:val="center"/>
        </w:trPr>
        <w:tc>
          <w:tcPr>
            <w:tcW w:w="1322" w:type="dxa"/>
            <w:vMerge w:val="continue"/>
            <w:tcBorders>
              <w:left w:val="single" w:color="auto" w:sz="4" w:space="0"/>
              <w:right w:val="single" w:color="auto" w:sz="4" w:space="0"/>
            </w:tcBorders>
            <w:noWrap w:val="0"/>
            <w:vAlign w:val="center"/>
          </w:tcPr>
          <w:p w14:paraId="298EE3F2">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Times New Roman"/>
                <w:snapToGrid w:val="0"/>
                <w:color w:val="auto"/>
                <w:kern w:val="0"/>
                <w:sz w:val="21"/>
                <w:szCs w:val="21"/>
                <w:highlight w:val="none"/>
                <w:lang w:val="en-US" w:eastAsia="zh-CN" w:bidi="ar-SA"/>
              </w:rPr>
            </w:pPr>
          </w:p>
        </w:tc>
        <w:tc>
          <w:tcPr>
            <w:tcW w:w="4290" w:type="dxa"/>
            <w:tcBorders>
              <w:top w:val="single" w:color="auto" w:sz="4" w:space="0"/>
              <w:left w:val="single" w:color="auto" w:sz="4" w:space="0"/>
              <w:bottom w:val="single" w:color="auto" w:sz="4" w:space="0"/>
              <w:right w:val="single" w:color="auto" w:sz="4" w:space="0"/>
            </w:tcBorders>
            <w:noWrap w:val="0"/>
            <w:vAlign w:val="center"/>
          </w:tcPr>
          <w:p w14:paraId="4C8D241D">
            <w:pPr>
              <w:pStyle w:val="17"/>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textAlignment w:val="auto"/>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1.近</w:t>
            </w:r>
            <w:r>
              <w:rPr>
                <w:rFonts w:hint="eastAsia" w:ascii="宋体" w:hAnsi="宋体" w:eastAsia="宋体" w:cs="Times New Roman"/>
                <w:snapToGrid w:val="0"/>
                <w:color w:val="auto"/>
                <w:kern w:val="0"/>
                <w:sz w:val="21"/>
                <w:szCs w:val="21"/>
                <w:highlight w:val="none"/>
                <w:u w:val="single"/>
                <w:lang w:val="en-US" w:eastAsia="zh-CN" w:bidi="ar-SA"/>
              </w:rPr>
              <w:t>5</w:t>
            </w:r>
            <w:r>
              <w:rPr>
                <w:rFonts w:hint="eastAsia" w:ascii="宋体" w:hAnsi="宋体" w:eastAsia="宋体" w:cs="Times New Roman"/>
                <w:snapToGrid w:val="0"/>
                <w:color w:val="auto"/>
                <w:kern w:val="0"/>
                <w:sz w:val="21"/>
                <w:szCs w:val="21"/>
                <w:highlight w:val="none"/>
                <w:lang w:val="en-US" w:eastAsia="zh-CN" w:bidi="ar-SA"/>
              </w:rPr>
              <w:t>年来</w:t>
            </w:r>
            <w:r>
              <w:rPr>
                <w:rFonts w:hint="eastAsia" w:ascii="宋体" w:hAnsi="宋体" w:eastAsia="宋体"/>
                <w:snapToGrid w:val="0"/>
                <w:color w:val="auto"/>
                <w:kern w:val="0"/>
                <w:szCs w:val="21"/>
                <w:highlight w:val="none"/>
              </w:rPr>
              <w:t>（202</w:t>
            </w: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年1月1日至今）</w:t>
            </w:r>
            <w:r>
              <w:rPr>
                <w:rFonts w:hint="eastAsia" w:ascii="宋体" w:hAnsi="宋体" w:eastAsia="宋体" w:cs="Times New Roman"/>
                <w:snapToGrid w:val="0"/>
                <w:color w:val="auto"/>
                <w:kern w:val="0"/>
                <w:sz w:val="21"/>
                <w:szCs w:val="21"/>
                <w:highlight w:val="none"/>
                <w:lang w:val="en-US" w:eastAsia="zh-CN" w:bidi="ar-SA"/>
              </w:rPr>
              <w:t>企业连续</w:t>
            </w:r>
            <w:r>
              <w:rPr>
                <w:rFonts w:hint="eastAsia" w:ascii="宋体" w:hAnsi="宋体" w:cs="Times New Roman"/>
                <w:snapToGrid w:val="0"/>
                <w:color w:val="auto"/>
                <w:kern w:val="0"/>
                <w:sz w:val="21"/>
                <w:szCs w:val="21"/>
                <w:highlight w:val="none"/>
                <w:lang w:val="en-US" w:eastAsia="zh-CN" w:bidi="ar-SA"/>
              </w:rPr>
              <w:t>两年</w:t>
            </w:r>
            <w:r>
              <w:rPr>
                <w:rFonts w:hint="eastAsia" w:ascii="宋体" w:hAnsi="宋体" w:eastAsia="宋体" w:cs="Times New Roman"/>
                <w:snapToGrid w:val="0"/>
                <w:color w:val="auto"/>
                <w:kern w:val="0"/>
                <w:sz w:val="21"/>
                <w:szCs w:val="21"/>
                <w:highlight w:val="none"/>
                <w:lang w:val="en-US" w:eastAsia="zh-CN" w:bidi="ar-SA"/>
              </w:rPr>
              <w:t>以上（含</w:t>
            </w:r>
            <w:r>
              <w:rPr>
                <w:rFonts w:hint="eastAsia" w:ascii="宋体" w:hAnsi="宋体" w:cs="Times New Roman"/>
                <w:snapToGrid w:val="0"/>
                <w:color w:val="auto"/>
                <w:kern w:val="0"/>
                <w:sz w:val="21"/>
                <w:szCs w:val="21"/>
                <w:highlight w:val="none"/>
                <w:lang w:val="en-US" w:eastAsia="zh-CN" w:bidi="ar-SA"/>
              </w:rPr>
              <w:t>两</w:t>
            </w:r>
            <w:r>
              <w:rPr>
                <w:rFonts w:hint="eastAsia" w:ascii="宋体" w:hAnsi="宋体" w:eastAsia="宋体" w:cs="Times New Roman"/>
                <w:snapToGrid w:val="0"/>
                <w:color w:val="auto"/>
                <w:kern w:val="0"/>
                <w:sz w:val="21"/>
                <w:szCs w:val="21"/>
                <w:highlight w:val="none"/>
                <w:lang w:val="en-US" w:eastAsia="zh-CN" w:bidi="ar-SA"/>
              </w:rPr>
              <w:t>年）获得过地级市及以上</w:t>
            </w:r>
            <w:r>
              <w:rPr>
                <w:rFonts w:hint="eastAsia" w:hAnsi="宋体" w:cs="Times New Roman"/>
                <w:color w:val="auto"/>
                <w:kern w:val="0"/>
                <w:sz w:val="21"/>
                <w:szCs w:val="21"/>
                <w:highlight w:val="none"/>
                <w:lang w:val="en-US" w:eastAsia="zh-CN"/>
              </w:rPr>
              <w:t>相关政府部门或</w:t>
            </w:r>
            <w:r>
              <w:rPr>
                <w:rFonts w:hint="eastAsia" w:ascii="宋体" w:hAnsi="宋体" w:eastAsia="宋体" w:cs="Times New Roman"/>
                <w:snapToGrid w:val="0"/>
                <w:color w:val="auto"/>
                <w:kern w:val="0"/>
                <w:sz w:val="21"/>
                <w:szCs w:val="21"/>
                <w:highlight w:val="none"/>
                <w:lang w:val="en-US" w:eastAsia="zh-CN" w:bidi="ar-SA"/>
              </w:rPr>
              <w:t>建筑行业协会颁发的“优秀典型施工企业”的，得5分；</w:t>
            </w:r>
          </w:p>
          <w:p w14:paraId="5512C940">
            <w:pPr>
              <w:pStyle w:val="17"/>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textAlignment w:val="auto"/>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2.其他情形的，不予计分。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4A943E7A">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Times New Roman"/>
                <w:color w:val="auto"/>
                <w:kern w:val="0"/>
                <w:sz w:val="21"/>
                <w:szCs w:val="21"/>
                <w:highlight w:val="none"/>
              </w:rPr>
            </w:pPr>
            <w:r>
              <w:rPr>
                <w:rFonts w:hint="eastAsia" w:ascii="Times New Roman" w:hAnsi="宋体" w:cs="Times New Roman"/>
                <w:color w:val="auto"/>
                <w:kern w:val="0"/>
                <w:sz w:val="21"/>
                <w:szCs w:val="21"/>
                <w:highlight w:val="none"/>
              </w:rPr>
              <w:t>1．</w:t>
            </w:r>
            <w:r>
              <w:rPr>
                <w:rFonts w:hint="eastAsia" w:ascii="Times New Roman" w:hAnsi="宋体" w:eastAsia="宋体" w:cs="Times New Roman"/>
                <w:color w:val="auto"/>
                <w:kern w:val="0"/>
                <w:sz w:val="21"/>
                <w:szCs w:val="21"/>
                <w:highlight w:val="none"/>
              </w:rPr>
              <w:t>需附相关证书彩色扫描件</w:t>
            </w:r>
            <w:r>
              <w:rPr>
                <w:rFonts w:hint="eastAsia" w:ascii="Times New Roman" w:hAnsi="宋体" w:eastAsia="宋体" w:cs="Times New Roman"/>
                <w:color w:val="auto"/>
                <w:kern w:val="0"/>
                <w:sz w:val="21"/>
                <w:szCs w:val="21"/>
                <w:highlight w:val="none"/>
                <w:lang w:val="en-US" w:eastAsia="zh-CN"/>
              </w:rPr>
              <w:t>、</w:t>
            </w:r>
            <w:r>
              <w:rPr>
                <w:rFonts w:hint="eastAsia" w:ascii="宋体" w:hAnsi="宋体" w:eastAsia="宋体" w:cs="Times New Roman"/>
                <w:snapToGrid w:val="0"/>
                <w:color w:val="auto"/>
                <w:kern w:val="0"/>
                <w:sz w:val="21"/>
                <w:szCs w:val="21"/>
                <w:highlight w:val="none"/>
                <w:lang w:val="en-US" w:eastAsia="zh-CN" w:bidi="ar-SA"/>
              </w:rPr>
              <w:t>地级市及以上</w:t>
            </w:r>
            <w:r>
              <w:rPr>
                <w:rFonts w:hint="eastAsia" w:hAnsi="宋体" w:cs="Times New Roman"/>
                <w:color w:val="auto"/>
                <w:kern w:val="0"/>
                <w:sz w:val="21"/>
                <w:szCs w:val="21"/>
                <w:highlight w:val="none"/>
                <w:lang w:val="en-US" w:eastAsia="zh-CN"/>
              </w:rPr>
              <w:t>相关政府部门或</w:t>
            </w:r>
            <w:r>
              <w:rPr>
                <w:rFonts w:hint="eastAsia" w:ascii="宋体" w:hAnsi="宋体" w:eastAsia="宋体" w:cs="Times New Roman"/>
                <w:snapToGrid w:val="0"/>
                <w:color w:val="auto"/>
                <w:kern w:val="0"/>
                <w:sz w:val="21"/>
                <w:szCs w:val="21"/>
                <w:highlight w:val="none"/>
                <w:lang w:val="en-US" w:eastAsia="zh-CN" w:bidi="ar-SA"/>
              </w:rPr>
              <w:t>建筑行业协会</w:t>
            </w:r>
            <w:r>
              <w:rPr>
                <w:rFonts w:hint="eastAsia" w:ascii="Times New Roman" w:hAnsi="宋体" w:eastAsia="宋体" w:cs="Times New Roman"/>
                <w:color w:val="auto"/>
                <w:kern w:val="0"/>
                <w:sz w:val="21"/>
                <w:szCs w:val="21"/>
                <w:highlight w:val="none"/>
                <w:lang w:val="en-US" w:eastAsia="zh-CN"/>
              </w:rPr>
              <w:t>网站</w:t>
            </w:r>
            <w:r>
              <w:rPr>
                <w:rFonts w:hint="eastAsia" w:ascii="Times New Roman" w:hAnsi="宋体" w:eastAsia="宋体" w:cs="Times New Roman"/>
                <w:color w:val="auto"/>
                <w:kern w:val="0"/>
                <w:sz w:val="21"/>
                <w:szCs w:val="21"/>
                <w:highlight w:val="none"/>
              </w:rPr>
              <w:t>查询截图</w:t>
            </w:r>
            <w:r>
              <w:rPr>
                <w:rFonts w:hint="eastAsia" w:ascii="Times New Roman" w:hAnsi="宋体" w:cs="Times New Roman"/>
                <w:color w:val="auto"/>
                <w:kern w:val="0"/>
                <w:sz w:val="21"/>
                <w:szCs w:val="21"/>
                <w:highlight w:val="none"/>
                <w:lang w:val="en-US" w:eastAsia="zh-CN"/>
              </w:rPr>
              <w:t>，否则不得分</w:t>
            </w:r>
            <w:r>
              <w:rPr>
                <w:rFonts w:hint="eastAsia" w:ascii="Times New Roman" w:hAnsi="宋体" w:eastAsia="宋体" w:cs="Times New Roman"/>
                <w:color w:val="auto"/>
                <w:kern w:val="0"/>
                <w:sz w:val="21"/>
                <w:szCs w:val="21"/>
                <w:highlight w:val="none"/>
              </w:rPr>
              <w:t>。</w:t>
            </w:r>
          </w:p>
          <w:p w14:paraId="5E3A0F74">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Times New Roman"/>
                <w:color w:val="auto"/>
                <w:kern w:val="0"/>
                <w:sz w:val="21"/>
                <w:szCs w:val="21"/>
                <w:highlight w:val="none"/>
              </w:rPr>
            </w:pPr>
            <w:r>
              <w:rPr>
                <w:rFonts w:hint="eastAsia" w:ascii="Times New Roman" w:hAnsi="宋体" w:cs="Times New Roman"/>
                <w:color w:val="auto"/>
                <w:kern w:val="0"/>
                <w:sz w:val="21"/>
                <w:szCs w:val="21"/>
                <w:highlight w:val="none"/>
              </w:rPr>
              <w:t>2．证书须由</w:t>
            </w:r>
            <w:r>
              <w:rPr>
                <w:rFonts w:hint="eastAsia" w:hAnsi="宋体" w:cs="Times New Roman"/>
                <w:color w:val="auto"/>
                <w:kern w:val="0"/>
                <w:sz w:val="21"/>
                <w:szCs w:val="21"/>
                <w:highlight w:val="none"/>
                <w:lang w:val="en-US" w:eastAsia="zh-CN"/>
              </w:rPr>
              <w:t>地级市及以上相关政府部门或建筑</w:t>
            </w:r>
            <w:r>
              <w:rPr>
                <w:rFonts w:hint="eastAsia" w:ascii="Times New Roman" w:hAnsi="宋体" w:cs="Times New Roman"/>
                <w:color w:val="auto"/>
                <w:kern w:val="0"/>
                <w:sz w:val="21"/>
                <w:szCs w:val="21"/>
                <w:highlight w:val="none"/>
              </w:rPr>
              <w:t>协会颁发</w:t>
            </w:r>
            <w:r>
              <w:rPr>
                <w:rFonts w:hint="eastAsia" w:ascii="Times New Roman" w:hAnsi="宋体" w:cs="Times New Roman"/>
                <w:color w:val="auto"/>
                <w:kern w:val="0"/>
                <w:sz w:val="21"/>
                <w:szCs w:val="21"/>
                <w:highlight w:val="none"/>
                <w:lang w:val="en-US" w:eastAsia="zh-CN"/>
              </w:rPr>
              <w:t>的（相关协会需经民政部门备案，须提供备案截图，否则不得分）</w:t>
            </w:r>
            <w:r>
              <w:rPr>
                <w:rFonts w:hint="eastAsia" w:ascii="Times New Roman" w:hAnsi="宋体" w:cs="Times New Roman"/>
                <w:color w:val="auto"/>
                <w:kern w:val="0"/>
                <w:sz w:val="21"/>
                <w:szCs w:val="21"/>
                <w:highlight w:val="none"/>
              </w:rPr>
              <w:t>。</w:t>
            </w:r>
          </w:p>
          <w:p w14:paraId="0E275825">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Times New Roman" w:hAnsi="宋体" w:cs="Times New Roman"/>
                <w:color w:val="auto"/>
                <w:kern w:val="0"/>
                <w:sz w:val="21"/>
                <w:szCs w:val="21"/>
                <w:highlight w:val="none"/>
              </w:rPr>
            </w:pPr>
            <w:r>
              <w:rPr>
                <w:rFonts w:hint="eastAsia" w:ascii="Times New Roman" w:hAnsi="宋体" w:cs="Times New Roman"/>
                <w:color w:val="auto"/>
                <w:kern w:val="0"/>
                <w:sz w:val="21"/>
                <w:szCs w:val="21"/>
                <w:highlight w:val="none"/>
              </w:rPr>
              <w:t>3．颁发机构、获奖时间不符合评分标准和备注规定的，不予得分。</w:t>
            </w:r>
          </w:p>
        </w:tc>
      </w:tr>
      <w:tr w14:paraId="70938262">
        <w:tblPrEx>
          <w:tblCellMar>
            <w:top w:w="0" w:type="dxa"/>
            <w:left w:w="108" w:type="dxa"/>
            <w:bottom w:w="0" w:type="dxa"/>
            <w:right w:w="108" w:type="dxa"/>
          </w:tblCellMar>
        </w:tblPrEx>
        <w:trPr>
          <w:trHeight w:val="1393" w:hRule="atLeast"/>
          <w:jc w:val="center"/>
        </w:trPr>
        <w:tc>
          <w:tcPr>
            <w:tcW w:w="1322" w:type="dxa"/>
            <w:vMerge w:val="continue"/>
            <w:tcBorders>
              <w:left w:val="single" w:color="auto" w:sz="4" w:space="0"/>
              <w:bottom w:val="single" w:color="auto" w:sz="4" w:space="0"/>
              <w:right w:val="single" w:color="auto" w:sz="4" w:space="0"/>
            </w:tcBorders>
            <w:noWrap w:val="0"/>
            <w:vAlign w:val="center"/>
          </w:tcPr>
          <w:p w14:paraId="27BC0D67">
            <w:pPr>
              <w:pStyle w:val="17"/>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Times New Roman" w:hAnsi="宋体" w:eastAsia="宋体" w:cs="宋体"/>
                <w:snapToGrid w:val="0"/>
                <w:color w:val="auto"/>
                <w:kern w:val="0"/>
                <w:sz w:val="21"/>
                <w:szCs w:val="21"/>
                <w:highlight w:val="none"/>
                <w:lang w:val="en-US" w:eastAsia="zh-CN" w:bidi="ar"/>
              </w:rPr>
            </w:pPr>
          </w:p>
        </w:tc>
        <w:tc>
          <w:tcPr>
            <w:tcW w:w="4290" w:type="dxa"/>
            <w:tcBorders>
              <w:top w:val="single" w:color="auto" w:sz="4" w:space="0"/>
              <w:left w:val="single" w:color="auto" w:sz="4" w:space="0"/>
              <w:bottom w:val="single" w:color="auto" w:sz="4" w:space="0"/>
              <w:right w:val="single" w:color="auto" w:sz="4" w:space="0"/>
            </w:tcBorders>
            <w:noWrap w:val="0"/>
            <w:vAlign w:val="center"/>
          </w:tcPr>
          <w:p w14:paraId="2CAE085A">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企业助力“百县千镇万村高质量发展工程 ”情况：</w:t>
            </w:r>
          </w:p>
          <w:p w14:paraId="441F37D1">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宋体" w:hAnsi="宋体" w:eastAsia="宋体"/>
                <w:snapToGrid w:val="0"/>
                <w:color w:val="auto"/>
                <w:kern w:val="0"/>
                <w:szCs w:val="21"/>
                <w:highlight w:val="none"/>
                <w:lang w:val="en-US" w:eastAsia="zh-CN"/>
              </w:rPr>
              <w:t>1.企业</w:t>
            </w:r>
            <w:r>
              <w:rPr>
                <w:rFonts w:hint="eastAsia" w:ascii="宋体" w:hAnsi="宋体" w:eastAsia="宋体"/>
                <w:snapToGrid w:val="0"/>
                <w:color w:val="auto"/>
                <w:kern w:val="0"/>
                <w:szCs w:val="21"/>
                <w:highlight w:val="none"/>
              </w:rPr>
              <w:t>近</w:t>
            </w:r>
            <w:r>
              <w:rPr>
                <w:rFonts w:hint="eastAsia" w:ascii="宋体" w:hAnsi="宋体" w:eastAsia="宋体"/>
                <w:snapToGrid w:val="0"/>
                <w:color w:val="auto"/>
                <w:kern w:val="0"/>
                <w:szCs w:val="21"/>
                <w:highlight w:val="none"/>
                <w:u w:val="single"/>
                <w:lang w:val="en-US" w:eastAsia="zh-CN"/>
              </w:rPr>
              <w:t>3</w:t>
            </w:r>
            <w:r>
              <w:rPr>
                <w:rFonts w:hint="eastAsia" w:ascii="宋体" w:hAnsi="宋体" w:eastAsia="宋体"/>
                <w:snapToGrid w:val="0"/>
                <w:color w:val="auto"/>
                <w:kern w:val="0"/>
                <w:szCs w:val="21"/>
                <w:highlight w:val="none"/>
              </w:rPr>
              <w:t>年来（202</w:t>
            </w:r>
            <w:r>
              <w:rPr>
                <w:rFonts w:hint="eastAsia" w:ascii="宋体" w:hAnsi="宋体" w:eastAsia="宋体"/>
                <w:snapToGrid w:val="0"/>
                <w:color w:val="auto"/>
                <w:kern w:val="0"/>
                <w:szCs w:val="21"/>
                <w:highlight w:val="none"/>
                <w:lang w:val="en-US" w:eastAsia="zh-CN"/>
              </w:rPr>
              <w:t>3</w:t>
            </w:r>
            <w:r>
              <w:rPr>
                <w:rFonts w:hint="eastAsia" w:ascii="宋体" w:hAnsi="宋体" w:eastAsia="宋体"/>
                <w:snapToGrid w:val="0"/>
                <w:color w:val="auto"/>
                <w:kern w:val="0"/>
                <w:szCs w:val="21"/>
                <w:highlight w:val="none"/>
              </w:rPr>
              <w:t>年1月1日至今）参与</w:t>
            </w:r>
            <w:r>
              <w:rPr>
                <w:rFonts w:hint="eastAsia" w:ascii="宋体" w:hAnsi="宋体" w:eastAsia="宋体"/>
                <w:snapToGrid w:val="0"/>
                <w:color w:val="auto"/>
                <w:kern w:val="0"/>
                <w:szCs w:val="21"/>
                <w:highlight w:val="none"/>
                <w:lang w:val="en-US" w:eastAsia="zh-CN"/>
              </w:rPr>
              <w:t>建筑业企业投身</w:t>
            </w:r>
            <w:r>
              <w:rPr>
                <w:rFonts w:hint="eastAsia" w:ascii="宋体" w:hAnsi="宋体" w:eastAsia="宋体"/>
                <w:snapToGrid w:val="0"/>
                <w:color w:val="auto"/>
                <w:kern w:val="0"/>
                <w:szCs w:val="21"/>
                <w:highlight w:val="none"/>
              </w:rPr>
              <w:t>“百千万工程”</w:t>
            </w:r>
            <w:r>
              <w:rPr>
                <w:rFonts w:hint="eastAsia" w:ascii="宋体" w:hAnsi="宋体" w:eastAsia="宋体"/>
                <w:snapToGrid w:val="0"/>
                <w:color w:val="auto"/>
                <w:kern w:val="0"/>
                <w:szCs w:val="21"/>
                <w:highlight w:val="none"/>
                <w:lang w:eastAsia="zh-CN"/>
              </w:rPr>
              <w:t>，</w:t>
            </w:r>
            <w:r>
              <w:rPr>
                <w:rFonts w:hint="eastAsia" w:ascii="宋体" w:hAnsi="宋体" w:eastAsia="宋体"/>
                <w:snapToGrid w:val="0"/>
                <w:color w:val="auto"/>
                <w:kern w:val="0"/>
                <w:szCs w:val="21"/>
                <w:highlight w:val="none"/>
                <w:lang w:val="en-US" w:eastAsia="zh-CN"/>
              </w:rPr>
              <w:t>开展结对帮扶工作</w:t>
            </w:r>
            <w:r>
              <w:rPr>
                <w:rFonts w:hint="eastAsia" w:ascii="宋体" w:hAnsi="宋体" w:eastAsia="宋体"/>
                <w:snapToGrid w:val="0"/>
                <w:color w:val="auto"/>
                <w:kern w:val="0"/>
                <w:szCs w:val="21"/>
                <w:highlight w:val="none"/>
              </w:rPr>
              <w:t>：</w:t>
            </w:r>
          </w:p>
          <w:p w14:paraId="00827251">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仿宋" w:hAnsi="仿宋" w:eastAsia="仿宋" w:cs="仿宋"/>
                <w:snapToGrid w:val="0"/>
                <w:color w:val="auto"/>
                <w:kern w:val="0"/>
                <w:szCs w:val="21"/>
                <w:highlight w:val="none"/>
              </w:rPr>
              <w:t>①</w:t>
            </w:r>
            <w:r>
              <w:rPr>
                <w:rFonts w:hint="eastAsia" w:ascii="宋体" w:hAnsi="宋体" w:eastAsia="宋体"/>
                <w:snapToGrid w:val="0"/>
                <w:color w:val="auto"/>
                <w:kern w:val="0"/>
                <w:szCs w:val="21"/>
                <w:highlight w:val="none"/>
              </w:rPr>
              <w:t>纯公益帮扶项目已完工并超过</w:t>
            </w:r>
            <w:r>
              <w:rPr>
                <w:rFonts w:hint="eastAsia" w:ascii="宋体" w:hAnsi="宋体" w:eastAsia="宋体"/>
                <w:snapToGrid w:val="0"/>
                <w:color w:val="auto"/>
                <w:kern w:val="0"/>
                <w:szCs w:val="21"/>
                <w:highlight w:val="none"/>
                <w:lang w:val="en-US" w:eastAsia="zh-CN"/>
              </w:rPr>
              <w:t>150</w:t>
            </w:r>
            <w:r>
              <w:rPr>
                <w:rFonts w:hint="eastAsia" w:ascii="宋体" w:hAnsi="宋体" w:eastAsia="宋体"/>
                <w:snapToGrid w:val="0"/>
                <w:color w:val="auto"/>
                <w:kern w:val="0"/>
                <w:szCs w:val="21"/>
                <w:highlight w:val="none"/>
              </w:rPr>
              <w:t>万元（含）得</w:t>
            </w:r>
            <w:r>
              <w:rPr>
                <w:rFonts w:hint="eastAsia" w:ascii="宋体" w:hAnsi="宋体" w:eastAsia="宋体"/>
                <w:snapToGrid w:val="0"/>
                <w:color w:val="auto"/>
                <w:kern w:val="0"/>
                <w:szCs w:val="21"/>
                <w:highlight w:val="none"/>
                <w:lang w:val="en-US" w:eastAsia="zh-CN"/>
              </w:rPr>
              <w:t>5</w:t>
            </w:r>
            <w:r>
              <w:rPr>
                <w:rFonts w:hint="eastAsia" w:ascii="宋体" w:hAnsi="宋体" w:eastAsia="宋体"/>
                <w:snapToGrid w:val="0"/>
                <w:color w:val="auto"/>
                <w:kern w:val="0"/>
                <w:szCs w:val="21"/>
                <w:highlight w:val="none"/>
              </w:rPr>
              <w:t>分；</w:t>
            </w:r>
          </w:p>
          <w:p w14:paraId="3DB77894">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仿宋" w:hAnsi="仿宋" w:eastAsia="仿宋" w:cs="仿宋"/>
                <w:snapToGrid w:val="0"/>
                <w:color w:val="auto"/>
                <w:kern w:val="0"/>
                <w:szCs w:val="21"/>
                <w:highlight w:val="none"/>
              </w:rPr>
              <w:t>②</w:t>
            </w:r>
            <w:r>
              <w:rPr>
                <w:rFonts w:hint="eastAsia" w:ascii="宋体" w:hAnsi="宋体" w:eastAsia="宋体"/>
                <w:snapToGrid w:val="0"/>
                <w:color w:val="auto"/>
                <w:kern w:val="0"/>
                <w:szCs w:val="21"/>
                <w:highlight w:val="none"/>
              </w:rPr>
              <w:t>纯公益帮扶项目已完工，大于</w:t>
            </w: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0</w:t>
            </w:r>
            <w:r>
              <w:rPr>
                <w:rFonts w:hint="eastAsia" w:ascii="宋体" w:hAnsi="宋体" w:eastAsia="宋体"/>
                <w:snapToGrid w:val="0"/>
                <w:color w:val="auto"/>
                <w:kern w:val="0"/>
                <w:szCs w:val="21"/>
                <w:highlight w:val="none"/>
                <w:lang w:val="en-US" w:eastAsia="zh-CN"/>
              </w:rPr>
              <w:t>0</w:t>
            </w:r>
            <w:r>
              <w:rPr>
                <w:rFonts w:hint="eastAsia" w:ascii="宋体" w:hAnsi="宋体" w:eastAsia="宋体"/>
                <w:snapToGrid w:val="0"/>
                <w:color w:val="auto"/>
                <w:kern w:val="0"/>
                <w:szCs w:val="21"/>
                <w:highlight w:val="none"/>
              </w:rPr>
              <w:t>万元、小于</w:t>
            </w:r>
            <w:r>
              <w:rPr>
                <w:rFonts w:hint="eastAsia" w:ascii="宋体" w:hAnsi="宋体" w:eastAsia="宋体"/>
                <w:snapToGrid w:val="0"/>
                <w:color w:val="auto"/>
                <w:kern w:val="0"/>
                <w:szCs w:val="21"/>
                <w:highlight w:val="none"/>
                <w:lang w:val="en-US" w:eastAsia="zh-CN"/>
              </w:rPr>
              <w:t>150</w:t>
            </w:r>
            <w:r>
              <w:rPr>
                <w:rFonts w:hint="eastAsia" w:ascii="宋体" w:hAnsi="宋体" w:eastAsia="宋体"/>
                <w:snapToGrid w:val="0"/>
                <w:color w:val="auto"/>
                <w:kern w:val="0"/>
                <w:szCs w:val="21"/>
                <w:highlight w:val="none"/>
              </w:rPr>
              <w:t>万元的得</w:t>
            </w:r>
            <w:r>
              <w:rPr>
                <w:rFonts w:hint="eastAsia" w:ascii="宋体" w:hAnsi="宋体" w:eastAsia="宋体"/>
                <w:snapToGrid w:val="0"/>
                <w:color w:val="auto"/>
                <w:kern w:val="0"/>
                <w:szCs w:val="21"/>
                <w:highlight w:val="none"/>
                <w:lang w:val="en-US" w:eastAsia="zh-CN"/>
              </w:rPr>
              <w:t>3</w:t>
            </w:r>
            <w:r>
              <w:rPr>
                <w:rFonts w:hint="eastAsia" w:ascii="宋体" w:hAnsi="宋体" w:eastAsia="宋体"/>
                <w:snapToGrid w:val="0"/>
                <w:color w:val="auto"/>
                <w:kern w:val="0"/>
                <w:szCs w:val="21"/>
                <w:highlight w:val="none"/>
              </w:rPr>
              <w:t>分；</w:t>
            </w:r>
          </w:p>
          <w:p w14:paraId="4EC31A86">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仿宋" w:hAnsi="仿宋" w:eastAsia="仿宋" w:cs="仿宋"/>
                <w:snapToGrid w:val="0"/>
                <w:color w:val="auto"/>
                <w:kern w:val="0"/>
                <w:szCs w:val="21"/>
                <w:highlight w:val="none"/>
              </w:rPr>
              <w:t>③</w:t>
            </w:r>
            <w:r>
              <w:rPr>
                <w:rFonts w:hint="eastAsia" w:ascii="宋体" w:hAnsi="宋体" w:eastAsia="宋体"/>
                <w:snapToGrid w:val="0"/>
                <w:color w:val="auto"/>
                <w:kern w:val="0"/>
                <w:szCs w:val="21"/>
                <w:highlight w:val="none"/>
              </w:rPr>
              <w:t>纯公益帮扶项目已完工，大于</w:t>
            </w:r>
            <w:r>
              <w:rPr>
                <w:rFonts w:hint="eastAsia" w:ascii="宋体" w:hAnsi="宋体" w:eastAsia="宋体"/>
                <w:snapToGrid w:val="0"/>
                <w:color w:val="auto"/>
                <w:kern w:val="0"/>
                <w:szCs w:val="21"/>
                <w:highlight w:val="none"/>
                <w:lang w:val="en-US" w:eastAsia="zh-CN"/>
              </w:rPr>
              <w:t>5</w:t>
            </w:r>
            <w:r>
              <w:rPr>
                <w:rFonts w:hint="eastAsia" w:ascii="宋体" w:hAnsi="宋体" w:eastAsia="宋体"/>
                <w:snapToGrid w:val="0"/>
                <w:color w:val="auto"/>
                <w:kern w:val="0"/>
                <w:szCs w:val="21"/>
                <w:highlight w:val="none"/>
              </w:rPr>
              <w:t>0万元、小于</w:t>
            </w:r>
            <w:r>
              <w:rPr>
                <w:rFonts w:hint="eastAsia" w:ascii="宋体" w:hAnsi="宋体" w:eastAsia="宋体"/>
                <w:snapToGrid w:val="0"/>
                <w:color w:val="auto"/>
                <w:kern w:val="0"/>
                <w:szCs w:val="21"/>
                <w:highlight w:val="none"/>
                <w:lang w:val="en-US" w:eastAsia="zh-CN"/>
              </w:rPr>
              <w:t>10</w:t>
            </w:r>
            <w:r>
              <w:rPr>
                <w:rFonts w:hint="eastAsia" w:ascii="宋体" w:hAnsi="宋体" w:eastAsia="宋体"/>
                <w:snapToGrid w:val="0"/>
                <w:color w:val="auto"/>
                <w:kern w:val="0"/>
                <w:szCs w:val="21"/>
                <w:highlight w:val="none"/>
              </w:rPr>
              <w:t>0万元（含）的得</w:t>
            </w:r>
            <w:r>
              <w:rPr>
                <w:rFonts w:hint="eastAsia" w:ascii="宋体" w:hAnsi="宋体" w:eastAsia="宋体"/>
                <w:snapToGrid w:val="0"/>
                <w:color w:val="auto"/>
                <w:kern w:val="0"/>
                <w:szCs w:val="21"/>
                <w:highlight w:val="none"/>
                <w:lang w:val="en-US" w:eastAsia="zh-CN"/>
              </w:rPr>
              <w:t>2</w:t>
            </w:r>
            <w:r>
              <w:rPr>
                <w:rFonts w:hint="eastAsia" w:ascii="宋体" w:hAnsi="宋体" w:eastAsia="宋体"/>
                <w:snapToGrid w:val="0"/>
                <w:color w:val="auto"/>
                <w:kern w:val="0"/>
                <w:szCs w:val="21"/>
                <w:highlight w:val="none"/>
              </w:rPr>
              <w:t>分；</w:t>
            </w:r>
          </w:p>
          <w:p w14:paraId="7916E607">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rPr>
            </w:pPr>
            <w:r>
              <w:rPr>
                <w:rFonts w:hint="eastAsia" w:ascii="仿宋" w:hAnsi="仿宋" w:eastAsia="仿宋" w:cs="仿宋"/>
                <w:snapToGrid w:val="0"/>
                <w:color w:val="auto"/>
                <w:kern w:val="0"/>
                <w:szCs w:val="21"/>
                <w:highlight w:val="none"/>
              </w:rPr>
              <w:t>④</w:t>
            </w:r>
            <w:r>
              <w:rPr>
                <w:rFonts w:hint="eastAsia" w:ascii="宋体" w:hAnsi="宋体" w:eastAsia="宋体"/>
                <w:snapToGrid w:val="0"/>
                <w:color w:val="auto"/>
                <w:kern w:val="0"/>
                <w:szCs w:val="21"/>
                <w:highlight w:val="none"/>
              </w:rPr>
              <w:t>帮扶项目已完工，大于1</w:t>
            </w:r>
            <w:r>
              <w:rPr>
                <w:rFonts w:hint="eastAsia" w:ascii="宋体" w:hAnsi="宋体" w:eastAsia="宋体"/>
                <w:snapToGrid w:val="0"/>
                <w:color w:val="auto"/>
                <w:kern w:val="0"/>
                <w:szCs w:val="21"/>
                <w:highlight w:val="none"/>
                <w:lang w:val="en-US" w:eastAsia="zh-CN"/>
              </w:rPr>
              <w:t>0</w:t>
            </w:r>
            <w:r>
              <w:rPr>
                <w:rFonts w:hint="eastAsia" w:ascii="宋体" w:hAnsi="宋体" w:eastAsia="宋体"/>
                <w:snapToGrid w:val="0"/>
                <w:color w:val="auto"/>
                <w:kern w:val="0"/>
                <w:szCs w:val="21"/>
                <w:highlight w:val="none"/>
              </w:rPr>
              <w:t>万元、小于</w:t>
            </w:r>
            <w:r>
              <w:rPr>
                <w:rFonts w:hint="eastAsia" w:ascii="宋体" w:hAnsi="宋体" w:eastAsia="宋体"/>
                <w:snapToGrid w:val="0"/>
                <w:color w:val="auto"/>
                <w:kern w:val="0"/>
                <w:szCs w:val="21"/>
                <w:highlight w:val="none"/>
                <w:lang w:val="en-US" w:eastAsia="zh-CN"/>
              </w:rPr>
              <w:t>5</w:t>
            </w:r>
            <w:r>
              <w:rPr>
                <w:rFonts w:hint="eastAsia" w:ascii="宋体" w:hAnsi="宋体" w:eastAsia="宋体"/>
                <w:snapToGrid w:val="0"/>
                <w:color w:val="auto"/>
                <w:kern w:val="0"/>
                <w:szCs w:val="21"/>
                <w:highlight w:val="none"/>
              </w:rPr>
              <w:t>0万元</w:t>
            </w:r>
            <w:r>
              <w:rPr>
                <w:rFonts w:hint="eastAsia" w:ascii="宋体" w:hAnsi="宋体" w:eastAsia="宋体"/>
                <w:snapToGrid w:val="0"/>
                <w:color w:val="auto"/>
                <w:kern w:val="0"/>
                <w:szCs w:val="21"/>
                <w:highlight w:val="none"/>
                <w:lang w:eastAsia="zh-CN"/>
              </w:rPr>
              <w:t>（</w:t>
            </w:r>
            <w:r>
              <w:rPr>
                <w:rFonts w:hint="eastAsia" w:ascii="宋体" w:hAnsi="宋体" w:eastAsia="宋体"/>
                <w:snapToGrid w:val="0"/>
                <w:color w:val="auto"/>
                <w:kern w:val="0"/>
                <w:szCs w:val="21"/>
                <w:highlight w:val="none"/>
                <w:lang w:val="en-US" w:eastAsia="zh-CN"/>
              </w:rPr>
              <w:t>含）</w:t>
            </w:r>
            <w:r>
              <w:rPr>
                <w:rFonts w:hint="eastAsia" w:ascii="宋体" w:hAnsi="宋体" w:eastAsia="宋体"/>
                <w:snapToGrid w:val="0"/>
                <w:color w:val="auto"/>
                <w:kern w:val="0"/>
                <w:szCs w:val="21"/>
                <w:highlight w:val="none"/>
              </w:rPr>
              <w:t>的得</w:t>
            </w:r>
            <w:r>
              <w:rPr>
                <w:rFonts w:hint="eastAsia" w:ascii="宋体" w:hAnsi="宋体" w:eastAsia="宋体"/>
                <w:snapToGrid w:val="0"/>
                <w:color w:val="auto"/>
                <w:kern w:val="0"/>
                <w:szCs w:val="21"/>
                <w:highlight w:val="none"/>
                <w:lang w:val="en-US" w:eastAsia="zh-CN"/>
              </w:rPr>
              <w:t>1</w:t>
            </w:r>
            <w:r>
              <w:rPr>
                <w:rFonts w:hint="eastAsia" w:ascii="宋体" w:hAnsi="宋体" w:eastAsia="宋体"/>
                <w:snapToGrid w:val="0"/>
                <w:color w:val="auto"/>
                <w:kern w:val="0"/>
                <w:szCs w:val="21"/>
                <w:highlight w:val="none"/>
              </w:rPr>
              <w:t>分；</w:t>
            </w:r>
          </w:p>
          <w:p w14:paraId="1185C966">
            <w:pPr>
              <w:pStyle w:val="140"/>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⑤</w:t>
            </w:r>
            <w:r>
              <w:rPr>
                <w:rFonts w:hint="eastAsia" w:ascii="宋体" w:hAnsi="宋体" w:eastAsia="宋体"/>
                <w:snapToGrid w:val="0"/>
                <w:color w:val="auto"/>
                <w:kern w:val="0"/>
                <w:szCs w:val="21"/>
                <w:highlight w:val="none"/>
              </w:rPr>
              <w:t>其他不计</w:t>
            </w:r>
            <w:r>
              <w:rPr>
                <w:rFonts w:hint="eastAsia" w:ascii="宋体" w:hAnsi="宋体" w:eastAsia="宋体"/>
                <w:snapToGrid w:val="0"/>
                <w:color w:val="auto"/>
                <w:kern w:val="0"/>
                <w:szCs w:val="21"/>
                <w:highlight w:val="none"/>
                <w:lang w:val="en-US" w:eastAsia="zh-CN"/>
              </w:rPr>
              <w:t>分。</w:t>
            </w:r>
          </w:p>
          <w:p w14:paraId="18B47EA8">
            <w:pPr>
              <w:pStyle w:val="140"/>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2.</w:t>
            </w:r>
            <w:r>
              <w:rPr>
                <w:rFonts w:hint="default" w:ascii="宋体" w:hAnsi="宋体" w:eastAsia="宋体" w:cs="Times New Roman"/>
                <w:snapToGrid w:val="0"/>
                <w:color w:val="auto"/>
                <w:kern w:val="0"/>
                <w:szCs w:val="21"/>
                <w:highlight w:val="none"/>
                <w:lang w:val="en-US" w:eastAsia="zh-CN"/>
              </w:rPr>
              <w:t>企业参与建筑业企业投身“百县千镇万村高质量发展工程”开展结对帮扶工作，且参建项目被选定为省级或以上建筑业企业投身“百县千镇万村高质量发展工程”项目范例的得</w:t>
            </w:r>
            <w:r>
              <w:rPr>
                <w:rFonts w:hint="eastAsia" w:ascii="宋体" w:hAnsi="宋体" w:eastAsia="宋体" w:cs="Times New Roman"/>
                <w:snapToGrid w:val="0"/>
                <w:color w:val="auto"/>
                <w:kern w:val="0"/>
                <w:szCs w:val="21"/>
                <w:highlight w:val="none"/>
                <w:lang w:val="en-US" w:eastAsia="zh-CN"/>
              </w:rPr>
              <w:t>5</w:t>
            </w:r>
            <w:r>
              <w:rPr>
                <w:rFonts w:hint="default" w:ascii="宋体" w:hAnsi="宋体" w:eastAsia="宋体" w:cs="Times New Roman"/>
                <w:snapToGrid w:val="0"/>
                <w:color w:val="auto"/>
                <w:kern w:val="0"/>
                <w:szCs w:val="21"/>
                <w:highlight w:val="none"/>
                <w:lang w:val="en-US" w:eastAsia="zh-CN"/>
              </w:rPr>
              <w:t>分。</w:t>
            </w:r>
          </w:p>
          <w:p w14:paraId="5BDE02D1">
            <w:pPr>
              <w:pStyle w:val="140"/>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3.本项最高得5分。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67643E31">
            <w:pPr>
              <w:pStyle w:val="140"/>
              <w:keepNext w:val="0"/>
              <w:keepLines w:val="0"/>
              <w:pageBreakBefore w:val="0"/>
              <w:widowControl w:val="0"/>
              <w:numPr>
                <w:ilvl w:val="0"/>
                <w:numId w:val="4"/>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snapToGrid w:val="0"/>
                <w:color w:val="auto"/>
                <w:kern w:val="0"/>
                <w:szCs w:val="21"/>
                <w:highlight w:val="none"/>
                <w:lang w:val="en-US" w:eastAsia="zh-CN"/>
              </w:rPr>
            </w:pPr>
            <w:r>
              <w:rPr>
                <w:rFonts w:hint="eastAsia" w:ascii="宋体" w:hAnsi="宋体" w:eastAsia="宋体"/>
                <w:snapToGrid w:val="0"/>
                <w:color w:val="auto"/>
                <w:kern w:val="0"/>
                <w:szCs w:val="21"/>
                <w:highlight w:val="none"/>
                <w:lang w:val="en-US" w:eastAsia="zh-CN"/>
              </w:rPr>
              <w:t>需提供相关资料彩色扫描件（结对帮扶框架协议书、施工合同、竣工验收报告）。</w:t>
            </w:r>
          </w:p>
          <w:p w14:paraId="4B6C30C7">
            <w:pPr>
              <w:pStyle w:val="140"/>
              <w:keepNext w:val="0"/>
              <w:keepLines w:val="0"/>
              <w:pageBreakBefore w:val="0"/>
              <w:widowControl w:val="0"/>
              <w:numPr>
                <w:ilvl w:val="0"/>
                <w:numId w:val="4"/>
              </w:numPr>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hAnsi="宋体" w:cs="宋体"/>
                <w:snapToGrid w:val="0"/>
                <w:color w:val="auto"/>
                <w:kern w:val="0"/>
                <w:sz w:val="21"/>
                <w:szCs w:val="21"/>
                <w:highlight w:val="none"/>
                <w:lang w:val="en-US" w:eastAsia="zh-CN"/>
              </w:rPr>
            </w:pPr>
            <w:r>
              <w:rPr>
                <w:rFonts w:hint="eastAsia" w:ascii="宋体" w:hAnsi="宋体" w:eastAsia="宋体"/>
                <w:snapToGrid w:val="0"/>
                <w:color w:val="auto"/>
                <w:kern w:val="0"/>
                <w:szCs w:val="21"/>
                <w:highlight w:val="none"/>
                <w:lang w:val="en-US" w:eastAsia="zh-CN"/>
              </w:rPr>
              <w:t>需提供建设行政主管部门相关证明文件及网页截图（应显示网站名称和网址）。</w:t>
            </w:r>
          </w:p>
        </w:tc>
      </w:tr>
      <w:tr w14:paraId="24A14540">
        <w:tblPrEx>
          <w:tblCellMar>
            <w:top w:w="0" w:type="dxa"/>
            <w:left w:w="108" w:type="dxa"/>
            <w:bottom w:w="0" w:type="dxa"/>
            <w:right w:w="108" w:type="dxa"/>
          </w:tblCellMar>
        </w:tblPrEx>
        <w:trPr>
          <w:trHeight w:val="560"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65902076">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技术部分（施工组织设计），满分：</w:t>
            </w:r>
            <w:r>
              <w:rPr>
                <w:rFonts w:hint="eastAsia" w:hAnsi="宋体" w:cs="宋体"/>
                <w:snapToGrid w:val="0"/>
                <w:color w:val="auto"/>
                <w:kern w:val="0"/>
                <w:sz w:val="21"/>
                <w:szCs w:val="21"/>
                <w:highlight w:val="none"/>
                <w:u w:val="single"/>
                <w:lang w:val="en-US" w:eastAsia="zh-CN"/>
              </w:rPr>
              <w:t>12.5</w:t>
            </w:r>
            <w:r>
              <w:rPr>
                <w:rFonts w:hint="eastAsia" w:ascii="Times New Roman" w:hAnsi="宋体" w:cs="宋体"/>
                <w:snapToGrid w:val="0"/>
                <w:color w:val="auto"/>
                <w:kern w:val="0"/>
                <w:sz w:val="21"/>
                <w:szCs w:val="21"/>
                <w:highlight w:val="none"/>
              </w:rPr>
              <w:t>分。</w:t>
            </w:r>
          </w:p>
        </w:tc>
      </w:tr>
      <w:tr w14:paraId="39947342">
        <w:tblPrEx>
          <w:tblCellMar>
            <w:top w:w="0" w:type="dxa"/>
            <w:left w:w="108" w:type="dxa"/>
            <w:bottom w:w="0" w:type="dxa"/>
            <w:right w:w="108" w:type="dxa"/>
          </w:tblCellMar>
        </w:tblPrEx>
        <w:trPr>
          <w:trHeight w:val="636"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3EBB175C">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评分因素</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7A0EBDE">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评分标准</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0D2EF76A">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备注</w:t>
            </w:r>
          </w:p>
        </w:tc>
      </w:tr>
      <w:tr w14:paraId="1C803A8B">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74BFC02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总体概述</w:t>
            </w:r>
          </w:p>
          <w:p w14:paraId="7FA3962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Times New Roman"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1.25</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505AF739">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24733E25">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4934E900">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220EE46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Times New Roman"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354A9DF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【优】对项目总体有深刻认识，表述清晰、完整、严谨、合理，措施先进、具体、有效、成熟，采用了新技术、新工艺、新材料、新设备；施工段划分呼应总体表述，划分清晰、合理，符合规范要求。 </w:t>
            </w:r>
          </w:p>
          <w:p w14:paraId="6AC8A8A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【良】对项目总体有一定认识，表述清晰、完整，措施具体有效；施工段划分呼应总体表述，划分清晰，符合规范要求。</w:t>
            </w:r>
          </w:p>
          <w:p w14:paraId="35E48CC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【中】对项目总体有认识，有一定的措施但部分不具体；施工段划分较合理，符合规范要求。</w:t>
            </w:r>
          </w:p>
          <w:p w14:paraId="438F428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Times New Roman"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【差】对项目认识不足，表述不清晰，措施不具体；施工段划分不合理。</w:t>
            </w:r>
          </w:p>
        </w:tc>
      </w:tr>
      <w:tr w14:paraId="264C39D1">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2F71E44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施工总进</w:t>
            </w:r>
          </w:p>
          <w:p w14:paraId="3529E86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度计划及</w:t>
            </w:r>
          </w:p>
          <w:p w14:paraId="15459CF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保证措施</w:t>
            </w:r>
          </w:p>
          <w:p w14:paraId="2A981B5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 xml:space="preserve"> 2.5 </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387F263F">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51C851B9">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056AE9B0">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C90C4B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7381A09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7A1341E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2629B8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5F0891B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【差】关键线路不准确，计划编制不合理。关键节点的控制不可行。人、材、机需求和进场计划与进度计划不相呼应，不能满足施工需要。没有违约责任承诺。</w:t>
            </w:r>
          </w:p>
        </w:tc>
      </w:tr>
      <w:tr w14:paraId="4A6C7C4D">
        <w:tblPrEx>
          <w:tblCellMar>
            <w:top w:w="0" w:type="dxa"/>
            <w:left w:w="108" w:type="dxa"/>
            <w:bottom w:w="0" w:type="dxa"/>
            <w:right w:w="108" w:type="dxa"/>
          </w:tblCellMar>
        </w:tblPrEx>
        <w:trPr>
          <w:trHeight w:val="2865"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0BF6E65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质量</w:t>
            </w:r>
          </w:p>
          <w:p w14:paraId="7BA3932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保证措施</w:t>
            </w:r>
          </w:p>
          <w:p w14:paraId="2A76190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 xml:space="preserve"> 2.5 </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12798AE">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08B033C4">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02DAE731">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D1377C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6391FB5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【优】应用新技术、新工艺、新材料、新设备，针对项目实际提出先进、可行、具体的保证措施。超过招标文件的质量要求。</w:t>
            </w:r>
          </w:p>
          <w:p w14:paraId="106CD0E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【良】针对项目实际提出先进、可行、具体的保证措施。满足招标文件的质量要求。</w:t>
            </w:r>
          </w:p>
          <w:p w14:paraId="6E7C75E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【中】具体措施可行。满足招标文件的质量要求。</w:t>
            </w:r>
          </w:p>
          <w:p w14:paraId="6942A9E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【差】措施不可行，没有质量违约责任承诺。</w:t>
            </w:r>
          </w:p>
        </w:tc>
      </w:tr>
      <w:tr w14:paraId="2A562051">
        <w:tblPrEx>
          <w:tblCellMar>
            <w:top w:w="0" w:type="dxa"/>
            <w:left w:w="108" w:type="dxa"/>
            <w:bottom w:w="0" w:type="dxa"/>
            <w:right w:w="108" w:type="dxa"/>
          </w:tblCellMar>
        </w:tblPrEx>
        <w:trPr>
          <w:trHeight w:val="849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13BB163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施工</w:t>
            </w:r>
          </w:p>
          <w:p w14:paraId="32422C0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技术措施</w:t>
            </w:r>
          </w:p>
          <w:p w14:paraId="0F197DF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1.25</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2A70113A">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1FDAB705">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3E0F057E">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469A76E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5C7D740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4CEF53E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snapToGrid w:val="0"/>
                <w:color w:val="auto"/>
                <w:kern w:val="0"/>
                <w:szCs w:val="21"/>
                <w:highlight w:val="none"/>
              </w:rPr>
              <w:t>经济赔偿较合理</w:t>
            </w:r>
            <w:r>
              <w:rPr>
                <w:rFonts w:hint="eastAsia" w:ascii="宋体" w:hAnsi="宋体" w:eastAsia="宋体" w:cs="宋体"/>
                <w:snapToGrid w:val="0"/>
                <w:color w:val="auto"/>
                <w:kern w:val="0"/>
                <w:sz w:val="21"/>
                <w:szCs w:val="21"/>
                <w:highlight w:val="none"/>
                <w:lang w:val="en-US" w:eastAsia="zh-CN" w:bidi="ar-SA"/>
              </w:rPr>
              <w:t>。</w:t>
            </w:r>
          </w:p>
          <w:p w14:paraId="06427F5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DBDFC6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4918FFC2">
        <w:tblPrEx>
          <w:tblCellMar>
            <w:top w:w="0" w:type="dxa"/>
            <w:left w:w="108" w:type="dxa"/>
            <w:bottom w:w="0" w:type="dxa"/>
            <w:right w:w="108" w:type="dxa"/>
          </w:tblCellMar>
        </w:tblPrEx>
        <w:trPr>
          <w:trHeight w:val="1946"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71AC655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绿色施工、</w:t>
            </w:r>
          </w:p>
          <w:p w14:paraId="2F490E1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安全防护、</w:t>
            </w:r>
          </w:p>
          <w:p w14:paraId="0A42909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文明施工</w:t>
            </w:r>
          </w:p>
          <w:p w14:paraId="5AF1DA3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措施计划</w:t>
            </w:r>
          </w:p>
          <w:p w14:paraId="644F9E6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 xml:space="preserve"> 2.5 </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539B96BD">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4F9AFB53">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567BF30C">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0D4C8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1D799C2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【优】针对项目实际情况，有先进、具体、完整、可行的措施，采用规范准确、清晰。</w:t>
            </w:r>
          </w:p>
          <w:p w14:paraId="1A7A526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【良】针对项目实际情况，有合理的措施且具体、完整，采用规范准确。</w:t>
            </w:r>
          </w:p>
          <w:p w14:paraId="5D480A0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【中】有基本合理的措施，采用规范准确。</w:t>
            </w:r>
          </w:p>
          <w:p w14:paraId="792C208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【差】措施不力，采用规范不正确。</w:t>
            </w:r>
          </w:p>
        </w:tc>
      </w:tr>
      <w:tr w14:paraId="162C0F35">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20521CA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施工平面</w:t>
            </w:r>
          </w:p>
          <w:p w14:paraId="61F9366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布置和临时设施布置</w:t>
            </w:r>
          </w:p>
          <w:p w14:paraId="6C4C7BD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1.25</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0A411D00">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3A6B525B">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711000ED">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40EC56C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502D46D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【优】总体布置有针对性、合理，较好满足施工需要，符合绿色施工、安全防护、文明施工要求。</w:t>
            </w:r>
          </w:p>
          <w:p w14:paraId="6091FCE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【良】总体布置合理，能满足施工需要，基本符合绿色施工、安全防护、文明施工要求。</w:t>
            </w:r>
          </w:p>
          <w:p w14:paraId="71927FF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【中】总体布置基本合理，基本满足施工需要。</w:t>
            </w:r>
          </w:p>
          <w:p w14:paraId="7B31CE8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【差】总体布置不合理，不符合绿色施工、安全防护、文明施工要求。</w:t>
            </w:r>
          </w:p>
        </w:tc>
      </w:tr>
      <w:tr w14:paraId="7CAB21AD">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6E616F1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w:t>
            </w:r>
          </w:p>
          <w:p w14:paraId="7A91452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管理机构</w:t>
            </w:r>
          </w:p>
          <w:p w14:paraId="1732191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u w:val="single"/>
                <w:lang w:val="en-US" w:eastAsia="zh-CN" w:bidi="ar-SA"/>
              </w:rPr>
              <w:t>1.25</w:t>
            </w:r>
            <w:r>
              <w:rPr>
                <w:rFonts w:hint="eastAsia" w:ascii="宋体" w:hAnsi="宋体" w:eastAsia="宋体" w:cs="宋体"/>
                <w:snapToGrid w:val="0"/>
                <w:color w:val="auto"/>
                <w:kern w:val="0"/>
                <w:sz w:val="21"/>
                <w:szCs w:val="21"/>
                <w:highlight w:val="none"/>
                <w:lang w:val="en-US" w:eastAsia="zh-CN" w:bidi="ar-SA"/>
              </w:rPr>
              <w:t>分）</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60DDDC7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0F3FBDB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72A45CF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5684B1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38DFE39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【优】组织机构形式合理，有完善的指挥系统，生产及质量、绿色施工、安全、文明施工、创优达标监控系统、联络协调系统，人员配备齐全、专业分配合理。</w:t>
            </w:r>
          </w:p>
          <w:p w14:paraId="59D375C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【良】组织机构形式合理，指挥系统，生产及质量、绿色施工、安全、文明施工、创优达标监控系统、联络协调系统齐全，人员配备齐全、专业分配合理。</w:t>
            </w:r>
          </w:p>
          <w:p w14:paraId="347EDD2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【中】组织机构形式基本合理，有指挥系统，生产及质量、绿色施工、安全、文明施工、创优达标监控系统、联络协调系统齐全，人员配备基本齐全、专业分配基本合理。</w:t>
            </w:r>
          </w:p>
          <w:p w14:paraId="2A253E4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【差】组织机构形式合理，指挥系统，生产及质量、绿色施工、安全、文明施工、创优达标监控系统、联络协调系统不齐全，人员配备不齐全、专业分配不合理。</w:t>
            </w:r>
          </w:p>
        </w:tc>
      </w:tr>
      <w:tr w14:paraId="5082E078">
        <w:tblPrEx>
          <w:tblCellMar>
            <w:top w:w="0" w:type="dxa"/>
            <w:left w:w="108" w:type="dxa"/>
            <w:bottom w:w="0" w:type="dxa"/>
            <w:right w:w="108" w:type="dxa"/>
          </w:tblCellMar>
        </w:tblPrEx>
        <w:trPr>
          <w:trHeight w:val="67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AEEE9E0">
            <w:pPr>
              <w:pStyle w:val="141"/>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投标报价部分，满分：</w:t>
            </w:r>
            <w:r>
              <w:rPr>
                <w:rFonts w:hint="eastAsia" w:ascii="宋体" w:hAnsi="宋体" w:eastAsia="宋体" w:cs="宋体"/>
                <w:snapToGrid w:val="0"/>
                <w:color w:val="auto"/>
                <w:kern w:val="0"/>
                <w:szCs w:val="21"/>
                <w:highlight w:val="none"/>
                <w:lang w:val="en-US" w:eastAsia="zh-CN"/>
              </w:rPr>
              <w:t>100</w:t>
            </w:r>
            <w:r>
              <w:rPr>
                <w:rFonts w:hint="eastAsia" w:ascii="宋体" w:hAnsi="宋体" w:eastAsia="宋体" w:cs="宋体"/>
                <w:snapToGrid w:val="0"/>
                <w:color w:val="auto"/>
                <w:kern w:val="0"/>
                <w:szCs w:val="21"/>
                <w:highlight w:val="none"/>
              </w:rPr>
              <w:t>分。</w:t>
            </w:r>
          </w:p>
        </w:tc>
      </w:tr>
      <w:tr w14:paraId="5BFAA7AA">
        <w:tblPrEx>
          <w:tblCellMar>
            <w:top w:w="0" w:type="dxa"/>
            <w:left w:w="108" w:type="dxa"/>
            <w:bottom w:w="0" w:type="dxa"/>
            <w:right w:w="108" w:type="dxa"/>
          </w:tblCellMar>
        </w:tblPrEx>
        <w:trPr>
          <w:trHeight w:val="691"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6A4DC7D6">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评分事项</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39480FA5">
            <w:pPr>
              <w:pStyle w:val="17"/>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宋体" w:cs="宋体"/>
                <w:snapToGrid w:val="0"/>
                <w:color w:val="auto"/>
                <w:kern w:val="0"/>
                <w:sz w:val="21"/>
                <w:szCs w:val="21"/>
                <w:highlight w:val="none"/>
              </w:rPr>
            </w:pPr>
            <w:r>
              <w:rPr>
                <w:rFonts w:hint="eastAsia" w:ascii="Times New Roman" w:hAnsi="宋体" w:cs="宋体"/>
                <w:snapToGrid w:val="0"/>
                <w:color w:val="auto"/>
                <w:kern w:val="0"/>
                <w:sz w:val="21"/>
                <w:szCs w:val="21"/>
                <w:highlight w:val="none"/>
              </w:rPr>
              <w:t>评分方法</w:t>
            </w:r>
          </w:p>
        </w:tc>
      </w:tr>
      <w:tr w14:paraId="3959C25D">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30026E92">
            <w:pPr>
              <w:pStyle w:val="142"/>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评标基准价D</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75B2DB6A">
            <w:pPr>
              <w:pStyle w:val="17"/>
              <w:keepNext w:val="0"/>
              <w:keepLines w:val="0"/>
              <w:pageBreakBefore w:val="0"/>
              <w:widowControl/>
              <w:suppressLineNumbers w:val="0"/>
              <w:kinsoku/>
              <w:wordWrap w:val="0"/>
              <w:overflowPunct/>
              <w:topLinePunct w:val="0"/>
              <w:autoSpaceDE/>
              <w:autoSpaceDN/>
              <w:bidi w:val="0"/>
              <w:adjustRightInd w:val="0"/>
              <w:snapToGrid w:val="0"/>
              <w:spacing w:before="165" w:beforeLines="50" w:beforeAutospacing="0" w:after="0" w:afterAutospacing="0" w:line="360" w:lineRule="auto"/>
              <w:ind w:left="0" w:right="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（1）确定</w:t>
            </w:r>
            <w:r>
              <w:rPr>
                <w:rFonts w:hint="eastAsia" w:ascii="宋体" w:hAnsi="宋体" w:cs="宋体"/>
                <w:snapToGrid w:val="0"/>
                <w:color w:val="auto"/>
                <w:kern w:val="0"/>
                <w:sz w:val="21"/>
                <w:szCs w:val="21"/>
                <w:highlight w:val="none"/>
                <w:lang w:val="en-US" w:eastAsia="zh-CN"/>
              </w:rPr>
              <w:t>最高投标限价</w:t>
            </w:r>
            <w:r>
              <w:rPr>
                <w:rFonts w:hint="eastAsia" w:ascii="宋体" w:hAnsi="宋体" w:eastAsia="宋体" w:cs="宋体"/>
                <w:snapToGrid w:val="0"/>
                <w:color w:val="auto"/>
                <w:kern w:val="0"/>
                <w:sz w:val="21"/>
                <w:szCs w:val="21"/>
                <w:highlight w:val="none"/>
                <w:lang w:val="en-US" w:eastAsia="zh-CN"/>
              </w:rPr>
              <w:t>下浮系数n：用</w:t>
            </w:r>
            <w:r>
              <w:rPr>
                <w:rFonts w:hint="eastAsia" w:ascii="Times New Roman" w:hAnsi="宋体" w:eastAsia="宋体" w:cs="宋体"/>
                <w:snapToGrid w:val="0"/>
                <w:color w:val="auto"/>
                <w:kern w:val="0"/>
                <w:sz w:val="21"/>
                <w:szCs w:val="21"/>
                <w:highlight w:val="none"/>
                <w:lang w:val="en-US" w:eastAsia="zh-CN"/>
              </w:rPr>
              <w:t>20</w:t>
            </w:r>
            <w:r>
              <w:rPr>
                <w:rFonts w:hint="eastAsia" w:ascii="宋体" w:hAnsi="宋体" w:eastAsia="宋体" w:cs="宋体"/>
                <w:snapToGrid w:val="0"/>
                <w:color w:val="auto"/>
                <w:kern w:val="0"/>
                <w:sz w:val="21"/>
                <w:szCs w:val="21"/>
                <w:highlight w:val="none"/>
                <w:lang w:val="en-US" w:eastAsia="zh-CN"/>
              </w:rPr>
              <w:t>～</w:t>
            </w:r>
            <w:r>
              <w:rPr>
                <w:rFonts w:hint="eastAsia" w:ascii="Times New Roman" w:hAnsi="宋体" w:eastAsia="宋体" w:cs="宋体"/>
                <w:snapToGrid w:val="0"/>
                <w:color w:val="auto"/>
                <w:kern w:val="0"/>
                <w:sz w:val="21"/>
                <w:szCs w:val="21"/>
                <w:highlight w:val="none"/>
                <w:lang w:val="en-US" w:eastAsia="zh-CN"/>
              </w:rPr>
              <w:t>50</w:t>
            </w:r>
            <w:r>
              <w:rPr>
                <w:rFonts w:hint="eastAsia" w:ascii="宋体" w:hAnsi="宋体" w:eastAsia="宋体" w:cs="宋体"/>
                <w:snapToGrid w:val="0"/>
                <w:color w:val="auto"/>
                <w:kern w:val="0"/>
                <w:sz w:val="21"/>
                <w:szCs w:val="21"/>
                <w:highlight w:val="none"/>
                <w:lang w:val="en-US" w:eastAsia="zh-CN"/>
              </w:rPr>
              <w:t>号球分别代表一个下浮系数，由评委代表从这</w:t>
            </w:r>
            <w:r>
              <w:rPr>
                <w:rFonts w:hint="eastAsia" w:ascii="Times New Roman"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1个号球中随机抽取</w:t>
            </w:r>
            <w:r>
              <w:rPr>
                <w:rFonts w:hint="eastAsia" w:hAnsi="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lang w:val="en-US" w:eastAsia="zh-CN"/>
              </w:rPr>
              <w:t>次，每次抽取1个号码，抽出的号球不参与下次抽取。所抽取的</w:t>
            </w: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个号球对应下浮系数的算术平均值作为</w:t>
            </w:r>
            <w:r>
              <w:rPr>
                <w:rFonts w:hint="eastAsia" w:ascii="宋体" w:hAnsi="宋体" w:cs="宋体"/>
                <w:snapToGrid w:val="0"/>
                <w:color w:val="auto"/>
                <w:kern w:val="0"/>
                <w:sz w:val="21"/>
                <w:szCs w:val="21"/>
                <w:highlight w:val="none"/>
                <w:lang w:val="en-US" w:eastAsia="zh-CN"/>
              </w:rPr>
              <w:t>最高投标限价</w:t>
            </w:r>
            <w:r>
              <w:rPr>
                <w:rFonts w:hint="eastAsia" w:ascii="宋体" w:hAnsi="宋体" w:eastAsia="宋体" w:cs="宋体"/>
                <w:snapToGrid w:val="0"/>
                <w:color w:val="auto"/>
                <w:kern w:val="0"/>
                <w:sz w:val="21"/>
                <w:szCs w:val="21"/>
                <w:highlight w:val="none"/>
                <w:lang w:val="en-US" w:eastAsia="zh-CN"/>
              </w:rPr>
              <w:t>下浮系数n。具体号球对应的下浮系数可参考下表。</w:t>
            </w:r>
          </w:p>
          <w:tbl>
            <w:tblPr>
              <w:tblStyle w:val="43"/>
              <w:tblW w:w="0" w:type="auto"/>
              <w:tblInd w:w="113" w:type="dxa"/>
              <w:tblLayout w:type="fixed"/>
              <w:tblCellMar>
                <w:top w:w="0" w:type="dxa"/>
                <w:left w:w="108" w:type="dxa"/>
                <w:bottom w:w="0" w:type="dxa"/>
                <w:right w:w="108" w:type="dxa"/>
              </w:tblCellMar>
            </w:tblPr>
            <w:tblGrid>
              <w:gridCol w:w="1554"/>
              <w:gridCol w:w="842"/>
              <w:gridCol w:w="880"/>
              <w:gridCol w:w="916"/>
              <w:gridCol w:w="899"/>
              <w:gridCol w:w="936"/>
              <w:gridCol w:w="879"/>
              <w:gridCol w:w="869"/>
            </w:tblGrid>
            <w:tr w14:paraId="5511AEFB">
              <w:tblPrEx>
                <w:tblCellMar>
                  <w:top w:w="0" w:type="dxa"/>
                  <w:left w:w="108" w:type="dxa"/>
                  <w:bottom w:w="0" w:type="dxa"/>
                  <w:right w:w="108" w:type="dxa"/>
                </w:tblCellMar>
              </w:tblPrEx>
              <w:trPr>
                <w:trHeight w:val="246"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D90772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
                      <w:snapToGrid w:val="0"/>
                      <w:color w:val="auto"/>
                      <w:kern w:val="0"/>
                      <w:sz w:val="21"/>
                      <w:szCs w:val="20"/>
                      <w:highlight w:val="none"/>
                    </w:rPr>
                  </w:pPr>
                  <w:r>
                    <w:rPr>
                      <w:rFonts w:hint="eastAsia" w:hAnsi="宋体" w:cs="黑体"/>
                      <w:bCs/>
                      <w:snapToGrid w:val="0"/>
                      <w:color w:val="auto"/>
                      <w:kern w:val="0"/>
                      <w:sz w:val="21"/>
                      <w:szCs w:val="20"/>
                      <w:highlight w:val="none"/>
                    </w:rPr>
                    <w:t>号球</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037D15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8D42C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50B03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3</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933FE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FE22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5</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33143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6</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00073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7</w:t>
                  </w:r>
                </w:p>
              </w:tc>
            </w:tr>
            <w:tr w14:paraId="081B028D">
              <w:tblPrEx>
                <w:tblCellMar>
                  <w:top w:w="0" w:type="dxa"/>
                  <w:left w:w="108" w:type="dxa"/>
                  <w:bottom w:w="0" w:type="dxa"/>
                  <w:right w:w="108" w:type="dxa"/>
                </w:tblCellMar>
              </w:tblPrEx>
              <w:trPr>
                <w:trHeight w:val="256"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A2B1C3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Cs/>
                      <w:snapToGrid w:val="0"/>
                      <w:color w:val="auto"/>
                      <w:kern w:val="0"/>
                      <w:sz w:val="21"/>
                      <w:szCs w:val="20"/>
                      <w:highlight w:val="none"/>
                    </w:rPr>
                  </w:pPr>
                  <w:r>
                    <w:rPr>
                      <w:rFonts w:hint="eastAsia" w:hAnsi="宋体" w:cs="黑体"/>
                      <w:bCs/>
                      <w:snapToGrid w:val="0"/>
                      <w:color w:val="auto"/>
                      <w:kern w:val="0"/>
                      <w:sz w:val="21"/>
                      <w:szCs w:val="20"/>
                      <w:highlight w:val="none"/>
                    </w:rPr>
                    <w:t>下浮系数（%）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46213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CAA2D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7C7D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B3D34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33F42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1ABDB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1.5</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6C804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1.6</w:t>
                  </w:r>
                </w:p>
              </w:tc>
            </w:tr>
            <w:tr w14:paraId="174F9D96">
              <w:tblPrEx>
                <w:tblCellMar>
                  <w:top w:w="0" w:type="dxa"/>
                  <w:left w:w="108" w:type="dxa"/>
                  <w:bottom w:w="0" w:type="dxa"/>
                  <w:right w:w="108" w:type="dxa"/>
                </w:tblCellMar>
              </w:tblPrEx>
              <w:trPr>
                <w:trHeight w:val="246"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18E18AB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Cs/>
                      <w:snapToGrid w:val="0"/>
                      <w:color w:val="auto"/>
                      <w:kern w:val="0"/>
                      <w:sz w:val="21"/>
                      <w:szCs w:val="20"/>
                      <w:highlight w:val="none"/>
                    </w:rPr>
                  </w:pPr>
                  <w:r>
                    <w:rPr>
                      <w:rFonts w:hint="eastAsia" w:hAnsi="宋体" w:cs="黑体"/>
                      <w:bCs/>
                      <w:snapToGrid w:val="0"/>
                      <w:color w:val="auto"/>
                      <w:kern w:val="0"/>
                      <w:sz w:val="21"/>
                      <w:szCs w:val="20"/>
                      <w:highlight w:val="none"/>
                    </w:rPr>
                    <w:t>号球</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9FF70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8</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ED16B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9</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D2431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C14DC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13EB6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88EC3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1AE76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14</w:t>
                  </w:r>
                </w:p>
              </w:tc>
            </w:tr>
            <w:tr w14:paraId="2F826A6A">
              <w:tblPrEx>
                <w:tblCellMar>
                  <w:top w:w="0" w:type="dxa"/>
                  <w:left w:w="108" w:type="dxa"/>
                  <w:bottom w:w="0" w:type="dxa"/>
                  <w:right w:w="108" w:type="dxa"/>
                </w:tblCellMar>
              </w:tblPrEx>
              <w:trPr>
                <w:trHeight w:val="246"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B46488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Cs/>
                      <w:snapToGrid w:val="0"/>
                      <w:color w:val="auto"/>
                      <w:kern w:val="0"/>
                      <w:sz w:val="21"/>
                      <w:szCs w:val="20"/>
                      <w:highlight w:val="none"/>
                    </w:rPr>
                  </w:pPr>
                  <w:r>
                    <w:rPr>
                      <w:rFonts w:hint="eastAsia" w:hAnsi="宋体" w:cs="黑体"/>
                      <w:bCs/>
                      <w:snapToGrid w:val="0"/>
                      <w:color w:val="auto"/>
                      <w:kern w:val="0"/>
                      <w:sz w:val="21"/>
                      <w:szCs w:val="20"/>
                      <w:highlight w:val="none"/>
                    </w:rPr>
                    <w:t>下浮系数（%）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8388A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1.7</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6143B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1.8</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C2AEA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1.9</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09A31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3C8E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C089C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2.2</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B6A55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2.3</w:t>
                  </w:r>
                </w:p>
              </w:tc>
            </w:tr>
            <w:tr w14:paraId="122B8483">
              <w:tblPrEx>
                <w:tblCellMar>
                  <w:top w:w="0" w:type="dxa"/>
                  <w:left w:w="108" w:type="dxa"/>
                  <w:bottom w:w="0" w:type="dxa"/>
                  <w:right w:w="108" w:type="dxa"/>
                </w:tblCellMar>
              </w:tblPrEx>
              <w:trPr>
                <w:trHeight w:val="246"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9DB2CD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Cs/>
                      <w:snapToGrid w:val="0"/>
                      <w:color w:val="auto"/>
                      <w:kern w:val="0"/>
                      <w:sz w:val="21"/>
                      <w:szCs w:val="20"/>
                      <w:highlight w:val="none"/>
                    </w:rPr>
                  </w:pPr>
                  <w:r>
                    <w:rPr>
                      <w:rFonts w:hint="eastAsia" w:hAnsi="宋体" w:cs="黑体"/>
                      <w:bCs/>
                      <w:snapToGrid w:val="0"/>
                      <w:color w:val="auto"/>
                      <w:kern w:val="0"/>
                      <w:sz w:val="21"/>
                      <w:szCs w:val="20"/>
                      <w:highlight w:val="none"/>
                    </w:rPr>
                    <w:t>号球</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FC696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15</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8EFC2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16</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2138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E3D13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340AF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19</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58975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20</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F7AFA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21</w:t>
                  </w:r>
                </w:p>
              </w:tc>
            </w:tr>
            <w:tr w14:paraId="664FEC47">
              <w:tblPrEx>
                <w:tblCellMar>
                  <w:top w:w="0" w:type="dxa"/>
                  <w:left w:w="108" w:type="dxa"/>
                  <w:bottom w:w="0" w:type="dxa"/>
                  <w:right w:w="108" w:type="dxa"/>
                </w:tblCellMar>
              </w:tblPrEx>
              <w:trPr>
                <w:trHeight w:val="279" w:hRule="atLeast"/>
              </w:trPr>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BF5916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hAnsi="宋体" w:cs="黑体"/>
                      <w:bCs/>
                      <w:snapToGrid w:val="0"/>
                      <w:color w:val="auto"/>
                      <w:kern w:val="0"/>
                      <w:sz w:val="21"/>
                      <w:szCs w:val="20"/>
                      <w:highlight w:val="none"/>
                    </w:rPr>
                  </w:pPr>
                  <w:r>
                    <w:rPr>
                      <w:rFonts w:hint="eastAsia" w:hAnsi="宋体" w:cs="黑体"/>
                      <w:bCs/>
                      <w:snapToGrid w:val="0"/>
                      <w:color w:val="auto"/>
                      <w:kern w:val="0"/>
                      <w:sz w:val="21"/>
                      <w:szCs w:val="20"/>
                      <w:highlight w:val="none"/>
                    </w:rPr>
                    <w:t>下浮系数（%）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8E052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2.4</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20312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2.5</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5DD48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2.6</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08928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7D03D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7A7425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2.9</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57576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Cs/>
                      <w:snapToGrid w:val="0"/>
                      <w:color w:val="auto"/>
                      <w:kern w:val="0"/>
                      <w:sz w:val="21"/>
                      <w:szCs w:val="20"/>
                      <w:highlight w:val="none"/>
                    </w:rPr>
                  </w:pPr>
                  <w:r>
                    <w:rPr>
                      <w:rFonts w:hint="eastAsia" w:ascii="宋体" w:hAnsi="宋体" w:eastAsia="宋体" w:cs="宋体"/>
                      <w:color w:val="auto"/>
                      <w:sz w:val="22"/>
                      <w:szCs w:val="22"/>
                      <w:highlight w:val="none"/>
                    </w:rPr>
                    <w:t>3.0</w:t>
                  </w:r>
                </w:p>
              </w:tc>
            </w:tr>
          </w:tbl>
          <w:p w14:paraId="5D9375C0">
            <w:pPr>
              <w:keepNext w:val="0"/>
              <w:keepLines w:val="0"/>
              <w:suppressLineNumbers w:val="0"/>
              <w:wordWrap w:val="0"/>
              <w:adjustRightInd w:val="0"/>
              <w:snapToGrid w:val="0"/>
              <w:spacing w:before="0" w:beforeAutospacing="0" w:after="0" w:afterAutospacing="0"/>
              <w:ind w:left="0" w:right="0"/>
              <w:jc w:val="left"/>
              <w:rPr>
                <w:rFonts w:hint="eastAsia" w:ascii="宋体" w:hAnsi="宋体" w:eastAsia="宋体" w:cs="宋体"/>
                <w:snapToGrid w:val="0"/>
                <w:color w:val="auto"/>
                <w:kern w:val="0"/>
                <w:sz w:val="21"/>
                <w:szCs w:val="21"/>
                <w:highlight w:val="none"/>
                <w:lang w:val="en-US" w:eastAsia="zh-CN"/>
              </w:rPr>
            </w:pPr>
          </w:p>
          <w:p w14:paraId="56EF1F3A">
            <w:pPr>
              <w:keepNext w:val="0"/>
              <w:keepLines w:val="0"/>
              <w:suppressLineNumbers w:val="0"/>
              <w:wordWrap w:val="0"/>
              <w:adjustRightInd w:val="0"/>
              <w:snapToGrid w:val="0"/>
              <w:spacing w:before="0" w:beforeAutospacing="0" w:after="0" w:afterAutospacing="0"/>
              <w:ind w:left="0" w:right="0"/>
              <w:jc w:val="left"/>
              <w:rPr>
                <w:rFonts w:hint="default" w:ascii="Times New Roman"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（2）评标基准价D＝</w:t>
            </w:r>
            <w:r>
              <w:rPr>
                <w:rFonts w:hint="eastAsia" w:ascii="宋体" w:hAnsi="宋体" w:cs="宋体"/>
                <w:snapToGrid w:val="0"/>
                <w:color w:val="auto"/>
                <w:kern w:val="0"/>
                <w:sz w:val="21"/>
                <w:szCs w:val="21"/>
                <w:highlight w:val="none"/>
                <w:lang w:val="en-US" w:eastAsia="zh-CN"/>
              </w:rPr>
              <w:t>最高投标限价</w:t>
            </w:r>
            <w:r>
              <w:rPr>
                <w:rFonts w:hint="eastAsia" w:ascii="宋体" w:hAnsi="宋体" w:eastAsia="宋体" w:cs="宋体"/>
                <w:snapToGrid w:val="0"/>
                <w:color w:val="auto"/>
                <w:kern w:val="0"/>
                <w:sz w:val="21"/>
                <w:szCs w:val="21"/>
                <w:highlight w:val="none"/>
                <w:lang w:val="en-US" w:eastAsia="zh-CN"/>
              </w:rPr>
              <w:t>×（1－n）</w:t>
            </w:r>
          </w:p>
        </w:tc>
      </w:tr>
      <w:tr w14:paraId="22D0F5C1">
        <w:tblPrEx>
          <w:tblCellMar>
            <w:top w:w="0" w:type="dxa"/>
            <w:left w:w="108" w:type="dxa"/>
            <w:bottom w:w="0" w:type="dxa"/>
            <w:right w:w="108" w:type="dxa"/>
          </w:tblCellMar>
        </w:tblPrEx>
        <w:trPr>
          <w:trHeight w:val="0"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14:paraId="5DDA4899">
            <w:pPr>
              <w:pStyle w:val="142"/>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w:t>
            </w:r>
          </w:p>
          <w:p w14:paraId="0D642E85">
            <w:pPr>
              <w:pStyle w:val="142"/>
              <w:keepNext w:val="0"/>
              <w:keepLines w:val="0"/>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得分N</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24EA2A8B">
            <w:pPr>
              <w:keepNext w:val="0"/>
              <w:keepLines w:val="0"/>
              <w:pageBreakBefore w:val="0"/>
              <w:widowControl w:val="0"/>
              <w:suppressLineNumbers w:val="0"/>
              <w:kinsoku/>
              <w:wordWrap w:val="0"/>
              <w:overflowPunct/>
              <w:topLinePunct w:val="0"/>
              <w:autoSpaceDE/>
              <w:autoSpaceDN/>
              <w:bidi w:val="0"/>
              <w:adjustRightInd w:val="0"/>
              <w:snapToGrid w:val="0"/>
              <w:spacing w:before="165" w:beforeLines="50" w:beforeAutospacing="0" w:after="0" w:afterAutospacing="0" w:line="360" w:lineRule="auto"/>
              <w:ind w:left="0" w:right="0" w:firstLine="420" w:firstLineChars="200"/>
              <w:jc w:val="left"/>
              <w:textAlignment w:val="auto"/>
              <w:rPr>
                <w:rFonts w:hint="default" w:ascii="Times New Roman" w:hAnsi="宋体" w:cs="宋体"/>
                <w:snapToGrid w:val="0"/>
                <w:color w:val="auto"/>
                <w:kern w:val="0"/>
                <w:sz w:val="21"/>
                <w:szCs w:val="21"/>
                <w:highlight w:val="none"/>
              </w:rPr>
            </w:pPr>
            <w:r>
              <w:rPr>
                <w:rFonts w:hint="default" w:ascii="Times New Roman" w:hAnsi="宋体" w:cs="宋体"/>
                <w:snapToGrid w:val="0"/>
                <w:color w:val="auto"/>
                <w:kern w:val="0"/>
                <w:sz w:val="21"/>
                <w:szCs w:val="21"/>
                <w:highlight w:val="none"/>
              </w:rPr>
              <w:t>采用内插法计算某投标人的投标报价得分N，即当投标人的投标总价等于评标基准价时得</w:t>
            </w:r>
            <w:r>
              <w:rPr>
                <w:rFonts w:hint="eastAsia" w:ascii="Times New Roman" w:hAnsi="宋体" w:cs="宋体"/>
                <w:snapToGrid w:val="0"/>
                <w:color w:val="auto"/>
                <w:kern w:val="0"/>
                <w:sz w:val="21"/>
                <w:szCs w:val="21"/>
                <w:highlight w:val="none"/>
                <w:lang w:val="en-US" w:eastAsia="zh-CN"/>
              </w:rPr>
              <w:t>100</w:t>
            </w:r>
            <w:r>
              <w:rPr>
                <w:rFonts w:hint="default" w:ascii="Times New Roman" w:hAnsi="宋体" w:cs="宋体"/>
                <w:snapToGrid w:val="0"/>
                <w:color w:val="auto"/>
                <w:kern w:val="0"/>
                <w:sz w:val="21"/>
                <w:szCs w:val="21"/>
                <w:highlight w:val="none"/>
              </w:rPr>
              <w:t>分，每高于评标基准价一个百分点扣</w:t>
            </w:r>
            <w:r>
              <w:rPr>
                <w:rFonts w:hint="eastAsia" w:hAnsi="宋体" w:cs="宋体"/>
                <w:snapToGrid w:val="0"/>
                <w:color w:val="auto"/>
                <w:kern w:val="0"/>
                <w:sz w:val="21"/>
                <w:szCs w:val="21"/>
                <w:highlight w:val="none"/>
                <w:lang w:val="en-US" w:eastAsia="zh-CN"/>
              </w:rPr>
              <w:t>1</w:t>
            </w:r>
            <w:r>
              <w:rPr>
                <w:rFonts w:hint="default" w:ascii="Times New Roman" w:hAnsi="宋体" w:cs="宋体"/>
                <w:snapToGrid w:val="0"/>
                <w:color w:val="auto"/>
                <w:kern w:val="0"/>
                <w:sz w:val="21"/>
                <w:szCs w:val="21"/>
                <w:highlight w:val="none"/>
              </w:rPr>
              <w:t>分, 每低于评标基准价一个百分点扣</w:t>
            </w:r>
            <w:r>
              <w:rPr>
                <w:rFonts w:hint="eastAsia" w:hAnsi="宋体" w:cs="宋体"/>
                <w:snapToGrid w:val="0"/>
                <w:color w:val="auto"/>
                <w:kern w:val="0"/>
                <w:sz w:val="21"/>
                <w:szCs w:val="21"/>
                <w:highlight w:val="none"/>
                <w:lang w:val="en-US" w:eastAsia="zh-CN"/>
              </w:rPr>
              <w:t>0.5</w:t>
            </w:r>
            <w:r>
              <w:rPr>
                <w:rFonts w:hint="default" w:ascii="Times New Roman" w:hAnsi="宋体" w:cs="宋体"/>
                <w:snapToGrid w:val="0"/>
                <w:color w:val="auto"/>
                <w:kern w:val="0"/>
                <w:sz w:val="21"/>
                <w:szCs w:val="21"/>
                <w:highlight w:val="none"/>
              </w:rPr>
              <w:t>分，扣完为止。公式如下：</w:t>
            </w:r>
          </w:p>
          <w:p w14:paraId="54BB0C79">
            <w:pPr>
              <w:keepNext w:val="0"/>
              <w:keepLines w:val="0"/>
              <w:suppressLineNumbers w:val="0"/>
              <w:wordWrap w:val="0"/>
              <w:adjustRightInd w:val="0"/>
              <w:snapToGrid w:val="0"/>
              <w:spacing w:before="0" w:beforeAutospacing="0" w:after="0" w:afterAutospacing="0" w:line="360" w:lineRule="auto"/>
              <w:ind w:left="0" w:right="0" w:firstLine="420" w:firstLineChars="200"/>
              <w:jc w:val="left"/>
              <w:rPr>
                <w:rFonts w:hint="default" w:ascii="Times New Roman" w:hAnsi="宋体" w:cs="宋体"/>
                <w:snapToGrid w:val="0"/>
                <w:color w:val="auto"/>
                <w:kern w:val="0"/>
                <w:sz w:val="21"/>
                <w:szCs w:val="21"/>
                <w:highlight w:val="none"/>
              </w:rPr>
            </w:pPr>
            <w:r>
              <w:rPr>
                <w:rFonts w:hint="default" w:ascii="Times New Roman" w:hAnsi="宋体" w:cs="宋体"/>
                <w:snapToGrid w:val="0"/>
                <w:color w:val="auto"/>
                <w:kern w:val="0"/>
                <w:sz w:val="21"/>
                <w:szCs w:val="21"/>
                <w:highlight w:val="none"/>
              </w:rPr>
              <w:t>N＝</w:t>
            </w:r>
            <w:r>
              <w:rPr>
                <w:rFonts w:hint="eastAsia" w:ascii="Times New Roman" w:hAnsi="宋体" w:cs="宋体"/>
                <w:snapToGrid w:val="0"/>
                <w:color w:val="auto"/>
                <w:kern w:val="0"/>
                <w:sz w:val="21"/>
                <w:szCs w:val="21"/>
                <w:highlight w:val="none"/>
                <w:lang w:val="en-US" w:eastAsia="zh-CN"/>
              </w:rPr>
              <w:t>10</w:t>
            </w:r>
            <w:r>
              <w:rPr>
                <w:rFonts w:hint="default" w:ascii="Times New Roman" w:hAnsi="宋体" w:cs="宋体"/>
                <w:snapToGrid w:val="0"/>
                <w:color w:val="auto"/>
                <w:kern w:val="0"/>
                <w:sz w:val="21"/>
                <w:szCs w:val="21"/>
                <w:highlight w:val="none"/>
              </w:rPr>
              <w:t>0－（| Di－D | ÷D）×100×E</w:t>
            </w:r>
          </w:p>
          <w:p w14:paraId="132FDDC7">
            <w:pPr>
              <w:keepNext w:val="0"/>
              <w:keepLines w:val="0"/>
              <w:suppressLineNumbers w:val="0"/>
              <w:wordWrap w:val="0"/>
              <w:adjustRightInd w:val="0"/>
              <w:snapToGrid w:val="0"/>
              <w:spacing w:before="0" w:beforeAutospacing="0" w:after="0" w:afterAutospacing="0" w:line="360" w:lineRule="auto"/>
              <w:ind w:left="0" w:right="0" w:firstLine="420" w:firstLineChars="200"/>
              <w:jc w:val="left"/>
              <w:rPr>
                <w:rFonts w:hint="default" w:ascii="Times New Roman" w:hAnsi="宋体" w:cs="宋体"/>
                <w:snapToGrid w:val="0"/>
                <w:color w:val="auto"/>
                <w:kern w:val="0"/>
                <w:sz w:val="21"/>
                <w:szCs w:val="21"/>
                <w:highlight w:val="none"/>
              </w:rPr>
            </w:pPr>
            <w:r>
              <w:rPr>
                <w:rFonts w:hint="default" w:ascii="Times New Roman" w:hAnsi="宋体" w:cs="宋体"/>
                <w:snapToGrid w:val="0"/>
                <w:color w:val="auto"/>
                <w:kern w:val="0"/>
                <w:sz w:val="21"/>
                <w:szCs w:val="21"/>
                <w:highlight w:val="none"/>
              </w:rPr>
              <w:t>式中：D为评标基准价；Di为某投标人的投标总价；E为扣分因子，当Di＞D时，E</w:t>
            </w:r>
            <w:r>
              <w:rPr>
                <w:rFonts w:hint="eastAsia" w:ascii="Times New Roman" w:hAnsi="宋体" w:cs="宋体"/>
                <w:snapToGrid w:val="0"/>
                <w:color w:val="auto"/>
                <w:kern w:val="0"/>
                <w:sz w:val="21"/>
                <w:szCs w:val="21"/>
                <w:highlight w:val="none"/>
                <w:lang w:val="en-US" w:eastAsia="zh-CN"/>
              </w:rPr>
              <w:t>=</w:t>
            </w:r>
            <w:r>
              <w:rPr>
                <w:rFonts w:hint="eastAsia" w:hAnsi="宋体" w:cs="宋体"/>
                <w:snapToGrid w:val="0"/>
                <w:color w:val="auto"/>
                <w:kern w:val="0"/>
                <w:sz w:val="21"/>
                <w:szCs w:val="21"/>
                <w:highlight w:val="none"/>
                <w:lang w:val="en-US" w:eastAsia="zh-CN"/>
              </w:rPr>
              <w:t>1</w:t>
            </w:r>
            <w:r>
              <w:rPr>
                <w:rFonts w:hint="default" w:ascii="Times New Roman" w:hAnsi="宋体" w:cs="宋体"/>
                <w:snapToGrid w:val="0"/>
                <w:color w:val="auto"/>
                <w:kern w:val="0"/>
                <w:sz w:val="21"/>
                <w:szCs w:val="21"/>
                <w:highlight w:val="none"/>
              </w:rPr>
              <w:t>；当Di＜D时，E</w:t>
            </w:r>
            <w:r>
              <w:rPr>
                <w:rFonts w:hint="eastAsia" w:ascii="宋体" w:hAnsi="宋体" w:eastAsia="宋体" w:cs="宋体"/>
                <w:snapToGrid w:val="0"/>
                <w:color w:val="auto"/>
                <w:kern w:val="0"/>
                <w:sz w:val="21"/>
                <w:szCs w:val="21"/>
                <w:highlight w:val="none"/>
                <w:lang w:val="en-US" w:eastAsia="zh-CN"/>
              </w:rPr>
              <w:t>=</w:t>
            </w:r>
            <w:r>
              <w:rPr>
                <w:rFonts w:hint="eastAsia" w:hAnsi="宋体" w:cs="宋体"/>
                <w:snapToGrid w:val="0"/>
                <w:color w:val="auto"/>
                <w:kern w:val="0"/>
                <w:sz w:val="21"/>
                <w:szCs w:val="21"/>
                <w:highlight w:val="none"/>
                <w:lang w:val="en-US" w:eastAsia="zh-CN"/>
              </w:rPr>
              <w:t>0.5</w:t>
            </w:r>
            <w:r>
              <w:rPr>
                <w:rFonts w:hint="default" w:ascii="Times New Roman" w:hAnsi="宋体" w:cs="宋体"/>
                <w:snapToGrid w:val="0"/>
                <w:color w:val="auto"/>
                <w:kern w:val="0"/>
                <w:sz w:val="21"/>
                <w:szCs w:val="21"/>
                <w:highlight w:val="none"/>
              </w:rPr>
              <w:t>。</w:t>
            </w:r>
          </w:p>
        </w:tc>
      </w:tr>
    </w:tbl>
    <w:p w14:paraId="79315CFA">
      <w:pPr>
        <w:rPr>
          <w:rFonts w:hint="eastAsia" w:ascii="宋体" w:hAnsi="宋体" w:eastAsia="宋体" w:cs="宋体"/>
          <w:color w:val="auto"/>
          <w:highlight w:val="none"/>
        </w:rPr>
      </w:pPr>
    </w:p>
    <w:p w14:paraId="46006E0E">
      <w:pPr>
        <w:keepNext w:val="0"/>
        <w:keepLines w:val="0"/>
        <w:pageBreakBefore w:val="0"/>
        <w:kinsoku/>
        <w:wordWrap/>
        <w:overflowPunct/>
        <w:topLinePunct w:val="0"/>
        <w:autoSpaceDE/>
        <w:autoSpaceDN/>
        <w:bidi w:val="0"/>
        <w:adjustRightInd/>
        <w:snapToGrid/>
        <w:spacing w:line="400" w:lineRule="exact"/>
        <w:ind w:firstLine="422" w:firstLineChars="15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四、定标细则</w:t>
      </w:r>
    </w:p>
    <w:p w14:paraId="62B87483">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票决数量法</w:t>
      </w:r>
    </w:p>
    <w:p w14:paraId="43664D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5BB2A8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一、票决数量法程序</w:t>
      </w:r>
    </w:p>
    <w:p w14:paraId="56086F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0B7387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bCs/>
          <w:color w:val="auto"/>
          <w:sz w:val="24"/>
          <w:szCs w:val="24"/>
          <w:highlight w:val="none"/>
          <w:u w:val="none"/>
          <w:shd w:val="clear" w:color="auto" w:fill="FFFFFF"/>
        </w:rPr>
        <w:t>项目情况介绍</w:t>
      </w:r>
    </w:p>
    <w:p w14:paraId="127920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4F1D00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bCs/>
          <w:color w:val="auto"/>
          <w:sz w:val="24"/>
          <w:szCs w:val="24"/>
          <w:highlight w:val="none"/>
          <w:u w:val="none"/>
          <w:shd w:val="clear" w:color="auto" w:fill="FFFFFF"/>
        </w:rPr>
        <w:t>审阅定标资料</w:t>
      </w:r>
    </w:p>
    <w:p w14:paraId="53C564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19DC4010">
      <w:pPr>
        <w:pStyle w:val="3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3.</w:t>
      </w:r>
      <w:r>
        <w:rPr>
          <w:rFonts w:hint="eastAsia" w:ascii="宋体" w:hAnsi="宋体" w:eastAsia="宋体" w:cs="宋体"/>
          <w:b/>
          <w:bCs/>
          <w:color w:val="auto"/>
          <w:sz w:val="24"/>
          <w:szCs w:val="24"/>
          <w:highlight w:val="none"/>
          <w:u w:val="none"/>
          <w:shd w:val="clear" w:color="auto" w:fill="FFFFFF"/>
        </w:rPr>
        <w:t>疑问澄清</w:t>
      </w:r>
    </w:p>
    <w:p w14:paraId="1F426F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5C4757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4.投票，收票，点票和汇总</w:t>
      </w:r>
    </w:p>
    <w:p w14:paraId="42C936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7EEF61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5.公布结果和出具定标报告</w:t>
      </w:r>
    </w:p>
    <w:p w14:paraId="4934DD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0731D5F">
      <w:pPr>
        <w:pStyle w:val="3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6.</w:t>
      </w:r>
      <w:r>
        <w:rPr>
          <w:rFonts w:hint="eastAsia" w:ascii="宋体" w:hAnsi="宋体" w:eastAsia="宋体" w:cs="宋体"/>
          <w:b/>
          <w:bCs/>
          <w:color w:val="auto"/>
          <w:sz w:val="24"/>
          <w:szCs w:val="24"/>
          <w:highlight w:val="none"/>
          <w:u w:val="none"/>
          <w:shd w:val="clear" w:color="auto" w:fill="FFFFFF"/>
        </w:rPr>
        <w:t>全程监督</w:t>
      </w:r>
    </w:p>
    <w:p w14:paraId="0B5A5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416236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二、定标因素</w:t>
      </w:r>
    </w:p>
    <w:p w14:paraId="0C65A1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473D3D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（一）拟派团队管理能力与水平（履约能力）</w:t>
      </w:r>
    </w:p>
    <w:p w14:paraId="592F0E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723FFD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（二）企业信誉</w:t>
      </w:r>
    </w:p>
    <w:p w14:paraId="7973A7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FD626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（三）企业社会贡献（助力“百千万工程”、社会公益项目）</w:t>
      </w:r>
    </w:p>
    <w:p w14:paraId="2445E7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D909C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（四）评标报告</w:t>
      </w:r>
    </w:p>
    <w:p w14:paraId="329CD2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6515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（五）农民工工资保障情况</w:t>
      </w:r>
    </w:p>
    <w:p w14:paraId="240096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6EA4E5D7">
      <w:pPr>
        <w:keepNext w:val="0"/>
        <w:keepLines w:val="0"/>
        <w:widowControl/>
        <w:suppressLineNumbers w:val="0"/>
        <w:jc w:val="left"/>
        <w:rPr>
          <w:rFonts w:hint="eastAsia" w:ascii="宋体" w:hAnsi="宋体" w:eastAsia="宋体" w:cs="宋体"/>
          <w:color w:val="auto"/>
          <w:highlight w:val="none"/>
        </w:rPr>
      </w:pPr>
    </w:p>
    <w:p w14:paraId="55B3E49A">
      <w:pPr>
        <w:jc w:val="center"/>
        <w:rPr>
          <w:rFonts w:hint="eastAsia" w:ascii="宋体" w:hAnsi="宋体" w:eastAsia="宋体" w:cs="宋体"/>
          <w:b/>
          <w:bCs/>
          <w:color w:val="auto"/>
          <w:sz w:val="32"/>
          <w:szCs w:val="32"/>
          <w:highlight w:val="none"/>
        </w:rPr>
      </w:pPr>
    </w:p>
    <w:p w14:paraId="2BF45F4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DC3C0D2">
      <w:pPr>
        <w:jc w:val="center"/>
        <w:rPr>
          <w:rFonts w:hint="eastAsia" w:ascii="宋体" w:hAnsi="宋体" w:eastAsia="宋体" w:cs="宋体"/>
          <w:b/>
          <w:bCs/>
          <w:color w:val="auto"/>
          <w:sz w:val="32"/>
          <w:szCs w:val="32"/>
          <w:highlight w:val="none"/>
        </w:rPr>
      </w:pPr>
    </w:p>
    <w:p w14:paraId="68C76AF9">
      <w:pPr>
        <w:jc w:val="center"/>
        <w:rPr>
          <w:rFonts w:hint="eastAsia" w:ascii="宋体" w:hAnsi="宋体" w:eastAsia="宋体" w:cs="宋体"/>
          <w:b/>
          <w:bCs/>
          <w:color w:val="auto"/>
          <w:sz w:val="32"/>
          <w:szCs w:val="32"/>
          <w:highlight w:val="none"/>
        </w:rPr>
      </w:pPr>
    </w:p>
    <w:p w14:paraId="1E8114B6">
      <w:pPr>
        <w:pStyle w:val="15"/>
        <w:rPr>
          <w:rFonts w:hint="eastAsia" w:ascii="宋体" w:hAnsi="宋体" w:eastAsia="宋体" w:cs="宋体"/>
          <w:b/>
          <w:bCs/>
          <w:color w:val="auto"/>
          <w:sz w:val="32"/>
          <w:szCs w:val="32"/>
          <w:highlight w:val="none"/>
        </w:rPr>
      </w:pPr>
    </w:p>
    <w:p w14:paraId="02D2F754">
      <w:pPr>
        <w:rPr>
          <w:rFonts w:hint="eastAsia"/>
          <w:color w:val="auto"/>
          <w:highlight w:val="none"/>
        </w:rPr>
      </w:pPr>
    </w:p>
    <w:p w14:paraId="026A7B54">
      <w:pPr>
        <w:jc w:val="center"/>
        <w:rPr>
          <w:rFonts w:hint="eastAsia" w:ascii="宋体" w:hAnsi="宋体" w:eastAsia="宋体" w:cs="宋体"/>
          <w:b/>
          <w:bCs/>
          <w:color w:val="auto"/>
          <w:sz w:val="32"/>
          <w:szCs w:val="32"/>
          <w:highlight w:val="none"/>
        </w:rPr>
      </w:pPr>
    </w:p>
    <w:p w14:paraId="704A8251">
      <w:pPr>
        <w:jc w:val="center"/>
        <w:rPr>
          <w:rFonts w:hint="eastAsia" w:ascii="宋体" w:hAnsi="宋体" w:eastAsia="宋体" w:cs="宋体"/>
          <w:b/>
          <w:bCs/>
          <w:color w:val="auto"/>
          <w:sz w:val="32"/>
          <w:szCs w:val="32"/>
          <w:highlight w:val="none"/>
        </w:rPr>
      </w:pPr>
    </w:p>
    <w:p w14:paraId="6ECBCFFD">
      <w:pPr>
        <w:rPr>
          <w:rFonts w:hint="eastAsia" w:ascii="宋体" w:hAnsi="宋体" w:eastAsia="宋体" w:cs="宋体"/>
          <w:b/>
          <w:bCs/>
          <w:color w:val="auto"/>
          <w:sz w:val="32"/>
          <w:szCs w:val="32"/>
          <w:highlight w:val="none"/>
        </w:rPr>
      </w:pPr>
    </w:p>
    <w:p w14:paraId="140B3711">
      <w:pPr>
        <w:pStyle w:val="15"/>
        <w:rPr>
          <w:rFonts w:hint="eastAsia" w:ascii="宋体" w:hAnsi="宋体" w:eastAsia="宋体" w:cs="宋体"/>
          <w:b/>
          <w:bCs/>
          <w:color w:val="auto"/>
          <w:sz w:val="32"/>
          <w:szCs w:val="32"/>
          <w:highlight w:val="none"/>
        </w:rPr>
      </w:pPr>
    </w:p>
    <w:p w14:paraId="7043D457">
      <w:pPr>
        <w:rPr>
          <w:rFonts w:hint="eastAsia"/>
          <w:color w:val="auto"/>
          <w:highlight w:val="none"/>
        </w:rPr>
      </w:pPr>
    </w:p>
    <w:p w14:paraId="395CA405">
      <w:pPr>
        <w:jc w:val="center"/>
        <w:rPr>
          <w:rFonts w:hint="eastAsia" w:ascii="宋体" w:hAnsi="宋体" w:eastAsia="宋体" w:cs="宋体"/>
          <w:b/>
          <w:bCs/>
          <w:color w:val="auto"/>
          <w:sz w:val="32"/>
          <w:szCs w:val="32"/>
          <w:highlight w:val="none"/>
        </w:rPr>
      </w:pPr>
    </w:p>
    <w:p w14:paraId="7FE6A934">
      <w:pPr>
        <w:jc w:val="center"/>
        <w:outlineLvl w:val="0"/>
        <w:rPr>
          <w:rFonts w:hint="eastAsia" w:ascii="宋体" w:hAnsi="宋体" w:eastAsia="宋体" w:cs="宋体"/>
          <w:b/>
          <w:bCs/>
          <w:color w:val="auto"/>
          <w:sz w:val="32"/>
          <w:szCs w:val="32"/>
          <w:highlight w:val="none"/>
        </w:rPr>
      </w:pPr>
      <w:bookmarkStart w:id="39" w:name="_Toc28858"/>
      <w:r>
        <w:rPr>
          <w:rFonts w:hint="eastAsia" w:ascii="宋体" w:hAnsi="宋体" w:eastAsia="宋体" w:cs="宋体"/>
          <w:b/>
          <w:bCs/>
          <w:color w:val="auto"/>
          <w:sz w:val="32"/>
          <w:szCs w:val="32"/>
          <w:highlight w:val="none"/>
        </w:rPr>
        <w:t>第四章  投标文件格式</w:t>
      </w:r>
      <w:bookmarkEnd w:id="39"/>
    </w:p>
    <w:p w14:paraId="4B70E7C1">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highlight w:val="none"/>
          <w:lang w:val="en-US"/>
        </w:rPr>
        <w:t xml:space="preserve"> </w:t>
      </w:r>
    </w:p>
    <w:p w14:paraId="03D24C57">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341F107A">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69D7C136">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0ECE6314">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0B1329EC">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738A4C13">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76D7EC97">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5B107458">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eastAsia="zh-CN"/>
        </w:rPr>
      </w:pPr>
    </w:p>
    <w:p w14:paraId="41320216">
      <w:pPr>
        <w:pStyle w:val="122"/>
        <w:rPr>
          <w:rFonts w:hint="eastAsia" w:ascii="宋体" w:hAnsi="宋体" w:eastAsia="宋体" w:cs="宋体"/>
          <w:b/>
          <w:bCs w:val="0"/>
          <w:color w:val="auto"/>
          <w:highlight w:val="none"/>
          <w:lang w:eastAsia="zh-CN"/>
        </w:rPr>
      </w:pPr>
    </w:p>
    <w:p w14:paraId="07098191">
      <w:pPr>
        <w:pStyle w:val="122"/>
        <w:rPr>
          <w:rFonts w:hint="eastAsia" w:ascii="宋体" w:hAnsi="宋体" w:eastAsia="宋体" w:cs="宋体"/>
          <w:b/>
          <w:bCs w:val="0"/>
          <w:color w:val="auto"/>
          <w:highlight w:val="none"/>
          <w:lang w:eastAsia="zh-CN"/>
        </w:rPr>
      </w:pPr>
    </w:p>
    <w:p w14:paraId="25C857A6">
      <w:pPr>
        <w:pStyle w:val="122"/>
        <w:rPr>
          <w:rFonts w:hint="eastAsia" w:ascii="宋体" w:hAnsi="宋体" w:eastAsia="宋体" w:cs="宋体"/>
          <w:b/>
          <w:bCs w:val="0"/>
          <w:color w:val="auto"/>
          <w:highlight w:val="none"/>
          <w:lang w:eastAsia="zh-CN"/>
        </w:rPr>
      </w:pPr>
    </w:p>
    <w:p w14:paraId="51029199">
      <w:pPr>
        <w:pStyle w:val="122"/>
        <w:rPr>
          <w:rFonts w:hint="eastAsia" w:ascii="宋体" w:hAnsi="宋体" w:eastAsia="宋体" w:cs="宋体"/>
          <w:b/>
          <w:bCs w:val="0"/>
          <w:color w:val="auto"/>
          <w:highlight w:val="none"/>
          <w:lang w:eastAsia="zh-CN"/>
        </w:rPr>
      </w:pPr>
    </w:p>
    <w:p w14:paraId="1F811D29">
      <w:pPr>
        <w:pStyle w:val="122"/>
        <w:rPr>
          <w:rFonts w:hint="eastAsia" w:ascii="宋体" w:hAnsi="宋体" w:eastAsia="宋体" w:cs="宋体"/>
          <w:b/>
          <w:bCs w:val="0"/>
          <w:color w:val="auto"/>
          <w:highlight w:val="none"/>
          <w:lang w:eastAsia="zh-CN"/>
        </w:rPr>
      </w:pPr>
    </w:p>
    <w:p w14:paraId="59FBC43A">
      <w:pPr>
        <w:pStyle w:val="122"/>
        <w:rPr>
          <w:rFonts w:hint="eastAsia" w:ascii="宋体" w:hAnsi="宋体" w:eastAsia="宋体" w:cs="宋体"/>
          <w:b/>
          <w:bCs w:val="0"/>
          <w:color w:val="auto"/>
          <w:highlight w:val="none"/>
          <w:lang w:eastAsia="zh-CN"/>
        </w:rPr>
      </w:pPr>
    </w:p>
    <w:p w14:paraId="696F0DA3">
      <w:pPr>
        <w:pStyle w:val="122"/>
        <w:ind w:firstLine="0"/>
        <w:rPr>
          <w:rFonts w:hint="eastAsia" w:ascii="宋体" w:hAnsi="宋体" w:eastAsia="宋体" w:cs="宋体"/>
          <w:b/>
          <w:bCs w:val="0"/>
          <w:color w:val="auto"/>
          <w:highlight w:val="none"/>
          <w:lang w:eastAsia="zh-CN"/>
        </w:rPr>
      </w:pPr>
    </w:p>
    <w:p w14:paraId="4E634F8B">
      <w:pPr>
        <w:pStyle w:val="125"/>
        <w:keepNext w:val="0"/>
        <w:keepLines w:val="0"/>
        <w:widowControl w:val="0"/>
        <w:suppressLineNumbers w:val="0"/>
        <w:wordWrap w:val="0"/>
        <w:spacing w:before="0" w:beforeAutospacing="0" w:after="0" w:afterAutospacing="0"/>
        <w:ind w:left="3635" w:leftChars="15" w:right="0" w:hanging="3604" w:hangingChars="1496"/>
        <w:jc w:val="both"/>
        <w:outlineLvl w:val="1"/>
        <w:rPr>
          <w:rFonts w:hint="eastAsia" w:ascii="宋体" w:hAnsi="宋体" w:eastAsia="宋体" w:cs="宋体"/>
          <w:b/>
          <w:bCs w:val="0"/>
          <w:color w:val="auto"/>
          <w:highlight w:val="none"/>
          <w:lang w:val="en-US"/>
        </w:rPr>
      </w:pPr>
      <w:bookmarkStart w:id="40" w:name="_Toc4835"/>
      <w:bookmarkStart w:id="41" w:name="_Toc21542"/>
      <w:bookmarkStart w:id="42" w:name="_Toc851"/>
      <w:r>
        <w:rPr>
          <w:rFonts w:hint="eastAsia" w:ascii="宋体" w:hAnsi="宋体" w:eastAsia="宋体" w:cs="宋体"/>
          <w:b/>
          <w:bCs w:val="0"/>
          <w:color w:val="auto"/>
          <w:highlight w:val="none"/>
          <w:lang w:eastAsia="zh-CN"/>
        </w:rPr>
        <w:br w:type="page"/>
      </w:r>
      <w:r>
        <w:rPr>
          <w:rFonts w:hint="eastAsia" w:ascii="宋体" w:hAnsi="宋体" w:eastAsia="宋体" w:cs="宋体"/>
          <w:b/>
          <w:bCs w:val="0"/>
          <w:color w:val="auto"/>
          <w:highlight w:val="none"/>
          <w:lang w:eastAsia="zh-CN"/>
        </w:rPr>
        <w:t>格式一 封面</w:t>
      </w:r>
      <w:bookmarkEnd w:id="40"/>
      <w:bookmarkEnd w:id="41"/>
      <w:bookmarkEnd w:id="42"/>
    </w:p>
    <w:p w14:paraId="7AF70B5A">
      <w:pPr>
        <w:pStyle w:val="122"/>
        <w:keepNext w:val="0"/>
        <w:keepLines w:val="0"/>
        <w:widowControl w:val="0"/>
        <w:suppressLineNumbers w:val="0"/>
        <w:wordWrap w:val="0"/>
        <w:spacing w:line="520" w:lineRule="exact"/>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rPr>
        <w:t xml:space="preserve"> </w:t>
      </w:r>
    </w:p>
    <w:p w14:paraId="03DD3106">
      <w:pPr>
        <w:pStyle w:val="122"/>
        <w:keepNext w:val="0"/>
        <w:keepLines w:val="0"/>
        <w:widowControl w:val="0"/>
        <w:suppressLineNumbers w:val="0"/>
        <w:wordWrap w:val="0"/>
        <w:spacing w:line="520" w:lineRule="exact"/>
        <w:rPr>
          <w:rFonts w:hint="eastAsia" w:ascii="宋体" w:hAnsi="宋体" w:eastAsia="宋体" w:cs="宋体"/>
          <w:b/>
          <w:bCs w:val="0"/>
          <w:color w:val="auto"/>
          <w:sz w:val="24"/>
          <w:szCs w:val="24"/>
          <w:highlight w:val="none"/>
          <w:lang w:val="en-US"/>
        </w:rPr>
      </w:pPr>
    </w:p>
    <w:p w14:paraId="188E6E53">
      <w:pPr>
        <w:pStyle w:val="122"/>
        <w:keepNext w:val="0"/>
        <w:keepLines w:val="0"/>
        <w:widowControl w:val="0"/>
        <w:suppressLineNumbers w:val="0"/>
        <w:wordWrap w:val="0"/>
        <w:spacing w:line="520" w:lineRule="exact"/>
        <w:rPr>
          <w:rFonts w:hint="eastAsia" w:ascii="宋体" w:hAnsi="宋体" w:eastAsia="宋体" w:cs="宋体"/>
          <w:b/>
          <w:bCs w:val="0"/>
          <w:color w:val="auto"/>
          <w:sz w:val="24"/>
          <w:szCs w:val="24"/>
          <w:highlight w:val="none"/>
          <w:lang w:val="en-US"/>
        </w:rPr>
      </w:pPr>
    </w:p>
    <w:p w14:paraId="64374868">
      <w:pPr>
        <w:pStyle w:val="12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u w:val="single"/>
        </w:rPr>
        <w:t>（项目名称）</w:t>
      </w:r>
      <w:r>
        <w:rPr>
          <w:rFonts w:hint="eastAsia" w:ascii="Times New Roman"/>
          <w:b/>
          <w:snapToGrid w:val="0"/>
          <w:color w:val="auto"/>
          <w:sz w:val="48"/>
          <w:szCs w:val="48"/>
          <w:highlight w:val="none"/>
          <w:u w:val="single"/>
          <w:lang w:val="en-US" w:eastAsia="zh-CN"/>
        </w:rPr>
        <w:t xml:space="preserve">     </w:t>
      </w:r>
      <w:r>
        <w:rPr>
          <w:rFonts w:hint="eastAsia" w:ascii="Times New Roman"/>
          <w:b/>
          <w:snapToGrid w:val="0"/>
          <w:color w:val="auto"/>
          <w:sz w:val="48"/>
          <w:szCs w:val="48"/>
          <w:highlight w:val="none"/>
        </w:rPr>
        <w:t>招标</w:t>
      </w:r>
    </w:p>
    <w:p w14:paraId="457DECB2">
      <w:pPr>
        <w:pStyle w:val="122"/>
        <w:keepNext w:val="0"/>
        <w:keepLines w:val="0"/>
        <w:widowControl w:val="0"/>
        <w:suppressLineNumbers w:val="0"/>
        <w:wordWrap w:val="0"/>
        <w:ind w:left="0" w:firstLine="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val="en-US"/>
        </w:rPr>
        <w:t xml:space="preserve"> </w:t>
      </w:r>
    </w:p>
    <w:p w14:paraId="506FBBBF">
      <w:pPr>
        <w:pStyle w:val="122"/>
        <w:keepNext w:val="0"/>
        <w:keepLines w:val="0"/>
        <w:widowControl w:val="0"/>
        <w:suppressLineNumbers w:val="0"/>
        <w:wordWrap w:val="0"/>
        <w:ind w:left="0" w:firstLine="0"/>
        <w:jc w:val="center"/>
        <w:rPr>
          <w:rFonts w:hint="eastAsia" w:ascii="宋体" w:hAnsi="宋体" w:eastAsia="宋体" w:cs="宋体"/>
          <w:b/>
          <w:bCs w:val="0"/>
          <w:color w:val="auto"/>
          <w:sz w:val="72"/>
          <w:szCs w:val="72"/>
          <w:highlight w:val="none"/>
          <w:lang w:val="en-US"/>
        </w:rPr>
      </w:pPr>
      <w:r>
        <w:rPr>
          <w:rFonts w:hint="eastAsia" w:ascii="宋体" w:hAnsi="宋体" w:eastAsia="宋体" w:cs="宋体"/>
          <w:b/>
          <w:bCs w:val="0"/>
          <w:color w:val="auto"/>
          <w:sz w:val="72"/>
          <w:szCs w:val="72"/>
          <w:highlight w:val="none"/>
          <w:lang w:val="en-US"/>
        </w:rPr>
        <w:t xml:space="preserve"> </w:t>
      </w:r>
    </w:p>
    <w:p w14:paraId="4A350BFA">
      <w:pPr>
        <w:pStyle w:val="122"/>
        <w:keepNext w:val="0"/>
        <w:keepLines w:val="0"/>
        <w:widowControl w:val="0"/>
        <w:suppressLineNumbers w:val="0"/>
        <w:wordWrap w:val="0"/>
        <w:ind w:left="0" w:firstLine="0"/>
        <w:jc w:val="center"/>
        <w:rPr>
          <w:rFonts w:hint="eastAsia" w:ascii="宋体" w:hAnsi="宋体" w:eastAsia="宋体" w:cs="宋体"/>
          <w:b/>
          <w:bCs w:val="0"/>
          <w:color w:val="auto"/>
          <w:sz w:val="72"/>
          <w:szCs w:val="72"/>
          <w:highlight w:val="none"/>
          <w:lang w:val="en-US"/>
        </w:rPr>
      </w:pPr>
      <w:r>
        <w:rPr>
          <w:rFonts w:hint="eastAsia" w:ascii="宋体" w:hAnsi="宋体" w:eastAsia="宋体" w:cs="宋体"/>
          <w:b/>
          <w:bCs w:val="0"/>
          <w:color w:val="auto"/>
          <w:sz w:val="72"/>
          <w:szCs w:val="72"/>
          <w:highlight w:val="none"/>
          <w:lang w:eastAsia="zh-CN"/>
        </w:rPr>
        <w:t>投</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件</w:t>
      </w:r>
    </w:p>
    <w:p w14:paraId="278DC841">
      <w:pPr>
        <w:pStyle w:val="122"/>
        <w:keepNext w:val="0"/>
        <w:keepLines w:val="0"/>
        <w:widowControl w:val="0"/>
        <w:suppressLineNumbers w:val="0"/>
        <w:wordWrap w:val="0"/>
        <w:ind w:left="0" w:firstLine="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val="en-US"/>
        </w:rPr>
        <w:t xml:space="preserve"> </w:t>
      </w:r>
    </w:p>
    <w:p w14:paraId="785C4AB6">
      <w:pPr>
        <w:pStyle w:val="122"/>
        <w:keepNext w:val="0"/>
        <w:keepLines w:val="0"/>
        <w:widowControl w:val="0"/>
        <w:suppressLineNumbers w:val="0"/>
        <w:wordWrap w:val="0"/>
        <w:ind w:left="0" w:firstLine="0"/>
        <w:jc w:val="center"/>
        <w:rPr>
          <w:rFonts w:hint="eastAsia" w:ascii="宋体" w:hAnsi="宋体" w:eastAsia="宋体" w:cs="宋体"/>
          <w:b w:val="0"/>
          <w:bCs/>
          <w:color w:val="auto"/>
          <w:sz w:val="44"/>
          <w:szCs w:val="44"/>
          <w:highlight w:val="none"/>
          <w:lang w:val="en-US"/>
        </w:rPr>
      </w:pPr>
      <w:r>
        <w:rPr>
          <w:rFonts w:hint="eastAsia" w:ascii="宋体" w:hAnsi="宋体" w:eastAsia="宋体" w:cs="宋体"/>
          <w:b w:val="0"/>
          <w:bCs/>
          <w:color w:val="auto"/>
          <w:sz w:val="44"/>
          <w:szCs w:val="44"/>
          <w:highlight w:val="none"/>
          <w:lang w:eastAsia="zh-CN"/>
        </w:rPr>
        <w:t>（</w:t>
      </w:r>
      <w:r>
        <w:rPr>
          <w:rFonts w:hint="eastAsia" w:ascii="宋体" w:hAnsi="宋体" w:eastAsia="宋体" w:cs="宋体"/>
          <w:b w:val="0"/>
          <w:bCs/>
          <w:color w:val="auto"/>
          <w:sz w:val="44"/>
          <w:szCs w:val="44"/>
          <w:highlight w:val="none"/>
          <w:lang w:val="en-US" w:eastAsia="zh-CN"/>
        </w:rPr>
        <w:t>商务标书/技术标书/经济标书/定标文件</w:t>
      </w:r>
      <w:r>
        <w:rPr>
          <w:rFonts w:hint="eastAsia" w:ascii="宋体" w:hAnsi="宋体" w:eastAsia="宋体" w:cs="宋体"/>
          <w:b w:val="0"/>
          <w:bCs/>
          <w:color w:val="auto"/>
          <w:sz w:val="44"/>
          <w:szCs w:val="44"/>
          <w:highlight w:val="none"/>
          <w:lang w:eastAsia="zh-CN"/>
        </w:rPr>
        <w:t>）</w:t>
      </w:r>
    </w:p>
    <w:p w14:paraId="3EF35DF7">
      <w:pPr>
        <w:pStyle w:val="122"/>
        <w:keepNext w:val="0"/>
        <w:keepLines w:val="0"/>
        <w:widowControl w:val="0"/>
        <w:suppressLineNumbers w:val="0"/>
        <w:wordWrap w:val="0"/>
        <w:rPr>
          <w:rFonts w:hint="eastAsia" w:ascii="宋体" w:hAnsi="宋体" w:eastAsia="宋体" w:cs="宋体"/>
          <w:b/>
          <w:bCs w:val="0"/>
          <w:color w:val="auto"/>
          <w:highlight w:val="none"/>
          <w:lang w:val="en-US"/>
        </w:rPr>
      </w:pPr>
      <w:r>
        <w:rPr>
          <w:rFonts w:hint="eastAsia" w:ascii="宋体" w:hAnsi="宋体" w:eastAsia="宋体" w:cs="宋体"/>
          <w:b/>
          <w:bCs w:val="0"/>
          <w:color w:val="auto"/>
          <w:highlight w:val="none"/>
          <w:lang w:val="en-US"/>
        </w:rPr>
        <w:t xml:space="preserve"> </w:t>
      </w:r>
    </w:p>
    <w:p w14:paraId="5B4C171E">
      <w:pPr>
        <w:pStyle w:val="122"/>
        <w:keepNext w:val="0"/>
        <w:keepLines w:val="0"/>
        <w:widowControl w:val="0"/>
        <w:suppressLineNumbers w:val="0"/>
        <w:wordWrap w:val="0"/>
        <w:rPr>
          <w:rFonts w:hint="eastAsia" w:ascii="宋体" w:hAnsi="宋体" w:eastAsia="宋体" w:cs="宋体"/>
          <w:b/>
          <w:bCs w:val="0"/>
          <w:color w:val="auto"/>
          <w:highlight w:val="none"/>
          <w:lang w:val="en-US"/>
        </w:rPr>
      </w:pPr>
    </w:p>
    <w:p w14:paraId="3F0C97B2">
      <w:pPr>
        <w:pStyle w:val="122"/>
        <w:widowControl w:val="0"/>
        <w:wordWrap w:val="0"/>
        <w:adjustRightInd w:val="0"/>
        <w:snapToGrid w:val="0"/>
        <w:spacing w:line="240" w:lineRule="auto"/>
        <w:rPr>
          <w:rFonts w:hint="eastAsia" w:ascii="Times New Roman"/>
          <w:b/>
          <w:snapToGrid w:val="0"/>
          <w:color w:val="auto"/>
          <w:sz w:val="32"/>
          <w:highlight w:val="none"/>
        </w:rPr>
      </w:pPr>
      <w:r>
        <w:rPr>
          <w:rFonts w:hint="eastAsia" w:ascii="宋体" w:hAnsi="宋体" w:eastAsia="宋体" w:cs="宋体"/>
          <w:b/>
          <w:bCs w:val="0"/>
          <w:color w:val="auto"/>
          <w:sz w:val="32"/>
          <w:szCs w:val="32"/>
          <w:highlight w:val="none"/>
          <w:lang w:val="en-US"/>
        </w:rPr>
        <w:t xml:space="preserve"> </w:t>
      </w:r>
    </w:p>
    <w:p w14:paraId="2E6969EB">
      <w:pPr>
        <w:pStyle w:val="122"/>
        <w:widowControl w:val="0"/>
        <w:wordWrap w:val="0"/>
        <w:adjustRightInd w:val="0"/>
        <w:snapToGrid w:val="0"/>
        <w:spacing w:line="240" w:lineRule="auto"/>
        <w:rPr>
          <w:rFonts w:hint="eastAsia" w:ascii="Times New Roman"/>
          <w:b/>
          <w:snapToGrid w:val="0"/>
          <w:color w:val="auto"/>
          <w:sz w:val="32"/>
          <w:highlight w:val="none"/>
        </w:rPr>
      </w:pPr>
    </w:p>
    <w:p w14:paraId="69F6AD5B">
      <w:pPr>
        <w:pStyle w:val="122"/>
        <w:widowControl w:val="0"/>
        <w:wordWrap w:val="0"/>
        <w:adjustRightInd w:val="0"/>
        <w:snapToGrid w:val="0"/>
        <w:spacing w:line="240" w:lineRule="auto"/>
        <w:rPr>
          <w:rFonts w:hint="eastAsia" w:ascii="Times New Roman"/>
          <w:b/>
          <w:snapToGrid w:val="0"/>
          <w:color w:val="auto"/>
          <w:sz w:val="32"/>
          <w:highlight w:val="none"/>
        </w:rPr>
      </w:pPr>
    </w:p>
    <w:p w14:paraId="18789418">
      <w:pPr>
        <w:pStyle w:val="122"/>
        <w:widowControl w:val="0"/>
        <w:wordWrap w:val="0"/>
        <w:adjustRightInd w:val="0"/>
        <w:snapToGrid w:val="0"/>
        <w:spacing w:line="240" w:lineRule="auto"/>
        <w:rPr>
          <w:rFonts w:hint="eastAsia" w:ascii="Times New Roman"/>
          <w:b/>
          <w:snapToGrid w:val="0"/>
          <w:color w:val="auto"/>
          <w:sz w:val="32"/>
          <w:highlight w:val="none"/>
        </w:rPr>
      </w:pPr>
    </w:p>
    <w:p w14:paraId="5A5FAC88">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795ADB9B">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1B9AB0D5">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091ED3DD">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2FC88D87">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524A55C6">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rPr>
      </w:pPr>
    </w:p>
    <w:p w14:paraId="36D2A39A">
      <w:pPr>
        <w:pStyle w:val="122"/>
        <w:widowControl w:val="0"/>
        <w:wordWrap w:val="0"/>
        <w:adjustRightInd w:val="0"/>
        <w:snapToGrid w:val="0"/>
        <w:spacing w:line="240" w:lineRule="auto"/>
        <w:ind w:firstLine="0"/>
        <w:jc w:val="center"/>
        <w:rPr>
          <w:rFonts w:hint="eastAsia" w:ascii="Times New Roman"/>
          <w:bCs/>
          <w:snapToGrid w:val="0"/>
          <w:color w:val="auto"/>
          <w:sz w:val="32"/>
          <w:highlight w:val="none"/>
          <w:u w:val="single"/>
        </w:rPr>
      </w:pPr>
    </w:p>
    <w:p w14:paraId="648327AE">
      <w:pPr>
        <w:pStyle w:val="122"/>
        <w:widowControl w:val="0"/>
        <w:wordWrap w:val="0"/>
        <w:adjustRightInd w:val="0"/>
        <w:snapToGrid w:val="0"/>
        <w:spacing w:line="240" w:lineRule="auto"/>
        <w:ind w:firstLine="0"/>
        <w:jc w:val="center"/>
        <w:rPr>
          <w:rFonts w:hint="eastAsia"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69E68C97">
      <w:pPr>
        <w:pStyle w:val="122"/>
        <w:keepNext w:val="0"/>
        <w:keepLines w:val="0"/>
        <w:widowControl w:val="0"/>
        <w:suppressLineNumbers w:val="0"/>
        <w:wordWrap w:val="0"/>
        <w:rPr>
          <w:rFonts w:hint="eastAsia" w:ascii="宋体" w:hAnsi="宋体" w:eastAsia="宋体" w:cs="宋体"/>
          <w:b/>
          <w:bCs w:val="0"/>
          <w:color w:val="auto"/>
          <w:sz w:val="32"/>
          <w:szCs w:val="32"/>
          <w:highlight w:val="none"/>
          <w:lang w:val="en-US"/>
        </w:rPr>
      </w:pPr>
    </w:p>
    <w:p w14:paraId="35AA00CC">
      <w:pPr>
        <w:pStyle w:val="122"/>
        <w:spacing w:line="400" w:lineRule="exact"/>
        <w:ind w:firstLine="0"/>
        <w:rPr>
          <w:rFonts w:hint="eastAsia" w:ascii="宋体" w:hAnsi="宋体" w:eastAsia="宋体" w:cs="宋体"/>
          <w:b/>
          <w:bCs w:val="0"/>
          <w:color w:val="auto"/>
          <w:kern w:val="0"/>
          <w:sz w:val="24"/>
          <w:szCs w:val="24"/>
          <w:highlight w:val="none"/>
          <w:lang w:val="en-US"/>
        </w:rPr>
      </w:pPr>
      <w:bookmarkStart w:id="43" w:name="_Toc28280"/>
      <w:bookmarkEnd w:id="43"/>
      <w:bookmarkStart w:id="44" w:name="_Toc106418843"/>
      <w:bookmarkEnd w:id="44"/>
      <w:bookmarkStart w:id="45" w:name="_Toc104711098"/>
      <w:r>
        <w:rPr>
          <w:rFonts w:hint="eastAsia" w:ascii="宋体" w:hAnsi="宋体" w:eastAsia="宋体" w:cs="宋体"/>
          <w:b/>
          <w:bCs w:val="0"/>
          <w:color w:val="auto"/>
          <w:kern w:val="0"/>
          <w:sz w:val="24"/>
          <w:szCs w:val="24"/>
          <w:highlight w:val="none"/>
          <w:lang w:val="en-US" w:eastAsia="zh-CN" w:bidi="ar"/>
        </w:rPr>
        <w:t xml:space="preserve"> </w:t>
      </w:r>
      <w:bookmarkEnd w:id="45"/>
      <w:bookmarkStart w:id="46" w:name="_Toc11959"/>
      <w:bookmarkStart w:id="47" w:name="_Toc18245"/>
      <w:bookmarkStart w:id="48" w:name="_Toc27742"/>
      <w:r>
        <w:rPr>
          <w:rFonts w:hint="eastAsia" w:ascii="宋体" w:hAnsi="宋体" w:eastAsia="宋体" w:cs="宋体"/>
          <w:b/>
          <w:bCs w:val="0"/>
          <w:color w:val="auto"/>
          <w:kern w:val="0"/>
          <w:sz w:val="24"/>
          <w:szCs w:val="24"/>
          <w:highlight w:val="none"/>
          <w:lang w:eastAsia="zh-CN"/>
        </w:rPr>
        <w:t>格式</w:t>
      </w:r>
      <w:bookmarkStart w:id="49" w:name="_Hlt97526007"/>
      <w:bookmarkEnd w:id="49"/>
      <w:r>
        <w:rPr>
          <w:rFonts w:hint="eastAsia" w:ascii="宋体" w:hAnsi="宋体" w:eastAsia="宋体" w:cs="宋体"/>
          <w:b/>
          <w:bCs w:val="0"/>
          <w:color w:val="auto"/>
          <w:kern w:val="0"/>
          <w:sz w:val="24"/>
          <w:szCs w:val="24"/>
          <w:highlight w:val="none"/>
          <w:lang w:eastAsia="zh-CN"/>
        </w:rPr>
        <w:t>二 投标函</w:t>
      </w:r>
      <w:bookmarkEnd w:id="46"/>
      <w:bookmarkEnd w:id="47"/>
      <w:bookmarkEnd w:id="48"/>
    </w:p>
    <w:p w14:paraId="6DF460E5">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b/>
          <w:bCs w:val="0"/>
          <w:color w:val="auto"/>
          <w:kern w:val="0"/>
          <w:sz w:val="36"/>
          <w:szCs w:val="36"/>
          <w:highlight w:val="none"/>
          <w:lang w:val="en-US"/>
        </w:rPr>
      </w:pPr>
      <w:r>
        <w:rPr>
          <w:rFonts w:hint="eastAsia" w:ascii="宋体" w:hAnsi="宋体" w:eastAsia="宋体" w:cs="宋体"/>
          <w:b/>
          <w:bCs w:val="0"/>
          <w:color w:val="auto"/>
          <w:kern w:val="0"/>
          <w:sz w:val="36"/>
          <w:szCs w:val="36"/>
          <w:highlight w:val="none"/>
          <w:lang w:eastAsia="zh-CN"/>
        </w:rPr>
        <w:t>投</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标</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函</w:t>
      </w:r>
    </w:p>
    <w:p w14:paraId="5074B3F9">
      <w:pPr>
        <w:keepNext w:val="0"/>
        <w:keepLines w:val="0"/>
        <w:widowControl w:val="0"/>
        <w:suppressLineNumbers w:val="0"/>
        <w:wordWrap w:val="0"/>
        <w:spacing w:before="0" w:beforeAutospacing="0" w:after="0" w:afterAutospacing="0" w:line="440" w:lineRule="exact"/>
        <w:ind w:left="0" w:right="0"/>
        <w:jc w:val="center"/>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p>
    <w:p w14:paraId="7741B27F">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0FDB7A17">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1. 我方考察现场并充分研究</w:t>
      </w:r>
      <w:r>
        <w:rPr>
          <w:rFonts w:hint="eastAsia" w:ascii="宋体" w:hAnsi="宋体" w:eastAsia="宋体" w:cs="宋体"/>
          <w:color w:val="auto"/>
          <w:kern w:val="0"/>
          <w:sz w:val="24"/>
          <w:szCs w:val="24"/>
          <w:highlight w:val="none"/>
          <w:u w:val="single"/>
          <w:lang w:val="en-US" w:eastAsia="zh-CN" w:bidi="ar"/>
        </w:rPr>
        <w:t>（项目名称）</w:t>
      </w:r>
      <w:r>
        <w:rPr>
          <w:rFonts w:hint="eastAsia" w:ascii="宋体" w:hAnsi="宋体" w:eastAsia="宋体" w:cs="宋体"/>
          <w:color w:val="auto"/>
          <w:kern w:val="0"/>
          <w:sz w:val="24"/>
          <w:szCs w:val="24"/>
          <w:highlight w:val="none"/>
          <w:lang w:val="en-US" w:eastAsia="zh-CN" w:bidi="ar"/>
        </w:rPr>
        <w:t>（以下简称“本项目”）施工招标文件所有内容后，结合自身资质、能力和特点，愿意接受招标文件的全部内容和条件，兹以人民币（大写）：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）的投标总价竞投本项目施工。</w:t>
      </w:r>
    </w:p>
    <w:p w14:paraId="51285192">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在我方的上述投标总价中，包括：安全生产措施费¥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，暂列金额¥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，暂估价¥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352A4DF8">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2. 如果我方中标，我方保证按照合同约定的开工日期开始本项目的施工，</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个日历天内竣工，并确保工程质量达到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标准和维修其中的任何缺陷。</w:t>
      </w:r>
    </w:p>
    <w:p w14:paraId="424B2EF6">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3. 本投标函在你方接收我方递交的投标文件之日起、到招标文件规定的投标有效期期满前对我方具有约束力。我方随时准备接受你方发出的中标通知书。</w:t>
      </w:r>
    </w:p>
    <w:p w14:paraId="7DF2FA77">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4．我方在此声明，我方不存在本项目招标文件第二章投标人须知第4.5条“禁止投标条款”所列出的任何一种情形，并愿意承担因我方就此弄虚作假所引起的一切法律后果。</w:t>
      </w:r>
    </w:p>
    <w:p w14:paraId="69CADBE6">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5．我方在此承诺，所递交投标文件的全部内容均为真实、有效、准确的，并愿意承担因我方就此弄虚作假所引起的一切法律后果，同时理解和同意有可能被要求提供更多的资料。</w:t>
      </w:r>
    </w:p>
    <w:p w14:paraId="47DFC7B1">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bookmarkStart w:id="50" w:name="_Hlt68771070"/>
      <w:bookmarkEnd w:id="50"/>
      <w:r>
        <w:rPr>
          <w:rFonts w:hint="eastAsia" w:ascii="宋体" w:hAnsi="宋体" w:eastAsia="宋体" w:cs="宋体"/>
          <w:color w:val="auto"/>
          <w:kern w:val="0"/>
          <w:sz w:val="24"/>
          <w:szCs w:val="24"/>
          <w:highlight w:val="none"/>
          <w:lang w:val="en-US" w:eastAsia="zh-CN" w:bidi="ar"/>
        </w:rPr>
        <w:t>6. 我方理解你方不一定要接纳收到的最低投标总价或任何投标总价的投标人中标，也不要求你方解释我方是否中标的原因。</w:t>
      </w:r>
    </w:p>
    <w:p w14:paraId="51BCDCF8">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0BDFA032">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22E4DA11">
      <w:pPr>
        <w:wordWrap w:val="0"/>
        <w:adjustRightInd w:val="0"/>
        <w:snapToGrid w:val="0"/>
        <w:spacing w:line="440" w:lineRule="exact"/>
        <w:jc w:val="right"/>
        <w:rPr>
          <w:rFonts w:ascii="Times New Roman" w:hAnsi="Times New Roman" w:eastAsia="宋体" w:cs="Times New Roman"/>
          <w:snapToGrid w:val="0"/>
          <w:color w:val="auto"/>
          <w:kern w:val="0"/>
          <w:sz w:val="24"/>
          <w:szCs w:val="20"/>
          <w:highlight w:val="none"/>
        </w:rPr>
      </w:pPr>
      <w:r>
        <w:rPr>
          <w:rFonts w:hint="eastAsia" w:ascii="Times New Roman" w:hAnsi="Times New Roman" w:eastAsia="宋体" w:cs="Times New Roman"/>
          <w:snapToGrid w:val="0"/>
          <w:color w:val="auto"/>
          <w:kern w:val="0"/>
          <w:sz w:val="24"/>
          <w:szCs w:val="20"/>
          <w:highlight w:val="none"/>
        </w:rPr>
        <w:t>投标人：</w:t>
      </w:r>
      <w:r>
        <w:rPr>
          <w:rFonts w:hint="eastAsia" w:ascii="Times New Roman" w:hAnsi="Times New Roman" w:eastAsia="宋体" w:cs="Times New Roman"/>
          <w:snapToGrid w:val="0"/>
          <w:color w:val="auto"/>
          <w:kern w:val="0"/>
          <w:sz w:val="24"/>
          <w:szCs w:val="20"/>
          <w:highlight w:val="none"/>
          <w:u w:val="single"/>
        </w:rPr>
        <w:t xml:space="preserve">                              </w:t>
      </w:r>
      <w:r>
        <w:rPr>
          <w:rFonts w:hint="eastAsia" w:ascii="Times New Roman" w:hAnsi="Times New Roman" w:eastAsia="宋体" w:cs="Times New Roman"/>
          <w:snapToGrid w:val="0"/>
          <w:color w:val="auto"/>
          <w:kern w:val="0"/>
          <w:sz w:val="24"/>
          <w:szCs w:val="20"/>
          <w:highlight w:val="none"/>
        </w:rPr>
        <w:t>（盖单位章）</w:t>
      </w:r>
    </w:p>
    <w:p w14:paraId="64F22927">
      <w:pPr>
        <w:wordWrap w:val="0"/>
        <w:adjustRightInd w:val="0"/>
        <w:snapToGrid w:val="0"/>
        <w:spacing w:line="440" w:lineRule="exact"/>
        <w:jc w:val="right"/>
        <w:rPr>
          <w:rFonts w:ascii="Times New Roman" w:hAnsi="Times New Roman" w:eastAsia="宋体" w:cs="Times New Roman"/>
          <w:snapToGrid w:val="0"/>
          <w:color w:val="auto"/>
          <w:kern w:val="0"/>
          <w:sz w:val="24"/>
          <w:szCs w:val="20"/>
          <w:highlight w:val="none"/>
        </w:rPr>
      </w:pPr>
    </w:p>
    <w:p w14:paraId="163E5B9B">
      <w:pPr>
        <w:wordWrap w:val="0"/>
        <w:adjustRightInd w:val="0"/>
        <w:snapToGrid w:val="0"/>
        <w:spacing w:line="440" w:lineRule="exact"/>
        <w:jc w:val="right"/>
        <w:rPr>
          <w:rFonts w:ascii="Times New Roman" w:hAnsi="Times New Roman" w:eastAsia="宋体" w:cs="Times New Roman"/>
          <w:snapToGrid w:val="0"/>
          <w:color w:val="auto"/>
          <w:kern w:val="0"/>
          <w:sz w:val="24"/>
          <w:szCs w:val="20"/>
          <w:highlight w:val="none"/>
        </w:rPr>
      </w:pPr>
    </w:p>
    <w:p w14:paraId="32839B87">
      <w:pPr>
        <w:wordWrap w:val="0"/>
        <w:adjustRightInd w:val="0"/>
        <w:snapToGrid w:val="0"/>
        <w:spacing w:line="440" w:lineRule="exact"/>
        <w:ind w:firstLine="480" w:firstLineChars="200"/>
        <w:jc w:val="right"/>
        <w:rPr>
          <w:rFonts w:ascii="Times New Roman" w:hAnsi="Times New Roman" w:eastAsia="宋体" w:cs="Times New Roman"/>
          <w:snapToGrid w:val="0"/>
          <w:color w:val="auto"/>
          <w:kern w:val="0"/>
          <w:sz w:val="24"/>
          <w:szCs w:val="20"/>
          <w:highlight w:val="none"/>
        </w:rPr>
      </w:pPr>
      <w:r>
        <w:rPr>
          <w:rFonts w:hint="eastAsia" w:ascii="Times New Roman" w:hAnsi="Times New Roman" w:eastAsia="宋体" w:cs="Times New Roman"/>
          <w:snapToGrid w:val="0"/>
          <w:color w:val="auto"/>
          <w:kern w:val="0"/>
          <w:sz w:val="24"/>
          <w:szCs w:val="20"/>
          <w:highlight w:val="none"/>
        </w:rPr>
        <w:t>法定代表人或其委托代理人：</w:t>
      </w:r>
      <w:r>
        <w:rPr>
          <w:rFonts w:hint="eastAsia" w:ascii="Times New Roman" w:hAnsi="Times New Roman" w:eastAsia="宋体" w:cs="Times New Roman"/>
          <w:snapToGrid w:val="0"/>
          <w:color w:val="auto"/>
          <w:kern w:val="0"/>
          <w:sz w:val="24"/>
          <w:szCs w:val="20"/>
          <w:highlight w:val="none"/>
          <w:u w:val="single"/>
        </w:rPr>
        <w:t xml:space="preserve">          </w:t>
      </w:r>
      <w:r>
        <w:rPr>
          <w:rFonts w:hint="eastAsia" w:ascii="Times New Roman" w:hAnsi="Times New Roman" w:eastAsia="宋体" w:cs="Times New Roman"/>
          <w:snapToGrid w:val="0"/>
          <w:color w:val="auto"/>
          <w:kern w:val="0"/>
          <w:sz w:val="24"/>
          <w:szCs w:val="20"/>
          <w:highlight w:val="none"/>
        </w:rPr>
        <w:t>（签字或盖章）</w:t>
      </w:r>
    </w:p>
    <w:p w14:paraId="250DC2D1">
      <w:pPr>
        <w:wordWrap w:val="0"/>
        <w:adjustRightInd w:val="0"/>
        <w:snapToGrid w:val="0"/>
        <w:spacing w:line="440" w:lineRule="exact"/>
        <w:ind w:firstLine="480" w:firstLineChars="200"/>
        <w:jc w:val="right"/>
        <w:rPr>
          <w:rFonts w:ascii="Times New Roman" w:hAnsi="Times New Roman" w:eastAsia="宋体" w:cs="Times New Roman"/>
          <w:snapToGrid w:val="0"/>
          <w:color w:val="auto"/>
          <w:kern w:val="0"/>
          <w:sz w:val="24"/>
          <w:szCs w:val="20"/>
          <w:highlight w:val="none"/>
        </w:rPr>
      </w:pPr>
    </w:p>
    <w:p w14:paraId="0FED143F">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hAnsi="Times New Roman" w:eastAsia="宋体" w:cs="Times New Roman"/>
          <w:snapToGrid w:val="0"/>
          <w:color w:val="auto"/>
          <w:kern w:val="0"/>
          <w:sz w:val="24"/>
          <w:szCs w:val="20"/>
          <w:highlight w:val="none"/>
        </w:rPr>
        <w:t xml:space="preserve">                                       </w:t>
      </w:r>
      <w:r>
        <w:rPr>
          <w:rFonts w:hint="eastAsia" w:ascii="Times New Roman" w:hAnsi="Times New Roman" w:eastAsia="宋体" w:cs="Times New Roman"/>
          <w:snapToGrid w:val="0"/>
          <w:color w:val="auto"/>
          <w:kern w:val="0"/>
          <w:sz w:val="24"/>
          <w:szCs w:val="20"/>
          <w:highlight w:val="none"/>
          <w:u w:val="single"/>
        </w:rPr>
        <w:t xml:space="preserve">       </w:t>
      </w:r>
      <w:r>
        <w:rPr>
          <w:rFonts w:hint="eastAsia" w:ascii="Times New Roman" w:hAnsi="Times New Roman" w:eastAsia="宋体" w:cs="Times New Roman"/>
          <w:snapToGrid w:val="0"/>
          <w:color w:val="auto"/>
          <w:kern w:val="0"/>
          <w:sz w:val="24"/>
          <w:szCs w:val="20"/>
          <w:highlight w:val="none"/>
        </w:rPr>
        <w:t>年</w:t>
      </w:r>
      <w:r>
        <w:rPr>
          <w:rFonts w:hint="eastAsia" w:ascii="Times New Roman" w:hAnsi="Times New Roman" w:eastAsia="宋体" w:cs="Times New Roman"/>
          <w:snapToGrid w:val="0"/>
          <w:color w:val="auto"/>
          <w:kern w:val="0"/>
          <w:sz w:val="24"/>
          <w:szCs w:val="20"/>
          <w:highlight w:val="none"/>
          <w:u w:val="single"/>
        </w:rPr>
        <w:t xml:space="preserve">     </w:t>
      </w:r>
      <w:r>
        <w:rPr>
          <w:rFonts w:hint="eastAsia" w:ascii="Times New Roman" w:hAnsi="Times New Roman" w:eastAsia="宋体" w:cs="Times New Roman"/>
          <w:snapToGrid w:val="0"/>
          <w:color w:val="auto"/>
          <w:kern w:val="0"/>
          <w:sz w:val="24"/>
          <w:szCs w:val="20"/>
          <w:highlight w:val="none"/>
        </w:rPr>
        <w:t>月</w:t>
      </w:r>
      <w:r>
        <w:rPr>
          <w:rFonts w:hint="eastAsia" w:ascii="Times New Roman" w:hAnsi="Times New Roman" w:eastAsia="宋体" w:cs="Times New Roman"/>
          <w:snapToGrid w:val="0"/>
          <w:color w:val="auto"/>
          <w:kern w:val="0"/>
          <w:sz w:val="24"/>
          <w:szCs w:val="20"/>
          <w:highlight w:val="none"/>
          <w:u w:val="single"/>
        </w:rPr>
        <w:t xml:space="preserve">     </w:t>
      </w:r>
      <w:r>
        <w:rPr>
          <w:rFonts w:hint="eastAsia" w:ascii="Times New Roman" w:hAnsi="Times New Roman" w:eastAsia="宋体" w:cs="Times New Roman"/>
          <w:snapToGrid w:val="0"/>
          <w:color w:val="auto"/>
          <w:kern w:val="0"/>
          <w:sz w:val="24"/>
          <w:szCs w:val="20"/>
          <w:highlight w:val="none"/>
        </w:rPr>
        <w:t>日</w:t>
      </w:r>
    </w:p>
    <w:p w14:paraId="33880E7F">
      <w:pPr>
        <w:pStyle w:val="122"/>
        <w:keepNext w:val="0"/>
        <w:keepLines w:val="0"/>
        <w:widowControl w:val="0"/>
        <w:suppressLineNumbers w:val="0"/>
        <w:wordWrap w:val="0"/>
        <w:spacing w:line="400" w:lineRule="exact"/>
        <w:ind w:left="0" w:firstLine="0"/>
        <w:outlineLvl w:val="1"/>
        <w:rPr>
          <w:rFonts w:hint="eastAsia" w:ascii="宋体" w:hAnsi="宋体" w:eastAsia="宋体" w:cs="宋体"/>
          <w:b/>
          <w:bCs w:val="0"/>
          <w:color w:val="auto"/>
          <w:sz w:val="24"/>
          <w:szCs w:val="24"/>
          <w:highlight w:val="none"/>
          <w:lang w:val="en-US"/>
        </w:rPr>
      </w:pPr>
      <w:bookmarkStart w:id="51" w:name="_Toc21043"/>
      <w:bookmarkStart w:id="52" w:name="_Toc30071"/>
      <w:bookmarkStart w:id="53" w:name="_Toc12610"/>
      <w:r>
        <w:rPr>
          <w:rFonts w:hint="eastAsia" w:ascii="宋体" w:hAnsi="宋体" w:eastAsia="宋体" w:cs="宋体"/>
          <w:b/>
          <w:bCs w:val="0"/>
          <w:color w:val="auto"/>
          <w:sz w:val="24"/>
          <w:szCs w:val="24"/>
          <w:highlight w:val="none"/>
          <w:lang w:eastAsia="zh-CN"/>
        </w:rPr>
        <w:t>格式三 各项承诺一览表</w:t>
      </w:r>
      <w:bookmarkEnd w:id="51"/>
      <w:bookmarkEnd w:id="52"/>
      <w:bookmarkEnd w:id="53"/>
    </w:p>
    <w:p w14:paraId="4049B8F7">
      <w:pPr>
        <w:pStyle w:val="125"/>
        <w:keepNext w:val="0"/>
        <w:keepLines w:val="0"/>
        <w:widowControl w:val="0"/>
        <w:suppressLineNumbers w:val="0"/>
        <w:wordWrap w:val="0"/>
        <w:spacing w:before="260" w:beforeAutospacing="0" w:after="260" w:afterAutospacing="0" w:line="440" w:lineRule="exact"/>
        <w:ind w:left="0" w:right="0" w:firstLine="0"/>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sz w:val="30"/>
          <w:szCs w:val="30"/>
          <w:highlight w:val="none"/>
          <w:lang w:eastAsia="zh-CN"/>
        </w:rPr>
        <w:t>各项承诺一览表</w:t>
      </w:r>
    </w:p>
    <w:tbl>
      <w:tblPr>
        <w:tblStyle w:val="43"/>
        <w:tblW w:w="9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467"/>
        <w:gridCol w:w="2936"/>
        <w:gridCol w:w="4112"/>
      </w:tblGrid>
      <w:tr w14:paraId="21272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3157CC8">
            <w:pPr>
              <w:pStyle w:val="123"/>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序号</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24626837">
            <w:pPr>
              <w:pStyle w:val="123"/>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承诺事项</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0C571E70">
            <w:pPr>
              <w:pStyle w:val="123"/>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承诺内容</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3CCBBDAD">
            <w:pPr>
              <w:pStyle w:val="123"/>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违约承诺</w:t>
            </w:r>
          </w:p>
        </w:tc>
      </w:tr>
      <w:tr w14:paraId="4B50D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67555B0">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70F4E2A">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自愿接受招标</w:t>
            </w:r>
          </w:p>
          <w:p w14:paraId="6A1BA8FD">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文件条款的承诺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35798DBA">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我方自愿接受招标文件的所有条款，所递交的投标文件已经充分响应招标文件的实质性要求。</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6E9143F3">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如果我方的投标文件未响应、违反、偏离招标文件的实质性要求，我方接受招标人或其授权的招标代理机构或其组建的评标委员会依据招标文件作出的相应处理，包括否决投标。</w:t>
            </w:r>
          </w:p>
        </w:tc>
      </w:tr>
      <w:tr w14:paraId="0CE6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4"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9743D88">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278348BD">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无禁止投标</w:t>
            </w:r>
          </w:p>
          <w:p w14:paraId="518A8127">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情形的承诺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03E1DE60">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我方不存在招标文件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39DE338D">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如果我方有招标文件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CC6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F0A277">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3EDF9616">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自觉抵制围标</w:t>
            </w:r>
          </w:p>
          <w:p w14:paraId="4FFD1410">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串标和弄虚</w:t>
            </w:r>
          </w:p>
          <w:p w14:paraId="136ED526">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作假行为的承诺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31ACF82A">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我方合法正当、诚实守信地参与投标，不组织、不参加围标串标违法行为，不通过弄虚作假行为骗取中标。</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52A5FE5F">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B896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45DFFBE">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30C77E39">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p w14:paraId="3121D762">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任职承诺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73CACB39">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我方拟派项目经理现阶段没有担任任何在施（包括已中标未开工、已开工未竣工、在项目开标时间仍在建筑市场监管平台被“锁定”无法报建的）建设工程项目的项目经理。</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5E4A0F65">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拟派项目经理在本项目招标投标活动期间有担任其他任何在施（包括已中标未开工、已开工未竣工、在项目开标时间仍在建筑市场监管平台被“锁定”无法报建的）建设工程项目的项目经理，我方接受招标人或其授权的招标代理机构或其组建的评标委员会依据招标文件作出的相应处理以及有关监督部门作出的行政处罚，并承担由此引起的一切法律后果。</w:t>
            </w:r>
          </w:p>
        </w:tc>
      </w:tr>
      <w:tr w14:paraId="7CA5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6BD83C3">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6D42D85">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7736B9AA">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真实性承诺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1C766CF5">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我方所递交投标文件的全部内容均为真实、有效、准确的。</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20C0FCA0">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如果我方递交的投标文件任何内容不真实或无效或不准确，我方接受招标人或其授权的招标代理机构或其组建的评标委员会依据招标文件作出的相应处理，包括否决投标。</w:t>
            </w:r>
          </w:p>
        </w:tc>
      </w:tr>
      <w:tr w14:paraId="4380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3843B37">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6</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7823F97">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041B09AA">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信息公开承诺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6F03D6C1">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我方提供完整的文件。如果我方成为本项目中标候选人，我方同意并授权招标人在评标结果公示期内公开我方商务标书的全部内容。</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2F200626">
            <w:pPr>
              <w:pStyle w:val="124"/>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tc>
      </w:tr>
      <w:tr w14:paraId="075F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350B092">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7</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B5A0BE1">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对不正常报价</w:t>
            </w:r>
          </w:p>
          <w:p w14:paraId="430B2676">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的确认承诺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50B0D51E">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如果我方中标，我方接受招标人在合同订立期间依据招标文件有关条款约定对我方已标价工程量清单中不正常报价的修正或认定，并按要求签署《不正常报价清单》加以确认。</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6868424B">
            <w:pPr>
              <w:pStyle w:val="124"/>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p w14:paraId="5928D6F7">
            <w:pPr>
              <w:pStyle w:val="124"/>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p>
        </w:tc>
      </w:tr>
      <w:tr w14:paraId="09F1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93F4A27">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8</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19FF87E">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按时提交履约</w:t>
            </w:r>
          </w:p>
          <w:p w14:paraId="223D652F">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保证的承诺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12896C08">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如果我方中标，我方保证在招标文件规定的时限内全额提交履约保证。</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60FD3B1C">
            <w:pPr>
              <w:pStyle w:val="124"/>
              <w:widowControl/>
              <w:wordWrap w:val="0"/>
              <w:spacing w:line="380" w:lineRule="exact"/>
              <w:ind w:left="0" w:firstLine="0" w:firstLineChars="0"/>
              <w:jc w:val="left"/>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如果我方未在招标文件规定的时限内全额提交履约保证，我方接受招标人依据招标文件作出的相应处理以及有关监督部门作出的行政处罚，并承担由此引起的一切法律后果。</w:t>
            </w:r>
          </w:p>
        </w:tc>
      </w:tr>
      <w:tr w14:paraId="276C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8323476">
            <w:pPr>
              <w:pStyle w:val="123"/>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9</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6E2273D">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按时签订合同</w:t>
            </w:r>
          </w:p>
          <w:p w14:paraId="0BB99D88">
            <w:pPr>
              <w:pStyle w:val="124"/>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的承诺</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653D5A5A">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如果我方中标，我方保证在招标文件规定的时限内与招标人签订合同，不提出违背或超出招标文件、中标文件的要求。</w:t>
            </w:r>
          </w:p>
        </w:tc>
        <w:tc>
          <w:tcPr>
            <w:tcW w:w="4112" w:type="dxa"/>
            <w:tcBorders>
              <w:top w:val="single" w:color="000000" w:sz="4" w:space="0"/>
              <w:left w:val="single" w:color="000000" w:sz="4" w:space="0"/>
              <w:bottom w:val="single" w:color="000000" w:sz="4" w:space="0"/>
              <w:right w:val="single" w:color="000000" w:sz="4" w:space="0"/>
            </w:tcBorders>
            <w:noWrap w:val="0"/>
            <w:vAlign w:val="center"/>
          </w:tcPr>
          <w:p w14:paraId="501CDA60">
            <w:pPr>
              <w:pStyle w:val="124"/>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BA7857F">
      <w:pPr>
        <w:pStyle w:val="123"/>
        <w:widowControl/>
        <w:wordWrap w:val="0"/>
        <w:spacing w:line="420" w:lineRule="exact"/>
        <w:jc w:val="left"/>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3746865F">
      <w:pPr>
        <w:pStyle w:val="38"/>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投标人：（盖单位章）</w:t>
      </w:r>
    </w:p>
    <w:p w14:paraId="4753FD5E">
      <w:pPr>
        <w:pStyle w:val="38"/>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40A5057F">
      <w:pPr>
        <w:pStyle w:val="38"/>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法定代表人或其委托代理人：（签字或盖章）</w:t>
      </w:r>
    </w:p>
    <w:p w14:paraId="2B596D37">
      <w:pPr>
        <w:pStyle w:val="38"/>
        <w:keepNext w:val="0"/>
        <w:keepLines w:val="0"/>
        <w:widowControl w:val="0"/>
        <w:suppressLineNumbers w:val="0"/>
        <w:wordWrap w:val="0"/>
        <w:spacing w:before="0" w:beforeAutospacing="0" w:after="0" w:afterAutospacing="0" w:line="420" w:lineRule="exact"/>
        <w:ind w:left="0" w:right="0" w:firstLine="480" w:firstLineChars="2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4882668E">
      <w:pPr>
        <w:pStyle w:val="38"/>
        <w:keepNext w:val="0"/>
        <w:keepLines w:val="0"/>
        <w:widowControl w:val="0"/>
        <w:suppressLineNumbers w:val="0"/>
        <w:wordWrap w:val="0"/>
        <w:spacing w:before="0" w:beforeAutospacing="0" w:after="0" w:afterAutospacing="0" w:line="420" w:lineRule="exact"/>
        <w:ind w:left="0" w:right="0" w:firstLine="480" w:firstLineChars="20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7FF371C9">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p>
    <w:p w14:paraId="61A9D536">
      <w:pPr>
        <w:rPr>
          <w:rFonts w:hint="eastAsia" w:ascii="宋体" w:hAnsi="宋体" w:eastAsia="宋体" w:cs="宋体"/>
          <w:color w:val="auto"/>
          <w:kern w:val="2"/>
          <w:sz w:val="24"/>
          <w:szCs w:val="24"/>
          <w:highlight w:val="none"/>
          <w:lang w:val="en-US" w:eastAsia="zh-CN" w:bidi="ar"/>
        </w:rPr>
        <w:sectPr>
          <w:footerReference r:id="rId8" w:type="default"/>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476BBD17">
      <w:pPr>
        <w:keepNext w:val="0"/>
        <w:keepLines w:val="0"/>
        <w:widowControl w:val="0"/>
        <w:suppressLineNumbers w:val="0"/>
        <w:wordWrap w:val="0"/>
        <w:spacing w:before="0" w:beforeAutospacing="0" w:after="0" w:afterAutospacing="0" w:line="440" w:lineRule="exact"/>
        <w:ind w:left="0" w:right="0"/>
        <w:jc w:val="both"/>
        <w:outlineLvl w:val="1"/>
        <w:rPr>
          <w:rFonts w:hint="eastAsia" w:ascii="宋体" w:hAnsi="宋体" w:eastAsia="宋体" w:cs="宋体"/>
          <w:b/>
          <w:bCs w:val="0"/>
          <w:color w:val="auto"/>
          <w:kern w:val="0"/>
          <w:highlight w:val="none"/>
          <w:lang w:val="en-US"/>
        </w:rPr>
      </w:pPr>
      <w:bookmarkStart w:id="54" w:name="_Toc15220"/>
      <w:bookmarkStart w:id="55" w:name="_Toc22840"/>
      <w:bookmarkStart w:id="56" w:name="_Toc1712"/>
      <w:r>
        <w:rPr>
          <w:rFonts w:hint="eastAsia" w:ascii="宋体" w:hAnsi="宋体" w:eastAsia="宋体" w:cs="宋体"/>
          <w:b/>
          <w:bCs w:val="0"/>
          <w:color w:val="auto"/>
          <w:kern w:val="0"/>
          <w:sz w:val="24"/>
          <w:szCs w:val="24"/>
          <w:highlight w:val="none"/>
          <w:lang w:val="en-US" w:eastAsia="zh-CN" w:bidi="ar"/>
        </w:rPr>
        <w:t>格式四 法定代表人身份证明</w:t>
      </w:r>
      <w:bookmarkEnd w:id="54"/>
      <w:bookmarkEnd w:id="55"/>
      <w:bookmarkEnd w:id="56"/>
    </w:p>
    <w:p w14:paraId="7FCACC6C">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p>
    <w:p w14:paraId="4668960D">
      <w:pPr>
        <w:keepNext w:val="0"/>
        <w:keepLines w:val="0"/>
        <w:widowControl w:val="0"/>
        <w:suppressLineNumbers w:val="0"/>
        <w:wordWrap w:val="0"/>
        <w:spacing w:before="260" w:beforeAutospacing="0" w:after="260" w:afterAutospacing="0" w:line="440" w:lineRule="exact"/>
        <w:ind w:left="0" w:right="0"/>
        <w:jc w:val="center"/>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法定代表人身份证明</w:t>
      </w:r>
    </w:p>
    <w:p w14:paraId="55D25216">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A9285E4">
      <w:pPr>
        <w:wordWrap w:val="0"/>
        <w:adjustRightInd w:val="0"/>
        <w:snapToGrid w:val="0"/>
        <w:spacing w:line="440" w:lineRule="exact"/>
        <w:rPr>
          <w:rFonts w:ascii="Times New Roman" w:hAnsi="Times New Roman" w:eastAsia="宋体" w:cs="Times New Roman"/>
          <w:snapToGrid w:val="0"/>
          <w:color w:val="auto"/>
          <w:kern w:val="0"/>
          <w:sz w:val="24"/>
          <w:szCs w:val="21"/>
          <w:highlight w:val="none"/>
          <w:u w:val="single"/>
        </w:rPr>
      </w:pPr>
      <w:r>
        <w:rPr>
          <w:rFonts w:hint="eastAsia" w:ascii="Times New Roman" w:hAnsi="Times New Roman" w:eastAsia="宋体" w:cs="Times New Roman"/>
          <w:snapToGrid w:val="0"/>
          <w:color w:val="auto"/>
          <w:kern w:val="0"/>
          <w:sz w:val="24"/>
          <w:szCs w:val="21"/>
          <w:highlight w:val="none"/>
        </w:rPr>
        <w:t>投标人名称：</w:t>
      </w:r>
      <w:r>
        <w:rPr>
          <w:rFonts w:hint="eastAsia" w:ascii="Times New Roman" w:hAnsi="Times New Roman" w:eastAsia="宋体" w:cs="Times New Roman"/>
          <w:snapToGrid w:val="0"/>
          <w:color w:val="auto"/>
          <w:kern w:val="0"/>
          <w:sz w:val="24"/>
          <w:szCs w:val="21"/>
          <w:highlight w:val="none"/>
          <w:u w:val="single"/>
        </w:rPr>
        <w:t xml:space="preserve">                  </w:t>
      </w:r>
    </w:p>
    <w:p w14:paraId="3FF967A2">
      <w:pPr>
        <w:wordWrap w:val="0"/>
        <w:adjustRightInd w:val="0"/>
        <w:snapToGrid w:val="0"/>
        <w:spacing w:line="440" w:lineRule="exact"/>
        <w:rPr>
          <w:rFonts w:ascii="Times New Roman" w:hAnsi="Times New Roman" w:eastAsia="宋体" w:cs="Times New Roman"/>
          <w:snapToGrid w:val="0"/>
          <w:color w:val="auto"/>
          <w:kern w:val="0"/>
          <w:sz w:val="24"/>
          <w:szCs w:val="21"/>
          <w:highlight w:val="none"/>
          <w:u w:val="single"/>
        </w:rPr>
      </w:pPr>
      <w:r>
        <w:rPr>
          <w:rFonts w:hint="eastAsia" w:ascii="Times New Roman" w:hAnsi="Times New Roman" w:eastAsia="宋体" w:cs="Times New Roman"/>
          <w:snapToGrid w:val="0"/>
          <w:color w:val="auto"/>
          <w:kern w:val="0"/>
          <w:sz w:val="24"/>
          <w:szCs w:val="21"/>
          <w:highlight w:val="none"/>
        </w:rPr>
        <w:t>姓名：</w:t>
      </w:r>
      <w:r>
        <w:rPr>
          <w:rFonts w:hint="eastAsia" w:ascii="Times New Roman" w:hAnsi="Times New Roman" w:eastAsia="宋体" w:cs="Times New Roman"/>
          <w:snapToGrid w:val="0"/>
          <w:color w:val="auto"/>
          <w:kern w:val="0"/>
          <w:sz w:val="24"/>
          <w:szCs w:val="21"/>
          <w:highlight w:val="none"/>
          <w:u w:val="single"/>
        </w:rPr>
        <w:t xml:space="preserve">         </w:t>
      </w:r>
      <w:r>
        <w:rPr>
          <w:rFonts w:hint="eastAsia" w:ascii="Times New Roman" w:hAnsi="Times New Roman" w:eastAsia="宋体" w:cs="Times New Roman"/>
          <w:snapToGrid w:val="0"/>
          <w:color w:val="auto"/>
          <w:kern w:val="0"/>
          <w:sz w:val="24"/>
          <w:szCs w:val="21"/>
          <w:highlight w:val="none"/>
        </w:rPr>
        <w:t>性别：</w:t>
      </w:r>
      <w:r>
        <w:rPr>
          <w:rFonts w:hint="eastAsia" w:ascii="Times New Roman" w:hAnsi="Times New Roman" w:eastAsia="宋体" w:cs="Times New Roman"/>
          <w:snapToGrid w:val="0"/>
          <w:color w:val="auto"/>
          <w:kern w:val="0"/>
          <w:sz w:val="24"/>
          <w:szCs w:val="21"/>
          <w:highlight w:val="none"/>
          <w:u w:val="single"/>
        </w:rPr>
        <w:t xml:space="preserve">      </w:t>
      </w:r>
      <w:r>
        <w:rPr>
          <w:rFonts w:hint="eastAsia" w:ascii="Times New Roman" w:hAnsi="Times New Roman" w:eastAsia="宋体" w:cs="Times New Roman"/>
          <w:snapToGrid w:val="0"/>
          <w:color w:val="auto"/>
          <w:kern w:val="0"/>
          <w:sz w:val="24"/>
          <w:szCs w:val="21"/>
          <w:highlight w:val="none"/>
        </w:rPr>
        <w:t>年龄：</w:t>
      </w:r>
      <w:r>
        <w:rPr>
          <w:rFonts w:hint="eastAsia" w:ascii="Times New Roman" w:hAnsi="Times New Roman" w:eastAsia="宋体" w:cs="Times New Roman"/>
          <w:snapToGrid w:val="0"/>
          <w:color w:val="auto"/>
          <w:kern w:val="0"/>
          <w:sz w:val="24"/>
          <w:szCs w:val="21"/>
          <w:highlight w:val="none"/>
          <w:u w:val="single"/>
        </w:rPr>
        <w:t xml:space="preserve">       </w:t>
      </w:r>
      <w:r>
        <w:rPr>
          <w:rFonts w:hint="eastAsia" w:ascii="Times New Roman" w:hAnsi="Times New Roman" w:eastAsia="宋体" w:cs="Times New Roman"/>
          <w:snapToGrid w:val="0"/>
          <w:color w:val="auto"/>
          <w:kern w:val="0"/>
          <w:sz w:val="24"/>
          <w:szCs w:val="21"/>
          <w:highlight w:val="none"/>
        </w:rPr>
        <w:t>职务：</w:t>
      </w:r>
      <w:r>
        <w:rPr>
          <w:rFonts w:hint="eastAsia" w:ascii="Times New Roman" w:hAnsi="Times New Roman" w:eastAsia="宋体" w:cs="Times New Roman"/>
          <w:snapToGrid w:val="0"/>
          <w:color w:val="auto"/>
          <w:kern w:val="0"/>
          <w:sz w:val="24"/>
          <w:szCs w:val="21"/>
          <w:highlight w:val="none"/>
          <w:u w:val="single"/>
        </w:rPr>
        <w:t xml:space="preserve">           </w:t>
      </w:r>
    </w:p>
    <w:p w14:paraId="239E4C68">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系</w:t>
      </w:r>
      <w:r>
        <w:rPr>
          <w:rFonts w:hint="eastAsia" w:ascii="宋体" w:hAnsi="宋体" w:eastAsia="宋体" w:cs="宋体"/>
          <w:color w:val="auto"/>
          <w:kern w:val="0"/>
          <w:sz w:val="24"/>
          <w:szCs w:val="24"/>
          <w:highlight w:val="none"/>
          <w:u w:val="single"/>
          <w:lang w:val="en-US" w:eastAsia="zh-CN" w:bidi="ar"/>
        </w:rPr>
        <w:t>（投标人名称）</w:t>
      </w:r>
      <w:r>
        <w:rPr>
          <w:rFonts w:hint="eastAsia" w:ascii="宋体" w:hAnsi="宋体" w:eastAsia="宋体" w:cs="宋体"/>
          <w:color w:val="auto"/>
          <w:kern w:val="0"/>
          <w:sz w:val="24"/>
          <w:szCs w:val="24"/>
          <w:highlight w:val="none"/>
          <w:lang w:val="en-US" w:eastAsia="zh-CN" w:bidi="ar"/>
        </w:rPr>
        <w:t>的法定代表人。</w:t>
      </w:r>
    </w:p>
    <w:p w14:paraId="5A0170F2">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特此证明。</w:t>
      </w:r>
    </w:p>
    <w:p w14:paraId="2EC0402E">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54E3DDE">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3D163DCC">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114F24C">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67356BB">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法定代表人：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47FF4B8C">
      <w:pPr>
        <w:keepNext w:val="0"/>
        <w:keepLines w:val="0"/>
        <w:widowControl w:val="0"/>
        <w:suppressLineNumbers w:val="0"/>
        <w:wordWrap w:val="0"/>
        <w:spacing w:before="0" w:beforeAutospacing="0" w:after="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6D6977AB">
      <w:pPr>
        <w:keepNext w:val="0"/>
        <w:keepLines w:val="0"/>
        <w:widowControl w:val="0"/>
        <w:suppressLineNumbers w:val="0"/>
        <w:wordWrap w:val="0"/>
        <w:spacing w:before="0" w:beforeAutospacing="0" w:after="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       </w:t>
      </w:r>
    </w:p>
    <w:p w14:paraId="16F702B2">
      <w:pPr>
        <w:keepNext w:val="0"/>
        <w:keepLines w:val="0"/>
        <w:widowControl w:val="0"/>
        <w:suppressLineNumbers w:val="0"/>
        <w:wordWrap w:val="0"/>
        <w:spacing w:before="0" w:beforeAutospacing="0" w:after="0" w:afterAutospacing="0" w:line="440" w:lineRule="exact"/>
        <w:ind w:left="0" w:right="0" w:firstLine="240" w:firstLineChars="10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783EFF5E">
      <w:pPr>
        <w:keepNext w:val="0"/>
        <w:keepLines w:val="0"/>
        <w:widowControl w:val="0"/>
        <w:suppressLineNumbers w:val="0"/>
        <w:wordWrap w:val="0"/>
        <w:spacing w:before="0" w:beforeAutospacing="0" w:after="0" w:afterAutospacing="0" w:line="440" w:lineRule="exact"/>
        <w:ind w:left="0" w:right="0" w:firstLine="720" w:firstLineChars="300"/>
        <w:jc w:val="both"/>
        <w:rPr>
          <w:rFonts w:hint="eastAsia" w:ascii="宋体" w:hAnsi="宋体" w:eastAsia="宋体" w:cs="宋体"/>
          <w:i/>
          <w:iCs/>
          <w:color w:val="auto"/>
          <w:kern w:val="0"/>
          <w:highlight w:val="none"/>
          <w:lang w:val="en-US"/>
        </w:rPr>
      </w:pPr>
      <w:r>
        <w:rPr>
          <w:rFonts w:hint="eastAsia" w:ascii="宋体" w:hAnsi="宋体" w:eastAsia="宋体" w:cs="宋体"/>
          <w:i/>
          <w:iCs/>
          <w:color w:val="auto"/>
          <w:kern w:val="0"/>
          <w:sz w:val="24"/>
          <w:szCs w:val="24"/>
          <w:highlight w:val="none"/>
          <w:lang w:val="en-US" w:eastAsia="zh-CN" w:bidi="ar"/>
        </w:rPr>
        <w:t xml:space="preserve"> </w:t>
      </w:r>
    </w:p>
    <w:p w14:paraId="03973161">
      <w:pPr>
        <w:keepNext w:val="0"/>
        <w:keepLines w:val="0"/>
        <w:widowControl w:val="0"/>
        <w:suppressLineNumbers w:val="0"/>
        <w:wordWrap w:val="0"/>
        <w:spacing w:before="0" w:beforeAutospacing="0" w:after="0" w:afterAutospacing="0" w:line="440" w:lineRule="exact"/>
        <w:ind w:left="0" w:right="0" w:firstLine="720" w:firstLineChars="300"/>
        <w:jc w:val="both"/>
        <w:rPr>
          <w:rFonts w:hint="eastAsia" w:ascii="宋体" w:hAnsi="宋体" w:eastAsia="宋体" w:cs="宋体"/>
          <w:i/>
          <w:iCs/>
          <w:color w:val="auto"/>
          <w:kern w:val="0"/>
          <w:highlight w:val="none"/>
          <w:lang w:val="en-US"/>
        </w:rPr>
      </w:pPr>
      <w:r>
        <w:rPr>
          <w:rFonts w:hint="eastAsia" w:ascii="宋体" w:hAnsi="宋体" w:eastAsia="宋体" w:cs="宋体"/>
          <w:i/>
          <w:iCs/>
          <w:color w:val="auto"/>
          <w:kern w:val="0"/>
          <w:sz w:val="24"/>
          <w:szCs w:val="24"/>
          <w:highlight w:val="none"/>
          <w:lang w:val="en-US" w:eastAsia="zh-CN" w:bidi="ar"/>
        </w:rPr>
        <w:t xml:space="preserve"> </w:t>
      </w:r>
    </w:p>
    <w:p w14:paraId="0ED76E7D">
      <w:pPr>
        <w:keepNext w:val="0"/>
        <w:keepLines w:val="0"/>
        <w:widowControl w:val="0"/>
        <w:suppressLineNumbers w:val="0"/>
        <w:wordWrap w:val="0"/>
        <w:spacing w:before="0" w:beforeAutospacing="0" w:after="0" w:afterAutospacing="0" w:line="440" w:lineRule="exact"/>
        <w:ind w:left="0" w:right="0" w:firstLine="632" w:firstLineChars="300"/>
        <w:jc w:val="both"/>
        <w:rPr>
          <w:rFonts w:hint="eastAsia" w:ascii="宋体" w:hAnsi="宋体" w:eastAsia="宋体" w:cs="宋体"/>
          <w:i/>
          <w:iCs/>
          <w:color w:val="auto"/>
          <w:kern w:val="0"/>
          <w:highlight w:val="none"/>
          <w:lang w:val="en-US"/>
        </w:rPr>
      </w:pPr>
      <w:r>
        <w:rPr>
          <w:rFonts w:ascii="Times New Roman"/>
          <w:b/>
          <w:snapToGrid w:val="0"/>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1393190</wp:posOffset>
                </wp:positionH>
                <wp:positionV relativeFrom="paragraph">
                  <wp:posOffset>222885</wp:posOffset>
                </wp:positionV>
                <wp:extent cx="2825115" cy="1584325"/>
                <wp:effectExtent l="4445" t="4445" r="8890" b="11430"/>
                <wp:wrapNone/>
                <wp:docPr id="3" name="自选图形 18"/>
                <wp:cNvGraphicFramePr/>
                <a:graphic xmlns:a="http://schemas.openxmlformats.org/drawingml/2006/main">
                  <a:graphicData uri="http://schemas.microsoft.com/office/word/2010/wordprocessingShape">
                    <wps:wsp>
                      <wps:cNvSpPr/>
                      <wps:spPr>
                        <a:xfrm>
                          <a:off x="2591435" y="7183755"/>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C337CAB">
                            <w:pPr>
                              <w:jc w:val="center"/>
                              <w:rPr>
                                <w:szCs w:val="21"/>
                              </w:rPr>
                            </w:pPr>
                          </w:p>
                          <w:p w14:paraId="5905298F">
                            <w:pPr>
                              <w:jc w:val="center"/>
                              <w:rPr>
                                <w:szCs w:val="21"/>
                              </w:rPr>
                            </w:pPr>
                          </w:p>
                          <w:p w14:paraId="2155D1A6">
                            <w:pPr>
                              <w:jc w:val="center"/>
                              <w:rPr>
                                <w:szCs w:val="21"/>
                              </w:rPr>
                            </w:pPr>
                          </w:p>
                          <w:p w14:paraId="3F60A76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法定代表人身份证</w:t>
                            </w:r>
                            <w:r>
                              <w:rPr>
                                <w:rFonts w:hint="eastAsia" w:ascii="Times New Roman" w:hAnsi="Times New Roman" w:eastAsia="宋体" w:cs="Times New Roman"/>
                                <w:szCs w:val="21"/>
                                <w:lang w:val="en-US" w:eastAsia="zh-CN"/>
                              </w:rPr>
                              <w:t>彩色</w:t>
                            </w:r>
                            <w:r>
                              <w:rPr>
                                <w:rFonts w:hint="eastAsia" w:ascii="Times New Roman" w:hAnsi="Times New Roman" w:eastAsia="宋体" w:cs="Times New Roman"/>
                                <w:szCs w:val="21"/>
                              </w:rPr>
                              <w:t>扫描件正、反面</w:t>
                            </w:r>
                          </w:p>
                        </w:txbxContent>
                      </wps:txbx>
                      <wps:bodyPr vert="horz" wrap="square" anchor="t" anchorCtr="0" upright="1"/>
                    </wps:wsp>
                  </a:graphicData>
                </a:graphic>
              </wp:anchor>
            </w:drawing>
          </mc:Choice>
          <mc:Fallback>
            <w:pict>
              <v:shape id="自选图形 18" o:spid="_x0000_s1026" o:spt="176" type="#_x0000_t176" style="position:absolute;left:0pt;margin-left:109.7pt;margin-top:17.55pt;height:124.75pt;width:222.45pt;z-index:251661312;mso-width-relative:page;mso-height-relative:page;" fillcolor="#FFFFFF" filled="t" stroked="t" coordsize="21600,21600" o:gfxdata="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QAO42AAAAAoBAAAPAAAA&#10;AAAAAAEAIAAAACIAAABkcnMvZG93bnJldi54bWxQSwECFAAUAAAACACHTuJAh1gU6E4CAACTBAAA&#10;DgAAAAAAAAABACAAAAAnAQAAZHJzL2Uyb0RvYy54bWxQSwUGAAAAAAYABgBZAQAA5wUAAAAA&#10;">
                <v:fill on="t" focussize="0,0"/>
                <v:stroke color="#000000" joinstyle="miter"/>
                <v:imagedata o:title=""/>
                <o:lock v:ext="edit" aspectratio="f"/>
                <v:textbox>
                  <w:txbxContent>
                    <w:p w14:paraId="6C337CAB">
                      <w:pPr>
                        <w:jc w:val="center"/>
                        <w:rPr>
                          <w:szCs w:val="21"/>
                        </w:rPr>
                      </w:pPr>
                    </w:p>
                    <w:p w14:paraId="5905298F">
                      <w:pPr>
                        <w:jc w:val="center"/>
                        <w:rPr>
                          <w:szCs w:val="21"/>
                        </w:rPr>
                      </w:pPr>
                    </w:p>
                    <w:p w14:paraId="2155D1A6">
                      <w:pPr>
                        <w:jc w:val="center"/>
                        <w:rPr>
                          <w:szCs w:val="21"/>
                        </w:rPr>
                      </w:pPr>
                    </w:p>
                    <w:p w14:paraId="3F60A76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法定代表人身份证</w:t>
                      </w:r>
                      <w:r>
                        <w:rPr>
                          <w:rFonts w:hint="eastAsia" w:ascii="Times New Roman" w:hAnsi="Times New Roman" w:eastAsia="宋体" w:cs="Times New Roman"/>
                          <w:szCs w:val="21"/>
                          <w:lang w:val="en-US" w:eastAsia="zh-CN"/>
                        </w:rPr>
                        <w:t>彩色</w:t>
                      </w:r>
                      <w:r>
                        <w:rPr>
                          <w:rFonts w:hint="eastAsia" w:ascii="Times New Roman" w:hAnsi="Times New Roman" w:eastAsia="宋体" w:cs="Times New Roman"/>
                          <w:szCs w:val="21"/>
                        </w:rPr>
                        <w:t>扫描件正、反面</w:t>
                      </w:r>
                    </w:p>
                  </w:txbxContent>
                </v:textbox>
              </v:shape>
            </w:pict>
          </mc:Fallback>
        </mc:AlternateContent>
      </w:r>
      <w:r>
        <w:rPr>
          <w:rFonts w:hint="eastAsia" w:ascii="宋体" w:hAnsi="宋体" w:eastAsia="宋体" w:cs="宋体"/>
          <w:i/>
          <w:iCs/>
          <w:color w:val="auto"/>
          <w:kern w:val="0"/>
          <w:sz w:val="24"/>
          <w:szCs w:val="24"/>
          <w:highlight w:val="none"/>
          <w:lang w:val="en-US" w:eastAsia="zh-CN" w:bidi="ar"/>
        </w:rPr>
        <w:t xml:space="preserve"> </w:t>
      </w:r>
    </w:p>
    <w:p w14:paraId="4DA77EBC">
      <w:pPr>
        <w:keepNext w:val="0"/>
        <w:keepLines w:val="0"/>
        <w:widowControl w:val="0"/>
        <w:suppressLineNumbers w:val="0"/>
        <w:wordWrap w:val="0"/>
        <w:spacing w:before="0" w:beforeAutospacing="0" w:after="0" w:afterAutospacing="0" w:line="360" w:lineRule="auto"/>
        <w:ind w:left="0" w:right="0" w:firstLine="2349" w:firstLineChars="975"/>
        <w:jc w:val="both"/>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p>
    <w:p w14:paraId="5EF3C9EB">
      <w:pPr>
        <w:keepNext w:val="0"/>
        <w:keepLines w:val="0"/>
        <w:widowControl w:val="0"/>
        <w:suppressLineNumbers w:val="0"/>
        <w:wordWrap w:val="0"/>
        <w:spacing w:before="0" w:beforeAutospacing="0" w:after="0" w:afterAutospacing="0" w:line="360" w:lineRule="auto"/>
        <w:ind w:left="0" w:right="0"/>
        <w:jc w:val="both"/>
        <w:rPr>
          <w:rFonts w:hint="eastAsia" w:ascii="宋体" w:hAnsi="宋体" w:eastAsia="宋体" w:cs="宋体"/>
          <w:color w:val="auto"/>
          <w:kern w:val="0"/>
          <w:sz w:val="28"/>
          <w:szCs w:val="28"/>
          <w:highlight w:val="none"/>
          <w:lang w:val="en-US"/>
        </w:rPr>
      </w:pPr>
      <w:r>
        <w:rPr>
          <w:rFonts w:hint="eastAsia" w:ascii="宋体" w:hAnsi="宋体" w:eastAsia="宋体" w:cs="宋体"/>
          <w:color w:val="auto"/>
          <w:kern w:val="0"/>
          <w:sz w:val="28"/>
          <w:szCs w:val="28"/>
          <w:highlight w:val="none"/>
          <w:lang w:val="en-US" w:eastAsia="zh-CN" w:bidi="ar"/>
        </w:rPr>
        <w:t xml:space="preserve"> </w:t>
      </w:r>
    </w:p>
    <w:p w14:paraId="149AD5EC">
      <w:pPr>
        <w:keepNext w:val="0"/>
        <w:keepLines w:val="0"/>
        <w:widowControl w:val="0"/>
        <w:suppressLineNumbers w:val="0"/>
        <w:wordWrap w:val="0"/>
        <w:spacing w:before="0" w:beforeAutospacing="0" w:after="0" w:afterAutospacing="0" w:line="480" w:lineRule="exact"/>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lang w:val="en-US" w:eastAsia="zh-CN" w:bidi="ar"/>
        </w:rPr>
        <w:t xml:space="preserve"> </w:t>
      </w:r>
    </w:p>
    <w:p w14:paraId="62CF1C7B">
      <w:pPr>
        <w:keepNext w:val="0"/>
        <w:keepLines w:val="0"/>
        <w:widowControl w:val="0"/>
        <w:suppressLineNumbers w:val="0"/>
        <w:wordWrap w:val="0"/>
        <w:spacing w:before="0" w:beforeAutospacing="0" w:after="0" w:afterAutospacing="0" w:line="480" w:lineRule="exact"/>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lang w:val="en-US" w:eastAsia="zh-CN" w:bidi="ar"/>
        </w:rPr>
        <w:t xml:space="preserve"> </w:t>
      </w:r>
    </w:p>
    <w:p w14:paraId="096CC0E0">
      <w:pPr>
        <w:keepNext w:val="0"/>
        <w:keepLines w:val="0"/>
        <w:widowControl w:val="0"/>
        <w:suppressLineNumbers w:val="0"/>
        <w:wordWrap w:val="0"/>
        <w:spacing w:before="0" w:beforeAutospacing="0" w:after="0" w:afterAutospacing="0" w:line="480" w:lineRule="exact"/>
        <w:ind w:left="0" w:right="0"/>
        <w:jc w:val="center"/>
        <w:rPr>
          <w:rFonts w:hint="eastAsia" w:ascii="宋体" w:hAnsi="宋体" w:eastAsia="宋体" w:cs="宋体"/>
          <w:b/>
          <w:bCs w:val="0"/>
          <w:color w:val="auto"/>
          <w:kern w:val="0"/>
          <w:sz w:val="28"/>
          <w:szCs w:val="28"/>
          <w:highlight w:val="none"/>
          <w:lang w:val="en-US"/>
        </w:rPr>
      </w:pPr>
      <w:r>
        <w:rPr>
          <w:rFonts w:hint="eastAsia" w:ascii="宋体" w:hAnsi="宋体" w:eastAsia="宋体" w:cs="宋体"/>
          <w:b/>
          <w:bCs w:val="0"/>
          <w:color w:val="auto"/>
          <w:kern w:val="0"/>
          <w:sz w:val="28"/>
          <w:szCs w:val="28"/>
          <w:highlight w:val="none"/>
          <w:lang w:val="en-US" w:eastAsia="zh-CN" w:bidi="ar"/>
        </w:rPr>
        <w:t xml:space="preserve"> </w:t>
      </w:r>
    </w:p>
    <w:p w14:paraId="4EB555C4">
      <w:pPr>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28D133AF">
      <w:pPr>
        <w:pStyle w:val="4"/>
        <w:keepNext w:val="0"/>
        <w:keepLines w:val="0"/>
        <w:wordWrap w:val="0"/>
        <w:adjustRightInd w:val="0"/>
        <w:snapToGrid w:val="0"/>
        <w:spacing w:before="0" w:after="0" w:line="440" w:lineRule="exact"/>
        <w:jc w:val="left"/>
        <w:rPr>
          <w:rFonts w:hint="eastAsia" w:ascii="宋体" w:hAnsi="宋体" w:eastAsia="宋体" w:cs="宋体"/>
          <w:b/>
          <w:bCs w:val="0"/>
          <w:color w:val="auto"/>
          <w:kern w:val="0"/>
          <w:sz w:val="24"/>
          <w:szCs w:val="24"/>
          <w:highlight w:val="none"/>
          <w:lang w:val="en-US" w:eastAsia="zh-CN" w:bidi="ar"/>
        </w:rPr>
      </w:pPr>
      <w:bookmarkStart w:id="57" w:name="_Toc29668"/>
      <w:bookmarkStart w:id="58" w:name="_Toc30341"/>
      <w:bookmarkStart w:id="59" w:name="_Toc12740"/>
      <w:r>
        <w:rPr>
          <w:rFonts w:hint="eastAsia" w:ascii="宋体" w:hAnsi="宋体" w:eastAsia="宋体" w:cs="宋体"/>
          <w:b/>
          <w:bCs/>
          <w:color w:val="auto"/>
          <w:sz w:val="24"/>
          <w:szCs w:val="24"/>
          <w:highlight w:val="none"/>
          <w:lang w:eastAsia="zh-CN"/>
        </w:rPr>
        <w:t>格式</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 xml:space="preserve"> </w:t>
      </w:r>
      <w:bookmarkEnd w:id="57"/>
      <w:r>
        <w:rPr>
          <w:rFonts w:hint="eastAsia" w:ascii="宋体" w:hAnsi="宋体" w:eastAsia="宋体" w:cs="宋体"/>
          <w:b/>
          <w:bCs w:val="0"/>
          <w:color w:val="auto"/>
          <w:kern w:val="0"/>
          <w:sz w:val="24"/>
          <w:szCs w:val="24"/>
          <w:highlight w:val="none"/>
          <w:lang w:val="en-US" w:eastAsia="zh-CN" w:bidi="ar"/>
        </w:rPr>
        <w:t>授权委托书</w:t>
      </w:r>
      <w:bookmarkEnd w:id="58"/>
      <w:bookmarkEnd w:id="59"/>
    </w:p>
    <w:p w14:paraId="532A9420">
      <w:pPr>
        <w:rPr>
          <w:rFonts w:hint="eastAsia" w:ascii="宋体" w:hAnsi="宋体" w:eastAsia="宋体" w:cs="宋体"/>
          <w:color w:val="auto"/>
          <w:highlight w:val="none"/>
        </w:rPr>
      </w:pPr>
    </w:p>
    <w:p w14:paraId="4F36E315">
      <w:pPr>
        <w:wordWrap w:val="0"/>
        <w:adjustRightInd w:val="0"/>
        <w:snapToGrid w:val="0"/>
        <w:spacing w:before="260" w:after="260" w:line="440" w:lineRule="exact"/>
        <w:jc w:val="center"/>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sz w:val="30"/>
          <w:highlight w:val="none"/>
        </w:rPr>
        <w:t>授权委托书</w:t>
      </w:r>
    </w:p>
    <w:p w14:paraId="6AD92427">
      <w:pPr>
        <w:wordWrap w:val="0"/>
        <w:adjustRightInd w:val="0"/>
        <w:snapToGrid w:val="0"/>
        <w:spacing w:line="440" w:lineRule="exact"/>
        <w:rPr>
          <w:rFonts w:hint="eastAsia" w:ascii="宋体" w:hAnsi="宋体" w:eastAsia="宋体" w:cs="宋体"/>
          <w:snapToGrid w:val="0"/>
          <w:color w:val="auto"/>
          <w:kern w:val="0"/>
          <w:szCs w:val="28"/>
          <w:highlight w:val="none"/>
        </w:rPr>
      </w:pPr>
    </w:p>
    <w:p w14:paraId="065FEF7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 w:val="24"/>
          <w:szCs w:val="24"/>
          <w:highlight w:val="none"/>
        </w:rPr>
        <w:t xml:space="preserve"> 本人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（投标人名称）的法定代表人，现委托</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（项目名称）投标文件、签订合同和处理有关事宜，其法律后果由我方承担。</w:t>
      </w:r>
    </w:p>
    <w:p w14:paraId="47FA8AB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委托期限：</w:t>
      </w:r>
      <w:r>
        <w:rPr>
          <w:rFonts w:hint="eastAsia" w:ascii="宋体" w:hAnsi="宋体" w:eastAsia="宋体" w:cs="宋体"/>
          <w:color w:val="auto"/>
          <w:sz w:val="24"/>
          <w:szCs w:val="24"/>
          <w:highlight w:val="none"/>
        </w:rPr>
        <w:t>至投标有效期的期满之日止。</w:t>
      </w:r>
    </w:p>
    <w:p w14:paraId="5AFC2A12">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代理人无转委托权。</w:t>
      </w:r>
    </w:p>
    <w:p w14:paraId="7FD911CA">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1820B5B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042561B7">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投  标  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3987F8F5">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5F2EBDC4">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2E0ADBC2">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7C18B3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100CA708">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52F6E8A3">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56954ED5">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03403CD">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4D657133">
      <w:pPr>
        <w:wordWrap w:val="0"/>
        <w:adjustRightInd w:val="0"/>
        <w:snapToGrid w:val="0"/>
        <w:spacing w:line="440" w:lineRule="exact"/>
        <w:ind w:firstLine="420" w:firstLineChars="200"/>
        <w:rPr>
          <w:rFonts w:hint="eastAsia" w:ascii="宋体" w:hAnsi="宋体" w:eastAsia="宋体" w:cs="宋体"/>
          <w:snapToGrid w:val="0"/>
          <w:color w:val="auto"/>
          <w:kern w:val="0"/>
          <w:szCs w:val="21"/>
          <w:highlight w:val="none"/>
        </w:rPr>
      </w:pPr>
    </w:p>
    <w:p w14:paraId="2102F920">
      <w:pPr>
        <w:wordWrap w:val="0"/>
        <w:adjustRightInd w:val="0"/>
        <w:snapToGrid w:val="0"/>
        <w:ind w:firstLine="6440" w:firstLineChars="230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 w:val="28"/>
          <w:szCs w:val="28"/>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F13940">
                            <w:pPr>
                              <w:jc w:val="center"/>
                              <w:rPr>
                                <w:rFonts w:hint="eastAsia"/>
                                <w:szCs w:val="21"/>
                              </w:rPr>
                            </w:pPr>
                          </w:p>
                          <w:p w14:paraId="26E65AB8">
                            <w:pPr>
                              <w:jc w:val="center"/>
                              <w:rPr>
                                <w:rFonts w:hint="eastAsia"/>
                                <w:szCs w:val="21"/>
                              </w:rPr>
                            </w:pPr>
                          </w:p>
                          <w:p w14:paraId="6D3E7217">
                            <w:pPr>
                              <w:jc w:val="center"/>
                              <w:rPr>
                                <w:rFonts w:hint="eastAsia"/>
                                <w:szCs w:val="21"/>
                              </w:rPr>
                            </w:pPr>
                          </w:p>
                          <w:p w14:paraId="403B414F">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yfTrNgAAAAJAQAADwAAAAAAAAABACAAAAAiAAAAZHJzL2Rvd25yZXYueG1sUEsBAhQAFAAAAAgA&#10;h07iQIJKSK0lAgAAVAQAAA4AAAAAAAAAAQAgAAAAJwEAAGRycy9lMm9Eb2MueG1sUEsFBgAAAAAG&#10;AAYAWQEAAL4FAAAAAA==&#10;">
                <v:fill on="t" focussize="0,0"/>
                <v:stroke color="#000000" joinstyle="miter"/>
                <v:imagedata o:title=""/>
                <o:lock v:ext="edit" aspectratio="f"/>
                <v:textbox>
                  <w:txbxContent>
                    <w:p w14:paraId="61F13940">
                      <w:pPr>
                        <w:jc w:val="center"/>
                        <w:rPr>
                          <w:rFonts w:hint="eastAsia"/>
                          <w:szCs w:val="21"/>
                        </w:rPr>
                      </w:pPr>
                    </w:p>
                    <w:p w14:paraId="26E65AB8">
                      <w:pPr>
                        <w:jc w:val="center"/>
                        <w:rPr>
                          <w:rFonts w:hint="eastAsia"/>
                          <w:szCs w:val="21"/>
                        </w:rPr>
                      </w:pPr>
                    </w:p>
                    <w:p w14:paraId="6D3E7217">
                      <w:pPr>
                        <w:jc w:val="center"/>
                        <w:rPr>
                          <w:rFonts w:hint="eastAsia"/>
                          <w:szCs w:val="21"/>
                        </w:rPr>
                      </w:pPr>
                    </w:p>
                    <w:p w14:paraId="403B414F">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v:textbox>
              </v:shape>
            </w:pict>
          </mc:Fallback>
        </mc:AlternateContent>
      </w:r>
    </w:p>
    <w:p w14:paraId="17DA2B07">
      <w:pPr>
        <w:pStyle w:val="5"/>
        <w:widowControl w:val="0"/>
        <w:wordWrap w:val="0"/>
        <w:adjustRightInd w:val="0"/>
        <w:snapToGrid w:val="0"/>
        <w:rPr>
          <w:rFonts w:hint="eastAsia" w:ascii="宋体" w:hAnsi="宋体" w:eastAsia="宋体" w:cs="宋体"/>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14558EFA">
      <w:pPr>
        <w:keepNext w:val="0"/>
        <w:keepLines w:val="0"/>
        <w:widowControl w:val="0"/>
        <w:suppressLineNumbers w:val="0"/>
        <w:wordWrap w:val="0"/>
        <w:spacing w:before="0" w:beforeAutospacing="0" w:after="0" w:afterAutospacing="0" w:line="440" w:lineRule="exact"/>
        <w:ind w:left="0" w:right="0" w:firstLine="241" w:firstLineChars="100"/>
        <w:jc w:val="both"/>
        <w:outlineLvl w:val="1"/>
        <w:rPr>
          <w:rFonts w:hint="eastAsia" w:ascii="宋体" w:hAnsi="宋体" w:eastAsia="宋体" w:cs="宋体"/>
          <w:b/>
          <w:bCs/>
          <w:color w:val="auto"/>
          <w:kern w:val="0"/>
          <w:highlight w:val="none"/>
          <w:lang w:val="en-US"/>
        </w:rPr>
      </w:pPr>
      <w:bookmarkStart w:id="60" w:name="_Toc19203"/>
      <w:bookmarkStart w:id="61" w:name="_Toc23016"/>
      <w:bookmarkStart w:id="62" w:name="_Toc11456"/>
      <w:r>
        <w:rPr>
          <w:rFonts w:hint="eastAsia" w:ascii="宋体" w:hAnsi="宋体" w:eastAsia="宋体" w:cs="宋体"/>
          <w:b/>
          <w:bCs/>
          <w:color w:val="auto"/>
          <w:kern w:val="0"/>
          <w:sz w:val="24"/>
          <w:szCs w:val="24"/>
          <w:highlight w:val="none"/>
          <w:lang w:val="en-US" w:eastAsia="zh-CN" w:bidi="ar"/>
        </w:rPr>
        <w:t>格式六 投标人基本情况表</w:t>
      </w:r>
      <w:bookmarkEnd w:id="60"/>
      <w:bookmarkEnd w:id="61"/>
      <w:bookmarkEnd w:id="62"/>
    </w:p>
    <w:p w14:paraId="4A48FFB0">
      <w:pPr>
        <w:pStyle w:val="122"/>
        <w:keepNext w:val="0"/>
        <w:keepLines w:val="0"/>
        <w:widowControl w:val="0"/>
        <w:suppressLineNumbers w:val="0"/>
        <w:wordWrap w:val="0"/>
        <w:spacing w:before="260" w:beforeAutospacing="0" w:after="260" w:afterAutospacing="0" w:line="400" w:lineRule="exact"/>
        <w:ind w:left="0" w:right="0" w:firstLine="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30"/>
          <w:szCs w:val="30"/>
          <w:highlight w:val="none"/>
          <w:lang w:eastAsia="zh-CN"/>
        </w:rPr>
        <w:t>投标人基本情况表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097"/>
        <w:gridCol w:w="1489"/>
        <w:gridCol w:w="803"/>
        <w:gridCol w:w="414"/>
        <w:gridCol w:w="832"/>
        <w:gridCol w:w="260"/>
        <w:gridCol w:w="709"/>
        <w:gridCol w:w="1416"/>
      </w:tblGrid>
      <w:tr w14:paraId="1C48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BDDD8D3">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投标人名称</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5107F0AE">
            <w:pPr>
              <w:pStyle w:val="127"/>
              <w:widowControl/>
              <w:wordWrap w:val="0"/>
              <w:jc w:val="center"/>
              <w:rPr>
                <w:rFonts w:hint="eastAsia" w:ascii="宋体" w:hAnsi="宋体" w:eastAsia="宋体" w:cs="宋体"/>
                <w:color w:val="auto"/>
                <w:kern w:val="0"/>
                <w:sz w:val="24"/>
                <w:szCs w:val="24"/>
                <w:highlight w:val="none"/>
                <w:lang w:val="en-US"/>
              </w:rPr>
            </w:pPr>
          </w:p>
        </w:tc>
      </w:tr>
      <w:tr w14:paraId="642A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E281A8C">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注册地址</w:t>
            </w:r>
          </w:p>
        </w:tc>
        <w:tc>
          <w:tcPr>
            <w:tcW w:w="3389" w:type="dxa"/>
            <w:gridSpan w:val="3"/>
            <w:tcBorders>
              <w:top w:val="single" w:color="000000" w:sz="4" w:space="0"/>
              <w:left w:val="single" w:color="000000" w:sz="4" w:space="0"/>
              <w:bottom w:val="single" w:color="000000" w:sz="4" w:space="0"/>
              <w:right w:val="single" w:color="000000" w:sz="4" w:space="0"/>
            </w:tcBorders>
            <w:noWrap w:val="0"/>
            <w:vAlign w:val="center"/>
          </w:tcPr>
          <w:p w14:paraId="2BD5C904">
            <w:pPr>
              <w:pStyle w:val="127"/>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57FF4530">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邮政编码</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7C056163">
            <w:pPr>
              <w:pStyle w:val="127"/>
              <w:widowControl/>
              <w:wordWrap w:val="0"/>
              <w:jc w:val="center"/>
              <w:rPr>
                <w:rFonts w:hint="eastAsia" w:ascii="宋体" w:hAnsi="宋体" w:eastAsia="宋体" w:cs="宋体"/>
                <w:color w:val="auto"/>
                <w:kern w:val="0"/>
                <w:sz w:val="24"/>
                <w:szCs w:val="24"/>
                <w:highlight w:val="none"/>
                <w:lang w:val="en-US"/>
              </w:rPr>
            </w:pPr>
          </w:p>
        </w:tc>
      </w:tr>
      <w:tr w14:paraId="31BD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vMerge w:val="restart"/>
            <w:tcBorders>
              <w:top w:val="nil"/>
              <w:left w:val="single" w:color="000000" w:sz="4" w:space="0"/>
              <w:bottom w:val="single" w:color="000000" w:sz="4" w:space="0"/>
              <w:right w:val="single" w:color="000000" w:sz="4" w:space="0"/>
            </w:tcBorders>
            <w:noWrap w:val="0"/>
            <w:vAlign w:val="center"/>
          </w:tcPr>
          <w:p w14:paraId="68950E2C">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2B11CA3">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联系人</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09A2704A">
            <w:pPr>
              <w:pStyle w:val="127"/>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6D8F0764">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话</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0D77896B">
            <w:pPr>
              <w:pStyle w:val="127"/>
              <w:widowControl/>
              <w:wordWrap w:val="0"/>
              <w:jc w:val="center"/>
              <w:rPr>
                <w:rFonts w:hint="eastAsia" w:ascii="宋体" w:hAnsi="宋体" w:eastAsia="宋体" w:cs="宋体"/>
                <w:color w:val="auto"/>
                <w:kern w:val="0"/>
                <w:sz w:val="24"/>
                <w:szCs w:val="24"/>
                <w:highlight w:val="none"/>
                <w:lang w:val="en-US"/>
              </w:rPr>
            </w:pPr>
          </w:p>
        </w:tc>
      </w:tr>
      <w:tr w14:paraId="4389A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vMerge w:val="continue"/>
            <w:tcBorders>
              <w:top w:val="nil"/>
              <w:left w:val="single" w:color="000000" w:sz="4" w:space="0"/>
              <w:bottom w:val="single" w:color="000000" w:sz="4" w:space="0"/>
              <w:right w:val="single" w:color="000000" w:sz="4" w:space="0"/>
            </w:tcBorders>
            <w:noWrap w:val="0"/>
            <w:vAlign w:val="center"/>
          </w:tcPr>
          <w:p w14:paraId="3B8DDBD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BE4AA7F">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真</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791AC068">
            <w:pPr>
              <w:pStyle w:val="127"/>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23D00452">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电子邮箱</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1AD15319">
            <w:pPr>
              <w:pStyle w:val="127"/>
              <w:widowControl/>
              <w:wordWrap w:val="0"/>
              <w:jc w:val="center"/>
              <w:rPr>
                <w:rFonts w:hint="eastAsia" w:ascii="宋体" w:hAnsi="宋体" w:eastAsia="宋体" w:cs="宋体"/>
                <w:color w:val="auto"/>
                <w:kern w:val="0"/>
                <w:sz w:val="24"/>
                <w:szCs w:val="24"/>
                <w:highlight w:val="none"/>
                <w:lang w:val="en-US"/>
              </w:rPr>
            </w:pPr>
          </w:p>
        </w:tc>
      </w:tr>
      <w:tr w14:paraId="6667F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91AB1DD">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单位性质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2380CFD8">
            <w:pPr>
              <w:pStyle w:val="127"/>
              <w:widowControl/>
              <w:wordWrap w:val="0"/>
              <w:jc w:val="center"/>
              <w:rPr>
                <w:rFonts w:hint="eastAsia" w:ascii="宋体" w:hAnsi="宋体" w:eastAsia="宋体" w:cs="宋体"/>
                <w:color w:val="auto"/>
                <w:kern w:val="0"/>
                <w:sz w:val="24"/>
                <w:szCs w:val="24"/>
                <w:highlight w:val="none"/>
                <w:lang w:val="en-US"/>
              </w:rPr>
            </w:pPr>
          </w:p>
        </w:tc>
      </w:tr>
      <w:tr w14:paraId="26B0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463D6F7">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34E5B79C">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姓名</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FFAC936">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tcBorders>
              <w:top w:val="single" w:color="000000" w:sz="4" w:space="0"/>
              <w:left w:val="single" w:color="000000" w:sz="4" w:space="0"/>
              <w:bottom w:val="single" w:color="000000" w:sz="4" w:space="0"/>
              <w:right w:val="single" w:color="000000" w:sz="4" w:space="0"/>
            </w:tcBorders>
            <w:noWrap w:val="0"/>
            <w:vAlign w:val="center"/>
          </w:tcPr>
          <w:p w14:paraId="3B32981C">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技术职称</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122AD939">
            <w:pPr>
              <w:pStyle w:val="127"/>
              <w:widowControl/>
              <w:wordWrap w:val="0"/>
              <w:jc w:val="center"/>
              <w:rPr>
                <w:rFonts w:hint="eastAsia" w:ascii="宋体" w:hAnsi="宋体" w:eastAsia="宋体" w:cs="宋体"/>
                <w:color w:val="auto"/>
                <w:kern w:val="0"/>
                <w:sz w:val="24"/>
                <w:szCs w:val="24"/>
                <w:highlight w:val="none"/>
                <w:lang w:val="en-US"/>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D98816">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A7A1164">
            <w:pPr>
              <w:pStyle w:val="127"/>
              <w:widowControl/>
              <w:wordWrap w:val="0"/>
              <w:jc w:val="center"/>
              <w:rPr>
                <w:rFonts w:hint="eastAsia" w:ascii="宋体" w:hAnsi="宋体" w:eastAsia="宋体" w:cs="宋体"/>
                <w:color w:val="auto"/>
                <w:kern w:val="0"/>
                <w:sz w:val="24"/>
                <w:szCs w:val="24"/>
                <w:highlight w:val="none"/>
                <w:lang w:val="en-US"/>
              </w:rPr>
            </w:pPr>
          </w:p>
        </w:tc>
      </w:tr>
      <w:tr w14:paraId="303C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1C851BA">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成立时间</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51F5EDB3">
            <w:pPr>
              <w:pStyle w:val="127"/>
              <w:widowControl/>
              <w:wordWrap w:val="0"/>
              <w:jc w:val="center"/>
              <w:rPr>
                <w:rFonts w:hint="eastAsia" w:ascii="宋体" w:hAnsi="宋体" w:eastAsia="宋体" w:cs="宋体"/>
                <w:color w:val="auto"/>
                <w:kern w:val="0"/>
                <w:sz w:val="24"/>
                <w:szCs w:val="24"/>
                <w:highlight w:val="none"/>
                <w:lang w:val="en-US"/>
              </w:rPr>
            </w:pPr>
          </w:p>
        </w:tc>
        <w:tc>
          <w:tcPr>
            <w:tcW w:w="4434" w:type="dxa"/>
            <w:gridSpan w:val="6"/>
            <w:tcBorders>
              <w:top w:val="single" w:color="000000" w:sz="4" w:space="0"/>
              <w:left w:val="single" w:color="000000" w:sz="4" w:space="0"/>
              <w:bottom w:val="single" w:color="000000" w:sz="4" w:space="0"/>
              <w:right w:val="single" w:color="000000" w:sz="4" w:space="0"/>
            </w:tcBorders>
            <w:noWrap w:val="0"/>
            <w:vAlign w:val="center"/>
          </w:tcPr>
          <w:p w14:paraId="14E0A08E">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员工总人数（个）：</w:t>
            </w:r>
          </w:p>
        </w:tc>
      </w:tr>
      <w:tr w14:paraId="2B31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5342E0">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企业资质</w:t>
            </w:r>
          </w:p>
          <w:p w14:paraId="57081103">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类型和等级</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41CC78C6">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restart"/>
            <w:tcBorders>
              <w:top w:val="nil"/>
              <w:left w:val="single" w:color="000000" w:sz="4" w:space="0"/>
              <w:bottom w:val="single" w:color="000000" w:sz="4" w:space="0"/>
              <w:right w:val="single" w:color="000000" w:sz="4" w:space="0"/>
            </w:tcBorders>
            <w:noWrap w:val="0"/>
            <w:vAlign w:val="center"/>
          </w:tcPr>
          <w:p w14:paraId="03107E68">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其中</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46B5E002">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FCA7B3C">
            <w:pPr>
              <w:pStyle w:val="127"/>
              <w:widowControl/>
              <w:wordWrap w:val="0"/>
              <w:jc w:val="center"/>
              <w:rPr>
                <w:rFonts w:hint="eastAsia" w:ascii="宋体" w:hAnsi="宋体" w:eastAsia="宋体" w:cs="宋体"/>
                <w:color w:val="auto"/>
                <w:kern w:val="0"/>
                <w:sz w:val="24"/>
                <w:szCs w:val="24"/>
                <w:highlight w:val="none"/>
                <w:lang w:val="en-US"/>
              </w:rPr>
            </w:pPr>
          </w:p>
        </w:tc>
      </w:tr>
      <w:tr w14:paraId="6D47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D268C98">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营业执照号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78B2EF6">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6D0EA3B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238F304D">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高级职称人员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C67228F">
            <w:pPr>
              <w:pStyle w:val="127"/>
              <w:widowControl/>
              <w:wordWrap w:val="0"/>
              <w:jc w:val="center"/>
              <w:rPr>
                <w:rFonts w:hint="eastAsia" w:ascii="宋体" w:hAnsi="宋体" w:eastAsia="宋体" w:cs="宋体"/>
                <w:color w:val="auto"/>
                <w:kern w:val="0"/>
                <w:sz w:val="24"/>
                <w:szCs w:val="24"/>
                <w:highlight w:val="none"/>
                <w:lang w:val="en-US"/>
              </w:rPr>
            </w:pPr>
          </w:p>
        </w:tc>
      </w:tr>
      <w:tr w14:paraId="5057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F691054">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注册资金</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3BB80D5D">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51B4C69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62367478">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中级职称人员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4B4EDFD">
            <w:pPr>
              <w:pStyle w:val="127"/>
              <w:widowControl/>
              <w:wordWrap w:val="0"/>
              <w:jc w:val="center"/>
              <w:rPr>
                <w:rFonts w:hint="eastAsia" w:ascii="宋体" w:hAnsi="宋体" w:eastAsia="宋体" w:cs="宋体"/>
                <w:color w:val="auto"/>
                <w:kern w:val="0"/>
                <w:sz w:val="24"/>
                <w:szCs w:val="24"/>
                <w:highlight w:val="none"/>
                <w:lang w:val="en-US"/>
              </w:rPr>
            </w:pPr>
          </w:p>
        </w:tc>
      </w:tr>
      <w:tr w14:paraId="7BB5C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2602754">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6315EE79">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CF51E3B">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585C705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196BF5DD">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初级职称人员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2623A89">
            <w:pPr>
              <w:pStyle w:val="127"/>
              <w:widowControl/>
              <w:wordWrap w:val="0"/>
              <w:jc w:val="center"/>
              <w:rPr>
                <w:rFonts w:hint="eastAsia" w:ascii="宋体" w:hAnsi="宋体" w:eastAsia="宋体" w:cs="宋体"/>
                <w:color w:val="auto"/>
                <w:kern w:val="0"/>
                <w:sz w:val="24"/>
                <w:szCs w:val="24"/>
                <w:highlight w:val="none"/>
                <w:lang w:val="en-US"/>
              </w:rPr>
            </w:pPr>
          </w:p>
        </w:tc>
      </w:tr>
      <w:tr w14:paraId="49B9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FA2A295">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4EF3678A">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银行账号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DC1C998">
            <w:pPr>
              <w:pStyle w:val="127"/>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360A036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178E74B9">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06BCF5E">
            <w:pPr>
              <w:pStyle w:val="127"/>
              <w:widowControl/>
              <w:wordWrap w:val="0"/>
              <w:jc w:val="center"/>
              <w:rPr>
                <w:rFonts w:hint="eastAsia" w:ascii="宋体" w:hAnsi="宋体" w:eastAsia="宋体" w:cs="宋体"/>
                <w:color w:val="auto"/>
                <w:kern w:val="0"/>
                <w:sz w:val="24"/>
                <w:szCs w:val="24"/>
                <w:highlight w:val="none"/>
                <w:lang w:val="en-US"/>
              </w:rPr>
            </w:pPr>
          </w:p>
        </w:tc>
      </w:tr>
      <w:tr w14:paraId="6418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6D75F69">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经营范围</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2034BBA6">
            <w:pPr>
              <w:pStyle w:val="127"/>
              <w:widowControl/>
              <w:wordWrap w:val="0"/>
              <w:jc w:val="left"/>
              <w:rPr>
                <w:rFonts w:hint="eastAsia" w:ascii="宋体" w:hAnsi="宋体" w:eastAsia="宋体" w:cs="宋体"/>
                <w:color w:val="auto"/>
                <w:kern w:val="0"/>
                <w:sz w:val="24"/>
                <w:szCs w:val="24"/>
                <w:highlight w:val="none"/>
                <w:lang w:val="en-US"/>
              </w:rPr>
            </w:pPr>
          </w:p>
        </w:tc>
      </w:tr>
      <w:tr w14:paraId="7EE8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8B0ABF3">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关联企业情况</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1C12F44">
            <w:pPr>
              <w:pStyle w:val="127"/>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包括但不限于与投标人存在以下关系的不同单位：</w:t>
            </w:r>
          </w:p>
          <w:p w14:paraId="1EA7719C">
            <w:pPr>
              <w:pStyle w:val="127"/>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．法定代表人为同一人的。</w:t>
            </w:r>
          </w:p>
          <w:p w14:paraId="159FB8C4">
            <w:pPr>
              <w:pStyle w:val="127"/>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．存在控股、管理关系的。</w:t>
            </w:r>
          </w:p>
          <w:p w14:paraId="2F3BD4A1">
            <w:pPr>
              <w:pStyle w:val="127"/>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rPr>
              <w:t>．主要人员相互任职的。</w:t>
            </w:r>
          </w:p>
        </w:tc>
      </w:tr>
      <w:tr w14:paraId="714B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D3D4205">
            <w:pPr>
              <w:pStyle w:val="127"/>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备注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55D5E32B">
            <w:pPr>
              <w:pStyle w:val="127"/>
              <w:widowControl/>
              <w:wordWrap w:val="0"/>
              <w:jc w:val="center"/>
              <w:rPr>
                <w:rFonts w:hint="eastAsia" w:ascii="宋体" w:hAnsi="宋体" w:eastAsia="宋体" w:cs="宋体"/>
                <w:color w:val="auto"/>
                <w:kern w:val="0"/>
                <w:sz w:val="24"/>
                <w:szCs w:val="24"/>
                <w:highlight w:val="none"/>
                <w:lang w:val="en-US"/>
              </w:rPr>
            </w:pPr>
          </w:p>
        </w:tc>
      </w:tr>
    </w:tbl>
    <w:p w14:paraId="73753C74">
      <w:pPr>
        <w:pStyle w:val="127"/>
        <w:widowControl/>
        <w:wordWrap w:val="0"/>
        <w:spacing w:line="400" w:lineRule="exact"/>
        <w:ind w:left="0" w:firstLine="420" w:firstLineChars="20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说明：</w:t>
      </w:r>
    </w:p>
    <w:p w14:paraId="0581651E">
      <w:pPr>
        <w:pStyle w:val="127"/>
        <w:widowControl/>
        <w:wordWrap w:val="0"/>
        <w:spacing w:line="400" w:lineRule="exact"/>
        <w:ind w:left="0" w:firstLine="420" w:firstLineChars="20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1</w:t>
      </w:r>
      <w:r>
        <w:rPr>
          <w:rFonts w:hint="eastAsia" w:ascii="宋体" w:hAnsi="宋体" w:eastAsia="宋体" w:cs="宋体"/>
          <w:color w:val="auto"/>
          <w:kern w:val="0"/>
          <w:highlight w:val="none"/>
          <w:lang w:eastAsia="zh-CN"/>
        </w:rPr>
        <w:t>．《投标人基本情况表》后应附以下资料：</w:t>
      </w:r>
    </w:p>
    <w:p w14:paraId="526D0E66">
      <w:pPr>
        <w:pStyle w:val="127"/>
        <w:widowControl/>
        <w:wordWrap w:val="0"/>
        <w:spacing w:line="400" w:lineRule="exact"/>
        <w:ind w:left="0" w:firstLine="420" w:firstLineChars="200"/>
        <w:rPr>
          <w:rFonts w:hint="eastAsia" w:ascii="宋体" w:hAnsi="宋体" w:eastAsia="宋体" w:cs="宋体"/>
          <w:b/>
          <w:bCs/>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1</w:t>
      </w:r>
      <w:r>
        <w:rPr>
          <w:rFonts w:hint="eastAsia" w:ascii="宋体" w:hAnsi="宋体" w:eastAsia="宋体" w:cs="宋体"/>
          <w:color w:val="auto"/>
          <w:kern w:val="0"/>
          <w:highlight w:val="none"/>
          <w:lang w:eastAsia="zh-CN"/>
        </w:rPr>
        <w:t>）企业营业执照、资质证书、安全生产许可证的（</w:t>
      </w:r>
      <w:r>
        <w:rPr>
          <w:rFonts w:hint="eastAsia" w:ascii="宋体" w:hAnsi="宋体" w:eastAsia="宋体" w:cs="宋体"/>
          <w:b/>
          <w:bCs/>
          <w:color w:val="auto"/>
          <w:kern w:val="0"/>
          <w:highlight w:val="none"/>
          <w:lang w:eastAsia="zh-CN"/>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w:t>
      </w:r>
      <w:r>
        <w:rPr>
          <w:rFonts w:hint="eastAsia" w:ascii="宋体" w:hAnsi="宋体" w:eastAsia="宋体" w:cs="宋体"/>
          <w:b/>
          <w:bCs/>
          <w:color w:val="auto"/>
          <w:kern w:val="0"/>
          <w:highlight w:val="none"/>
          <w:lang w:val="en-US"/>
        </w:rPr>
        <w:t>https://zlaq.mohurd.gov.cn</w:t>
      </w:r>
      <w:r>
        <w:rPr>
          <w:rFonts w:hint="eastAsia" w:ascii="宋体" w:hAnsi="宋体" w:eastAsia="宋体" w:cs="宋体"/>
          <w:b/>
          <w:bCs/>
          <w:color w:val="auto"/>
          <w:kern w:val="0"/>
          <w:highlight w:val="none"/>
          <w:lang w:eastAsia="zh-CN"/>
        </w:rPr>
        <w:t>，进入后点击“安全生产许可证信息”，输入企业名称和统一社会信用代码即可查询。如中标后，投标单位安全生产许可证发生被暂扣情形，需双方另行协商）；</w:t>
      </w:r>
    </w:p>
    <w:p w14:paraId="1BA3867A">
      <w:pPr>
        <w:pStyle w:val="127"/>
        <w:widowControl/>
        <w:wordWrap w:val="0"/>
        <w:spacing w:line="400" w:lineRule="exact"/>
        <w:ind w:left="0" w:firstLine="420" w:firstLineChars="20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2</w:t>
      </w:r>
      <w:r>
        <w:rPr>
          <w:rFonts w:hint="eastAsia" w:ascii="宋体" w:hAnsi="宋体" w:eastAsia="宋体" w:cs="宋体"/>
          <w:color w:val="auto"/>
          <w:kern w:val="0"/>
          <w:highlight w:val="none"/>
          <w:lang w:eastAsia="zh-CN"/>
        </w:rPr>
        <w:t>）“进粤企业和人员诚信信息登记平台”企业信息情况打印页。（适用于省外建筑企业）</w:t>
      </w:r>
    </w:p>
    <w:p w14:paraId="7383ADA4">
      <w:pPr>
        <w:pStyle w:val="127"/>
        <w:widowControl/>
        <w:wordWrap w:val="0"/>
        <w:spacing w:line="400" w:lineRule="exact"/>
        <w:ind w:left="0" w:firstLine="420" w:firstLineChars="200"/>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3</w:t>
      </w:r>
      <w:r>
        <w:rPr>
          <w:rFonts w:hint="eastAsia" w:ascii="宋体" w:hAnsi="宋体" w:eastAsia="宋体" w:cs="宋体"/>
          <w:color w:val="auto"/>
          <w:kern w:val="0"/>
          <w:highlight w:val="none"/>
          <w:lang w:eastAsia="zh-CN"/>
        </w:rPr>
        <w:t>）《法人和非法人组织公共信用信息报告》（在“信用中国”网站企业查询界面中下载）。</w:t>
      </w:r>
    </w:p>
    <w:p w14:paraId="299D3E91">
      <w:pPr>
        <w:pStyle w:val="122"/>
        <w:keepNext w:val="0"/>
        <w:keepLines w:val="0"/>
        <w:widowControl w:val="0"/>
        <w:suppressLineNumbers w:val="0"/>
        <w:wordWrap w:val="0"/>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76C6AE92">
      <w:pPr>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7135E5D1">
      <w:pPr>
        <w:keepNext w:val="0"/>
        <w:keepLines w:val="0"/>
        <w:widowControl w:val="0"/>
        <w:suppressLineNumbers w:val="0"/>
        <w:wordWrap w:val="0"/>
        <w:spacing w:before="0" w:beforeAutospacing="0" w:after="0" w:afterAutospacing="0" w:line="440" w:lineRule="exact"/>
        <w:ind w:left="0" w:right="0"/>
        <w:jc w:val="left"/>
        <w:outlineLvl w:val="1"/>
        <w:rPr>
          <w:rFonts w:hint="eastAsia" w:ascii="宋体" w:hAnsi="宋体" w:eastAsia="宋体" w:cs="宋体"/>
          <w:b/>
          <w:bCs/>
          <w:color w:val="auto"/>
          <w:kern w:val="0"/>
          <w:highlight w:val="none"/>
          <w:lang w:val="en-US"/>
        </w:rPr>
      </w:pPr>
      <w:bookmarkStart w:id="63" w:name="_Toc21653"/>
      <w:bookmarkStart w:id="64" w:name="_Toc26101"/>
      <w:bookmarkStart w:id="65" w:name="_Toc15844"/>
      <w:r>
        <w:rPr>
          <w:rFonts w:hint="eastAsia" w:ascii="宋体" w:hAnsi="宋体" w:eastAsia="宋体" w:cs="宋体"/>
          <w:b/>
          <w:bCs w:val="0"/>
          <w:color w:val="auto"/>
          <w:kern w:val="0"/>
          <w:sz w:val="24"/>
          <w:szCs w:val="24"/>
          <w:highlight w:val="none"/>
          <w:lang w:val="en-US" w:eastAsia="zh-CN" w:bidi="ar"/>
        </w:rPr>
        <w:t>格式七 项目经理简历表</w:t>
      </w:r>
      <w:bookmarkEnd w:id="63"/>
      <w:bookmarkEnd w:id="64"/>
      <w:bookmarkEnd w:id="65"/>
    </w:p>
    <w:p w14:paraId="38F706BA">
      <w:pPr>
        <w:keepNext w:val="0"/>
        <w:keepLines w:val="0"/>
        <w:widowControl w:val="0"/>
        <w:suppressLineNumbers w:val="0"/>
        <w:wordWrap w:val="0"/>
        <w:spacing w:before="0" w:beforeAutospacing="0" w:after="0" w:afterAutospacing="0" w:line="440" w:lineRule="exact"/>
        <w:ind w:left="0" w:right="0"/>
        <w:jc w:val="left"/>
        <w:outlineLvl w:val="9"/>
        <w:rPr>
          <w:rFonts w:hint="eastAsia" w:ascii="宋体" w:hAnsi="宋体" w:eastAsia="宋体" w:cs="宋体"/>
          <w:b/>
          <w:bCs/>
          <w:color w:val="auto"/>
          <w:kern w:val="0"/>
          <w:highlight w:val="none"/>
          <w:lang w:val="en-US"/>
        </w:rPr>
      </w:pPr>
      <w:r>
        <w:rPr>
          <w:rFonts w:hint="eastAsia" w:ascii="宋体" w:hAnsi="宋体" w:eastAsia="宋体" w:cs="宋体"/>
          <w:b/>
          <w:bCs/>
          <w:color w:val="auto"/>
          <w:kern w:val="0"/>
          <w:sz w:val="24"/>
          <w:szCs w:val="24"/>
          <w:highlight w:val="none"/>
          <w:lang w:val="en-US" w:eastAsia="zh-CN" w:bidi="ar"/>
        </w:rPr>
        <w:t xml:space="preserve"> </w:t>
      </w:r>
    </w:p>
    <w:p w14:paraId="67D8A75E">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b/>
          <w:bCs/>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项目经理简历表</w:t>
      </w:r>
    </w:p>
    <w:p w14:paraId="7FA25173">
      <w:pPr>
        <w:keepNext w:val="0"/>
        <w:keepLines w:val="0"/>
        <w:widowControl w:val="0"/>
        <w:suppressLineNumbers w:val="0"/>
        <w:wordWrap w:val="0"/>
        <w:spacing w:before="0" w:beforeAutospacing="0" w:after="0" w:afterAutospacing="0" w:line="440" w:lineRule="exact"/>
        <w:ind w:left="0" w:right="0" w:firstLine="57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05476ABF">
      <w:pPr>
        <w:pStyle w:val="123"/>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tbl>
      <w:tblPr>
        <w:tblStyle w:val="43"/>
        <w:tblpPr w:leftFromText="180" w:rightFromText="180" w:vertAnchor="text" w:horzAnchor="page" w:tblpX="1370"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C77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1EBC22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6DDB31B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DC84A9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4E62A3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4FB0A63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770A5F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13E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B523E4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3E87DD0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432CFB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198BAB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5E9D072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AA4160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D08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5F78BC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2FAC25D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52CC24C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BF5D97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5A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406068D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以项目经理身份参与过的主要业绩（已完工项目）</w:t>
            </w:r>
          </w:p>
        </w:tc>
      </w:tr>
      <w:tr w14:paraId="30A7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3128DA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11EF52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1266D35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142B504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3A14F2C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56D9FF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1EBD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ABC8EB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CC89C1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DA25FE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94500B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E78E4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C7917F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E84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31F61F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4B7FC5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12705EC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1244E47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01523E8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6BE310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23B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E91397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66755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0DEC606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F92002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627148D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2D5A03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EC6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86503D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6BCCE4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AFDE97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1DCDEA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1911B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EEC146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17639CD6">
      <w:pPr>
        <w:pStyle w:val="123"/>
        <w:widowControl/>
        <w:wordWrap w:val="0"/>
        <w:spacing w:line="440" w:lineRule="exact"/>
        <w:jc w:val="right"/>
        <w:outlineLvl w:val="9"/>
        <w:rPr>
          <w:rFonts w:hint="eastAsia" w:ascii="宋体" w:hAnsi="宋体" w:eastAsia="宋体" w:cs="宋体"/>
          <w:color w:val="auto"/>
          <w:kern w:val="0"/>
          <w:highlight w:val="none"/>
          <w:lang w:eastAsia="zh-CN"/>
        </w:rPr>
      </w:pPr>
    </w:p>
    <w:p w14:paraId="041F9582">
      <w:pPr>
        <w:pStyle w:val="123"/>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项目经理：</w:t>
      </w:r>
      <w:r>
        <w:rPr>
          <w:rFonts w:hint="eastAsia" w:ascii="宋体" w:hAnsi="宋体" w:eastAsia="宋体" w:cs="宋体"/>
          <w:color w:val="auto"/>
          <w:kern w:val="0"/>
          <w:highlight w:val="none"/>
          <w:u w:val="single"/>
          <w:lang w:val="en-US"/>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lang w:val="en-US"/>
        </w:rPr>
        <w:t xml:space="preserve">      </w:t>
      </w:r>
      <w:r>
        <w:rPr>
          <w:rFonts w:hint="eastAsia" w:ascii="宋体" w:hAnsi="宋体" w:eastAsia="宋体" w:cs="宋体"/>
          <w:color w:val="auto"/>
          <w:kern w:val="0"/>
          <w:highlight w:val="none"/>
          <w:lang w:eastAsia="zh-CN"/>
        </w:rPr>
        <w:t>（签字）</w:t>
      </w:r>
    </w:p>
    <w:p w14:paraId="2BA7A17A">
      <w:pPr>
        <w:pStyle w:val="123"/>
        <w:widowControl/>
        <w:wordWrap w:val="0"/>
        <w:spacing w:line="440" w:lineRule="exact"/>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19C5F4D0">
      <w:pPr>
        <w:pStyle w:val="123"/>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13A18666">
      <w:pPr>
        <w:keepNext w:val="0"/>
        <w:keepLines w:val="0"/>
        <w:widowControl w:val="0"/>
        <w:suppressLineNumbers w:val="0"/>
        <w:wordWrap w:val="0"/>
        <w:spacing w:before="0" w:beforeAutospacing="0" w:after="0" w:afterAutospacing="0" w:line="400" w:lineRule="exact"/>
        <w:ind w:left="0" w:right="0" w:firstLine="57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A8272F2">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说明：《项目经理简历表》后应附拟派项目经理以下资料：</w:t>
      </w:r>
    </w:p>
    <w:p w14:paraId="0EA37B00">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5CB70D50">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2．建造师电子注册证书（在使用有效期内的有效电子证书）彩色扫描件；</w:t>
      </w:r>
    </w:p>
    <w:p w14:paraId="0C1C53F5">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3．B类安全生产考核合格证书彩色扫描件或广东省建筑施工企业管理人员安全生产考核系统考核合格信息彩色扫描件；</w:t>
      </w:r>
    </w:p>
    <w:p w14:paraId="6E228817">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4．在本单位缴纳社保的证明（至少</w:t>
      </w:r>
      <w:r>
        <w:rPr>
          <w:rFonts w:hint="eastAsia" w:ascii="宋体" w:hAnsi="宋体" w:eastAsia="宋体" w:cs="宋体"/>
          <w:color w:val="auto"/>
          <w:kern w:val="0"/>
          <w:sz w:val="21"/>
          <w:szCs w:val="21"/>
          <w:highlight w:val="none"/>
          <w:lang w:val="en-US" w:eastAsia="zh-CN"/>
        </w:rPr>
        <w:t>1个月</w:t>
      </w:r>
      <w:r>
        <w:rPr>
          <w:rFonts w:hint="eastAsia" w:ascii="宋体" w:hAnsi="宋体" w:eastAsia="宋体" w:cs="宋体"/>
          <w:color w:val="auto"/>
          <w:kern w:val="0"/>
          <w:sz w:val="21"/>
          <w:szCs w:val="21"/>
          <w:highlight w:val="none"/>
          <w:lang w:val="en-US" w:eastAsia="zh-CN" w:bidi="ar"/>
        </w:rPr>
        <w:t>，其中必须有2026年4月）复印件或打印件。拟派项目经理为退休返聘人员无法提供社保证明的，提供退休证和劳动合同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1F3A544B">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5．“进粤企业和人员诚信信息登记平台”个人（项目经理等）信息情况截图。（适用于省外建筑企业）</w:t>
      </w:r>
    </w:p>
    <w:p w14:paraId="57566D77">
      <w:pPr>
        <w:outlineLvl w:val="9"/>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7DC10DE4">
      <w:pPr>
        <w:keepNext w:val="0"/>
        <w:keepLines w:val="0"/>
        <w:widowControl w:val="0"/>
        <w:suppressLineNumbers w:val="0"/>
        <w:wordWrap w:val="0"/>
        <w:spacing w:before="0" w:beforeAutospacing="0" w:after="0" w:afterAutospacing="0" w:line="440" w:lineRule="exact"/>
        <w:ind w:left="0" w:right="0"/>
        <w:jc w:val="left"/>
        <w:outlineLvl w:val="1"/>
        <w:rPr>
          <w:rFonts w:hint="eastAsia" w:ascii="宋体" w:hAnsi="宋体" w:eastAsia="宋体" w:cs="宋体"/>
          <w:b/>
          <w:bCs w:val="0"/>
          <w:color w:val="auto"/>
          <w:kern w:val="0"/>
          <w:highlight w:val="none"/>
          <w:lang w:val="en-US"/>
        </w:rPr>
      </w:pPr>
      <w:bookmarkStart w:id="66" w:name="_Toc8043"/>
      <w:bookmarkStart w:id="67" w:name="_Toc20448"/>
      <w:bookmarkStart w:id="68" w:name="_Toc12784"/>
      <w:r>
        <w:rPr>
          <w:rFonts w:hint="eastAsia" w:ascii="宋体" w:hAnsi="宋体" w:eastAsia="宋体" w:cs="宋体"/>
          <w:b/>
          <w:bCs w:val="0"/>
          <w:color w:val="auto"/>
          <w:kern w:val="0"/>
          <w:sz w:val="24"/>
          <w:szCs w:val="24"/>
          <w:highlight w:val="none"/>
          <w:lang w:val="en-US" w:eastAsia="zh-CN" w:bidi="ar"/>
        </w:rPr>
        <w:t>格式八 项目经理任职声明</w:t>
      </w:r>
      <w:bookmarkEnd w:id="66"/>
      <w:bookmarkEnd w:id="67"/>
      <w:bookmarkEnd w:id="68"/>
    </w:p>
    <w:p w14:paraId="295BB723">
      <w:pPr>
        <w:keepNext w:val="0"/>
        <w:keepLines w:val="0"/>
        <w:widowControl w:val="0"/>
        <w:suppressLineNumbers w:val="0"/>
        <w:wordWrap w:val="0"/>
        <w:spacing w:before="0" w:beforeAutospacing="0" w:after="0" w:afterAutospacing="0" w:line="440" w:lineRule="exact"/>
        <w:ind w:left="0" w:right="0"/>
        <w:jc w:val="left"/>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p>
    <w:p w14:paraId="60FF5EDC">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项目经理任职声明</w:t>
      </w:r>
    </w:p>
    <w:p w14:paraId="33F45A50">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79BB95A">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62B43398">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我方在此声明，我方拟派往</w:t>
      </w:r>
      <w:r>
        <w:rPr>
          <w:rFonts w:hint="eastAsia" w:ascii="宋体" w:hAnsi="宋体" w:eastAsia="宋体" w:cs="宋体"/>
          <w:color w:val="auto"/>
          <w:kern w:val="0"/>
          <w:sz w:val="24"/>
          <w:szCs w:val="24"/>
          <w:highlight w:val="none"/>
          <w:u w:val="single"/>
          <w:lang w:val="en-US" w:eastAsia="zh-CN" w:bidi="ar"/>
        </w:rPr>
        <w:t>（项目名称）</w:t>
      </w:r>
      <w:r>
        <w:rPr>
          <w:rFonts w:hint="eastAsia" w:ascii="宋体" w:hAnsi="宋体" w:eastAsia="宋体" w:cs="宋体"/>
          <w:color w:val="auto"/>
          <w:kern w:val="0"/>
          <w:sz w:val="24"/>
          <w:szCs w:val="24"/>
          <w:highlight w:val="none"/>
          <w:lang w:val="en-US" w:eastAsia="zh-CN" w:bidi="ar"/>
        </w:rPr>
        <w:t>的项目经理</w:t>
      </w:r>
      <w:r>
        <w:rPr>
          <w:rFonts w:hint="eastAsia" w:ascii="宋体" w:hAnsi="宋体" w:eastAsia="宋体" w:cs="宋体"/>
          <w:color w:val="auto"/>
          <w:kern w:val="0"/>
          <w:sz w:val="24"/>
          <w:szCs w:val="24"/>
          <w:highlight w:val="none"/>
          <w:u w:val="single"/>
          <w:lang w:val="en-US" w:eastAsia="zh-CN" w:bidi="ar"/>
        </w:rPr>
        <w:t>（项目经理姓名）</w:t>
      </w:r>
      <w:r>
        <w:rPr>
          <w:rFonts w:hint="eastAsia" w:ascii="宋体" w:hAnsi="宋体" w:eastAsia="宋体" w:cs="宋体"/>
          <w:color w:val="auto"/>
          <w:kern w:val="0"/>
          <w:sz w:val="24"/>
          <w:szCs w:val="24"/>
          <w:highlight w:val="none"/>
          <w:lang w:val="en-US" w:eastAsia="zh-CN" w:bidi="ar"/>
        </w:rPr>
        <w:t>现阶段没有担任任何在施（包括已中标未开工、已开工未竣工、在项目开标时间仍在建筑市场监管平台被“锁定”无法报建的）建设工程项目的项目经理。</w:t>
      </w:r>
    </w:p>
    <w:p w14:paraId="4E2F5590">
      <w:pPr>
        <w:keepNext w:val="0"/>
        <w:keepLines w:val="0"/>
        <w:widowControl w:val="0"/>
        <w:suppressLineNumbers w:val="0"/>
        <w:wordWrap w:val="0"/>
        <w:spacing w:before="0" w:beforeAutospacing="0" w:after="0" w:afterAutospacing="0" w:line="440" w:lineRule="exact"/>
        <w:ind w:left="0" w:right="0" w:firstLine="48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我方保证上述信息的真实和准确，并愿意承担因我方就此弄虚作假所引起的一切法律后果。</w:t>
      </w:r>
    </w:p>
    <w:p w14:paraId="610C772B">
      <w:pPr>
        <w:keepNext w:val="0"/>
        <w:keepLines w:val="0"/>
        <w:widowControl w:val="0"/>
        <w:suppressLineNumbers w:val="0"/>
        <w:wordWrap w:val="0"/>
        <w:spacing w:before="0" w:beforeAutospacing="0" w:after="0" w:afterAutospacing="0" w:line="440" w:lineRule="exact"/>
        <w:ind w:left="0" w:right="0" w:firstLine="48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5CBE23AD">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特此承诺  </w:t>
      </w:r>
    </w:p>
    <w:p w14:paraId="6BE674D5">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D43AF86">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5E1668B">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3CDACFA8">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302030C5">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CAEF751">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6F2F356B">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4545942D">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1281728B">
      <w:pPr>
        <w:outlineLvl w:val="9"/>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19A9BD31">
      <w:pPr>
        <w:keepNext w:val="0"/>
        <w:keepLines w:val="0"/>
        <w:widowControl w:val="0"/>
        <w:suppressLineNumbers w:val="0"/>
        <w:wordWrap w:val="0"/>
        <w:spacing w:before="0" w:beforeAutospacing="0" w:after="0" w:afterAutospacing="0" w:line="440" w:lineRule="exact"/>
        <w:ind w:left="0" w:right="0"/>
        <w:jc w:val="left"/>
        <w:outlineLvl w:val="1"/>
        <w:rPr>
          <w:rFonts w:hint="eastAsia" w:ascii="宋体" w:hAnsi="宋体" w:eastAsia="宋体" w:cs="宋体"/>
          <w:b/>
          <w:bCs/>
          <w:color w:val="auto"/>
          <w:kern w:val="0"/>
          <w:highlight w:val="none"/>
          <w:lang w:val="en-US"/>
        </w:rPr>
      </w:pPr>
      <w:bookmarkStart w:id="69" w:name="_Toc26368"/>
      <w:bookmarkStart w:id="70" w:name="_Toc21116"/>
      <w:bookmarkStart w:id="71" w:name="_Toc32169"/>
      <w:r>
        <w:rPr>
          <w:rFonts w:hint="eastAsia" w:ascii="宋体" w:hAnsi="宋体" w:eastAsia="宋体" w:cs="宋体"/>
          <w:b/>
          <w:bCs w:val="0"/>
          <w:color w:val="auto"/>
          <w:kern w:val="0"/>
          <w:sz w:val="24"/>
          <w:szCs w:val="24"/>
          <w:highlight w:val="none"/>
          <w:lang w:val="en-US" w:eastAsia="zh-CN" w:bidi="ar"/>
        </w:rPr>
        <w:t>格式九 项目技术负责人简历表</w:t>
      </w:r>
      <w:bookmarkEnd w:id="69"/>
      <w:bookmarkEnd w:id="70"/>
      <w:bookmarkEnd w:id="71"/>
    </w:p>
    <w:p w14:paraId="348B9CFF">
      <w:pPr>
        <w:keepNext w:val="0"/>
        <w:keepLines w:val="0"/>
        <w:widowControl w:val="0"/>
        <w:suppressLineNumbers w:val="0"/>
        <w:wordWrap w:val="0"/>
        <w:spacing w:before="0" w:beforeAutospacing="0" w:after="0" w:afterAutospacing="0" w:line="440" w:lineRule="exact"/>
        <w:ind w:left="0" w:right="0"/>
        <w:jc w:val="left"/>
        <w:outlineLvl w:val="9"/>
        <w:rPr>
          <w:rFonts w:hint="eastAsia" w:ascii="宋体" w:hAnsi="宋体" w:eastAsia="宋体" w:cs="宋体"/>
          <w:b/>
          <w:bCs/>
          <w:color w:val="auto"/>
          <w:kern w:val="0"/>
          <w:highlight w:val="none"/>
          <w:lang w:val="en-US"/>
        </w:rPr>
      </w:pPr>
      <w:r>
        <w:rPr>
          <w:rFonts w:hint="eastAsia" w:ascii="宋体" w:hAnsi="宋体" w:eastAsia="宋体" w:cs="宋体"/>
          <w:b/>
          <w:bCs/>
          <w:color w:val="auto"/>
          <w:kern w:val="0"/>
          <w:sz w:val="24"/>
          <w:szCs w:val="24"/>
          <w:highlight w:val="none"/>
          <w:lang w:val="en-US" w:eastAsia="zh-CN" w:bidi="ar"/>
        </w:rPr>
        <w:t xml:space="preserve"> </w:t>
      </w:r>
    </w:p>
    <w:tbl>
      <w:tblPr>
        <w:tblStyle w:val="43"/>
        <w:tblpPr w:leftFromText="180" w:rightFromText="180" w:vertAnchor="text" w:horzAnchor="page" w:tblpX="1528" w:tblpY="1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18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F8F5D9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2CD6E28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DFBCA0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91E3EA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1F8C06E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C4981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A93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CA1047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38347C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5F46BD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BA7848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3D9C774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269F4B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73D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29BB2C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7C0B48A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1BE66C1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4DE848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6D6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5F0147C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以项目技术负责人身份参与过的主要业绩（已完工项目）</w:t>
            </w:r>
          </w:p>
        </w:tc>
      </w:tr>
      <w:tr w14:paraId="20E2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0F55409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55482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0296BB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B4006D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D9589D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62BFB7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0EAF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6AA347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903550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2BB2307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C874D9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A9D515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8E31C0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22A3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E90C7A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03F9AA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46A93A4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19677D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A18436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AA3E40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222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E6CADB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F4BFEA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20517B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1C1001C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E91F80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6378C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54A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4CB005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8C647B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5B693B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31C845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4B47F8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AEFBD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0CD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6DE382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21D43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0B3BED4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3135D2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18FD5F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AEB2BA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3FDE7D0A">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b/>
          <w:bCs/>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项目技术负责人简历表</w:t>
      </w:r>
    </w:p>
    <w:p w14:paraId="21932798">
      <w:pPr>
        <w:keepNext w:val="0"/>
        <w:keepLines w:val="0"/>
        <w:widowControl w:val="0"/>
        <w:suppressLineNumbers w:val="0"/>
        <w:wordWrap w:val="0"/>
        <w:spacing w:before="0" w:beforeAutospacing="0" w:after="0" w:afterAutospacing="0" w:line="440" w:lineRule="exact"/>
        <w:ind w:left="0" w:right="0" w:firstLine="57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3D5B40B5">
      <w:pPr>
        <w:pStyle w:val="123"/>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2518CF13">
      <w:pPr>
        <w:pStyle w:val="123"/>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项目技术负责人：</w:t>
      </w:r>
      <w:r>
        <w:rPr>
          <w:rFonts w:hint="eastAsia" w:ascii="宋体" w:hAnsi="宋体" w:eastAsia="宋体" w:cs="宋体"/>
          <w:color w:val="auto"/>
          <w:kern w:val="0"/>
          <w:highlight w:val="none"/>
          <w:u w:val="single"/>
          <w:lang w:val="en-US"/>
        </w:rPr>
        <w:t xml:space="preserve">         </w:t>
      </w:r>
      <w:r>
        <w:rPr>
          <w:rFonts w:hint="eastAsia" w:ascii="宋体" w:hAnsi="宋体" w:eastAsia="宋体" w:cs="宋体"/>
          <w:color w:val="auto"/>
          <w:kern w:val="0"/>
          <w:highlight w:val="none"/>
          <w:lang w:eastAsia="zh-CN"/>
        </w:rPr>
        <w:t>（签字）</w:t>
      </w:r>
    </w:p>
    <w:p w14:paraId="5DD29750">
      <w:pPr>
        <w:pStyle w:val="123"/>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4640F04B">
      <w:pPr>
        <w:pStyle w:val="123"/>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19FE3D42">
      <w:pPr>
        <w:keepNext w:val="0"/>
        <w:keepLines w:val="0"/>
        <w:widowControl w:val="0"/>
        <w:suppressLineNumbers w:val="0"/>
        <w:wordWrap w:val="0"/>
        <w:spacing w:before="0" w:beforeAutospacing="0" w:after="0" w:afterAutospacing="0" w:line="400" w:lineRule="exact"/>
        <w:ind w:left="0" w:right="0" w:firstLine="57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0CB89A68">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说明：《项目技术负责人简历表》后应附拟派项目技术负责人以下资料：</w:t>
      </w:r>
    </w:p>
    <w:p w14:paraId="47540B91">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7549A3D9">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2．职称证彩色扫描件；</w:t>
      </w:r>
    </w:p>
    <w:p w14:paraId="60E2ADA4">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3．在本单位缴纳社保的证明（至少</w:t>
      </w:r>
      <w:r>
        <w:rPr>
          <w:rFonts w:hint="eastAsia" w:ascii="宋体" w:hAnsi="宋体" w:eastAsia="宋体" w:cs="宋体"/>
          <w:color w:val="auto"/>
          <w:kern w:val="0"/>
          <w:sz w:val="21"/>
          <w:szCs w:val="21"/>
          <w:highlight w:val="none"/>
          <w:lang w:val="en-US" w:eastAsia="zh-CN"/>
        </w:rPr>
        <w:t>1个月</w:t>
      </w:r>
      <w:r>
        <w:rPr>
          <w:rFonts w:hint="eastAsia" w:ascii="宋体" w:hAnsi="宋体" w:eastAsia="宋体" w:cs="宋体"/>
          <w:color w:val="auto"/>
          <w:kern w:val="0"/>
          <w:sz w:val="21"/>
          <w:szCs w:val="21"/>
          <w:highlight w:val="none"/>
          <w:lang w:val="en-US" w:eastAsia="zh-CN" w:bidi="ar"/>
        </w:rPr>
        <w:t>，其中必须有2026年4月）彩色扫描件。拟派项目技术负责人为退休返聘人员无法提供社保证明的，提供退休证和劳动合同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3F043676">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4．“进粤企业和人员诚信信息登记平台”个人信息情况截图。（适用于省外建筑企业）</w:t>
      </w:r>
    </w:p>
    <w:p w14:paraId="605060CF">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417D4173">
      <w:pPr>
        <w:outlineLvl w:val="9"/>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7F26DF74">
      <w:pPr>
        <w:pStyle w:val="4"/>
        <w:keepNext w:val="0"/>
        <w:keepLines w:val="0"/>
        <w:wordWrap w:val="0"/>
        <w:adjustRightInd w:val="0"/>
        <w:snapToGrid w:val="0"/>
        <w:spacing w:before="0" w:after="0" w:line="440" w:lineRule="exact"/>
        <w:jc w:val="left"/>
        <w:rPr>
          <w:rFonts w:hint="eastAsia" w:ascii="宋体" w:hAnsi="宋体" w:eastAsia="宋体" w:cs="宋体"/>
          <w:b/>
          <w:bCs w:val="0"/>
          <w:color w:val="auto"/>
          <w:kern w:val="0"/>
          <w:sz w:val="24"/>
          <w:szCs w:val="24"/>
          <w:highlight w:val="none"/>
          <w:lang w:val="en-US" w:eastAsia="zh-CN" w:bidi="ar"/>
        </w:rPr>
      </w:pPr>
      <w:bookmarkStart w:id="72" w:name="_Toc200338098"/>
      <w:bookmarkEnd w:id="72"/>
      <w:bookmarkStart w:id="73" w:name="_Toc21395"/>
      <w:bookmarkStart w:id="74" w:name="_Toc17996"/>
      <w:bookmarkStart w:id="75" w:name="_Toc12949"/>
      <w:bookmarkStart w:id="76" w:name="_Toc19283"/>
      <w:bookmarkStart w:id="77" w:name="_Toc8264"/>
      <w:bookmarkStart w:id="78" w:name="_Toc11997"/>
      <w:bookmarkStart w:id="79" w:name="_Toc23363"/>
      <w:r>
        <w:rPr>
          <w:rFonts w:hint="eastAsia" w:ascii="宋体" w:hAnsi="宋体" w:eastAsia="宋体" w:cs="宋体"/>
          <w:b/>
          <w:bCs w:val="0"/>
          <w:color w:val="auto"/>
          <w:kern w:val="0"/>
          <w:sz w:val="24"/>
          <w:szCs w:val="24"/>
          <w:highlight w:val="none"/>
          <w:lang w:val="en-US" w:eastAsia="zh-CN" w:bidi="ar"/>
        </w:rPr>
        <w:t>格式十 专职安全员简历表</w:t>
      </w:r>
      <w:bookmarkEnd w:id="73"/>
      <w:bookmarkEnd w:id="74"/>
      <w:bookmarkEnd w:id="75"/>
      <w:bookmarkEnd w:id="76"/>
    </w:p>
    <w:p w14:paraId="703F27FF">
      <w:pPr>
        <w:rPr>
          <w:rFonts w:hint="eastAsia" w:ascii="宋体" w:hAnsi="宋体" w:eastAsia="宋体" w:cs="宋体"/>
          <w:color w:val="auto"/>
          <w:highlight w:val="none"/>
        </w:rPr>
      </w:pPr>
    </w:p>
    <w:tbl>
      <w:tblPr>
        <w:tblStyle w:val="4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4A99A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36D400C">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04CA6574">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55962308">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62373055">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6C476C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87A6015">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03979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BB65636">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7F85E0CC">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699EC414">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6BF8FC5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7CC0836F">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5750C8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69070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6E1869DB">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25E35CA9">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28FFF2C4">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3BB0B03">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06AFF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3599C1B2">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以专职安全员身份参与过的主要业绩（已完工项目）</w:t>
            </w:r>
          </w:p>
        </w:tc>
      </w:tr>
      <w:tr w14:paraId="79643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BE2B56F">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F93A009">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3AD1BA94">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3B7DEE9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B18AF6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E5EC74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59980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296643F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5386BFFC">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19D689F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2CC3F500">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8E3690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0778B463">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700BD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A62BB05">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AC20309">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4F1AAC75">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48E7A84">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2D293176">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92B642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529D2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9787782">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60D1EECF">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58345C25">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82BAFF9">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7BC49AD">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C5505EB">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57FF8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0AB20EE">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D0DED1B">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EBA9BFF">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10D28260">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149B5896">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B51F61D">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r w14:paraId="798D5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5A855060">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CE96BB3">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F429022">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196BE66">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74C30BA">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7D69FC9">
            <w:pPr>
              <w:keepNext w:val="0"/>
              <w:keepLines w:val="0"/>
              <w:suppressLineNumbers w:val="0"/>
              <w:wordWrap w:val="0"/>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4"/>
                <w:szCs w:val="24"/>
                <w:highlight w:val="none"/>
              </w:rPr>
            </w:pPr>
          </w:p>
        </w:tc>
      </w:tr>
    </w:tbl>
    <w:p w14:paraId="1F198A56">
      <w:pPr>
        <w:wordWrap w:val="0"/>
        <w:adjustRightInd w:val="0"/>
        <w:snapToGrid w:val="0"/>
        <w:spacing w:line="440" w:lineRule="exact"/>
        <w:jc w:val="center"/>
        <w:rPr>
          <w:rFonts w:hint="eastAsia" w:ascii="宋体" w:hAnsi="宋体" w:eastAsia="宋体" w:cs="宋体"/>
          <w:b/>
          <w:bCs/>
          <w:snapToGrid w:val="0"/>
          <w:color w:val="auto"/>
          <w:kern w:val="0"/>
          <w:szCs w:val="24"/>
          <w:highlight w:val="none"/>
        </w:rPr>
      </w:pPr>
      <w:r>
        <w:rPr>
          <w:rFonts w:hint="eastAsia" w:ascii="宋体" w:hAnsi="宋体" w:eastAsia="宋体" w:cs="宋体"/>
          <w:b/>
          <w:snapToGrid w:val="0"/>
          <w:color w:val="auto"/>
          <w:kern w:val="0"/>
          <w:sz w:val="30"/>
          <w:highlight w:val="none"/>
        </w:rPr>
        <w:t>专职安全员简历表</w:t>
      </w:r>
    </w:p>
    <w:p w14:paraId="7830FD21">
      <w:pPr>
        <w:wordWrap w:val="0"/>
        <w:adjustRightInd w:val="0"/>
        <w:snapToGrid w:val="0"/>
        <w:spacing w:line="440" w:lineRule="exact"/>
        <w:ind w:firstLine="570"/>
        <w:rPr>
          <w:rFonts w:hint="eastAsia" w:ascii="宋体" w:hAnsi="宋体" w:eastAsia="宋体" w:cs="宋体"/>
          <w:snapToGrid w:val="0"/>
          <w:color w:val="auto"/>
          <w:kern w:val="0"/>
          <w:szCs w:val="28"/>
          <w:highlight w:val="none"/>
        </w:rPr>
      </w:pPr>
    </w:p>
    <w:p w14:paraId="443BB65A">
      <w:pPr>
        <w:wordWrap w:val="0"/>
        <w:adjustRightInd w:val="0"/>
        <w:snapToGrid w:val="0"/>
        <w:spacing w:line="440" w:lineRule="exact"/>
        <w:jc w:val="right"/>
        <w:rPr>
          <w:rFonts w:hint="eastAsia" w:ascii="宋体" w:hAnsi="宋体" w:eastAsia="宋体" w:cs="宋体"/>
          <w:snapToGrid w:val="0"/>
          <w:color w:val="auto"/>
          <w:kern w:val="0"/>
          <w:highlight w:val="none"/>
        </w:rPr>
      </w:pPr>
    </w:p>
    <w:p w14:paraId="441F98DE">
      <w:pPr>
        <w:wordWrap w:val="0"/>
        <w:adjustRightInd w:val="0"/>
        <w:snapToGrid w:val="0"/>
        <w:spacing w:line="440" w:lineRule="exact"/>
        <w:jc w:val="right"/>
        <w:rPr>
          <w:rFonts w:hint="eastAsia" w:ascii="宋体" w:hAnsi="宋体" w:eastAsia="宋体" w:cs="宋体"/>
          <w:snapToGrid w:val="0"/>
          <w:color w:val="auto"/>
          <w:kern w:val="0"/>
          <w:sz w:val="24"/>
          <w:szCs w:val="32"/>
          <w:highlight w:val="none"/>
        </w:rPr>
      </w:pPr>
      <w:r>
        <w:rPr>
          <w:rFonts w:hint="eastAsia" w:ascii="宋体" w:hAnsi="宋体" w:eastAsia="宋体" w:cs="宋体"/>
          <w:snapToGrid w:val="0"/>
          <w:color w:val="auto"/>
          <w:kern w:val="0"/>
          <w:sz w:val="24"/>
          <w:szCs w:val="32"/>
          <w:highlight w:val="none"/>
        </w:rPr>
        <w:t>专职安全员：</w:t>
      </w:r>
      <w:r>
        <w:rPr>
          <w:rFonts w:hint="eastAsia" w:ascii="宋体" w:hAnsi="宋体" w:eastAsia="宋体" w:cs="宋体"/>
          <w:snapToGrid w:val="0"/>
          <w:color w:val="auto"/>
          <w:kern w:val="0"/>
          <w:sz w:val="24"/>
          <w:szCs w:val="32"/>
          <w:highlight w:val="none"/>
          <w:u w:val="single"/>
        </w:rPr>
        <w:t xml:space="preserve">              </w:t>
      </w:r>
      <w:r>
        <w:rPr>
          <w:rFonts w:hint="eastAsia" w:ascii="宋体" w:hAnsi="宋体" w:eastAsia="宋体" w:cs="宋体"/>
          <w:snapToGrid w:val="0"/>
          <w:color w:val="auto"/>
          <w:kern w:val="0"/>
          <w:sz w:val="24"/>
          <w:szCs w:val="32"/>
          <w:highlight w:val="none"/>
        </w:rPr>
        <w:t>（签字）</w:t>
      </w:r>
    </w:p>
    <w:p w14:paraId="18EB80C3">
      <w:pPr>
        <w:wordWrap w:val="0"/>
        <w:adjustRightInd w:val="0"/>
        <w:snapToGrid w:val="0"/>
        <w:spacing w:line="440" w:lineRule="exact"/>
        <w:jc w:val="right"/>
        <w:rPr>
          <w:rFonts w:hint="eastAsia" w:ascii="宋体" w:hAnsi="宋体" w:eastAsia="宋体" w:cs="宋体"/>
          <w:snapToGrid w:val="0"/>
          <w:color w:val="auto"/>
          <w:kern w:val="0"/>
          <w:sz w:val="24"/>
          <w:szCs w:val="32"/>
          <w:highlight w:val="none"/>
        </w:rPr>
      </w:pPr>
    </w:p>
    <w:p w14:paraId="50130277">
      <w:pPr>
        <w:wordWrap w:val="0"/>
        <w:adjustRightInd w:val="0"/>
        <w:snapToGrid w:val="0"/>
        <w:spacing w:line="440" w:lineRule="exact"/>
        <w:jc w:val="center"/>
        <w:rPr>
          <w:rFonts w:hint="eastAsia" w:ascii="宋体" w:hAnsi="宋体" w:eastAsia="宋体" w:cs="宋体"/>
          <w:snapToGrid w:val="0"/>
          <w:color w:val="auto"/>
          <w:kern w:val="0"/>
          <w:sz w:val="24"/>
          <w:szCs w:val="32"/>
          <w:highlight w:val="none"/>
        </w:rPr>
      </w:pPr>
      <w:r>
        <w:rPr>
          <w:rFonts w:hint="eastAsia" w:ascii="宋体" w:hAnsi="宋体" w:eastAsia="宋体" w:cs="宋体"/>
          <w:snapToGrid w:val="0"/>
          <w:color w:val="auto"/>
          <w:kern w:val="0"/>
          <w:sz w:val="24"/>
          <w:szCs w:val="32"/>
          <w:highlight w:val="none"/>
        </w:rPr>
        <w:t xml:space="preserve">                                   </w:t>
      </w:r>
      <w:r>
        <w:rPr>
          <w:rFonts w:hint="eastAsia" w:ascii="宋体" w:hAnsi="宋体" w:eastAsia="宋体" w:cs="宋体"/>
          <w:snapToGrid w:val="0"/>
          <w:color w:val="auto"/>
          <w:kern w:val="0"/>
          <w:sz w:val="24"/>
          <w:szCs w:val="32"/>
          <w:highlight w:val="none"/>
          <w:lang w:val="en-US" w:eastAsia="zh-CN"/>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lang w:eastAsia="zh-CN"/>
        </w:rPr>
        <w:t>日</w:t>
      </w:r>
    </w:p>
    <w:p w14:paraId="00CEB4AF">
      <w:pPr>
        <w:wordWrap w:val="0"/>
        <w:adjustRightInd w:val="0"/>
        <w:snapToGrid w:val="0"/>
        <w:spacing w:line="400" w:lineRule="exact"/>
        <w:ind w:firstLine="570"/>
        <w:rPr>
          <w:rFonts w:hint="default" w:ascii="宋体" w:hAnsi="宋体" w:eastAsia="宋体" w:cs="宋体"/>
          <w:snapToGrid w:val="0"/>
          <w:color w:val="auto"/>
          <w:kern w:val="0"/>
          <w:szCs w:val="28"/>
          <w:highlight w:val="none"/>
          <w:lang w:val="en-US" w:eastAsia="zh-CN"/>
        </w:rPr>
      </w:pPr>
      <w:r>
        <w:rPr>
          <w:rFonts w:hint="eastAsia" w:ascii="宋体" w:hAnsi="宋体" w:eastAsia="宋体" w:cs="宋体"/>
          <w:snapToGrid w:val="0"/>
          <w:color w:val="auto"/>
          <w:kern w:val="0"/>
          <w:szCs w:val="28"/>
          <w:highlight w:val="none"/>
          <w:lang w:val="en-US" w:eastAsia="zh-CN"/>
        </w:rPr>
        <w:t xml:space="preserve">  </w:t>
      </w:r>
    </w:p>
    <w:p w14:paraId="5657D980">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p>
    <w:p w14:paraId="47717A97">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说明：《专职安全员简历表》后应附拟派项目专职安全员以下资料：</w:t>
      </w:r>
    </w:p>
    <w:p w14:paraId="31F82282">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 xml:space="preserve">    1．身份证彩色扫描件；</w:t>
      </w:r>
    </w:p>
    <w:p w14:paraId="5B88D7C1">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 xml:space="preserve">    2．C类安全生产考核合格证书彩色扫描件或“广东省建筑施工企业管理人员安全生产考核信息系统”考核合格信息彩色扫描件；</w:t>
      </w:r>
    </w:p>
    <w:p w14:paraId="2A7F8669">
      <w:pPr>
        <w:keepNext w:val="0"/>
        <w:keepLines w:val="0"/>
        <w:widowControl w:val="0"/>
        <w:suppressLineNumbers w:val="0"/>
        <w:wordWrap w:val="0"/>
        <w:spacing w:before="0" w:beforeAutospacing="0" w:after="0" w:afterAutospacing="0" w:line="400" w:lineRule="exact"/>
        <w:ind w:left="0" w:right="0" w:firstLine="630" w:firstLineChars="3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rPr>
        <w:t>3．</w:t>
      </w:r>
      <w:r>
        <w:rPr>
          <w:rFonts w:hint="eastAsia" w:ascii="宋体" w:hAnsi="宋体" w:eastAsia="宋体" w:cs="宋体"/>
          <w:color w:val="auto"/>
          <w:kern w:val="0"/>
          <w:sz w:val="21"/>
          <w:szCs w:val="21"/>
          <w:highlight w:val="none"/>
          <w:lang w:val="en-US" w:eastAsia="zh-CN"/>
        </w:rPr>
        <w:t>在本单位缴纳社保的证明（至少1个月，其中必须有2026年4月）彩色扫描件。拟派项目技术负责人为退休返聘人员无法提供社保证明的，提供退休证和劳动合同（返聘协议）彩色扫描件。</w:t>
      </w:r>
    </w:p>
    <w:p w14:paraId="34DE8279">
      <w:pPr>
        <w:keepNext w:val="0"/>
        <w:keepLines w:val="0"/>
        <w:widowControl w:val="0"/>
        <w:suppressLineNumbers w:val="0"/>
        <w:wordWrap w:val="0"/>
        <w:spacing w:before="0" w:beforeAutospacing="0" w:after="0" w:afterAutospacing="0" w:line="400" w:lineRule="exact"/>
        <w:ind w:left="0" w:right="0" w:firstLine="630" w:firstLineChars="3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4．“进粤企业和人员诚信信息登记平台”个人信息情况截图。（适用于省外建筑企业）</w:t>
      </w:r>
    </w:p>
    <w:p w14:paraId="7A1C69F5">
      <w:pPr>
        <w:keepNext w:val="0"/>
        <w:keepLines w:val="0"/>
        <w:widowControl w:val="0"/>
        <w:suppressLineNumbers w:val="0"/>
        <w:wordWrap w:val="0"/>
        <w:spacing w:before="0" w:beforeAutospacing="0" w:after="0" w:afterAutospacing="0" w:line="440" w:lineRule="exact"/>
        <w:ind w:left="2604" w:leftChars="15" w:right="0" w:hanging="2573" w:hangingChars="1068"/>
        <w:jc w:val="both"/>
        <w:outlineLvl w:val="1"/>
        <w:rPr>
          <w:rFonts w:hint="eastAsia" w:ascii="宋体" w:hAnsi="宋体" w:eastAsia="宋体" w:cs="宋体"/>
          <w:b/>
          <w:bCs w:val="0"/>
          <w:color w:val="auto"/>
          <w:kern w:val="0"/>
          <w:sz w:val="24"/>
          <w:szCs w:val="24"/>
          <w:highlight w:val="none"/>
          <w:lang w:val="en-US" w:eastAsia="zh-CN" w:bidi="ar"/>
        </w:rPr>
      </w:pPr>
    </w:p>
    <w:p w14:paraId="5B286494">
      <w:pPr>
        <w:keepNext w:val="0"/>
        <w:keepLines w:val="0"/>
        <w:widowControl w:val="0"/>
        <w:suppressLineNumbers w:val="0"/>
        <w:wordWrap w:val="0"/>
        <w:spacing w:before="0" w:beforeAutospacing="0" w:after="0" w:afterAutospacing="0" w:line="440" w:lineRule="exact"/>
        <w:ind w:right="0"/>
        <w:jc w:val="both"/>
        <w:outlineLvl w:val="1"/>
        <w:rPr>
          <w:rFonts w:hint="eastAsia" w:ascii="宋体" w:hAnsi="宋体" w:eastAsia="宋体" w:cs="宋体"/>
          <w:b/>
          <w:bCs w:val="0"/>
          <w:color w:val="auto"/>
          <w:kern w:val="0"/>
          <w:sz w:val="24"/>
          <w:szCs w:val="24"/>
          <w:highlight w:val="none"/>
          <w:lang w:val="en-US" w:eastAsia="zh-CN" w:bidi="ar"/>
        </w:rPr>
      </w:pPr>
    </w:p>
    <w:p w14:paraId="1E069070">
      <w:pPr>
        <w:keepNext w:val="0"/>
        <w:keepLines w:val="0"/>
        <w:widowControl w:val="0"/>
        <w:suppressLineNumbers w:val="0"/>
        <w:wordWrap w:val="0"/>
        <w:spacing w:before="0" w:beforeAutospacing="0" w:after="0" w:afterAutospacing="0" w:line="440" w:lineRule="exact"/>
        <w:ind w:left="2604" w:leftChars="15" w:right="0" w:hanging="2573" w:hangingChars="1068"/>
        <w:jc w:val="both"/>
        <w:outlineLvl w:val="1"/>
        <w:rPr>
          <w:rFonts w:hint="eastAsia" w:ascii="宋体" w:hAnsi="宋体" w:eastAsia="宋体" w:cs="宋体"/>
          <w:b/>
          <w:bCs/>
          <w:color w:val="auto"/>
          <w:kern w:val="0"/>
          <w:highlight w:val="none"/>
          <w:lang w:val="en-US"/>
        </w:rPr>
      </w:pPr>
      <w:bookmarkStart w:id="80" w:name="_Toc27763"/>
      <w:bookmarkStart w:id="81" w:name="_Toc31559"/>
      <w:r>
        <w:rPr>
          <w:rFonts w:hint="eastAsia" w:ascii="宋体" w:hAnsi="宋体" w:eastAsia="宋体" w:cs="宋体"/>
          <w:b/>
          <w:bCs w:val="0"/>
          <w:color w:val="auto"/>
          <w:kern w:val="0"/>
          <w:sz w:val="24"/>
          <w:szCs w:val="24"/>
          <w:highlight w:val="none"/>
          <w:lang w:val="en-US" w:eastAsia="zh-CN" w:bidi="ar"/>
        </w:rPr>
        <w:t>格式</w:t>
      </w:r>
      <w:bookmarkEnd w:id="77"/>
      <w:bookmarkStart w:id="82" w:name="_Hlt287950384"/>
      <w:bookmarkEnd w:id="82"/>
      <w:r>
        <w:rPr>
          <w:rFonts w:hint="eastAsia" w:ascii="宋体" w:hAnsi="宋体" w:eastAsia="宋体" w:cs="宋体"/>
          <w:b/>
          <w:bCs/>
          <w:color w:val="auto"/>
          <w:kern w:val="0"/>
          <w:sz w:val="24"/>
          <w:szCs w:val="24"/>
          <w:highlight w:val="none"/>
          <w:lang w:val="en-US" w:eastAsia="zh-CN" w:bidi="ar"/>
        </w:rPr>
        <w:t>十一 项目管理机构组成表</w:t>
      </w:r>
      <w:bookmarkEnd w:id="78"/>
      <w:bookmarkEnd w:id="80"/>
      <w:bookmarkEnd w:id="81"/>
    </w:p>
    <w:p w14:paraId="0A447E35">
      <w:pPr>
        <w:keepNext w:val="0"/>
        <w:keepLines w:val="0"/>
        <w:widowControl w:val="0"/>
        <w:suppressLineNumbers w:val="0"/>
        <w:wordWrap w:val="0"/>
        <w:spacing w:before="0" w:beforeAutospacing="0" w:after="0" w:afterAutospacing="0" w:line="440" w:lineRule="exact"/>
        <w:ind w:left="2604" w:leftChars="15" w:right="0" w:hanging="2573" w:hangingChars="1068"/>
        <w:jc w:val="both"/>
        <w:outlineLvl w:val="9"/>
        <w:rPr>
          <w:rFonts w:hint="eastAsia" w:ascii="宋体" w:hAnsi="宋体" w:eastAsia="宋体" w:cs="宋体"/>
          <w:b/>
          <w:bCs/>
          <w:color w:val="auto"/>
          <w:kern w:val="0"/>
          <w:highlight w:val="none"/>
          <w:lang w:val="en-US"/>
        </w:rPr>
      </w:pPr>
      <w:r>
        <w:rPr>
          <w:rFonts w:hint="eastAsia" w:ascii="宋体" w:hAnsi="宋体" w:eastAsia="宋体" w:cs="宋体"/>
          <w:b/>
          <w:bCs/>
          <w:color w:val="auto"/>
          <w:kern w:val="0"/>
          <w:sz w:val="24"/>
          <w:szCs w:val="24"/>
          <w:highlight w:val="none"/>
          <w:lang w:val="en-US" w:eastAsia="zh-CN" w:bidi="ar"/>
        </w:rPr>
        <w:t xml:space="preserve"> </w:t>
      </w:r>
    </w:p>
    <w:p w14:paraId="2F322FAF">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项目管理机构组成表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800"/>
        <w:gridCol w:w="1455"/>
        <w:gridCol w:w="945"/>
        <w:gridCol w:w="930"/>
        <w:gridCol w:w="1440"/>
        <w:gridCol w:w="1783"/>
      </w:tblGrid>
      <w:tr w14:paraId="0184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86BF30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CA3F1C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岗位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8C20F4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F3E1D7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性别</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978AB3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年龄</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8DC2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0AA86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备注</w:t>
            </w:r>
          </w:p>
        </w:tc>
      </w:tr>
      <w:tr w14:paraId="5DE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FFBC84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EFFF3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项目经理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D1AC8F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C8A22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2439AD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310049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6AB174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56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422BD3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B8BA5D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项目技术负责人</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C90CE7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190B4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6A355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A6550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0890E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C57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2EC92C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800" w:type="dxa"/>
            <w:tcBorders>
              <w:top w:val="single" w:color="auto" w:sz="4" w:space="0"/>
              <w:left w:val="single" w:color="auto" w:sz="4" w:space="0"/>
              <w:right w:val="single" w:color="auto" w:sz="4" w:space="0"/>
            </w:tcBorders>
            <w:noWrap w:val="0"/>
            <w:vAlign w:val="center"/>
          </w:tcPr>
          <w:p w14:paraId="779160D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专职安全员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AA4E9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F718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0F7F08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82C22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EC1364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0A8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C314A8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AE0B2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施工员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6794CA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B4F06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AA3C0D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4B24E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21D1AD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7AC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296239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E1568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2A1E70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1805D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E3045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8C26A9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5A3B31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0E04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385D90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46EA41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材料员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61FF14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2DFBA6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BB44DF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17283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5E5F6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119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C71D08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3E64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资料员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AEBBAB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AD5D0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EF21D2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F23B51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72AB5C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2BD1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5D77B7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B91ACA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05BB9B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EF438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1B5400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900B3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80DFFA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46F382A3">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4D4E4D58">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说明：《项目管理机构组成表》后应附表中拟派人员（项目经理、项目技术负责人除外）以下资料：</w:t>
      </w:r>
    </w:p>
    <w:p w14:paraId="5AC7D138">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66E7F2F8">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2．职称证或岗位证书彩色扫描件；</w:t>
      </w:r>
    </w:p>
    <w:p w14:paraId="3169F60E">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3．在本单位缴纳社保的证明（至少1个月，其中必须有2026年4月）彩色扫描件。拟派项目技术负责人为退休返聘人员无法提供社保证明的，提供退休证和劳动合同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2F5ED9C7">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4.“进粤企业和人员诚信信息登记平台”个人信息情况截图。（适用于省外建筑企业）</w:t>
      </w:r>
    </w:p>
    <w:p w14:paraId="73346B82">
      <w:pPr>
        <w:pStyle w:val="122"/>
        <w:keepNext w:val="0"/>
        <w:keepLines w:val="0"/>
        <w:widowControl w:val="0"/>
        <w:suppressLineNumbers w:val="0"/>
        <w:wordWrap w:val="0"/>
        <w:spacing w:line="400" w:lineRule="exact"/>
        <w:ind w:left="0" w:firstLine="0"/>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0B1DCB86">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bookmarkStart w:id="83" w:name="_附件十：单项工程费汇总表"/>
      <w:bookmarkEnd w:id="83"/>
      <w:bookmarkStart w:id="84" w:name="_Hlt69116778"/>
      <w:bookmarkEnd w:id="84"/>
      <w:bookmarkStart w:id="85" w:name="_附件二十五：综合评审合理低价法"/>
      <w:bookmarkEnd w:id="85"/>
      <w:bookmarkStart w:id="86" w:name="_附件二十四：技术标提问单"/>
      <w:bookmarkEnd w:id="86"/>
      <w:bookmarkStart w:id="87" w:name="_Hlt68774664"/>
      <w:bookmarkEnd w:id="87"/>
      <w:r>
        <w:rPr>
          <w:rFonts w:hint="eastAsia" w:ascii="宋体" w:hAnsi="宋体" w:eastAsia="宋体" w:cs="宋体"/>
          <w:color w:val="auto"/>
          <w:sz w:val="21"/>
          <w:szCs w:val="21"/>
          <w:highlight w:val="none"/>
          <w:lang w:val="en-US"/>
        </w:rPr>
        <w:t xml:space="preserve"> </w:t>
      </w:r>
    </w:p>
    <w:p w14:paraId="584CBBA2">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73C302B8">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0B47EACD">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5BD875F8">
      <w:pPr>
        <w:pStyle w:val="122"/>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7D45D0EA">
      <w:pPr>
        <w:pStyle w:val="122"/>
        <w:keepNext w:val="0"/>
        <w:keepLines w:val="0"/>
        <w:widowControl w:val="0"/>
        <w:suppressLineNumbers w:val="0"/>
        <w:wordWrap w:val="0"/>
        <w:spacing w:line="400" w:lineRule="exact"/>
        <w:ind w:left="0" w:firstLine="0"/>
        <w:outlineLvl w:val="9"/>
        <w:rPr>
          <w:rFonts w:hint="eastAsia" w:ascii="宋体" w:hAnsi="宋体" w:eastAsia="宋体" w:cs="宋体"/>
          <w:b/>
          <w:bCs/>
          <w:color w:val="auto"/>
          <w:sz w:val="24"/>
          <w:szCs w:val="24"/>
          <w:highlight w:val="none"/>
          <w:lang w:eastAsia="zh-CN"/>
        </w:rPr>
      </w:pPr>
    </w:p>
    <w:p w14:paraId="39CE1777">
      <w:pPr>
        <w:pStyle w:val="122"/>
        <w:keepNext w:val="0"/>
        <w:keepLines w:val="0"/>
        <w:widowControl w:val="0"/>
        <w:suppressLineNumbers w:val="0"/>
        <w:wordWrap w:val="0"/>
        <w:spacing w:line="400" w:lineRule="exact"/>
        <w:ind w:left="0" w:firstLine="0"/>
        <w:outlineLvl w:val="1"/>
        <w:rPr>
          <w:rFonts w:hint="eastAsia" w:ascii="宋体" w:hAnsi="宋体" w:eastAsia="宋体" w:cs="宋体"/>
          <w:b/>
          <w:bCs/>
          <w:color w:val="auto"/>
          <w:sz w:val="24"/>
          <w:szCs w:val="24"/>
          <w:highlight w:val="none"/>
          <w:lang w:eastAsia="zh-CN"/>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bookmarkStart w:id="88" w:name="_Toc24127"/>
      <w:bookmarkStart w:id="89" w:name="_Toc15664"/>
      <w:bookmarkStart w:id="90" w:name="_Toc26809"/>
    </w:p>
    <w:p w14:paraId="4CE1D127">
      <w:pPr>
        <w:pStyle w:val="122"/>
        <w:keepNext w:val="0"/>
        <w:keepLines w:val="0"/>
        <w:widowControl w:val="0"/>
        <w:suppressLineNumbers w:val="0"/>
        <w:wordWrap w:val="0"/>
        <w:spacing w:line="400" w:lineRule="exact"/>
        <w:ind w:left="0" w:firstLine="0"/>
        <w:outlineLvl w:val="1"/>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格式十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 xml:space="preserve"> 建造师查询页（有效期</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eastAsia="zh-CN"/>
        </w:rPr>
        <w:t>建造师签字）</w:t>
      </w:r>
      <w:bookmarkEnd w:id="88"/>
      <w:bookmarkEnd w:id="89"/>
      <w:bookmarkEnd w:id="90"/>
    </w:p>
    <w:p w14:paraId="5F3AACE9">
      <w:pPr>
        <w:pStyle w:val="122"/>
        <w:keepNext w:val="0"/>
        <w:keepLines w:val="0"/>
        <w:widowControl w:val="0"/>
        <w:suppressLineNumbers w:val="0"/>
        <w:wordWrap w:val="0"/>
        <w:spacing w:line="400" w:lineRule="exact"/>
        <w:ind w:left="0" w:firstLine="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 xml:space="preserve"> </w:t>
      </w:r>
    </w:p>
    <w:p w14:paraId="26B0B6F1">
      <w:pPr>
        <w:pStyle w:val="122"/>
        <w:keepNext w:val="0"/>
        <w:keepLines w:val="0"/>
        <w:widowControl w:val="0"/>
        <w:suppressLineNumbers w:val="0"/>
        <w:wordWrap w:val="0"/>
        <w:ind w:left="0" w:firstLine="0"/>
        <w:rPr>
          <w:rFonts w:hint="eastAsia" w:ascii="宋体" w:hAnsi="宋体" w:eastAsia="宋体" w:cs="宋体"/>
          <w:strike/>
          <w:dstrike w:val="0"/>
          <w:color w:val="auto"/>
          <w:sz w:val="21"/>
          <w:szCs w:val="21"/>
          <w:highlight w:val="none"/>
          <w:lang w:val="en-US"/>
        </w:rPr>
      </w:pPr>
      <w:r>
        <w:rPr>
          <w:rFonts w:hint="eastAsia" w:ascii="宋体" w:hAnsi="宋体" w:eastAsia="宋体" w:cs="宋体"/>
          <w:color w:val="auto"/>
          <w:highlight w:val="none"/>
          <w:lang w:val="en-US"/>
        </w:rPr>
        <w:drawing>
          <wp:inline distT="0" distB="0" distL="114300" distR="114300">
            <wp:extent cx="5343525" cy="7477125"/>
            <wp:effectExtent l="0" t="0" r="9525" b="952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1"/>
                    <a:stretch>
                      <a:fillRect/>
                    </a:stretch>
                  </pic:blipFill>
                  <pic:spPr>
                    <a:xfrm>
                      <a:off x="0" y="0"/>
                      <a:ext cx="5343525" cy="7477125"/>
                    </a:xfrm>
                    <a:prstGeom prst="rect">
                      <a:avLst/>
                    </a:prstGeom>
                    <a:noFill/>
                    <a:ln>
                      <a:noFill/>
                    </a:ln>
                  </pic:spPr>
                </pic:pic>
              </a:graphicData>
            </a:graphic>
          </wp:inline>
        </w:drawing>
      </w:r>
      <w:r>
        <w:rPr>
          <w:rFonts w:hint="eastAsia" w:ascii="宋体" w:hAnsi="宋体" w:eastAsia="宋体" w:cs="宋体"/>
          <w:strike/>
          <w:dstrike w:val="0"/>
          <w:color w:val="auto"/>
          <w:sz w:val="21"/>
          <w:szCs w:val="21"/>
          <w:highlight w:val="none"/>
          <w:lang w:val="en-US"/>
        </w:rPr>
        <w:t xml:space="preserve"> </w:t>
      </w:r>
    </w:p>
    <w:p w14:paraId="339E0414">
      <w:pPr>
        <w:rPr>
          <w:rFonts w:hint="eastAsia" w:ascii="宋体" w:hAnsi="宋体" w:eastAsia="宋体" w:cs="宋体"/>
          <w:color w:val="auto"/>
          <w:kern w:val="2"/>
          <w:sz w:val="24"/>
          <w:szCs w:val="24"/>
          <w:highlight w:val="none"/>
          <w:lang w:val="en-US" w:eastAsia="zh-CN" w:bidi="ar"/>
        </w:rPr>
        <w:sectPr>
          <w:pgSz w:w="11906" w:h="16838"/>
          <w:pgMar w:top="1247" w:right="1417" w:bottom="1135" w:left="1417" w:header="850" w:footer="907" w:gutter="0"/>
          <w:pgBorders>
            <w:top w:val="none" w:sz="0" w:space="0"/>
            <w:left w:val="none" w:sz="0" w:space="0"/>
            <w:bottom w:val="none" w:sz="0" w:space="0"/>
            <w:right w:val="none" w:sz="0" w:space="0"/>
          </w:pgBorders>
          <w:pgNumType w:fmt="decimal"/>
          <w:cols w:space="720" w:num="1"/>
          <w:docGrid w:type="lines" w:linePitch="329" w:charSpace="0"/>
        </w:sectPr>
      </w:pPr>
    </w:p>
    <w:p w14:paraId="59AD638C">
      <w:pPr>
        <w:pStyle w:val="125"/>
        <w:keepNext w:val="0"/>
        <w:keepLines w:val="0"/>
        <w:widowControl w:val="0"/>
        <w:suppressLineNumbers w:val="0"/>
        <w:wordWrap w:val="0"/>
        <w:spacing w:before="0" w:beforeAutospacing="0" w:after="0" w:afterAutospacing="0"/>
        <w:ind w:left="3621" w:leftChars="15" w:right="0" w:hanging="3590" w:hangingChars="1496"/>
        <w:jc w:val="center"/>
        <w:outlineLvl w:val="9"/>
        <w:rPr>
          <w:rFonts w:hint="eastAsia" w:ascii="宋体" w:hAnsi="宋体" w:eastAsia="宋体" w:cs="宋体"/>
          <w:b/>
          <w:bCs w:val="0"/>
          <w:color w:val="auto"/>
          <w:highlight w:val="none"/>
          <w:lang w:val="en-US"/>
        </w:rPr>
      </w:pPr>
      <w:bookmarkStart w:id="91" w:name="_Hlt87783244"/>
      <w:bookmarkEnd w:id="91"/>
      <w:bookmarkStart w:id="92" w:name="_Toc132687128"/>
      <w:bookmarkEnd w:id="92"/>
      <w:bookmarkStart w:id="93" w:name="_Toc13722"/>
      <w:bookmarkEnd w:id="93"/>
      <w:bookmarkStart w:id="94" w:name="_Toc142468134"/>
      <w:bookmarkEnd w:id="94"/>
      <w:bookmarkStart w:id="95" w:name="_Toc133815902"/>
      <w:bookmarkEnd w:id="95"/>
      <w:bookmarkStart w:id="96" w:name="_Toc137444778"/>
      <w:bookmarkEnd w:id="96"/>
      <w:bookmarkStart w:id="97" w:name="_附件十六：措施项目清单计价表"/>
      <w:bookmarkEnd w:id="97"/>
      <w:bookmarkStart w:id="98" w:name="_Hlt87793582"/>
      <w:bookmarkEnd w:id="98"/>
      <w:bookmarkStart w:id="99" w:name="_Toc133160683"/>
      <w:bookmarkEnd w:id="99"/>
      <w:bookmarkStart w:id="100" w:name="_Toc346"/>
      <w:bookmarkEnd w:id="100"/>
      <w:bookmarkStart w:id="101" w:name="_附件二十一：土建工程、电气工程、给排水工程工程清单项目费汇总表"/>
      <w:bookmarkEnd w:id="101"/>
      <w:bookmarkStart w:id="102" w:name="_Toc78794873"/>
      <w:r>
        <w:rPr>
          <w:rFonts w:hint="eastAsia" w:ascii="宋体" w:hAnsi="宋体" w:eastAsia="宋体" w:cs="宋体"/>
          <w:color w:val="auto"/>
          <w:highlight w:val="none"/>
          <w:lang w:val="en-US"/>
        </w:rPr>
        <w:drawing>
          <wp:anchor distT="0" distB="0" distL="114300" distR="114300" simplePos="0" relativeHeight="251660288" behindDoc="0" locked="0" layoutInCell="1" allowOverlap="1">
            <wp:simplePos x="0" y="0"/>
            <wp:positionH relativeFrom="column">
              <wp:posOffset>-413385</wp:posOffset>
            </wp:positionH>
            <wp:positionV relativeFrom="paragraph">
              <wp:posOffset>98425</wp:posOffset>
            </wp:positionV>
            <wp:extent cx="5885815" cy="6753225"/>
            <wp:effectExtent l="0" t="0" r="635" b="9525"/>
            <wp:wrapNone/>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12"/>
                    <a:stretch>
                      <a:fillRect/>
                    </a:stretch>
                  </pic:blipFill>
                  <pic:spPr>
                    <a:xfrm>
                      <a:off x="0" y="0"/>
                      <a:ext cx="5885815" cy="6753225"/>
                    </a:xfrm>
                    <a:prstGeom prst="rect">
                      <a:avLst/>
                    </a:prstGeom>
                    <a:noFill/>
                    <a:ln>
                      <a:noFill/>
                    </a:ln>
                  </pic:spPr>
                </pic:pic>
              </a:graphicData>
            </a:graphic>
          </wp:anchor>
        </w:drawing>
      </w:r>
      <w:bookmarkEnd w:id="102"/>
    </w:p>
    <w:p w14:paraId="2F2AFA1A">
      <w:pPr>
        <w:pStyle w:val="125"/>
        <w:keepNext w:val="0"/>
        <w:keepLines w:val="0"/>
        <w:widowControl w:val="0"/>
        <w:suppressLineNumbers w:val="0"/>
        <w:wordWrap w:val="0"/>
        <w:spacing w:before="0" w:beforeAutospacing="0" w:after="0" w:afterAutospacing="0"/>
        <w:ind w:left="3635" w:leftChars="15" w:right="0" w:hanging="3604" w:hangingChars="1496"/>
        <w:jc w:val="both"/>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highlight w:val="none"/>
          <w:lang w:val="en-US"/>
        </w:rPr>
        <w:t xml:space="preserve"> </w:t>
      </w:r>
    </w:p>
    <w:p w14:paraId="72739E23">
      <w:pPr>
        <w:pStyle w:val="125"/>
        <w:keepNext w:val="0"/>
        <w:keepLines w:val="0"/>
        <w:widowControl w:val="0"/>
        <w:suppressLineNumbers w:val="0"/>
        <w:wordWrap w:val="0"/>
        <w:spacing w:before="0" w:beforeAutospacing="0" w:after="0" w:afterAutospacing="0"/>
        <w:ind w:left="715" w:leftChars="15" w:right="0" w:hanging="684" w:hangingChars="284"/>
        <w:jc w:val="left"/>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highlight w:val="none"/>
          <w:lang w:val="en-US"/>
        </w:rPr>
        <w:t xml:space="preserve"> </w:t>
      </w:r>
    </w:p>
    <w:p w14:paraId="7D4DF7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color w:val="auto"/>
          <w:kern w:val="2"/>
          <w:sz w:val="24"/>
          <w:szCs w:val="24"/>
          <w:highlight w:val="none"/>
          <w:lang w:val="en-US" w:eastAsia="zh-CN" w:bidi="ar"/>
        </w:rPr>
        <w:br w:type="page"/>
      </w:r>
    </w:p>
    <w:p w14:paraId="5605B65E">
      <w:pPr>
        <w:keepNext w:val="0"/>
        <w:keepLines w:val="0"/>
        <w:widowControl w:val="0"/>
        <w:suppressLineNumbers w:val="0"/>
        <w:spacing w:before="0" w:beforeAutospacing="0" w:after="120" w:afterAutospacing="0" w:line="360" w:lineRule="auto"/>
        <w:ind w:left="0" w:right="0"/>
        <w:jc w:val="both"/>
        <w:outlineLvl w:val="1"/>
        <w:rPr>
          <w:rFonts w:hint="eastAsia" w:ascii="宋体" w:hAnsi="宋体" w:eastAsia="宋体" w:cs="宋体"/>
          <w:color w:val="auto"/>
          <w:kern w:val="0"/>
          <w:highlight w:val="none"/>
          <w:lang w:val="en-US"/>
        </w:rPr>
      </w:pPr>
      <w:bookmarkStart w:id="103" w:name="_Toc14118"/>
      <w:bookmarkStart w:id="104" w:name="_Toc25545"/>
      <w:r>
        <w:rPr>
          <w:rFonts w:hint="eastAsia" w:ascii="宋体" w:hAnsi="宋体" w:eastAsia="宋体" w:cs="宋体"/>
          <w:b/>
          <w:bCs w:val="0"/>
          <w:color w:val="auto"/>
          <w:kern w:val="2"/>
          <w:sz w:val="24"/>
          <w:szCs w:val="24"/>
          <w:highlight w:val="none"/>
          <w:lang w:val="en-US" w:eastAsia="zh-CN" w:bidi="ar"/>
        </w:rPr>
        <w:t>格式十三：危险性较大的分部分项工程清单及超过一定规模的危险性较大的分部分项工程清单</w:t>
      </w:r>
      <w:bookmarkEnd w:id="79"/>
      <w:bookmarkEnd w:id="103"/>
      <w:bookmarkEnd w:id="104"/>
      <w:r>
        <w:rPr>
          <w:rFonts w:hint="eastAsia" w:ascii="宋体" w:hAnsi="宋体" w:eastAsia="宋体" w:cs="宋体"/>
          <w:b/>
          <w:bCs w:val="0"/>
          <w:color w:val="auto"/>
          <w:kern w:val="2"/>
          <w:sz w:val="24"/>
          <w:szCs w:val="24"/>
          <w:highlight w:val="none"/>
          <w:lang w:val="en-US" w:eastAsia="zh-CN" w:bidi="ar"/>
        </w:rPr>
        <w:t xml:space="preserve"> </w:t>
      </w:r>
    </w:p>
    <w:p w14:paraId="76B661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6"/>
          <w:szCs w:val="36"/>
          <w:highlight w:val="none"/>
          <w:lang w:val="en-US"/>
        </w:rPr>
      </w:pPr>
      <w:r>
        <w:rPr>
          <w:rFonts w:hint="eastAsia" w:ascii="宋体" w:hAnsi="宋体" w:eastAsia="宋体" w:cs="宋体"/>
          <w:b/>
          <w:bCs/>
          <w:color w:val="auto"/>
          <w:kern w:val="2"/>
          <w:sz w:val="32"/>
          <w:szCs w:val="32"/>
          <w:highlight w:val="none"/>
          <w:lang w:val="en-US" w:eastAsia="zh-CN" w:bidi="ar"/>
        </w:rPr>
        <w:t>危险性较大的分部分项工程清单及超过一定规模的危险性较大的分部分项工程清单</w:t>
      </w:r>
    </w:p>
    <w:p w14:paraId="65BDCCE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1、根据中华人民共和国住房和城乡建设部令第37号《危险性较大的分部分项工程安全管理规定》（以下简称“37号文”），投标人在投标时须补充完善危大工程清单并明确相应的安全管理措施。</w:t>
      </w:r>
    </w:p>
    <w:p w14:paraId="1769BB4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招标人根据设计文件的要求及37号文、粤建规范〔2019〕2号文的规定列出“危险性较大的分部分项工程清单及超过一定规模的危险性较大的分部分项工程清单”中与本招标项目相关的清单项，具体详见第5点“打√”标识。</w:t>
      </w:r>
    </w:p>
    <w:p w14:paraId="3756971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（1）投标单位同意建设单位在清单中标识的该项请在对应项打“√”标识，并与投标文件中提供相应的安全管理措施。</w:t>
      </w:r>
    </w:p>
    <w:p w14:paraId="311C544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（2）投标单位对清单中认为需要补充的该项请在对应项打“√”标识，并与投标文件中提供相应的安全管理措施。</w:t>
      </w:r>
    </w:p>
    <w:p w14:paraId="6A041EA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（3）投标单位不同意建设单位在清单中标识的该项请在对应项打“×”标识，并在备注栏填上相关说明。</w:t>
      </w:r>
    </w:p>
    <w:p w14:paraId="5FAC6709">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rFonts w:hint="eastAsia" w:ascii="宋体" w:hAnsi="宋体" w:eastAsia="宋体" w:cs="宋体"/>
          <w:b/>
          <w:bCs w:val="0"/>
          <w:color w:val="auto"/>
          <w:highlight w:val="none"/>
          <w:u w:val="single"/>
          <w:lang w:val="en-US"/>
        </w:rPr>
      </w:pPr>
      <w:r>
        <w:rPr>
          <w:rFonts w:hint="eastAsia" w:ascii="宋体" w:hAnsi="宋体" w:eastAsia="宋体" w:cs="宋体"/>
          <w:b/>
          <w:bCs w:val="0"/>
          <w:color w:val="auto"/>
          <w:kern w:val="2"/>
          <w:sz w:val="24"/>
          <w:szCs w:val="24"/>
          <w:highlight w:val="none"/>
          <w:u w:val="single"/>
          <w:lang w:val="en-US" w:eastAsia="zh-CN" w:bidi="ar"/>
        </w:rPr>
        <w:t>3、投标单位应当在投标时根据招标人提供的下述第5点清单，在投标施工组织中回应建设单位提供的危大工程清单，补充相应的安全管理措施。（为减轻标书编制的工作量，投标单位回应的危大工程清单提供相应的安全管理措施的页数应控制在3页内）</w:t>
      </w:r>
    </w:p>
    <w:p w14:paraId="538BE21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B6C79C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5、危险性较大的分部分项工程清单及超过一定规模的危险性较大的分部分项工程清单：</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8"/>
        <w:gridCol w:w="1353"/>
        <w:gridCol w:w="1353"/>
        <w:gridCol w:w="1057"/>
      </w:tblGrid>
      <w:tr w14:paraId="014AE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78" w:type="dxa"/>
            <w:tcBorders>
              <w:top w:val="single" w:color="000000" w:sz="4" w:space="0"/>
              <w:left w:val="single" w:color="000000" w:sz="4" w:space="0"/>
              <w:bottom w:val="single" w:color="000000" w:sz="4" w:space="0"/>
              <w:right w:val="single" w:color="000000" w:sz="4" w:space="0"/>
            </w:tcBorders>
            <w:vAlign w:val="center"/>
          </w:tcPr>
          <w:p w14:paraId="78638F47">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b/>
                <w:color w:val="auto"/>
                <w:sz w:val="24"/>
                <w:highlight w:val="none"/>
              </w:rPr>
              <w:t>一、危险性较大的分部分项工程清单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vAlign w:val="center"/>
          </w:tcPr>
          <w:p w14:paraId="340464E2">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b/>
                <w:bCs/>
                <w:color w:val="auto"/>
                <w:sz w:val="24"/>
                <w:highlight w:val="none"/>
              </w:rPr>
              <w:t>建设单位</w:t>
            </w:r>
          </w:p>
        </w:tc>
        <w:tc>
          <w:tcPr>
            <w:tcW w:w="1353" w:type="dxa"/>
            <w:tcBorders>
              <w:top w:val="single" w:color="000000" w:sz="4" w:space="0"/>
              <w:left w:val="single" w:color="000000" w:sz="4" w:space="0"/>
              <w:bottom w:val="single" w:color="000000" w:sz="4" w:space="0"/>
              <w:right w:val="single" w:color="000000" w:sz="4" w:space="0"/>
            </w:tcBorders>
            <w:vAlign w:val="center"/>
          </w:tcPr>
          <w:p w14:paraId="1357B5B0">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b/>
                <w:color w:val="auto"/>
                <w:sz w:val="24"/>
                <w:highlight w:val="none"/>
              </w:rPr>
              <w:t>投标单位</w:t>
            </w:r>
          </w:p>
        </w:tc>
        <w:tc>
          <w:tcPr>
            <w:tcW w:w="1057" w:type="dxa"/>
            <w:tcBorders>
              <w:top w:val="single" w:color="000000" w:sz="4" w:space="0"/>
              <w:left w:val="single" w:color="000000" w:sz="4" w:space="0"/>
              <w:bottom w:val="single" w:color="000000" w:sz="4" w:space="0"/>
              <w:right w:val="single" w:color="000000" w:sz="4" w:space="0"/>
            </w:tcBorders>
            <w:vAlign w:val="center"/>
          </w:tcPr>
          <w:p w14:paraId="142B0FD5">
            <w:pPr>
              <w:keepNext w:val="0"/>
              <w:keepLines w:val="0"/>
              <w:suppressLineNumbers w:val="0"/>
              <w:spacing w:before="0" w:beforeAutospacing="0" w:after="0" w:afterAutospacing="0" w:line="360" w:lineRule="auto"/>
              <w:ind w:left="0" w:right="0" w:firstLine="240" w:firstLineChars="100"/>
              <w:rPr>
                <w:rFonts w:hint="default" w:ascii="宋体" w:hAnsi="宋体" w:cs="宋体"/>
                <w:color w:val="auto"/>
                <w:highlight w:val="none"/>
              </w:rPr>
            </w:pPr>
            <w:r>
              <w:rPr>
                <w:rFonts w:hint="eastAsia" w:ascii="宋体" w:hAnsi="宋体" w:cs="宋体"/>
                <w:color w:val="auto"/>
                <w:sz w:val="24"/>
                <w:highlight w:val="none"/>
              </w:rPr>
              <w:t>备注</w:t>
            </w:r>
          </w:p>
        </w:tc>
      </w:tr>
      <w:tr w14:paraId="31E3C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D63A91D">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一、基坑支护</w:t>
            </w:r>
          </w:p>
        </w:tc>
        <w:tc>
          <w:tcPr>
            <w:tcW w:w="1353" w:type="dxa"/>
            <w:tcBorders>
              <w:top w:val="single" w:color="000000" w:sz="4" w:space="0"/>
              <w:left w:val="single" w:color="000000" w:sz="4" w:space="0"/>
              <w:bottom w:val="single" w:color="000000" w:sz="4" w:space="0"/>
              <w:right w:val="single" w:color="000000" w:sz="4" w:space="0"/>
            </w:tcBorders>
            <w:vAlign w:val="center"/>
          </w:tcPr>
          <w:p w14:paraId="760C150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w:t>
            </w:r>
            <w:bookmarkStart w:id="105" w:name="OLE_LINK24"/>
            <w:bookmarkStart w:id="106" w:name="OLE_LINK23"/>
            <w:r>
              <w:rPr>
                <w:rFonts w:hint="default" w:hAnsi="宋体" w:cs="宋体"/>
                <w:color w:val="auto"/>
                <w:spacing w:val="5"/>
                <w:highlight w:val="none"/>
              </w:rPr>
              <w:t>√</w:t>
            </w:r>
            <w:bookmarkEnd w:id="105"/>
            <w:bookmarkEnd w:id="106"/>
            <w:r>
              <w:rPr>
                <w:rFonts w:hint="eastAsia" w:ascii="宋体" w:hAnsi="宋体" w:cs="宋体"/>
                <w:color w:val="auto"/>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337D921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AE4369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79C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E48D514">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（一）开挖深度超过3m（含3m）的基坑（槽）的土方开挖、支护、降水工程。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4E1AE79">
            <w:pPr>
              <w:keepNext w:val="0"/>
              <w:keepLines w:val="0"/>
              <w:suppressLineNumbers w:val="0"/>
              <w:spacing w:before="0" w:beforeAutospacing="0" w:after="0" w:afterAutospacing="0" w:line="360" w:lineRule="auto"/>
              <w:ind w:left="0" w:right="0" w:firstLine="240" w:firstLineChars="100"/>
              <w:rPr>
                <w:rFonts w:hint="default" w:ascii="宋体" w:hAnsi="宋体" w:cs="宋体"/>
                <w:color w:val="auto"/>
                <w:highlight w:val="none"/>
              </w:rPr>
            </w:pPr>
            <w:r>
              <w:rPr>
                <w:rFonts w:hint="eastAsia" w:ascii="宋体" w:hAnsi="宋体" w:cs="宋体"/>
                <w:color w:val="auto"/>
                <w:sz w:val="24"/>
                <w:highlight w:val="none"/>
              </w:rPr>
              <w:t>(</w:t>
            </w:r>
            <w:r>
              <w:rPr>
                <w:rFonts w:hint="default" w:hAnsi="宋体" w:cs="宋体"/>
                <w:color w:val="auto"/>
                <w:spacing w:val="5"/>
                <w:highlight w:val="none"/>
              </w:rPr>
              <w:t>√</w:t>
            </w:r>
            <w:r>
              <w:rPr>
                <w:rFonts w:hint="eastAsia" w:ascii="宋体" w:hAnsi="宋体" w:cs="宋体"/>
                <w:color w:val="auto"/>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2014DA6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351249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B95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61717D5">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（二）开挖深度虽未超过3m，但地质条件、周围环境和地下管线复杂，或影响毗邻建、构筑物安全的基坑（槽）的土方开挖、支护、降水工程。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7B826F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spacing w:val="-19"/>
                <w:w w:val="94"/>
                <w:sz w:val="24"/>
                <w:highlight w:val="none"/>
              </w:rPr>
              <w:t>(</w:t>
            </w:r>
            <w:r>
              <w:rPr>
                <w:rFonts w:hint="default" w:ascii="宋体" w:hAnsi="宋体" w:cs="宋体"/>
                <w:color w:val="auto"/>
                <w:spacing w:val="2"/>
                <w:sz w:val="24"/>
                <w:highlight w:val="none"/>
              </w:rPr>
              <w:t xml:space="preserve"> </w:t>
            </w:r>
            <w:r>
              <w:rPr>
                <w:rFonts w:hint="eastAsia" w:ascii="宋体" w:hAnsi="宋体" w:cs="宋体"/>
                <w:color w:val="auto"/>
                <w:spacing w:val="2"/>
                <w:sz w:val="24"/>
                <w:highlight w:val="none"/>
              </w:rPr>
              <w:t xml:space="preserve"> </w:t>
            </w:r>
            <w:r>
              <w:rPr>
                <w:rFonts w:hint="default" w:ascii="宋体" w:hAnsi="宋体" w:cs="宋体"/>
                <w:color w:val="auto"/>
                <w:spacing w:val="2"/>
                <w:sz w:val="24"/>
                <w:highlight w:val="none"/>
              </w:rPr>
              <w:t xml:space="preserve"> </w:t>
            </w:r>
            <w:r>
              <w:rPr>
                <w:rFonts w:hint="default" w:ascii="宋体" w:hAnsi="宋体" w:cs="宋体"/>
                <w:color w:val="auto"/>
                <w:spacing w:val="-19"/>
                <w:w w:val="94"/>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777851D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3C28E2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CD5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1F0D30EE">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二、模板工程及支撑体系</w:t>
            </w:r>
          </w:p>
        </w:tc>
        <w:tc>
          <w:tcPr>
            <w:tcW w:w="1353" w:type="dxa"/>
            <w:tcBorders>
              <w:top w:val="single" w:color="000000" w:sz="4" w:space="0"/>
              <w:left w:val="single" w:color="000000" w:sz="4" w:space="0"/>
              <w:bottom w:val="single" w:color="000000" w:sz="4" w:space="0"/>
              <w:right w:val="single" w:color="000000" w:sz="4" w:space="0"/>
            </w:tcBorders>
            <w:vAlign w:val="center"/>
          </w:tcPr>
          <w:p w14:paraId="004F3EB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w:t>
            </w:r>
            <w:r>
              <w:rPr>
                <w:rFonts w:hint="default" w:hAnsi="宋体" w:cs="宋体"/>
                <w:color w:val="auto"/>
                <w:spacing w:val="5"/>
                <w:highlight w:val="none"/>
              </w:rPr>
              <w:t>√</w:t>
            </w:r>
            <w:r>
              <w:rPr>
                <w:rFonts w:hint="eastAsia" w:ascii="宋体" w:hAnsi="宋体" w:cs="宋体"/>
                <w:color w:val="auto"/>
                <w:sz w:val="24"/>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center"/>
          </w:tcPr>
          <w:p w14:paraId="06686F9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740AE5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3A7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39F12552">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CB56D3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1ECDD19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8C9AA6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3F8E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3F265B6F">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250CAD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r>
              <w:rPr>
                <w:rFonts w:hint="default" w:hAnsi="宋体" w:cs="宋体"/>
                <w:color w:val="auto"/>
                <w:spacing w:val="5"/>
                <w:highlight w:val="none"/>
              </w:rPr>
              <w:t>√</w:t>
            </w:r>
            <w:r>
              <w:rPr>
                <w:rFonts w:hint="eastAsia" w:ascii="宋体" w:hAnsi="宋体" w:cs="宋体"/>
                <w:color w:val="auto"/>
                <w:sz w:val="24"/>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center"/>
          </w:tcPr>
          <w:p w14:paraId="0F8FEAA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2E7062B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1D65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4727E6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（三）承重支撑体系：用于钢结构安装等满堂支撑体系。</w:t>
            </w:r>
          </w:p>
        </w:tc>
        <w:tc>
          <w:tcPr>
            <w:tcW w:w="1353" w:type="dxa"/>
            <w:tcBorders>
              <w:top w:val="single" w:color="000000" w:sz="4" w:space="0"/>
              <w:left w:val="single" w:color="000000" w:sz="4" w:space="0"/>
              <w:bottom w:val="single" w:color="000000" w:sz="4" w:space="0"/>
              <w:right w:val="single" w:color="000000" w:sz="4" w:space="0"/>
            </w:tcBorders>
            <w:vAlign w:val="center"/>
          </w:tcPr>
          <w:p w14:paraId="24C0319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776E145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737E86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7026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6539EAD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866BEE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0905A4A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817440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315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E87024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（一）采用非常规起重设备、方法，且单件起吊重量在10kN及以上的起重吊装工程。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A2ADDF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085878F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3FA3F6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1BD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6360C163">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（二）采用起重机械进行安装的工程。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724DB7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5F3E0C1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147854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7FEF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EA49830">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（三）起重机械安装和拆卸工程。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CD794E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0AD71D1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9D0725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670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680F8ED">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四、脚手架工程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5F694C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0987229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523172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AE6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D6500CE">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（一）搭设高度24m及以上的落地式钢管脚手架工程（包括采光井、电梯井脚手架）。</w:t>
            </w:r>
          </w:p>
        </w:tc>
        <w:tc>
          <w:tcPr>
            <w:tcW w:w="1353" w:type="dxa"/>
            <w:tcBorders>
              <w:top w:val="single" w:color="000000" w:sz="4" w:space="0"/>
              <w:left w:val="single" w:color="000000" w:sz="4" w:space="0"/>
              <w:bottom w:val="single" w:color="000000" w:sz="4" w:space="0"/>
              <w:right w:val="single" w:color="000000" w:sz="4" w:space="0"/>
            </w:tcBorders>
            <w:vAlign w:val="center"/>
          </w:tcPr>
          <w:p w14:paraId="791FD4B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2BCFD15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0C06D94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8FC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2CAC6FF">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（二）附着式升降脚手架工程。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09BF6E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4D8369B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70948E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7E9D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896A5A9">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（三）悬挑式脚手架工程。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50A1104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7296679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A930D8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B3B4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2111298">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（四）高处作业吊篮。</w:t>
            </w:r>
          </w:p>
        </w:tc>
        <w:tc>
          <w:tcPr>
            <w:tcW w:w="1353" w:type="dxa"/>
            <w:tcBorders>
              <w:top w:val="single" w:color="000000" w:sz="4" w:space="0"/>
              <w:left w:val="single" w:color="000000" w:sz="4" w:space="0"/>
              <w:bottom w:val="single" w:color="000000" w:sz="4" w:space="0"/>
              <w:right w:val="single" w:color="000000" w:sz="4" w:space="0"/>
            </w:tcBorders>
            <w:vAlign w:val="center"/>
          </w:tcPr>
          <w:p w14:paraId="46841CE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1979004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44103D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8A2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177C9D79">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（五）卸料平台、操作平台工程。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71C548A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70D533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4657E6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3314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DA82329">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（六）异型脚手架工程。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F41571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A3251F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C0F791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7CF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5E5FB70">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五、拆除工程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416DAC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spacing w:val="-19"/>
                <w:w w:val="94"/>
                <w:sz w:val="24"/>
                <w:highlight w:val="none"/>
              </w:rPr>
              <w:t>(</w:t>
            </w:r>
            <w:r>
              <w:rPr>
                <w:rFonts w:hint="default" w:ascii="宋体" w:hAnsi="宋体" w:cs="宋体"/>
                <w:color w:val="auto"/>
                <w:spacing w:val="2"/>
                <w:sz w:val="24"/>
                <w:highlight w:val="none"/>
              </w:rPr>
              <w:t xml:space="preserve"> </w:t>
            </w:r>
            <w:r>
              <w:rPr>
                <w:rFonts w:hint="eastAsia" w:ascii="宋体" w:hAnsi="宋体" w:cs="宋体"/>
                <w:color w:val="auto"/>
                <w:spacing w:val="2"/>
                <w:sz w:val="24"/>
                <w:highlight w:val="none"/>
              </w:rPr>
              <w:t xml:space="preserve"> </w:t>
            </w:r>
            <w:r>
              <w:rPr>
                <w:rFonts w:hint="default" w:ascii="宋体" w:hAnsi="宋体" w:cs="宋体"/>
                <w:color w:val="auto"/>
                <w:spacing w:val="2"/>
                <w:sz w:val="24"/>
                <w:highlight w:val="none"/>
              </w:rPr>
              <w:t xml:space="preserve"> </w:t>
            </w:r>
            <w:r>
              <w:rPr>
                <w:rFonts w:hint="default" w:ascii="宋体" w:hAnsi="宋体" w:cs="宋体"/>
                <w:color w:val="auto"/>
                <w:spacing w:val="-19"/>
                <w:w w:val="94"/>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7F8386C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63FD74D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B95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579991F">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可能影响行人、交通、电力设施、通讯设施或其它建、构筑物安全的拆除工程。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46B6B8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spacing w:val="-19"/>
                <w:w w:val="94"/>
                <w:sz w:val="24"/>
                <w:highlight w:val="none"/>
              </w:rPr>
              <w:t>(</w:t>
            </w:r>
            <w:r>
              <w:rPr>
                <w:rFonts w:hint="default" w:ascii="宋体" w:hAnsi="宋体" w:cs="宋体"/>
                <w:color w:val="auto"/>
                <w:spacing w:val="2"/>
                <w:sz w:val="24"/>
                <w:highlight w:val="none"/>
              </w:rPr>
              <w:t xml:space="preserve"> </w:t>
            </w:r>
            <w:r>
              <w:rPr>
                <w:rFonts w:hint="eastAsia" w:ascii="宋体" w:hAnsi="宋体" w:cs="宋体"/>
                <w:color w:val="auto"/>
                <w:spacing w:val="2"/>
                <w:sz w:val="24"/>
                <w:highlight w:val="none"/>
              </w:rPr>
              <w:t xml:space="preserve"> </w:t>
            </w:r>
            <w:r>
              <w:rPr>
                <w:rFonts w:hint="default" w:ascii="宋体" w:hAnsi="宋体" w:cs="宋体"/>
                <w:color w:val="auto"/>
                <w:spacing w:val="2"/>
                <w:sz w:val="24"/>
                <w:highlight w:val="none"/>
              </w:rPr>
              <w:t xml:space="preserve"> </w:t>
            </w:r>
            <w:r>
              <w:rPr>
                <w:rFonts w:hint="default" w:ascii="宋体" w:hAnsi="宋体" w:cs="宋体"/>
                <w:color w:val="auto"/>
                <w:spacing w:val="-19"/>
                <w:w w:val="94"/>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75371BE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1A6812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FF1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357B4640">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　六、暗挖工程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01FAE5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spacing w:val="-19"/>
                <w:w w:val="94"/>
                <w:sz w:val="24"/>
                <w:highlight w:val="none"/>
              </w:rPr>
              <w:t>(</w:t>
            </w:r>
            <w:r>
              <w:rPr>
                <w:rFonts w:hint="default" w:ascii="宋体" w:hAnsi="宋体" w:cs="宋体"/>
                <w:color w:val="auto"/>
                <w:spacing w:val="2"/>
                <w:sz w:val="24"/>
                <w:highlight w:val="none"/>
              </w:rPr>
              <w:t xml:space="preserve"> </w:t>
            </w:r>
            <w:r>
              <w:rPr>
                <w:rFonts w:hint="eastAsia" w:ascii="宋体" w:hAnsi="宋体" w:cs="宋体"/>
                <w:color w:val="auto"/>
                <w:spacing w:val="2"/>
                <w:sz w:val="24"/>
                <w:highlight w:val="none"/>
              </w:rPr>
              <w:t xml:space="preserve"> </w:t>
            </w:r>
            <w:r>
              <w:rPr>
                <w:rFonts w:hint="default" w:ascii="宋体" w:hAnsi="宋体" w:cs="宋体"/>
                <w:color w:val="auto"/>
                <w:spacing w:val="2"/>
                <w:sz w:val="24"/>
                <w:highlight w:val="none"/>
              </w:rPr>
              <w:t xml:space="preserve"> </w:t>
            </w:r>
            <w:r>
              <w:rPr>
                <w:rFonts w:hint="default" w:ascii="宋体" w:hAnsi="宋体" w:cs="宋体"/>
                <w:color w:val="auto"/>
                <w:spacing w:val="-19"/>
                <w:w w:val="94"/>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007CFF9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601CB1F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4E1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D942DC2">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597764D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spacing w:val="-19"/>
                <w:w w:val="94"/>
                <w:sz w:val="24"/>
                <w:highlight w:val="none"/>
              </w:rPr>
              <w:t>(</w:t>
            </w:r>
            <w:r>
              <w:rPr>
                <w:rFonts w:hint="default" w:ascii="宋体" w:hAnsi="宋体" w:cs="宋体"/>
                <w:color w:val="auto"/>
                <w:spacing w:val="2"/>
                <w:sz w:val="24"/>
                <w:highlight w:val="none"/>
              </w:rPr>
              <w:t xml:space="preserve"> </w:t>
            </w:r>
            <w:r>
              <w:rPr>
                <w:rFonts w:hint="eastAsia" w:ascii="宋体" w:hAnsi="宋体" w:cs="宋体"/>
                <w:color w:val="auto"/>
                <w:spacing w:val="2"/>
                <w:sz w:val="24"/>
                <w:highlight w:val="none"/>
              </w:rPr>
              <w:t xml:space="preserve"> </w:t>
            </w:r>
            <w:r>
              <w:rPr>
                <w:rFonts w:hint="default" w:ascii="宋体" w:hAnsi="宋体" w:cs="宋体"/>
                <w:color w:val="auto"/>
                <w:spacing w:val="2"/>
                <w:sz w:val="24"/>
                <w:highlight w:val="none"/>
              </w:rPr>
              <w:t xml:space="preserve"> </w:t>
            </w:r>
            <w:r>
              <w:rPr>
                <w:rFonts w:hint="default" w:ascii="宋体" w:hAnsi="宋体" w:cs="宋体"/>
                <w:color w:val="auto"/>
                <w:spacing w:val="-19"/>
                <w:w w:val="94"/>
                <w:sz w:val="24"/>
                <w:highlight w:val="none"/>
              </w:rPr>
              <w:t>)</w:t>
            </w:r>
          </w:p>
        </w:tc>
        <w:tc>
          <w:tcPr>
            <w:tcW w:w="1353" w:type="dxa"/>
            <w:tcBorders>
              <w:top w:val="single" w:color="000000" w:sz="4" w:space="0"/>
              <w:left w:val="single" w:color="000000" w:sz="4" w:space="0"/>
              <w:bottom w:val="single" w:color="000000" w:sz="4" w:space="0"/>
              <w:right w:val="single" w:color="000000" w:sz="4" w:space="0"/>
            </w:tcBorders>
            <w:vAlign w:val="center"/>
          </w:tcPr>
          <w:p w14:paraId="7E4F168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C8AD0E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671E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EDA396C">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七、其它</w:t>
            </w:r>
          </w:p>
        </w:tc>
        <w:tc>
          <w:tcPr>
            <w:tcW w:w="1353" w:type="dxa"/>
            <w:tcBorders>
              <w:top w:val="single" w:color="000000" w:sz="4" w:space="0"/>
              <w:left w:val="single" w:color="000000" w:sz="4" w:space="0"/>
              <w:bottom w:val="single" w:color="000000" w:sz="4" w:space="0"/>
              <w:right w:val="single" w:color="000000" w:sz="4" w:space="0"/>
            </w:tcBorders>
            <w:vAlign w:val="center"/>
          </w:tcPr>
          <w:p w14:paraId="6D56FF6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5E8C555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D219F0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69F4C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D4E6836">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（一）建筑幕墙安装工程。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75934DA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1A8CCCC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D2710C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C32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95DB15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（二）钢结构、网架和索膜结构安装工程。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F01947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5525B20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2EBCD86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BF8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7CEF4F8">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（三）人工挖孔桩工程。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A3D53E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3A1B6AE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F45BEE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3221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6FB0F1CE">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（四）水下作业工程。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C63857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CACDBF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8E0F18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1702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8C5C31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（五）装配式建筑混凝土预制构件安装工程。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4F656E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6B3E6AB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64A92DC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98EA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3FAE8B3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2C5182B7">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95193F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B42763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DED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vAlign w:val="center"/>
          </w:tcPr>
          <w:p w14:paraId="636CD601">
            <w:pPr>
              <w:keepNext w:val="0"/>
              <w:keepLines w:val="0"/>
              <w:widowControl/>
              <w:suppressLineNumbers w:val="0"/>
              <w:spacing w:before="0" w:beforeAutospacing="0" w:after="0" w:afterAutospacing="0" w:line="360" w:lineRule="auto"/>
              <w:ind w:left="0" w:right="0"/>
              <w:rPr>
                <w:rFonts w:hint="default" w:ascii="宋体" w:hAnsi="宋体" w:cs="宋体"/>
                <w:b/>
                <w:color w:val="auto"/>
                <w:highlight w:val="none"/>
              </w:rPr>
            </w:pPr>
            <w:r>
              <w:rPr>
                <w:rFonts w:hint="eastAsia" w:ascii="宋体" w:hAnsi="宋体" w:cs="宋体"/>
                <w:b/>
                <w:bCs/>
                <w:color w:val="auto"/>
                <w:sz w:val="24"/>
                <w:highlight w:val="none"/>
              </w:rPr>
              <w:t>二、超过一定规模的危险性较大的分部分项工程清单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vAlign w:val="center"/>
          </w:tcPr>
          <w:p w14:paraId="5B705E5C">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b/>
                <w:bCs/>
                <w:color w:val="auto"/>
                <w:sz w:val="24"/>
                <w:highlight w:val="none"/>
              </w:rPr>
              <w:t>建设单位</w:t>
            </w:r>
          </w:p>
        </w:tc>
        <w:tc>
          <w:tcPr>
            <w:tcW w:w="1353" w:type="dxa"/>
            <w:tcBorders>
              <w:top w:val="single" w:color="000000" w:sz="4" w:space="0"/>
              <w:left w:val="single" w:color="000000" w:sz="4" w:space="0"/>
              <w:bottom w:val="single" w:color="000000" w:sz="4" w:space="0"/>
              <w:right w:val="single" w:color="000000" w:sz="4" w:space="0"/>
            </w:tcBorders>
            <w:vAlign w:val="center"/>
          </w:tcPr>
          <w:p w14:paraId="6D531744">
            <w:pPr>
              <w:keepNext w:val="0"/>
              <w:keepLines w:val="0"/>
              <w:suppressLineNumbers w:val="0"/>
              <w:spacing w:before="0" w:beforeAutospacing="0" w:after="0" w:afterAutospacing="0" w:line="360" w:lineRule="auto"/>
              <w:ind w:left="0" w:right="0"/>
              <w:rPr>
                <w:rFonts w:hint="default" w:ascii="宋体" w:hAnsi="宋体" w:cs="宋体"/>
                <w:b/>
                <w:color w:val="auto"/>
                <w:highlight w:val="none"/>
              </w:rPr>
            </w:pPr>
            <w:r>
              <w:rPr>
                <w:rFonts w:hint="eastAsia" w:ascii="宋体" w:hAnsi="宋体" w:cs="宋体"/>
                <w:b/>
                <w:color w:val="auto"/>
                <w:sz w:val="24"/>
                <w:highlight w:val="none"/>
              </w:rPr>
              <w:t>投标单位</w:t>
            </w:r>
          </w:p>
        </w:tc>
        <w:tc>
          <w:tcPr>
            <w:tcW w:w="1057" w:type="dxa"/>
            <w:tcBorders>
              <w:top w:val="single" w:color="000000" w:sz="4" w:space="0"/>
              <w:left w:val="single" w:color="000000" w:sz="4" w:space="0"/>
              <w:bottom w:val="single" w:color="000000" w:sz="4" w:space="0"/>
              <w:right w:val="single" w:color="000000" w:sz="4" w:space="0"/>
            </w:tcBorders>
            <w:vAlign w:val="center"/>
          </w:tcPr>
          <w:p w14:paraId="58BC83D6">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color w:val="auto"/>
                <w:sz w:val="24"/>
                <w:highlight w:val="none"/>
              </w:rPr>
              <w:t>备注</w:t>
            </w:r>
          </w:p>
        </w:tc>
      </w:tr>
      <w:tr w14:paraId="30CA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2D22726">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一、深基坑工程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AC6AB5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pacing w:val="5"/>
                <w:highlight w:val="none"/>
              </w:rPr>
              <w:t>√</w:t>
            </w:r>
            <w:r>
              <w:rPr>
                <w:rFonts w:hint="eastAsia" w:ascii="宋体" w:hAnsi="宋体" w:cs="宋体"/>
                <w:color w:val="auto"/>
                <w:sz w:val="24"/>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center"/>
          </w:tcPr>
          <w:p w14:paraId="096D022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2972E49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EB2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84C8BBD">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开挖深度超过5m（含5m）的基坑（槽）的土方开挖、支护、降水工程。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2CAE475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pacing w:val="5"/>
                <w:highlight w:val="none"/>
              </w:rPr>
              <w:t>√</w:t>
            </w:r>
            <w:r>
              <w:rPr>
                <w:rFonts w:hint="eastAsia" w:ascii="宋体" w:hAnsi="宋体" w:cs="宋体"/>
                <w:color w:val="auto"/>
                <w:sz w:val="24"/>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center"/>
          </w:tcPr>
          <w:p w14:paraId="61F21AF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5A5AE8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115D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7C07848">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二、模板工程及支撑体系</w:t>
            </w:r>
          </w:p>
        </w:tc>
        <w:tc>
          <w:tcPr>
            <w:tcW w:w="1353" w:type="dxa"/>
            <w:tcBorders>
              <w:top w:val="single" w:color="000000" w:sz="4" w:space="0"/>
              <w:left w:val="single" w:color="000000" w:sz="4" w:space="0"/>
              <w:bottom w:val="single" w:color="000000" w:sz="4" w:space="0"/>
              <w:right w:val="single" w:color="000000" w:sz="4" w:space="0"/>
            </w:tcBorders>
            <w:vAlign w:val="center"/>
          </w:tcPr>
          <w:p w14:paraId="6FE48DE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22B2125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E1E14C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1280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6348AAD">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4B074E8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64B932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2C3DAFE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785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7AE8EB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（二）混凝土模板支撑工程：搭设高度8m及以上，或搭设跨度18m及以上，或施工总荷载（设计值）15kN/m2及以上，或集中线荷载（设计值）20kN/m及以上。</w:t>
            </w:r>
          </w:p>
        </w:tc>
        <w:tc>
          <w:tcPr>
            <w:tcW w:w="1353" w:type="dxa"/>
            <w:tcBorders>
              <w:top w:val="single" w:color="000000" w:sz="4" w:space="0"/>
              <w:left w:val="single" w:color="000000" w:sz="4" w:space="0"/>
              <w:bottom w:val="single" w:color="000000" w:sz="4" w:space="0"/>
              <w:right w:val="single" w:color="000000" w:sz="4" w:space="0"/>
            </w:tcBorders>
            <w:vAlign w:val="center"/>
          </w:tcPr>
          <w:p w14:paraId="32B1AAE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50F92F3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08C1C38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F6B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A53D084">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（三）承重支撑体系：用于钢结构安装等满堂支撑体系，承受单点集中荷载7kN及以上。</w:t>
            </w:r>
          </w:p>
        </w:tc>
        <w:tc>
          <w:tcPr>
            <w:tcW w:w="1353" w:type="dxa"/>
            <w:tcBorders>
              <w:top w:val="single" w:color="000000" w:sz="4" w:space="0"/>
              <w:left w:val="single" w:color="000000" w:sz="4" w:space="0"/>
              <w:bottom w:val="single" w:color="000000" w:sz="4" w:space="0"/>
              <w:right w:val="single" w:color="000000" w:sz="4" w:space="0"/>
            </w:tcBorders>
            <w:vAlign w:val="center"/>
          </w:tcPr>
          <w:p w14:paraId="3C03989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xml:space="preserve"> (     )</w:t>
            </w:r>
          </w:p>
        </w:tc>
        <w:tc>
          <w:tcPr>
            <w:tcW w:w="1353" w:type="dxa"/>
            <w:tcBorders>
              <w:top w:val="single" w:color="000000" w:sz="4" w:space="0"/>
              <w:left w:val="single" w:color="000000" w:sz="4" w:space="0"/>
              <w:bottom w:val="single" w:color="000000" w:sz="4" w:space="0"/>
              <w:right w:val="single" w:color="000000" w:sz="4" w:space="0"/>
            </w:tcBorders>
            <w:vAlign w:val="center"/>
          </w:tcPr>
          <w:p w14:paraId="3CCA0C4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7A8632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2F8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712FBA4">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446B3B6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7F50CBB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BF473C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7AE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1C283324">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（一）采用非常规起重设备、方法，且单件起吊重量在100kN及以上的起重吊装工程。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C60744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2519A9B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A5E25F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6C9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0DC612B">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（二）起重量300kN及以上，或搭设总高度200m及以上，或搭设基础标高在200m及以上的起重机械安装和拆卸工程。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AA3889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31F362E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0C88AD6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89D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492F49D">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四、脚手架工程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2F167B3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3D50EFCD">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40F214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3F7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FAA0258">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（一）搭设高度50m及以上的落地式钢管脚手架工程。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47980A0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1973934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677D358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3B1E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694CCEF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（二）提升高度在150m及以上的附着式升降脚手架工程或附着式升降操作平台工程。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57CCF57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1439DAA3">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59113C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F6D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6437715">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（三）分段架体搭设高度20m及以上的悬挑式脚手架工程。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079C4B8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77FED22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5C0059C">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88C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078" w:type="dxa"/>
            <w:tcBorders>
              <w:top w:val="single" w:color="000000" w:sz="4" w:space="0"/>
              <w:left w:val="single" w:color="000000" w:sz="4" w:space="0"/>
              <w:bottom w:val="single" w:color="000000" w:sz="4" w:space="0"/>
              <w:right w:val="single" w:color="000000" w:sz="4" w:space="0"/>
            </w:tcBorders>
          </w:tcPr>
          <w:p w14:paraId="46CB4AF1">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五、拆除工程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53D9ADE">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7699198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CA9158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7C13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A2189EA">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（一）码头、桥梁、高架、烟囱、水塔或拆除中容易引起有毒有害气（液）体或粉尘扩散、易燃易爆事故发生的特殊建、构筑物的拆除工程。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4446926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5837618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C9D43E0">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9F1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423C3245">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（二）文物保护建筑、优秀历史建筑或历史文化风貌区影响范围内的拆除工程。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59B06E9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0C5ADD9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590D59B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3732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5078" w:type="dxa"/>
            <w:tcBorders>
              <w:top w:val="single" w:color="000000" w:sz="4" w:space="0"/>
              <w:left w:val="single" w:color="000000" w:sz="4" w:space="0"/>
              <w:bottom w:val="single" w:color="000000" w:sz="4" w:space="0"/>
              <w:right w:val="single" w:color="000000" w:sz="4" w:space="0"/>
            </w:tcBorders>
          </w:tcPr>
          <w:p w14:paraId="1DACF8EF">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六、暗挖工程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6082696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0E3BA8E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486843C5">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6C00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791211EE">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4221900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7FAD562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B9EE799">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B3D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78" w:type="dxa"/>
            <w:tcBorders>
              <w:top w:val="single" w:color="000000" w:sz="4" w:space="0"/>
              <w:left w:val="single" w:color="000000" w:sz="4" w:space="0"/>
              <w:bottom w:val="single" w:color="000000" w:sz="4" w:space="0"/>
              <w:right w:val="single" w:color="000000" w:sz="4" w:space="0"/>
            </w:tcBorders>
          </w:tcPr>
          <w:p w14:paraId="3F73E816">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七、其它</w:t>
            </w:r>
          </w:p>
        </w:tc>
        <w:tc>
          <w:tcPr>
            <w:tcW w:w="1353" w:type="dxa"/>
            <w:tcBorders>
              <w:top w:val="single" w:color="000000" w:sz="4" w:space="0"/>
              <w:left w:val="single" w:color="000000" w:sz="4" w:space="0"/>
              <w:bottom w:val="single" w:color="000000" w:sz="4" w:space="0"/>
              <w:right w:val="single" w:color="000000" w:sz="4" w:space="0"/>
            </w:tcBorders>
            <w:vAlign w:val="center"/>
          </w:tcPr>
          <w:p w14:paraId="08F49E8F">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27E0AB0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C00673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756A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4BD8A23">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（一）施工高度50m及以上的建筑幕墙安装工程。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1EBD602F">
            <w:pPr>
              <w:keepNext w:val="0"/>
              <w:keepLines w:val="0"/>
              <w:suppressLineNumbers w:val="0"/>
              <w:spacing w:before="0" w:beforeAutospacing="0" w:after="0" w:afterAutospacing="0" w:line="360" w:lineRule="auto"/>
              <w:ind w:left="0" w:right="0"/>
              <w:jc w:val="center"/>
              <w:rPr>
                <w:rFonts w:hint="default" w:ascii="宋体" w:hAnsi="宋体" w:cs="宋体"/>
                <w:b/>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0B0EF10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969A44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22C1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167CC639">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（二）跨度36m及以上的钢结构安装工程，或跨度60m及以上的网架和索膜结构安装工程。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51D2986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4C348EF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10A1CDF2">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0FD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06133B75">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（三）开挖深度16m及以上的人工挖孔桩工程。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3470FFE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86C3CF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9BA3A36">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0C66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078" w:type="dxa"/>
            <w:tcBorders>
              <w:top w:val="single" w:color="000000" w:sz="4" w:space="0"/>
              <w:left w:val="single" w:color="000000" w:sz="4" w:space="0"/>
              <w:bottom w:val="single" w:color="000000" w:sz="4" w:space="0"/>
              <w:right w:val="single" w:color="000000" w:sz="4" w:space="0"/>
            </w:tcBorders>
          </w:tcPr>
          <w:p w14:paraId="46661EF7">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（四）水下作业工程。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770B317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5F6CD1A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0A559A7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528A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54445B88">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（五）重量1000kN及以上的大型结构整体顶升、平移、转体等施工工艺。</w:t>
            </w:r>
          </w:p>
        </w:tc>
        <w:tc>
          <w:tcPr>
            <w:tcW w:w="1353" w:type="dxa"/>
            <w:tcBorders>
              <w:top w:val="single" w:color="000000" w:sz="4" w:space="0"/>
              <w:left w:val="single" w:color="000000" w:sz="4" w:space="0"/>
              <w:bottom w:val="single" w:color="000000" w:sz="4" w:space="0"/>
              <w:right w:val="single" w:color="000000" w:sz="4" w:space="0"/>
            </w:tcBorders>
            <w:vAlign w:val="center"/>
          </w:tcPr>
          <w:p w14:paraId="194C04B4">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2A8D2B4B">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7B96E8BA">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r w14:paraId="4DEB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tcPr>
          <w:p w14:paraId="20B35791">
            <w:pPr>
              <w:keepNext w:val="0"/>
              <w:keepLines w:val="0"/>
              <w:suppressLineNumbers w:val="0"/>
              <w:spacing w:before="0" w:beforeAutospacing="0" w:after="0" w:afterAutospacing="0" w:line="360" w:lineRule="auto"/>
              <w:ind w:left="0" w:right="0"/>
              <w:jc w:val="left"/>
              <w:rPr>
                <w:rFonts w:hint="default" w:ascii="宋体" w:hAnsi="宋体" w:cs="宋体"/>
                <w:color w:val="auto"/>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vAlign w:val="center"/>
          </w:tcPr>
          <w:p w14:paraId="78BA42E1">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353" w:type="dxa"/>
            <w:tcBorders>
              <w:top w:val="single" w:color="000000" w:sz="4" w:space="0"/>
              <w:left w:val="single" w:color="000000" w:sz="4" w:space="0"/>
              <w:bottom w:val="single" w:color="000000" w:sz="4" w:space="0"/>
              <w:right w:val="single" w:color="000000" w:sz="4" w:space="0"/>
            </w:tcBorders>
            <w:vAlign w:val="center"/>
          </w:tcPr>
          <w:p w14:paraId="6910D30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sz w:val="24"/>
                <w:highlight w:val="none"/>
              </w:rPr>
              <w:t>(    )</w:t>
            </w:r>
          </w:p>
        </w:tc>
        <w:tc>
          <w:tcPr>
            <w:tcW w:w="1057" w:type="dxa"/>
            <w:tcBorders>
              <w:top w:val="single" w:color="000000" w:sz="4" w:space="0"/>
              <w:left w:val="single" w:color="000000" w:sz="4" w:space="0"/>
              <w:bottom w:val="single" w:color="000000" w:sz="4" w:space="0"/>
              <w:right w:val="single" w:color="000000" w:sz="4" w:space="0"/>
            </w:tcBorders>
            <w:vAlign w:val="center"/>
          </w:tcPr>
          <w:p w14:paraId="3F486458">
            <w:pPr>
              <w:keepNext w:val="0"/>
              <w:keepLines w:val="0"/>
              <w:suppressLineNumbers w:val="0"/>
              <w:spacing w:before="0" w:beforeAutospacing="0" w:after="0" w:afterAutospacing="0" w:line="360" w:lineRule="auto"/>
              <w:ind w:left="0" w:right="0"/>
              <w:jc w:val="center"/>
              <w:rPr>
                <w:rFonts w:hint="default" w:ascii="宋体" w:hAnsi="宋体" w:cs="宋体"/>
                <w:color w:val="auto"/>
                <w:highlight w:val="none"/>
              </w:rPr>
            </w:pPr>
          </w:p>
        </w:tc>
      </w:tr>
    </w:tbl>
    <w:p w14:paraId="697F070D">
      <w:pPr>
        <w:pStyle w:val="38"/>
        <w:keepNext w:val="0"/>
        <w:keepLines w:val="0"/>
        <w:widowControl/>
        <w:suppressLineNumbers w:val="0"/>
        <w:spacing w:before="0" w:beforeAutospacing="0" w:after="0" w:afterAutospacing="0" w:line="400" w:lineRule="exact"/>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备注：1.根据《危险性较大的分部分项工程安全管理规定》，该《危险性较大的分部分项工程清单及超过一定规模的危险性较大的分部分项工程清单》应由</w:t>
      </w:r>
      <w:r>
        <w:rPr>
          <w:rFonts w:hint="eastAsia" w:ascii="宋体" w:hAnsi="宋体" w:eastAsia="宋体" w:cs="宋体"/>
          <w:b/>
          <w:bCs/>
          <w:color w:val="auto"/>
          <w:kern w:val="0"/>
          <w:sz w:val="24"/>
          <w:szCs w:val="24"/>
          <w:highlight w:val="none"/>
          <w:lang w:val="en-US" w:eastAsia="zh-CN" w:bidi="ar"/>
        </w:rPr>
        <w:t>建设单位</w:t>
      </w:r>
      <w:r>
        <w:rPr>
          <w:rFonts w:hint="eastAsia" w:ascii="宋体" w:hAnsi="宋体" w:eastAsia="宋体" w:cs="宋体"/>
          <w:color w:val="auto"/>
          <w:kern w:val="0"/>
          <w:sz w:val="24"/>
          <w:szCs w:val="24"/>
          <w:highlight w:val="none"/>
          <w:lang w:val="en-US" w:eastAsia="zh-CN" w:bidi="ar"/>
        </w:rPr>
        <w:t>组织勘察、设计等单位</w:t>
      </w:r>
      <w:r>
        <w:rPr>
          <w:rFonts w:hint="eastAsia" w:ascii="宋体" w:hAnsi="宋体" w:eastAsia="宋体" w:cs="宋体"/>
          <w:b/>
          <w:bCs/>
          <w:color w:val="auto"/>
          <w:kern w:val="0"/>
          <w:sz w:val="24"/>
          <w:szCs w:val="24"/>
          <w:highlight w:val="none"/>
          <w:lang w:val="en-US" w:eastAsia="zh-CN" w:bidi="ar"/>
        </w:rPr>
        <w:t>在招标文件</w:t>
      </w:r>
      <w:r>
        <w:rPr>
          <w:rFonts w:hint="eastAsia" w:ascii="宋体" w:hAnsi="宋体" w:eastAsia="宋体" w:cs="宋体"/>
          <w:color w:val="auto"/>
          <w:kern w:val="0"/>
          <w:sz w:val="24"/>
          <w:szCs w:val="24"/>
          <w:highlight w:val="none"/>
          <w:lang w:val="en-US" w:eastAsia="zh-CN" w:bidi="ar"/>
        </w:rPr>
        <w:t>中先行“勾选（对应项打“√”标识）”危险性较大的分部分项工程。</w:t>
      </w:r>
    </w:p>
    <w:p w14:paraId="0E94C103">
      <w:pPr>
        <w:pStyle w:val="38"/>
        <w:keepNext w:val="0"/>
        <w:keepLines w:val="0"/>
        <w:widowControl/>
        <w:suppressLineNumbers w:val="0"/>
        <w:spacing w:before="0" w:beforeAutospacing="0" w:after="0" w:afterAutospacing="0" w:line="400" w:lineRule="exact"/>
        <w:ind w:left="0" w:right="0" w:firstLine="660" w:firstLineChars="275"/>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2.该《危险性较大的分部分项工程清单及超过一定规模的危险性较大的分部分项工程清单》在办理建设项目施工许可时必须提供，且各地建设行政主管部门可按照《广东省建设工程项目招标中标后监督检查办法》相关规定开展检查。</w:t>
      </w:r>
    </w:p>
    <w:p w14:paraId="4BEDBEFA">
      <w:pPr>
        <w:pStyle w:val="38"/>
        <w:keepNext w:val="0"/>
        <w:keepLines w:val="0"/>
        <w:widowControl/>
        <w:suppressLineNumbers w:val="0"/>
        <w:spacing w:before="0" w:beforeAutospacing="0" w:after="0" w:afterAutospacing="0" w:line="400" w:lineRule="exact"/>
        <w:ind w:left="0" w:right="0" w:firstLine="660" w:firstLineChars="275"/>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3.如果需要（如需要通过计算编制专项方案，或者需要专家论证），可中标后提供详细版。</w:t>
      </w:r>
    </w:p>
    <w:p w14:paraId="3528B233">
      <w:pPr>
        <w:pStyle w:val="125"/>
        <w:keepNext w:val="0"/>
        <w:keepLines w:val="0"/>
        <w:widowControl w:val="0"/>
        <w:suppressLineNumbers w:val="0"/>
        <w:wordWrap w:val="0"/>
        <w:spacing w:before="0" w:beforeAutospacing="0" w:after="0" w:afterAutospacing="0"/>
        <w:ind w:left="0" w:right="0" w:firstLine="419" w:firstLineChars="174"/>
        <w:jc w:val="both"/>
        <w:outlineLvl w:val="9"/>
        <w:rPr>
          <w:rFonts w:hint="eastAsia" w:ascii="宋体" w:hAnsi="宋体" w:eastAsia="宋体" w:cs="宋体"/>
          <w:b/>
          <w:bCs w:val="0"/>
          <w:color w:val="auto"/>
          <w:sz w:val="24"/>
          <w:szCs w:val="24"/>
          <w:highlight w:val="none"/>
          <w:lang w:val="en-US"/>
        </w:rPr>
      </w:pPr>
    </w:p>
    <w:p w14:paraId="4106D0A2">
      <w:pPr>
        <w:pStyle w:val="125"/>
        <w:keepNext w:val="0"/>
        <w:keepLines w:val="0"/>
        <w:widowControl w:val="0"/>
        <w:suppressLineNumbers w:val="0"/>
        <w:wordWrap w:val="0"/>
        <w:spacing w:before="0" w:beforeAutospacing="0" w:after="0" w:afterAutospacing="0"/>
        <w:ind w:left="0" w:right="0" w:firstLine="419" w:firstLineChars="174"/>
        <w:jc w:val="both"/>
        <w:outlineLvl w:val="9"/>
        <w:rPr>
          <w:rFonts w:hint="eastAsia" w:ascii="宋体" w:hAnsi="宋体" w:eastAsia="宋体" w:cs="宋体"/>
          <w:b/>
          <w:bCs w:val="0"/>
          <w:color w:val="auto"/>
          <w:highlight w:val="none"/>
          <w:lang w:val="en-US"/>
        </w:rPr>
      </w:pPr>
    </w:p>
    <w:p w14:paraId="7C10C176">
      <w:pPr>
        <w:pStyle w:val="125"/>
        <w:keepNext w:val="0"/>
        <w:keepLines w:val="0"/>
        <w:widowControl w:val="0"/>
        <w:suppressLineNumbers w:val="0"/>
        <w:wordWrap w:val="0"/>
        <w:spacing w:before="0" w:beforeAutospacing="0" w:after="0" w:afterAutospacing="0"/>
        <w:ind w:left="0" w:right="0" w:firstLine="419" w:firstLineChars="174"/>
        <w:jc w:val="both"/>
        <w:outlineLvl w:val="9"/>
        <w:rPr>
          <w:rFonts w:hint="eastAsia" w:ascii="宋体" w:hAnsi="宋体" w:eastAsia="宋体" w:cs="宋体"/>
          <w:b/>
          <w:bCs w:val="0"/>
          <w:color w:val="auto"/>
          <w:highlight w:val="none"/>
          <w:lang w:val="en-US"/>
        </w:rPr>
      </w:pPr>
    </w:p>
    <w:p w14:paraId="683E0594">
      <w:pPr>
        <w:pStyle w:val="125"/>
        <w:pageBreakBefore/>
        <w:wordWrap w:val="0"/>
        <w:adjustRightInd w:val="0"/>
        <w:snapToGrid w:val="0"/>
        <w:spacing w:line="240" w:lineRule="auto"/>
        <w:ind w:left="0" w:leftChars="0" w:firstLine="0" w:firstLineChars="0"/>
        <w:jc w:val="both"/>
        <w:rPr>
          <w:rFonts w:hint="eastAsia" w:ascii="宋体" w:hAnsi="宋体" w:eastAsia="宋体" w:cs="宋体"/>
          <w:b/>
          <w:bCs w:val="0"/>
          <w:color w:val="auto"/>
          <w:highlight w:val="none"/>
          <w:lang w:val="en-US" w:eastAsia="zh-CN"/>
        </w:rPr>
      </w:pPr>
      <w:bookmarkStart w:id="107" w:name="_Toc31994"/>
      <w:bookmarkStart w:id="108" w:name="_Toc5078"/>
      <w:bookmarkStart w:id="109" w:name="_Toc9248"/>
      <w:r>
        <w:rPr>
          <w:rFonts w:hint="eastAsia" w:ascii="宋体" w:hAnsi="宋体" w:eastAsia="宋体" w:cs="宋体"/>
          <w:b/>
          <w:bCs w:val="0"/>
          <w:snapToGrid w:val="0"/>
          <w:color w:val="auto"/>
          <w:highlight w:val="none"/>
          <w:lang w:eastAsia="zh-CN"/>
        </w:rPr>
        <w:t>格式十</w:t>
      </w:r>
      <w:r>
        <w:rPr>
          <w:rFonts w:hint="eastAsia" w:ascii="宋体" w:hAnsi="宋体" w:eastAsia="宋体" w:cs="宋体"/>
          <w:b/>
          <w:bCs w:val="0"/>
          <w:snapToGrid w:val="0"/>
          <w:color w:val="auto"/>
          <w:highlight w:val="none"/>
          <w:lang w:val="en-US" w:eastAsia="zh-CN"/>
        </w:rPr>
        <w:t>四 助力项目承诺书</w:t>
      </w:r>
      <w:bookmarkEnd w:id="107"/>
      <w:bookmarkEnd w:id="108"/>
      <w:bookmarkEnd w:id="109"/>
      <w:r>
        <w:rPr>
          <w:rFonts w:hint="eastAsia" w:hAnsi="宋体" w:cs="宋体"/>
          <w:b/>
          <w:bCs w:val="0"/>
          <w:color w:val="auto"/>
          <w:highlight w:val="none"/>
          <w:lang w:eastAsia="zh-CN"/>
        </w:rPr>
        <w:t>（</w:t>
      </w:r>
      <w:r>
        <w:rPr>
          <w:rFonts w:hint="eastAsia" w:hAnsi="宋体" w:cs="宋体"/>
          <w:b/>
          <w:bCs w:val="0"/>
          <w:color w:val="auto"/>
          <w:highlight w:val="none"/>
          <w:lang w:val="en-US" w:eastAsia="zh-CN"/>
        </w:rPr>
        <w:t>如需</w:t>
      </w:r>
      <w:r>
        <w:rPr>
          <w:rFonts w:hint="eastAsia" w:hAnsi="宋体" w:cs="宋体"/>
          <w:b/>
          <w:bCs w:val="0"/>
          <w:color w:val="auto"/>
          <w:highlight w:val="none"/>
          <w:lang w:eastAsia="zh-CN"/>
        </w:rPr>
        <w:t>）</w:t>
      </w:r>
    </w:p>
    <w:p w14:paraId="765D87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助力项目承诺书</w:t>
      </w:r>
    </w:p>
    <w:p w14:paraId="19FACD2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60B9A0F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致招标人：</w:t>
      </w:r>
      <w:r>
        <w:rPr>
          <w:rFonts w:hint="eastAsia" w:ascii="宋体" w:hAnsi="宋体" w:eastAsia="宋体" w:cs="宋体"/>
          <w:color w:val="auto"/>
          <w:sz w:val="24"/>
          <w:szCs w:val="24"/>
          <w:highlight w:val="none"/>
          <w:u w:val="single"/>
        </w:rPr>
        <w:t xml:space="preserve">                      </w:t>
      </w:r>
    </w:p>
    <w:p w14:paraId="5F9063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4"/>
          <w:szCs w:val="24"/>
          <w:highlight w:val="none"/>
          <w:u w:val="none"/>
          <w:lang w:val="en-US" w:eastAsia="zh-CN"/>
        </w:rPr>
        <w:t>万工程”）工作部署以及</w:t>
      </w:r>
      <w:r>
        <w:rPr>
          <w:rFonts w:hint="eastAsia" w:ascii="宋体" w:hAnsi="宋体" w:eastAsia="宋体" w:cs="宋体"/>
          <w:b w:val="0"/>
          <w:bCs w:val="0"/>
          <w:i w:val="0"/>
          <w:iCs w:val="0"/>
          <w:color w:val="auto"/>
          <w:kern w:val="2"/>
          <w:sz w:val="24"/>
          <w:szCs w:val="24"/>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4"/>
          <w:szCs w:val="24"/>
          <w:highlight w:val="none"/>
          <w:vertAlign w:val="baseline"/>
          <w:lang w:val="en-US" w:eastAsia="zh-CN" w:bidi="ar-SA"/>
        </w:rPr>
        <w:t>〔2024〕11号</w:t>
      </w:r>
      <w:r>
        <w:rPr>
          <w:rFonts w:hint="eastAsia" w:ascii="宋体" w:hAnsi="宋体" w:eastAsia="宋体" w:cs="宋体"/>
          <w:b w:val="0"/>
          <w:bCs w:val="0"/>
          <w:i w:val="0"/>
          <w:iCs w:val="0"/>
          <w:color w:val="auto"/>
          <w:kern w:val="2"/>
          <w:sz w:val="24"/>
          <w:szCs w:val="24"/>
          <w:highlight w:val="none"/>
          <w:vertAlign w:val="baseline"/>
          <w:lang w:val="en-US" w:eastAsia="zh-CN" w:bidi="ar-SA"/>
        </w:rPr>
        <w:t>）等工作要求，我公司将按要求完成中标项目的同时，自愿利用</w:t>
      </w:r>
      <w:r>
        <w:rPr>
          <w:rFonts w:hint="eastAsia" w:ascii="宋体" w:hAnsi="宋体" w:eastAsia="宋体" w:cs="宋体"/>
          <w:color w:val="auto"/>
          <w:sz w:val="24"/>
          <w:szCs w:val="24"/>
          <w:highlight w:val="none"/>
          <w:lang w:val="en-US" w:eastAsia="zh-CN"/>
        </w:rPr>
        <w:t>本企业的合理利润，积极做好</w:t>
      </w:r>
      <w:r>
        <w:rPr>
          <w:rFonts w:hint="eastAsia" w:ascii="宋体" w:hAnsi="宋体" w:eastAsia="宋体" w:cs="宋体"/>
          <w:color w:val="auto"/>
          <w:sz w:val="24"/>
          <w:szCs w:val="24"/>
          <w:highlight w:val="none"/>
          <w:u w:val="none"/>
          <w:lang w:val="en-US" w:eastAsia="zh-CN"/>
        </w:rPr>
        <w:t>助力项目建设，就此</w:t>
      </w:r>
      <w:r>
        <w:rPr>
          <w:rFonts w:hint="eastAsia" w:ascii="宋体" w:hAnsi="宋体" w:eastAsia="宋体" w:cs="宋体"/>
          <w:color w:val="auto"/>
          <w:sz w:val="24"/>
          <w:szCs w:val="24"/>
          <w:highlight w:val="none"/>
        </w:rPr>
        <w:t>我方承诺如下：</w:t>
      </w:r>
    </w:p>
    <w:p w14:paraId="50EBBB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rPr>
        <w:t>我方愿以</w:t>
      </w:r>
      <w:r>
        <w:rPr>
          <w:rFonts w:hint="eastAsia" w:ascii="宋体" w:hAnsi="宋体" w:eastAsia="宋体" w:cs="宋体"/>
          <w:b w:val="0"/>
          <w:bCs w:val="0"/>
          <w:i w:val="0"/>
          <w:iCs w:val="0"/>
          <w:color w:val="auto"/>
          <w:kern w:val="2"/>
          <w:sz w:val="24"/>
          <w:szCs w:val="24"/>
          <w:highlight w:val="none"/>
          <w:vertAlign w:val="baseline"/>
          <w:lang w:val="en-US" w:eastAsia="zh-CN" w:bidi="ar-SA"/>
        </w:rPr>
        <w:t>本项</w:t>
      </w:r>
      <w:r>
        <w:rPr>
          <w:rFonts w:hint="eastAsia" w:ascii="宋体" w:hAnsi="宋体" w:eastAsia="宋体" w:cs="宋体"/>
          <w:color w:val="auto"/>
          <w:sz w:val="24"/>
          <w:szCs w:val="24"/>
          <w:highlight w:val="none"/>
          <w:u w:val="none"/>
          <w:lang w:val="en-US" w:eastAsia="zh-CN"/>
        </w:rPr>
        <w:t>目施工最高投标限价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%的资金，用于助力“百千万工程”中的公益性项目建设，具体实施助力项目从各级“百千万工程”指挥部提供的项目建设清单（项目库）中选取。</w:t>
      </w:r>
    </w:p>
    <w:p w14:paraId="79A53DF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2、如我方中标，承诺完成助力项目建设所用的资金是本企业的自有资金，不使用中标项目内的资金作为助力项目建设资金。</w:t>
      </w:r>
    </w:p>
    <w:p w14:paraId="5F029C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1E3DB2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1BEE44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如我方中标，将严格履行助力协议。发包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1D9C1CE9">
      <w:pPr>
        <w:pStyle w:val="1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color w:val="auto"/>
          <w:sz w:val="24"/>
          <w:szCs w:val="24"/>
          <w:highlight w:val="none"/>
        </w:rPr>
        <w:t>我方同意在投标人须知规定的投标有效期内严格遵守本企业投标文件的各项承诺，如有违约，愿承担相应违约责任。</w:t>
      </w:r>
    </w:p>
    <w:p w14:paraId="0818BA69">
      <w:pPr>
        <w:pStyle w:val="1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1868ACE0">
      <w:pPr>
        <w:pStyle w:val="1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3765D1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(盖电子印章）</w:t>
      </w:r>
    </w:p>
    <w:p w14:paraId="23BE90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14:paraId="07BC33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盖电子印章）</w:t>
      </w:r>
    </w:p>
    <w:p w14:paraId="17A598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14:paraId="736BC8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BA67B4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2D9604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注：上述承诺书中的</w:t>
      </w:r>
      <w:r>
        <w:rPr>
          <w:rFonts w:hint="eastAsia" w:ascii="宋体" w:hAnsi="宋体" w:eastAsia="宋体" w:cs="宋体"/>
          <w:b w:val="0"/>
          <w:bCs w:val="0"/>
          <w:i w:val="0"/>
          <w:iCs w:val="0"/>
          <w:color w:val="auto"/>
          <w:kern w:val="2"/>
          <w:sz w:val="24"/>
          <w:szCs w:val="24"/>
          <w:highlight w:val="none"/>
          <w:u w:val="none" w:color="auto"/>
          <w:vertAlign w:val="baseline"/>
          <w:lang w:val="en-US" w:eastAsia="zh-CN" w:bidi="ar-SA"/>
        </w:rPr>
        <w:t>企业社会贡献下浮率要使用阿拉伯数字填报，但不得填报负值，否则作无效投标处理。企业社会贡献下浮率没有填报任何数字的按无企业社会贡献处理，但不作无效投标处理</w:t>
      </w:r>
    </w:p>
    <w:p w14:paraId="5BA2C343">
      <w:pPr>
        <w:pStyle w:val="125"/>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val="en-US"/>
        </w:rPr>
      </w:pPr>
      <w:bookmarkStart w:id="110" w:name="_Toc19005"/>
      <w:bookmarkStart w:id="111" w:name="_Toc30978"/>
      <w:bookmarkStart w:id="112" w:name="_Toc19815"/>
      <w:r>
        <w:rPr>
          <w:rFonts w:hint="eastAsia" w:hAnsi="宋体" w:cs="宋体"/>
          <w:b/>
          <w:bCs w:val="0"/>
          <w:color w:val="auto"/>
          <w:highlight w:val="none"/>
          <w:lang w:eastAsia="zh-CN"/>
        </w:rPr>
        <w:t>格式十五</w:t>
      </w:r>
      <w:r>
        <w:rPr>
          <w:rFonts w:hint="eastAsia" w:ascii="宋体" w:hAnsi="宋体" w:eastAsia="宋体" w:cs="宋体"/>
          <w:b/>
          <w:bCs w:val="0"/>
          <w:color w:val="auto"/>
          <w:highlight w:val="none"/>
          <w:lang w:val="en-US" w:eastAsia="zh-CN"/>
        </w:rPr>
        <w:t xml:space="preserve"> </w:t>
      </w:r>
      <w:r>
        <w:rPr>
          <w:rFonts w:hint="eastAsia" w:ascii="宋体" w:hAnsi="宋体" w:eastAsia="宋体" w:cs="宋体"/>
          <w:b/>
          <w:bCs w:val="0"/>
          <w:color w:val="auto"/>
          <w:highlight w:val="none"/>
          <w:lang w:eastAsia="zh-CN"/>
        </w:rPr>
        <w:t>原件一览表</w:t>
      </w:r>
      <w:bookmarkEnd w:id="110"/>
      <w:bookmarkEnd w:id="111"/>
      <w:r>
        <w:rPr>
          <w:rFonts w:hint="eastAsia" w:hAnsi="宋体" w:cs="宋体"/>
          <w:b/>
          <w:bCs w:val="0"/>
          <w:color w:val="auto"/>
          <w:highlight w:val="none"/>
          <w:lang w:eastAsia="zh-CN"/>
        </w:rPr>
        <w:t>（</w:t>
      </w:r>
      <w:r>
        <w:rPr>
          <w:rFonts w:hint="eastAsia" w:hAnsi="宋体" w:cs="宋体"/>
          <w:b/>
          <w:bCs w:val="0"/>
          <w:color w:val="auto"/>
          <w:highlight w:val="none"/>
          <w:lang w:val="en-US" w:eastAsia="zh-CN"/>
        </w:rPr>
        <w:t>如需</w:t>
      </w:r>
      <w:r>
        <w:rPr>
          <w:rFonts w:hint="eastAsia" w:hAnsi="宋体" w:cs="宋体"/>
          <w:b/>
          <w:bCs w:val="0"/>
          <w:color w:val="auto"/>
          <w:highlight w:val="none"/>
          <w:lang w:eastAsia="zh-CN"/>
        </w:rPr>
        <w:t>）</w:t>
      </w:r>
    </w:p>
    <w:tbl>
      <w:tblPr>
        <w:tblStyle w:val="43"/>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506"/>
        <w:gridCol w:w="829"/>
        <w:gridCol w:w="1165"/>
        <w:gridCol w:w="1625"/>
        <w:gridCol w:w="754"/>
        <w:gridCol w:w="958"/>
        <w:gridCol w:w="1570"/>
      </w:tblGrid>
      <w:tr w14:paraId="6F8F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7CB22">
            <w:pPr>
              <w:pStyle w:val="38"/>
              <w:keepNext w:val="0"/>
              <w:keepLines w:val="0"/>
              <w:widowControl/>
              <w:suppressLineNumbers w:val="0"/>
              <w:spacing w:before="100" w:beforeAutospacing="1" w:after="100" w:afterAutospacing="1" w:line="336"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原件一览表</w:t>
            </w:r>
          </w:p>
        </w:tc>
      </w:tr>
      <w:tr w14:paraId="15AE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6E122">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工程名称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00645">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p>
        </w:tc>
      </w:tr>
      <w:tr w14:paraId="0B08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BEFF9">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投标人名称                (请务必填写单位全称)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85809">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475B4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17AA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投标人法定代表人或其</w:t>
            </w:r>
          </w:p>
          <w:p w14:paraId="659433B1">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委托代理人签名</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C6691">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C78C6">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手机号码</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A8C57">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67B0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F1C4B">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递交的证明材料原件如下：</w:t>
            </w:r>
          </w:p>
        </w:tc>
      </w:tr>
      <w:tr w14:paraId="3D3F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82A51">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3B5B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证明材料原件名称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7AEF8">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630F2">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w:t>
            </w:r>
          </w:p>
        </w:tc>
      </w:tr>
      <w:tr w14:paraId="0103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139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9D7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6DB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18E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7EA7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9CC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226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D041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8FA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70A00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D01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24C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CEB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078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0C65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2BD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613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51F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46D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5ED72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390BD">
            <w:pPr>
              <w:keepNext w:val="0"/>
              <w:keepLines w:val="0"/>
              <w:widowControl w:val="0"/>
              <w:suppressLineNumbers w:val="0"/>
              <w:spacing w:before="0" w:beforeAutospacing="0" w:after="0" w:afterAutospacing="0" w:line="360" w:lineRule="auto"/>
              <w:ind w:left="8" w:right="0" w:hanging="94"/>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注意：</w:t>
            </w:r>
          </w:p>
        </w:tc>
        <w:tc>
          <w:tcPr>
            <w:tcW w:w="840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FBE0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0BF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51D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p w14:paraId="6CE462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接收原件经办人(招标代理)：</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7DB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948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ED199">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r w14:paraId="7A41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D80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退还原件接收人(投标人)：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3D6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051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2648E">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bl>
    <w:p w14:paraId="5369DD42">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4DEFDDF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44641D45">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603A1DC1">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60356E73">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3BDBB30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eastAsia="zh-CN"/>
        </w:rPr>
      </w:pPr>
    </w:p>
    <w:p w14:paraId="32656339">
      <w:pPr>
        <w:pStyle w:val="125"/>
        <w:keepNext w:val="0"/>
        <w:keepLines w:val="0"/>
        <w:widowControl w:val="0"/>
        <w:suppressLineNumbers w:val="0"/>
        <w:wordWrap w:val="0"/>
        <w:spacing w:before="0" w:beforeAutospacing="0" w:after="0" w:afterAutospacing="0"/>
        <w:ind w:left="0" w:right="0" w:firstLine="0"/>
        <w:jc w:val="both"/>
        <w:outlineLvl w:val="1"/>
        <w:rPr>
          <w:rFonts w:hint="eastAsia" w:ascii="宋体" w:hAnsi="宋体" w:eastAsia="宋体" w:cs="宋体"/>
          <w:b/>
          <w:bCs w:val="0"/>
          <w:color w:val="auto"/>
          <w:highlight w:val="none"/>
          <w:lang w:val="en-US" w:eastAsia="zh-CN"/>
        </w:rPr>
      </w:pPr>
      <w:bookmarkStart w:id="113" w:name="_Toc30092"/>
      <w:bookmarkStart w:id="114" w:name="_Toc29664"/>
      <w:r>
        <w:rPr>
          <w:rFonts w:hint="eastAsia" w:ascii="宋体" w:hAnsi="宋体" w:eastAsia="宋体" w:cs="宋体"/>
          <w:b/>
          <w:bCs w:val="0"/>
          <w:color w:val="auto"/>
          <w:highlight w:val="none"/>
          <w:lang w:eastAsia="zh-CN"/>
        </w:rPr>
        <w:t>格式十六</w:t>
      </w:r>
      <w:r>
        <w:rPr>
          <w:rFonts w:hint="eastAsia" w:ascii="宋体" w:hAnsi="宋体" w:eastAsia="宋体" w:cs="宋体"/>
          <w:b/>
          <w:bCs w:val="0"/>
          <w:color w:val="auto"/>
          <w:highlight w:val="none"/>
          <w:lang w:val="en-US" w:eastAsia="zh-CN"/>
        </w:rPr>
        <w:t xml:space="preserve"> 定标因素评审资料</w:t>
      </w:r>
      <w:bookmarkEnd w:id="112"/>
      <w:bookmarkEnd w:id="113"/>
      <w:bookmarkEnd w:id="114"/>
    </w:p>
    <w:p w14:paraId="7A08CCAD">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87F977B">
      <w:pPr>
        <w:jc w:val="left"/>
        <w:rPr>
          <w:rFonts w:hint="eastAsia" w:ascii="宋体" w:hAnsi="宋体" w:eastAsia="宋体" w:cs="宋体"/>
          <w:color w:val="auto"/>
          <w:sz w:val="24"/>
          <w:highlight w:val="none"/>
          <w:lang w:eastAsia="zh-CN"/>
        </w:rPr>
      </w:pPr>
    </w:p>
    <w:p w14:paraId="38469553">
      <w:pPr>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第三章 评标</w:t>
      </w:r>
      <w:r>
        <w:rPr>
          <w:rFonts w:hint="eastAsia" w:ascii="宋体" w:hAnsi="宋体" w:eastAsia="宋体" w:cs="宋体"/>
          <w:b w:val="0"/>
          <w:bCs w:val="0"/>
          <w:color w:val="auto"/>
          <w:sz w:val="28"/>
          <w:szCs w:val="28"/>
          <w:highlight w:val="none"/>
          <w:lang w:eastAsia="zh-CN"/>
        </w:rPr>
        <w:t>定标</w:t>
      </w:r>
      <w:r>
        <w:rPr>
          <w:rFonts w:hint="eastAsia" w:ascii="宋体" w:hAnsi="宋体" w:eastAsia="宋体" w:cs="宋体"/>
          <w:b w:val="0"/>
          <w:bCs w:val="0"/>
          <w:color w:val="auto"/>
          <w:sz w:val="28"/>
          <w:szCs w:val="28"/>
          <w:highlight w:val="none"/>
        </w:rPr>
        <w:t>办法</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1C10AAC0">
      <w:pPr>
        <w:spacing w:line="540" w:lineRule="exact"/>
        <w:ind w:firstLine="862" w:firstLineChars="308"/>
        <w:rPr>
          <w:rFonts w:hint="eastAsia" w:ascii="宋体" w:hAnsi="宋体" w:eastAsia="宋体" w:cs="宋体"/>
          <w:color w:val="auto"/>
          <w:sz w:val="28"/>
          <w:szCs w:val="28"/>
          <w:highlight w:val="none"/>
        </w:rPr>
      </w:pPr>
    </w:p>
    <w:p w14:paraId="05592EA1">
      <w:pPr>
        <w:ind w:left="0" w:leftChars="0" w:firstLine="560" w:firstLineChars="200"/>
        <w:jc w:val="left"/>
        <w:rPr>
          <w:rFonts w:hint="eastAsia" w:ascii="宋体" w:hAnsi="宋体" w:eastAsia="宋体" w:cs="宋体"/>
          <w:b w:val="0"/>
          <w:bCs w:val="0"/>
          <w:color w:val="auto"/>
          <w:sz w:val="28"/>
          <w:szCs w:val="28"/>
          <w:highlight w:val="none"/>
        </w:rPr>
      </w:pPr>
    </w:p>
    <w:p w14:paraId="1E7827CC">
      <w:pPr>
        <w:jc w:val="center"/>
        <w:rPr>
          <w:rFonts w:hint="eastAsia" w:ascii="宋体" w:hAnsi="宋体" w:eastAsia="宋体" w:cs="宋体"/>
          <w:b/>
          <w:bCs/>
          <w:color w:val="auto"/>
          <w:sz w:val="32"/>
          <w:szCs w:val="32"/>
          <w:highlight w:val="none"/>
        </w:rPr>
      </w:pPr>
    </w:p>
    <w:p w14:paraId="18525013">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4E4ED630">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0BE43097">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53BC0A9A">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5B045C36">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633747DB">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68FD761A">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00F668E8">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795D5089">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525473B1">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6116FA82">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20DECAD1">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3D604C37">
      <w:pPr>
        <w:pStyle w:val="125"/>
        <w:keepNext w:val="0"/>
        <w:keepLines w:val="0"/>
        <w:widowControl w:val="0"/>
        <w:suppressLineNumbers w:val="0"/>
        <w:wordWrap w:val="0"/>
        <w:spacing w:before="0" w:beforeAutospacing="0" w:after="0" w:afterAutospacing="0"/>
        <w:ind w:left="0" w:right="0" w:firstLine="0"/>
        <w:jc w:val="both"/>
        <w:outlineLvl w:val="9"/>
        <w:rPr>
          <w:rFonts w:hint="eastAsia" w:ascii="宋体" w:hAnsi="宋体" w:eastAsia="宋体" w:cs="宋体"/>
          <w:b/>
          <w:bCs w:val="0"/>
          <w:color w:val="auto"/>
          <w:highlight w:val="none"/>
          <w:lang w:val="en-US"/>
        </w:rPr>
      </w:pPr>
    </w:p>
    <w:p w14:paraId="63B9877D">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Cs/>
          <w:color w:val="auto"/>
          <w:kern w:val="0"/>
          <w:sz w:val="44"/>
          <w:szCs w:val="44"/>
          <w:highlight w:val="none"/>
        </w:rPr>
        <w:br w:type="page"/>
      </w:r>
      <w:bookmarkStart w:id="115" w:name="_Toc16615"/>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eastAsia="zh-CN"/>
        </w:rPr>
        <w:t xml:space="preserve">  </w:t>
      </w:r>
      <w:bookmarkEnd w:id="115"/>
      <w:r>
        <w:rPr>
          <w:rFonts w:hint="eastAsia" w:ascii="宋体" w:hAnsi="宋体" w:eastAsia="宋体" w:cs="宋体"/>
          <w:b/>
          <w:bCs/>
          <w:color w:val="auto"/>
          <w:sz w:val="32"/>
          <w:szCs w:val="32"/>
          <w:highlight w:val="none"/>
        </w:rPr>
        <w:t>合同条款及合同文件格式</w:t>
      </w:r>
    </w:p>
    <w:p w14:paraId="53F4935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hAnsi="宋体"/>
          <w:b/>
          <w:bCs/>
          <w:snapToGrid w:val="0"/>
          <w:color w:val="auto"/>
          <w:kern w:val="0"/>
          <w:highlight w:val="none"/>
        </w:rPr>
      </w:pPr>
    </w:p>
    <w:p w14:paraId="5AFE4309">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w:t>
      </w:r>
      <w:r>
        <w:rPr>
          <w:rFonts w:hint="eastAsia" w:ascii="宋体" w:hAnsi="宋体" w:eastAsia="宋体" w:cs="宋体"/>
          <w:b/>
          <w:color w:val="auto"/>
          <w:sz w:val="28"/>
          <w:szCs w:val="28"/>
          <w:highlight w:val="none"/>
          <w:lang w:val="en-US" w:eastAsia="zh-CN"/>
        </w:rPr>
        <w:t>主要</w:t>
      </w:r>
      <w:r>
        <w:rPr>
          <w:rFonts w:hint="eastAsia" w:ascii="宋体" w:hAnsi="宋体" w:eastAsia="宋体" w:cs="宋体"/>
          <w:b/>
          <w:color w:val="auto"/>
          <w:sz w:val="28"/>
          <w:szCs w:val="28"/>
          <w:highlight w:val="none"/>
        </w:rPr>
        <w:t>条款</w:t>
      </w:r>
    </w:p>
    <w:p w14:paraId="3DA3006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工程承包方式</w:t>
      </w:r>
      <w:r>
        <w:rPr>
          <w:rFonts w:hint="eastAsia" w:ascii="宋体" w:hAnsi="宋体" w:eastAsia="宋体" w:cs="宋体"/>
          <w:b/>
          <w:bCs/>
          <w:color w:val="auto"/>
          <w:sz w:val="24"/>
          <w:szCs w:val="24"/>
          <w:highlight w:val="none"/>
          <w:lang w:val="en-US" w:eastAsia="zh-CN"/>
        </w:rPr>
        <w:t>及不正常报价</w:t>
      </w:r>
    </w:p>
    <w:p w14:paraId="5F42226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承包人以中标价按包工包料、包质量、包安全包文明施工、包工期方式总承包施工，不允许转包和违法分包，如果确需分包须与发包人协商，在得到发包人和监理单位同意后报建设行政主管部门备案。</w:t>
      </w:r>
    </w:p>
    <w:p w14:paraId="5E00151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包工包料：材料符合招标文件要求并报验使用；办理用工保险。</w:t>
      </w:r>
    </w:p>
    <w:p w14:paraId="7EA7E57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包质量：符合招标文件要求。</w:t>
      </w:r>
    </w:p>
    <w:p w14:paraId="6AEC8D4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包安全包文明施工：符合招标文件要求。</w:t>
      </w:r>
    </w:p>
    <w:p w14:paraId="3069282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包工期：本招标项目施工必须在招标工期内完成。</w:t>
      </w:r>
    </w:p>
    <w:p w14:paraId="3007714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 不正常报价的梳理和确认</w:t>
      </w:r>
    </w:p>
    <w:p w14:paraId="3789CEB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b/>
          <w:bCs/>
          <w:color w:val="auto"/>
          <w:sz w:val="24"/>
          <w:szCs w:val="24"/>
          <w:highlight w:val="none"/>
          <w:lang w:val="en-US" w:eastAsia="zh-CN"/>
        </w:rPr>
        <w:t>合同订立期间，在不改变承包人的投标总价的前提下，发包人应对承包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z w:val="24"/>
          <w:szCs w:val="24"/>
          <w:highlight w:val="none"/>
          <w:lang w:val="en-US" w:eastAsia="zh-CN"/>
        </w:rPr>
        <w:t>发包人不具备以上能力的，可授权编制本项目招标控制价（最高投标限价）的造价咨询单位实施。</w:t>
      </w:r>
    </w:p>
    <w:p w14:paraId="3136E9C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450F1C8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 错漏项的认定。承包人已标价工程量清单中，任一清单项目未填报价格或价格为零的，视为错漏项。</w:t>
      </w:r>
    </w:p>
    <w:p w14:paraId="2DF5324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 不平衡报价的认定。经修正算术性错误后的承包人已标价工程量清单中，</w:t>
      </w:r>
      <w:r>
        <w:rPr>
          <w:rFonts w:hint="eastAsia" w:ascii="宋体" w:hAnsi="宋体" w:eastAsia="宋体" w:cs="宋体"/>
          <w:color w:val="auto"/>
          <w:sz w:val="24"/>
          <w:szCs w:val="24"/>
          <w:highlight w:val="none"/>
          <w:u w:val="single"/>
          <w:lang w:val="en-US" w:eastAsia="zh-CN"/>
        </w:rPr>
        <w:t>分部分项工程量清单项目的投标综合单价与最高投标限价分部分项工程量清单项目的综合单价相差15％以上（不含15％）</w:t>
      </w:r>
      <w:r>
        <w:rPr>
          <w:rFonts w:hint="eastAsia" w:ascii="宋体" w:hAnsi="宋体" w:eastAsia="宋体" w:cs="宋体"/>
          <w:color w:val="auto"/>
          <w:sz w:val="24"/>
          <w:szCs w:val="24"/>
          <w:highlight w:val="none"/>
          <w:lang w:val="en-US" w:eastAsia="zh-CN"/>
        </w:rPr>
        <w:t>的清单项目，</w:t>
      </w:r>
      <w:r>
        <w:rPr>
          <w:rFonts w:hint="eastAsia" w:ascii="宋体" w:hAnsi="宋体" w:eastAsia="宋体" w:cs="宋体"/>
          <w:color w:val="auto"/>
          <w:sz w:val="24"/>
          <w:szCs w:val="24"/>
          <w:highlight w:val="none"/>
          <w:u w:val="single"/>
          <w:lang w:val="en-US" w:eastAsia="zh-CN"/>
        </w:rPr>
        <w:t>视为不平衡报价项目</w:t>
      </w:r>
      <w:r>
        <w:rPr>
          <w:rFonts w:hint="eastAsia" w:ascii="宋体" w:hAnsi="宋体" w:eastAsia="宋体" w:cs="宋体"/>
          <w:color w:val="auto"/>
          <w:sz w:val="24"/>
          <w:szCs w:val="24"/>
          <w:highlight w:val="none"/>
          <w:lang w:val="en-US" w:eastAsia="zh-CN"/>
        </w:rPr>
        <w:t>。</w:t>
      </w:r>
    </w:p>
    <w:p w14:paraId="705885A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 施工合同签订前，发包人或其授权的造价咨询单位应就发现的以上所有不平衡报价进行修正，形成《不平衡报价修正报告》，并由发包人和承包人共同签章确认，构成施工合同的组成部分。</w:t>
      </w:r>
    </w:p>
    <w:p w14:paraId="473F31D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 合同履行过程中，被认定为错漏项的清单项目，结算时按照本章“2．工程结算原则”规定处理。</w:t>
      </w:r>
    </w:p>
    <w:p w14:paraId="65516A2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本章“2．工程结算原则”有关规定调整合同价款。</w:t>
      </w:r>
    </w:p>
    <w:p w14:paraId="21A7540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15E677E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．工程结算原则</w:t>
      </w:r>
    </w:p>
    <w:p w14:paraId="01C4BAD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承包人的投标总价为中标价，即为签约合同价。</w:t>
      </w:r>
    </w:p>
    <w:p w14:paraId="41CC5BA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招标工程量清单标明的工程量是投标人投标报价的共同基础，竣工结算的工程量按《建设工程工程量清单计价标准》（GB/T50500—2024）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33287F5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施工合同履行期间，若出现下列情形的，发、承包双方应当按照以下规定调整合同价款：</w:t>
      </w:r>
    </w:p>
    <w:p w14:paraId="7833891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 法律法规变化</w:t>
      </w:r>
    </w:p>
    <w:p w14:paraId="5621C3B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2.3.1.1 基准日之后，因国家法律、法规、规章和政策发生变化引起工程造价增减变化时，发、承包双方应按照省级建设主管部门（或省级行业主管部门）或其授权的工程造价管理机构据此发布的最新规定调整合同价款。</w:t>
      </w:r>
    </w:p>
    <w:p w14:paraId="7A2341D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注：本招标文件所称“基准日”，均指投标文件递交截止时间（见第</w:t>
      </w: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章“</w:t>
      </w: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重要事项时间地点一览表”）前28天。</w:t>
      </w:r>
      <w:r>
        <w:rPr>
          <w:rFonts w:hint="eastAsia" w:ascii="宋体" w:hAnsi="宋体" w:eastAsia="宋体" w:cs="宋体"/>
          <w:bCs/>
          <w:color w:val="auto"/>
          <w:sz w:val="24"/>
          <w:szCs w:val="24"/>
          <w:highlight w:val="none"/>
        </w:rPr>
        <w:t xml:space="preserve"> </w:t>
      </w:r>
    </w:p>
    <w:p w14:paraId="1CDEEBF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2.3.1.2 因承包人原因导致工程延误，本章第2.3.1.1子目中的法定机构根据国家法律法规变化发布新规的时间在合同工程原定竣工时间之后的，合同价款调增的不予调整，合同价款调减的予以调整。</w:t>
      </w:r>
    </w:p>
    <w:p w14:paraId="07F35B4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 工程量偏差或变化</w:t>
      </w:r>
    </w:p>
    <w:p w14:paraId="1C3CFBA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2.3.2.1 合同履行期间，当应予计算的实际工程量与招标工程量清单出现偏差或因其他工程变更引起已标价工程量清单项目的工程数量发生变化时，工程量偏差或变化在15%以内（含15%）的，其综合单价不予调整；工程量偏差或变化超过15%的，按照以下规定调整：</w:t>
      </w:r>
    </w:p>
    <w:p w14:paraId="0D82E9D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合理报价的清单项目，当工程量增加超过15%时，增加部分的工程量的综合单价以投标报价《分部分项工程和单价措施项目清单与计价表》中综合单价为基价调低3%；当工程量减少超过15%时，减少后剩余部分的工程量的综合单价以投标报价《分部分项工程和单价措施项目清单与计价表》中综合单价为基价调高3%。</w:t>
      </w:r>
    </w:p>
    <w:p w14:paraId="10622E3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对于按照</w:t>
      </w:r>
      <w:r>
        <w:rPr>
          <w:rFonts w:hint="eastAsia" w:ascii="宋体" w:hAnsi="宋体" w:eastAsia="宋体" w:cs="宋体"/>
          <w:b/>
          <w:bCs w:val="0"/>
          <w:color w:val="auto"/>
          <w:sz w:val="24"/>
          <w:szCs w:val="24"/>
          <w:highlight w:val="none"/>
          <w:lang w:val="en-US" w:eastAsia="zh-CN"/>
        </w:rPr>
        <w:t>本章</w:t>
      </w:r>
      <w:r>
        <w:rPr>
          <w:rFonts w:hint="eastAsia" w:ascii="宋体" w:hAnsi="宋体" w:eastAsia="宋体" w:cs="宋体"/>
          <w:b/>
          <w:bCs w:val="0"/>
          <w:color w:val="auto"/>
          <w:sz w:val="24"/>
          <w:szCs w:val="24"/>
          <w:highlight w:val="none"/>
        </w:rPr>
        <w:t>第</w:t>
      </w: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条被认定为不平衡报价的清单项目，其综合单价按照以下方法调整：</w:t>
      </w:r>
    </w:p>
    <w:p w14:paraId="7BCB90A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以</w:t>
      </w:r>
      <w:r>
        <w:rPr>
          <w:rFonts w:hint="eastAsia" w:ascii="宋体" w:hAnsi="宋体" w:eastAsia="宋体" w:cs="宋体"/>
          <w:b w:val="0"/>
          <w:bCs/>
          <w:color w:val="auto"/>
          <w:sz w:val="24"/>
          <w:szCs w:val="24"/>
          <w:highlight w:val="none"/>
          <w:u w:val="single"/>
          <w:lang w:eastAsia="zh-CN"/>
        </w:rPr>
        <w:t>最高投标限价</w:t>
      </w:r>
      <w:r>
        <w:rPr>
          <w:rFonts w:hint="eastAsia" w:ascii="宋体" w:hAnsi="宋体" w:eastAsia="宋体" w:cs="宋体"/>
          <w:b w:val="0"/>
          <w:bCs/>
          <w:color w:val="auto"/>
          <w:sz w:val="24"/>
          <w:szCs w:val="24"/>
          <w:highlight w:val="none"/>
          <w:u w:val="single"/>
        </w:rPr>
        <w:t>中的《分部分项工程和单价措施项目清单与计价表》子目相对应综合单价×（1-中标下浮率）。</w:t>
      </w:r>
    </w:p>
    <w:p w14:paraId="4722EF9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中标下浮率=[1-（中标价-中标绿色施工安全防护措施费-暂列金额-暂估价）/（</w:t>
      </w:r>
      <w:r>
        <w:rPr>
          <w:rFonts w:hint="eastAsia" w:ascii="宋体" w:hAnsi="宋体" w:eastAsia="宋体" w:cs="宋体"/>
          <w:bCs/>
          <w:color w:val="auto"/>
          <w:sz w:val="24"/>
          <w:szCs w:val="24"/>
          <w:highlight w:val="none"/>
          <w:lang w:eastAsia="zh-CN"/>
        </w:rPr>
        <w:t>最高投标限价</w:t>
      </w:r>
      <w:r>
        <w:rPr>
          <w:rFonts w:hint="eastAsia" w:ascii="宋体" w:hAnsi="宋体" w:eastAsia="宋体" w:cs="宋体"/>
          <w:bCs/>
          <w:color w:val="auto"/>
          <w:sz w:val="24"/>
          <w:szCs w:val="24"/>
          <w:highlight w:val="none"/>
        </w:rPr>
        <w:t>-控制价绿色施工安全防护措施费-暂列金额-暂估价）]×100%</w:t>
      </w:r>
    </w:p>
    <w:p w14:paraId="2A0DCFE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和</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共同签章确认。</w:t>
      </w:r>
    </w:p>
    <w:p w14:paraId="6133A86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2.3.2.2 如果工程量出现本章第2.3.2.1子目的变化，且该变化引起相关措施项目相应发生变化时，按系数或单一总价方式计价的，工程量增加的措施项目费调增，工程量减少的措施项目费调减。</w:t>
      </w:r>
    </w:p>
    <w:p w14:paraId="16DF983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 工程变更</w:t>
      </w:r>
    </w:p>
    <w:p w14:paraId="64FAE6B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2.3.3.1 合同履行期间，因工程变更引起已标价工程量清单项目发生变化时，按照以下规定调整：</w:t>
      </w:r>
    </w:p>
    <w:p w14:paraId="2DE71B2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（1）已标价工程量清单中有适用于变更工程项目的，采用该项目的单价。</w:t>
      </w:r>
      <w:r>
        <w:rPr>
          <w:rFonts w:hint="eastAsia" w:ascii="宋体" w:hAnsi="宋体" w:eastAsia="宋体" w:cs="宋体"/>
          <w:b/>
          <w:bCs w:val="0"/>
          <w:color w:val="auto"/>
          <w:sz w:val="24"/>
          <w:szCs w:val="24"/>
          <w:highlight w:val="none"/>
        </w:rPr>
        <w:t>但如果被采用的项目属于按照</w:t>
      </w:r>
      <w:r>
        <w:rPr>
          <w:rFonts w:hint="eastAsia" w:ascii="宋体" w:hAnsi="宋体" w:eastAsia="宋体" w:cs="宋体"/>
          <w:b/>
          <w:bCs w:val="0"/>
          <w:color w:val="auto"/>
          <w:sz w:val="24"/>
          <w:szCs w:val="24"/>
          <w:highlight w:val="none"/>
          <w:lang w:val="en-US" w:eastAsia="zh-CN"/>
        </w:rPr>
        <w:t>本章</w:t>
      </w:r>
      <w:r>
        <w:rPr>
          <w:rFonts w:hint="eastAsia" w:ascii="宋体" w:hAnsi="宋体" w:eastAsia="宋体" w:cs="宋体"/>
          <w:b/>
          <w:bCs w:val="0"/>
          <w:color w:val="auto"/>
          <w:sz w:val="24"/>
          <w:szCs w:val="24"/>
          <w:highlight w:val="none"/>
        </w:rPr>
        <w:t>第</w:t>
      </w: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条被认定为不平衡报价的清单项目，变更工程项目的单价按照本章2.3.2.1的方法调整。</w:t>
      </w:r>
    </w:p>
    <w:p w14:paraId="0F64D3D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（2）已标价工程量清单中没有适用但有类似于变更工程项目的，可在合理范围内参照类似项目的单价。</w:t>
      </w:r>
      <w:r>
        <w:rPr>
          <w:rFonts w:hint="eastAsia" w:ascii="宋体" w:hAnsi="宋体" w:eastAsia="宋体" w:cs="宋体"/>
          <w:b/>
          <w:bCs w:val="0"/>
          <w:color w:val="auto"/>
          <w:sz w:val="24"/>
          <w:szCs w:val="24"/>
          <w:highlight w:val="none"/>
        </w:rPr>
        <w:t>但如果被参考的类似项目属于按照</w:t>
      </w:r>
      <w:r>
        <w:rPr>
          <w:rFonts w:hint="eastAsia" w:ascii="宋体" w:hAnsi="宋体" w:eastAsia="宋体" w:cs="宋体"/>
          <w:b/>
          <w:bCs w:val="0"/>
          <w:color w:val="auto"/>
          <w:sz w:val="24"/>
          <w:szCs w:val="24"/>
          <w:highlight w:val="none"/>
          <w:lang w:val="en-US" w:eastAsia="zh-CN"/>
        </w:rPr>
        <w:t>本章</w:t>
      </w:r>
      <w:r>
        <w:rPr>
          <w:rFonts w:hint="eastAsia" w:ascii="宋体" w:hAnsi="宋体" w:eastAsia="宋体" w:cs="宋体"/>
          <w:b/>
          <w:bCs w:val="0"/>
          <w:color w:val="auto"/>
          <w:sz w:val="24"/>
          <w:szCs w:val="24"/>
          <w:highlight w:val="none"/>
        </w:rPr>
        <w:t>第</w:t>
      </w: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条被认定为不平衡报价的清单项目，变更工程项目的单价按照本章2.3.2.1的方法调整。</w:t>
      </w:r>
    </w:p>
    <w:p w14:paraId="42433A3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2B76961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中标下浮率=[1-（中标价-中标绿色施工安全防护措施费-暂列金额-暂估价）/（</w:t>
      </w:r>
      <w:r>
        <w:rPr>
          <w:rFonts w:hint="eastAsia" w:ascii="宋体" w:hAnsi="宋体" w:eastAsia="宋体" w:cs="宋体"/>
          <w:bCs/>
          <w:color w:val="auto"/>
          <w:sz w:val="24"/>
          <w:szCs w:val="24"/>
          <w:highlight w:val="none"/>
          <w:lang w:eastAsia="zh-CN"/>
        </w:rPr>
        <w:t>最高投标限价</w:t>
      </w:r>
      <w:r>
        <w:rPr>
          <w:rFonts w:hint="eastAsia" w:ascii="宋体" w:hAnsi="宋体" w:eastAsia="宋体" w:cs="宋体"/>
          <w:bCs/>
          <w:color w:val="auto"/>
          <w:sz w:val="24"/>
          <w:szCs w:val="24"/>
          <w:highlight w:val="none"/>
        </w:rPr>
        <w:t>-控制价绿色施工安全防护措施费-暂列金额-暂估价）]×100%</w:t>
      </w:r>
    </w:p>
    <w:p w14:paraId="18EC774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4BCA824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2.3.3.2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E3BB0F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（1）绿色施工安全防护措施费应按照实际发生变化的措施项目计算。</w:t>
      </w:r>
    </w:p>
    <w:p w14:paraId="6AC7281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（2）采用单价计算的措施项目费，应按照实际发生变化的措施项目，按本章第2.3.3.1子目的规定确定单价。</w:t>
      </w:r>
    </w:p>
    <w:p w14:paraId="53506F8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（3）按总价或系数计算的措施项目费，应按照实际发生变化的措施项目费调整并考虑中标下浮率因素，即调整金额＝按照实际变化调整后的金额×（1-中标下浮率）。</w:t>
      </w:r>
    </w:p>
    <w:p w14:paraId="5EAEB0C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如果承包人未事先将拟实施的方案提交发包人确认，视为工程变更不引起措施项目费的调整或承包人放弃调整措施项目费的权利。</w:t>
      </w:r>
    </w:p>
    <w:p w14:paraId="06B9469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2.3.3.3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1196E8A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 项目特征不符</w:t>
      </w:r>
    </w:p>
    <w:p w14:paraId="427A543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2.3.3目相关条款的规定重新确定相应工程量清单项目的综合单价，并调整合同价款。</w:t>
      </w:r>
    </w:p>
    <w:p w14:paraId="28F4D30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2.3.5 招标工程量清单缺项</w:t>
      </w:r>
    </w:p>
    <w:p w14:paraId="62C7A77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2.3.5.1 合同履行期间，由于招标工程量清单中缺项，新增分部分项工程清单项目，应按照本章第2.3.3.1子目的规定确定单价，并调整合同价款。</w:t>
      </w:r>
    </w:p>
    <w:p w14:paraId="179CA84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2.3.5.2 新增分部分项工程清单项目后，引起措施项目发生变化的，应按照本章第2.3.3.2子目的规定，在承包人提交的实施方案被发包人批准后调整合同价款。</w:t>
      </w:r>
    </w:p>
    <w:p w14:paraId="68750C8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2.3.5.3 由于招标工程量清单中措施项目缺项，承包人应将新增措施项目实施方案提交发包人批准后，按照本章第2.3.3.1子目、第2.3.3.2子目的规定调整合同价款。</w:t>
      </w:r>
    </w:p>
    <w:p w14:paraId="3F8DD26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2.3.6 物价变化：</w:t>
      </w:r>
    </w:p>
    <w:p w14:paraId="59A6098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2.3.6.1 合同履行期间，项目所在地工程造价管理机构发布的动态人工调整系数发生变化时，如果承包人投标报价中人工费（以下简称“中标人工费”）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0CCA077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结算人工费＝中标人工费×F1</w:t>
      </w:r>
    </w:p>
    <w:p w14:paraId="57D8504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式中，F1为施工当月项目所在地工程造价管理机构发布的动态人工调整系数。</w:t>
      </w:r>
    </w:p>
    <w:p w14:paraId="4CC9EDE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2.3.6.2 本招标项目约定，材料、工程设备单价涨跌风险幅度值A为</w:t>
      </w:r>
      <w:r>
        <w:rPr>
          <w:rFonts w:hint="eastAsia" w:ascii="宋体" w:hAnsi="宋体" w:eastAsia="宋体" w:cs="宋体"/>
          <w:bCs/>
          <w:color w:val="auto"/>
          <w:sz w:val="24"/>
          <w:szCs w:val="24"/>
          <w:highlight w:val="none"/>
          <w:u w:val="single"/>
        </w:rPr>
        <w:t xml:space="preserve"> 5% </w:t>
      </w:r>
      <w:r>
        <w:rPr>
          <w:rFonts w:hint="eastAsia" w:ascii="宋体" w:hAnsi="宋体" w:eastAsia="宋体" w:cs="宋体"/>
          <w:bCs/>
          <w:color w:val="auto"/>
          <w:sz w:val="24"/>
          <w:szCs w:val="24"/>
          <w:highlight w:val="none"/>
        </w:rPr>
        <w:t>。合同履行期间，当《发包人提供材料和工程设备一览表》（详见招标工程量清单）中的材料、工程设备(仅指仅限于钢筋、商品砼、水泥、砂、石、商品砂浆)单价涨跌幅度等于或低于A值时，该材料、工程设备单价不予调整；超过A值时，其超过部分可以调整。相关费用按有关规定进行相应调整。</w:t>
      </w:r>
    </w:p>
    <w:p w14:paraId="1616E67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a．如果承包人投标报价中材料、工程设备单价（以下简称“中标单价”）低于</w:t>
      </w:r>
      <w:r>
        <w:rPr>
          <w:rFonts w:hint="eastAsia" w:ascii="宋体" w:hAnsi="宋体" w:eastAsia="宋体" w:cs="宋体"/>
          <w:bCs/>
          <w:color w:val="auto"/>
          <w:sz w:val="24"/>
          <w:szCs w:val="24"/>
          <w:highlight w:val="none"/>
          <w:lang w:val="en-US" w:eastAsia="zh-CN"/>
        </w:rPr>
        <w:t>基准日当月</w:t>
      </w:r>
      <w:r>
        <w:rPr>
          <w:rFonts w:hint="eastAsia" w:ascii="宋体" w:hAnsi="宋体" w:eastAsia="宋体" w:cs="宋体"/>
          <w:bCs/>
          <w:color w:val="auto"/>
          <w:sz w:val="24"/>
          <w:szCs w:val="24"/>
          <w:highlight w:val="none"/>
        </w:rPr>
        <w:t>项目所在地工程造价管理机构发布的对应材料、工程设备单价（以下简称“基准单价”），该材料、工程设备的结算单价调整公式为：</w:t>
      </w:r>
    </w:p>
    <w:p w14:paraId="503C2D2A">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25" o:spt="75" type="#_x0000_t75" style="height:33.95pt;width:200.95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14:paraId="78B0332D">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position w:val="-30"/>
          <w:szCs w:val="24"/>
          <w:highlight w:val="none"/>
        </w:rPr>
        <w:object>
          <v:shape id="_x0000_i1026" o:spt="75" type="#_x0000_t75" style="height:33.95pt;width:198.95pt;" o:ole="t" filled="f" stroked="f" coordsize="21600,21600">
            <v:path/>
            <v:fill on="f" focussize="0,0"/>
            <v:stroke on="f"/>
            <v:imagedata r:id="rId16" o:title=""/>
            <o:lock v:ext="edit" grouping="f" rotation="f" text="f" aspectratio="t"/>
            <w10:wrap type="none"/>
            <w10:anchorlock/>
          </v:shape>
          <o:OLEObject Type="Embed" ProgID="Equation.KSEE3" ShapeID="_x0000_i1026" DrawAspect="Content" ObjectID="_1468075726" r:id="rId15">
            <o:LockedField>false</o:LockedField>
          </o:OLEObject>
        </w:object>
      </w:r>
    </w:p>
    <w:p w14:paraId="5192F6C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b．如果中标单价高于基准单价，该材料、工程设备的结算单价调整公式为：</w:t>
      </w:r>
    </w:p>
    <w:p w14:paraId="5E452633">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27" o:spt="75" type="#_x0000_t75" style="height:33.95pt;width:198.95pt;" o:ole="t" filled="f" stroked="f" coordsize="21600,21600">
            <v:path/>
            <v:fill on="f" focussize="0,0"/>
            <v:stroke on="f"/>
            <v:imagedata r:id="rId18" o:title=""/>
            <o:lock v:ext="edit" grouping="f" rotation="f" text="f" aspectratio="t"/>
            <w10:wrap type="none"/>
            <w10:anchorlock/>
          </v:shape>
          <o:OLEObject Type="Embed" ProgID="Equation.KSEE3" ShapeID="_x0000_i1027" DrawAspect="Content" ObjectID="_1468075727" r:id="rId17">
            <o:LockedField>false</o:LockedField>
          </o:OLEObject>
        </w:object>
      </w:r>
    </w:p>
    <w:p w14:paraId="4457978B">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position w:val="-30"/>
          <w:szCs w:val="24"/>
          <w:highlight w:val="none"/>
        </w:rPr>
        <w:object>
          <v:shape id="_x0000_i1028" o:spt="75" type="#_x0000_t75" style="height:33.95pt;width:200.95pt;" o:ole="t" filled="f" stroked="f" coordsize="21600,21600">
            <v:path/>
            <v:fill on="f" focussize="0,0"/>
            <v:stroke on="f"/>
            <v:imagedata r:id="rId20" o:title=""/>
            <o:lock v:ext="edit" grouping="f" rotation="f" text="f" aspectratio="t"/>
            <w10:wrap type="none"/>
            <w10:anchorlock/>
          </v:shape>
          <o:OLEObject Type="Embed" ProgID="Equation.KSEE3" ShapeID="_x0000_i1028" DrawAspect="Content" ObjectID="_1468075728" r:id="rId19">
            <o:LockedField>false</o:LockedField>
          </o:OLEObject>
        </w:object>
      </w:r>
    </w:p>
    <w:p w14:paraId="0FBBC76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c．如果中标单价等于基准单价，该材料、工程设备的结算单价调整公式为：</w:t>
      </w:r>
    </w:p>
    <w:p w14:paraId="7ED6C402">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29" o:spt="75" type="#_x0000_t75" style="height:33.95pt;width:200.95pt;" o:ole="t" filled="f" stroked="f" coordsize="21600,21600">
            <v:path/>
            <v:fill on="f" focussize="0,0"/>
            <v:stroke on="f"/>
            <v:imagedata r:id="rId22" o:title=""/>
            <o:lock v:ext="edit" grouping="f" rotation="f" text="f" aspectratio="t"/>
            <w10:wrap type="none"/>
            <w10:anchorlock/>
          </v:shape>
          <o:OLEObject Type="Embed" ProgID="Equation.KSEE3" ShapeID="_x0000_i1029" DrawAspect="Content" ObjectID="_1468075729" r:id="rId21">
            <o:LockedField>false</o:LockedField>
          </o:OLEObject>
        </w:object>
      </w:r>
    </w:p>
    <w:p w14:paraId="1431A812">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position w:val="-30"/>
          <w:szCs w:val="24"/>
          <w:highlight w:val="none"/>
        </w:rPr>
        <w:object>
          <v:shape id="_x0000_i1030" o:spt="75" type="#_x0000_t75" style="height:33.95pt;width:200.95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0" DrawAspect="Content" ObjectID="_1468075730" r:id="rId23">
            <o:LockedField>false</o:LockedField>
          </o:OLEObject>
        </w:object>
      </w:r>
    </w:p>
    <w:p w14:paraId="294CCFD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以上公式中，F1为中标单价；F0为基准单价；F2为施工当月项目所在地工程造价管理机构发布的材料、工程设备单价；A为合同约定的材料、工程设备单价涨跌风险幅度值。</w:t>
      </w:r>
    </w:p>
    <w:p w14:paraId="3A37FC9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2.3.6.3 合同履行期间，当《发包人提供材料和工程设备一览表》（详见招标工程量清单）中的材料、工程设备(仅指仅限于钢筋、商品砼、水泥、砂、石、商品砂浆)单价发生变化时，由发包人按照实际变化调整，并列入合同价款。</w:t>
      </w:r>
    </w:p>
    <w:p w14:paraId="5337919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2.3.6.4 本招标项目约定，施工机具台班单价涨跌风险幅度值B为</w:t>
      </w:r>
      <w:r>
        <w:rPr>
          <w:rFonts w:hint="eastAsia" w:ascii="宋体" w:hAnsi="宋体" w:eastAsia="宋体" w:cs="宋体"/>
          <w:bCs/>
          <w:color w:val="auto"/>
          <w:sz w:val="24"/>
          <w:szCs w:val="24"/>
          <w:highlight w:val="none"/>
          <w:u w:val="single"/>
        </w:rPr>
        <w:t xml:space="preserve"> 10% </w:t>
      </w:r>
      <w:r>
        <w:rPr>
          <w:rFonts w:hint="eastAsia" w:ascii="宋体" w:hAnsi="宋体" w:eastAsia="宋体" w:cs="宋体"/>
          <w:bCs/>
          <w:color w:val="auto"/>
          <w:sz w:val="24"/>
          <w:szCs w:val="24"/>
          <w:highlight w:val="none"/>
        </w:rPr>
        <w:t>。合同履行期间，当施工机具台班单价涨跌幅度等于或低于B值时，该施工机具台班单价不予调整；超过B值时，其超过部分可以调整。相关费用按有关规定进行相应调整。</w:t>
      </w:r>
    </w:p>
    <w:p w14:paraId="1BDD240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a．如果承包人投标报价中施工机具台班单价（以下简称“中标单价”）低于</w:t>
      </w:r>
      <w:r>
        <w:rPr>
          <w:rFonts w:hint="eastAsia" w:ascii="宋体" w:hAnsi="宋体" w:eastAsia="宋体" w:cs="宋体"/>
          <w:bCs/>
          <w:color w:val="auto"/>
          <w:sz w:val="24"/>
          <w:szCs w:val="24"/>
          <w:highlight w:val="none"/>
          <w:lang w:val="en-US" w:eastAsia="zh-CN"/>
        </w:rPr>
        <w:t>基准日当月</w:t>
      </w:r>
      <w:r>
        <w:rPr>
          <w:rFonts w:hint="eastAsia" w:ascii="宋体" w:hAnsi="宋体" w:eastAsia="宋体" w:cs="宋体"/>
          <w:bCs/>
          <w:color w:val="auto"/>
          <w:sz w:val="24"/>
          <w:szCs w:val="24"/>
          <w:highlight w:val="none"/>
        </w:rPr>
        <w:t>项目所在地工程造价管理机构发布的对应施工机具台班单价（以下简称“基准单价”），该施工机具台班的结算单价调整公式为：</w:t>
      </w:r>
    </w:p>
    <w:p w14:paraId="7EADBCAD">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31" o:spt="75" type="#_x0000_t75" style="height:33.95pt;width:200.95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1" DrawAspect="Content" ObjectID="_1468075731" r:id="rId25">
            <o:LockedField>false</o:LockedField>
          </o:OLEObject>
        </w:object>
      </w:r>
    </w:p>
    <w:p w14:paraId="788DC442">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position w:val="-30"/>
          <w:szCs w:val="24"/>
          <w:highlight w:val="none"/>
        </w:rPr>
        <w:object>
          <v:shape id="_x0000_i1032" o:spt="75" type="#_x0000_t75" style="height:33.95pt;width:198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2" DrawAspect="Content" ObjectID="_1468075732" r:id="rId27">
            <o:LockedField>false</o:LockedField>
          </o:OLEObject>
        </w:object>
      </w:r>
    </w:p>
    <w:p w14:paraId="7CF561C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b．如果中标单价高于基准单价，该施工机具台班的结算单价调整公式为：</w:t>
      </w:r>
    </w:p>
    <w:p w14:paraId="64DDEEF9">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33" o:spt="75" type="#_x0000_t75" style="height:33.95pt;width:198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3" DrawAspect="Content" ObjectID="_1468075733" r:id="rId29">
            <o:LockedField>false</o:LockedField>
          </o:OLEObject>
        </w:object>
      </w:r>
    </w:p>
    <w:p w14:paraId="6D181EA7">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szCs w:val="24"/>
          <w:highlight w:val="none"/>
        </w:rPr>
        <w:t>，</w:t>
      </w:r>
      <w:r>
        <w:rPr>
          <w:rFonts w:ascii="Times New Roman"/>
          <w:snapToGrid w:val="0"/>
          <w:color w:val="auto"/>
          <w:kern w:val="0"/>
          <w:position w:val="-30"/>
          <w:szCs w:val="24"/>
          <w:highlight w:val="none"/>
        </w:rPr>
        <w:object>
          <v:shape id="_x0000_i1034"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4" DrawAspect="Content" ObjectID="_1468075734" r:id="rId31">
            <o:LockedField>false</o:LockedField>
          </o:OLEObject>
        </w:object>
      </w:r>
    </w:p>
    <w:p w14:paraId="36C635E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c．如果中标单价等于基准单价，该施工机具台班的结算单价调整公式为：</w:t>
      </w:r>
    </w:p>
    <w:p w14:paraId="3FDBB0CE">
      <w:pPr>
        <w:wordWrap w:val="0"/>
        <w:adjustRightInd w:val="0"/>
        <w:snapToGri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涨价时，</w:t>
      </w:r>
      <w:r>
        <w:rPr>
          <w:rFonts w:ascii="Times New Roman"/>
          <w:snapToGrid w:val="0"/>
          <w:color w:val="auto"/>
          <w:kern w:val="0"/>
          <w:position w:val="-30"/>
          <w:szCs w:val="24"/>
          <w:highlight w:val="none"/>
        </w:rPr>
        <w:object>
          <v:shape id="_x0000_i1035" o:spt="75" type="#_x0000_t75" style="height:33.95pt;width:200.95pt;" o:ole="t" filled="f" o:preferrelative="t" stroked="f" coordsize="21600,21600">
            <v:path/>
            <v:fill on="f" focussize="0,0"/>
            <v:stroke on="f"/>
            <v:imagedata r:id="rId34" o:title=""/>
            <o:lock v:ext="edit" grouping="f" rotation="f" text="f" aspectratio="t"/>
            <w10:wrap type="none"/>
            <w10:anchorlock/>
          </v:shape>
          <o:OLEObject Type="Embed" ProgID="Equation.KSEE3" ShapeID="_x0000_i1035" DrawAspect="Content" ObjectID="_1468075735" r:id="rId33">
            <o:LockedField>false</o:LockedField>
          </o:OLEObject>
        </w:object>
      </w:r>
    </w:p>
    <w:p w14:paraId="256FD586">
      <w:pPr>
        <w:wordWrap w:val="0"/>
        <w:adjustRightInd w:val="0"/>
        <w:spacing w:before="360" w:beforeLines="150" w:after="240" w:afterLines="100" w:line="440" w:lineRule="exact"/>
        <w:ind w:firstLine="480" w:firstLineChars="200"/>
        <w:rPr>
          <w:rFonts w:ascii="Times New Roman"/>
          <w:snapToGrid w:val="0"/>
          <w:color w:val="auto"/>
          <w:kern w:val="0"/>
          <w:szCs w:val="24"/>
          <w:highlight w:val="none"/>
        </w:rPr>
      </w:pPr>
      <w:r>
        <w:rPr>
          <w:rFonts w:hint="eastAsia" w:ascii="宋体" w:hAnsi="宋体" w:eastAsia="宋体" w:cs="宋体"/>
          <w:bCs/>
          <w:color w:val="auto"/>
          <w:sz w:val="24"/>
          <w:szCs w:val="24"/>
          <w:highlight w:val="none"/>
        </w:rPr>
        <w:t>跌价时，</w:t>
      </w:r>
      <w:r>
        <w:rPr>
          <w:rFonts w:ascii="Times New Roman"/>
          <w:snapToGrid w:val="0"/>
          <w:color w:val="auto"/>
          <w:kern w:val="0"/>
          <w:position w:val="-30"/>
          <w:szCs w:val="24"/>
          <w:highlight w:val="none"/>
        </w:rPr>
        <w:object>
          <v:shape id="_x0000_i1036" o:spt="75" type="#_x0000_t75" style="height:33.95pt;width:200.95pt;" o:ole="t" filled="f" o:preferrelative="t" stroked="f" coordsize="21600,21600">
            <v:path/>
            <v:fill on="f" focussize="0,0"/>
            <v:stroke on="f"/>
            <v:imagedata r:id="rId36" o:title=""/>
            <o:lock v:ext="edit" grouping="f" rotation="f" text="f" aspectratio="t"/>
            <w10:wrap type="none"/>
            <w10:anchorlock/>
          </v:shape>
          <o:OLEObject Type="Embed" ProgID="Equation.KSEE3" ShapeID="_x0000_i1036" DrawAspect="Content" ObjectID="_1468075736" r:id="rId35">
            <o:LockedField>false</o:LockedField>
          </o:OLEObject>
        </w:object>
      </w:r>
    </w:p>
    <w:p w14:paraId="0A06284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以上公式中，F1为中标单价；F0为基准单价；F2为施工当月项目所在地工程造价管理机构发布的施工机具台班单价；B为合同约定的施工机具台班单价涨跌风险幅度值。</w:t>
      </w:r>
    </w:p>
    <w:p w14:paraId="313BDD6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2.3.7 暂估价和暂列金额</w:t>
      </w:r>
    </w:p>
    <w:p w14:paraId="0E49803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2.3.7.1 暂估价项目按第</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章“</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投标人须知正文”第</w:t>
      </w:r>
      <w:r>
        <w:rPr>
          <w:rFonts w:hint="eastAsia" w:ascii="宋体" w:hAnsi="宋体" w:eastAsia="宋体" w:cs="宋体"/>
          <w:bCs/>
          <w:color w:val="auto"/>
          <w:sz w:val="24"/>
          <w:szCs w:val="24"/>
          <w:highlight w:val="none"/>
          <w:lang w:val="en-US" w:eastAsia="zh-CN"/>
        </w:rPr>
        <w:t>14.2</w:t>
      </w:r>
      <w:r>
        <w:rPr>
          <w:rFonts w:hint="eastAsia" w:ascii="宋体" w:hAnsi="宋体" w:eastAsia="宋体" w:cs="宋体"/>
          <w:bCs/>
          <w:color w:val="auto"/>
          <w:sz w:val="24"/>
          <w:szCs w:val="24"/>
          <w:highlight w:val="none"/>
        </w:rPr>
        <w:t>条的规定确定专业工程承包人（或材料供应商、工程设备供应商）后，将专业工程合同价款（或材料单价、工程设备单价）取代相应暂估价，并调整合同价款。</w:t>
      </w:r>
    </w:p>
    <w:p w14:paraId="5FEC068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2.3.7.2 暂列金额由发包人掌握和使用。暂列金额项目若有发生，按第</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章“</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投标人须知正文”第</w:t>
      </w:r>
      <w:r>
        <w:rPr>
          <w:rFonts w:hint="eastAsia" w:ascii="宋体" w:hAnsi="宋体" w:eastAsia="宋体" w:cs="宋体"/>
          <w:bCs/>
          <w:color w:val="auto"/>
          <w:sz w:val="24"/>
          <w:szCs w:val="24"/>
          <w:highlight w:val="none"/>
          <w:lang w:val="en-US" w:eastAsia="zh-CN"/>
        </w:rPr>
        <w:t>14.3</w:t>
      </w:r>
      <w:r>
        <w:rPr>
          <w:rFonts w:hint="eastAsia" w:ascii="宋体" w:hAnsi="宋体" w:eastAsia="宋体" w:cs="宋体"/>
          <w:bCs/>
          <w:color w:val="auto"/>
          <w:sz w:val="24"/>
          <w:szCs w:val="24"/>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5B204F7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2.3.8 预算包干费按照分部分项的人工费与施工机具费之和及投标费率计取。本招标项目的预算包干费内容包括：</w:t>
      </w:r>
    </w:p>
    <w:p w14:paraId="1664AE9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土建与装饰装修工程预算包干内容包括： 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w:t>
      </w:r>
    </w:p>
    <w:p w14:paraId="75CD88B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市政工程预算包干内容包括：施工雨(污)水的排除、因地形影响造成的场内料具二次运输、施工材料堆放场地的整理、施工中的临时停水停电、基础埋深2m以内挖土方的塌方、日间照明施工增加费(不包括地下室和特殊工程)、完工清场后的垃圾外运、地上(地下)设施，建筑物的临时保护设施费和二次加工基地设施费、雨季施工增加费、己完工程及设备保护等。</w:t>
      </w:r>
    </w:p>
    <w:p w14:paraId="2E5F63F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园林绿化工程预算包干内容包括：施工雨(污)水的排除；场内料具二次运输；树穴内的泥浆清除；工程用水加压措施；施工材料堆放场地的整理；工程成品的保护；施工中的临时停水停电；日间施工照明增加费；完工后的场地清理。</w:t>
      </w:r>
    </w:p>
    <w:p w14:paraId="5DF733E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安装工程预算包干内容包括：施工雨(污)水的排除、因地形影响造成的场内料具二次运输、20m高以下的工程用水加压措施、施工材料堆放场地的整理、机电安装后的补洞(槽)工料费、工程成品保护费、施工中的临时停水停电、基础埋深2m以内挖土方的塌方、日间照明施工增加费(不包括地下室和特殊工程)、完工清场后的垃圾外运等。</w:t>
      </w:r>
    </w:p>
    <w:p w14:paraId="2D2E9C9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对于以上预算包干内容，承包人不得提出额外付款或延长工期等要求。对此类要求，发包人不作任何考虑及答复。</w:t>
      </w:r>
    </w:p>
    <w:p w14:paraId="7EBBAFE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2.3.9其余事项（如不可抗力、索赔、现场签证等）的调整原则按照</w:t>
      </w:r>
      <w:r>
        <w:rPr>
          <w:rFonts w:hint="eastAsia" w:ascii="宋体" w:hAnsi="宋体" w:eastAsia="宋体" w:cs="宋体"/>
          <w:bCs/>
          <w:color w:val="auto"/>
          <w:sz w:val="24"/>
          <w:szCs w:val="24"/>
          <w:highlight w:val="none"/>
          <w:lang w:val="en-US" w:eastAsia="zh-CN"/>
        </w:rPr>
        <w:t>本招标文件</w:t>
      </w:r>
      <w:r>
        <w:rPr>
          <w:rFonts w:hint="eastAsia" w:ascii="宋体" w:hAnsi="宋体" w:eastAsia="宋体" w:cs="宋体"/>
          <w:bCs/>
          <w:color w:val="auto"/>
          <w:sz w:val="24"/>
          <w:szCs w:val="24"/>
          <w:highlight w:val="none"/>
        </w:rPr>
        <w:t>及《建设工程工程量清单计价标准》（GB/T50500—2024）等有关规定执行。</w:t>
      </w:r>
    </w:p>
    <w:p w14:paraId="65EE244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凡将引起合同价款调增的事项，承包人必须于拟实施14天前，将详细的报价书（含拟实施项目名称、变更部位、理由、预计造价等）报监理单位审核和发包人批准后方可实施。</w:t>
      </w:r>
    </w:p>
    <w:p w14:paraId="2EF4236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 承包人不得以不完全了解现场情况为理由，提出额外付款或延长工期等要求。对此类要求，发包人不作任何考虑及答复。</w:t>
      </w:r>
    </w:p>
    <w:p w14:paraId="7771AE3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 承包人已标价工程量清单中漏报、错报或少报的清单项目，其价格均视为已经包含在其它清单项目中，竣工结算时不得重新组价和调整。</w:t>
      </w:r>
    </w:p>
    <w:p w14:paraId="7E5B95B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 工程完工后，发、承包双方和受其委托具备相应资质的工程造价咨询单位必须按照《建设工程工程量清单计价标准》（GB/T50500—2024）和国家、省、市的有关规定办理竣工结算。</w:t>
      </w:r>
    </w:p>
    <w:p w14:paraId="79F9A5C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611F17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2.9 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7EFC249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1E3CE37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．工程付款办法</w:t>
      </w:r>
    </w:p>
    <w:p w14:paraId="06C0E2E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.1本招标项目</w:t>
      </w:r>
      <w:r>
        <w:rPr>
          <w:rFonts w:hint="eastAsia" w:ascii="宋体" w:hAnsi="宋体" w:eastAsia="宋体" w:cs="宋体"/>
          <w:bCs/>
          <w:color w:val="auto"/>
          <w:sz w:val="24"/>
          <w:szCs w:val="24"/>
          <w:highlight w:val="none"/>
          <w:u w:val="single"/>
        </w:rPr>
        <w:t xml:space="preserve"> 支付 </w:t>
      </w:r>
      <w:r>
        <w:rPr>
          <w:rFonts w:hint="eastAsia" w:ascii="宋体" w:hAnsi="宋体" w:eastAsia="宋体" w:cs="宋体"/>
          <w:bCs/>
          <w:color w:val="auto"/>
          <w:sz w:val="24"/>
          <w:szCs w:val="24"/>
          <w:highlight w:val="none"/>
        </w:rPr>
        <w:t>施工预付款。</w:t>
      </w:r>
    </w:p>
    <w:p w14:paraId="17993C7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施工预付款必须专用于合同工程，并按以下原则支付和抵扣：</w:t>
      </w:r>
    </w:p>
    <w:p w14:paraId="18A1FD7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3.2.1 施工预付款支付比例为：按施工合同价（暂列金额、绿色施工安全防护措施费除外）的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 xml:space="preserve">0% </w:t>
      </w:r>
      <w:r>
        <w:rPr>
          <w:rFonts w:hint="eastAsia" w:ascii="宋体" w:hAnsi="宋体" w:eastAsia="宋体" w:cs="宋体"/>
          <w:bCs/>
          <w:color w:val="auto"/>
          <w:sz w:val="24"/>
          <w:szCs w:val="24"/>
          <w:highlight w:val="none"/>
        </w:rPr>
        <w:t>支付，其中按施工合同价的1.5%金额作为人工费用预付款一次性拨付到工资专用账户。</w:t>
      </w:r>
    </w:p>
    <w:p w14:paraId="6EBDEC8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3.2.2 本招标项目</w:t>
      </w:r>
      <w:r>
        <w:rPr>
          <w:rFonts w:hint="eastAsia" w:ascii="宋体" w:hAnsi="宋体" w:eastAsia="宋体" w:cs="宋体"/>
          <w:bCs/>
          <w:color w:val="auto"/>
          <w:sz w:val="24"/>
          <w:szCs w:val="24"/>
          <w:highlight w:val="none"/>
          <w:u w:val="single"/>
        </w:rPr>
        <w:t xml:space="preserve"> 要求 </w:t>
      </w:r>
      <w:r>
        <w:rPr>
          <w:rFonts w:hint="eastAsia" w:ascii="宋体" w:hAnsi="宋体" w:eastAsia="宋体" w:cs="宋体"/>
          <w:bCs/>
          <w:color w:val="auto"/>
          <w:sz w:val="24"/>
          <w:szCs w:val="24"/>
          <w:highlight w:val="none"/>
        </w:rPr>
        <w:t>承包人提供与预付款等额的预付款保函（预付款保函格式按《住房和城乡建设部关于印发工程保函示范文本的通知》（建市〔2021〕11号）执行，为不可撤销、不可转让的见索即付独立保函，且不得有任何附加条件）或预付款保险，且预付款保函期限原则上不少于总工期的一半，承包单位的预付款保函有效期应保证在扣回预付款前有效，未扣回预付款但保函或保险过期的承包人应重新开具预付款保函或预付款保险。</w:t>
      </w:r>
    </w:p>
    <w:p w14:paraId="4BD96D1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3.2.3 承包人应在签订施工合同后，在提供符合要求的预付款保函或预付款保险及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A9976A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3.2.4 发包人没有按时支付预付款的，承包人可催告发包人支付；发包人在付款期满后的30天内仍未支付的，承包人可在付款期满后的第31天起暂停施工。发包人应向承包人支付应付款的利息（从付款期满后之日起计算，利率按同期银行贷款利率计算），并承担违约责任。</w:t>
      </w:r>
    </w:p>
    <w:p w14:paraId="0A86F2C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3.2.5 预付款应从</w:t>
      </w:r>
      <w:r>
        <w:rPr>
          <w:rFonts w:hint="eastAsia" w:ascii="宋体" w:hAnsi="宋体" w:eastAsia="宋体" w:cs="宋体"/>
          <w:bCs/>
          <w:color w:val="auto"/>
          <w:sz w:val="24"/>
          <w:szCs w:val="24"/>
          <w:highlight w:val="none"/>
          <w:u w:val="single"/>
        </w:rPr>
        <w:t>每支付期应支付给承包人的工程进度款中扣回</w:t>
      </w:r>
      <w:r>
        <w:rPr>
          <w:rFonts w:hint="eastAsia" w:ascii="宋体" w:hAnsi="宋体" w:eastAsia="宋体" w:cs="宋体"/>
          <w:bCs/>
          <w:color w:val="auto"/>
          <w:sz w:val="24"/>
          <w:szCs w:val="24"/>
          <w:highlight w:val="none"/>
        </w:rPr>
        <w:t>，</w:t>
      </w:r>
      <w:r>
        <w:rPr>
          <w:rFonts w:hint="eastAsia" w:ascii="宋体" w:hAnsi="宋体" w:eastAsia="宋体" w:cs="宋体"/>
          <w:b/>
          <w:bCs w:val="0"/>
          <w:color w:val="auto"/>
          <w:sz w:val="24"/>
          <w:szCs w:val="24"/>
          <w:highlight w:val="none"/>
        </w:rPr>
        <w:t>扣回比例为每</w:t>
      </w:r>
      <w:r>
        <w:rPr>
          <w:rFonts w:hint="eastAsia" w:ascii="宋体" w:hAnsi="宋体" w:cs="宋体"/>
          <w:b/>
          <w:bCs w:val="0"/>
          <w:color w:val="auto"/>
          <w:sz w:val="24"/>
          <w:szCs w:val="24"/>
          <w:highlight w:val="none"/>
          <w:lang w:val="en-US" w:eastAsia="zh-CN"/>
        </w:rPr>
        <w:t>季度</w:t>
      </w:r>
      <w:r>
        <w:rPr>
          <w:rFonts w:hint="eastAsia" w:ascii="宋体" w:hAnsi="宋体" w:eastAsia="宋体" w:cs="宋体"/>
          <w:b/>
          <w:bCs w:val="0"/>
          <w:color w:val="auto"/>
          <w:sz w:val="24"/>
          <w:szCs w:val="24"/>
          <w:highlight w:val="none"/>
        </w:rPr>
        <w:t>的工程进度款的</w:t>
      </w:r>
      <w:r>
        <w:rPr>
          <w:rFonts w:hint="eastAsia" w:ascii="宋体" w:hAnsi="宋体" w:eastAsia="宋体" w:cs="宋体"/>
          <w:b/>
          <w:bCs w:val="0"/>
          <w:color w:val="auto"/>
          <w:sz w:val="24"/>
          <w:szCs w:val="24"/>
          <w:highlight w:val="none"/>
          <w:u w:val="single"/>
        </w:rPr>
        <w:t>50%</w:t>
      </w:r>
      <w:r>
        <w:rPr>
          <w:rFonts w:hint="eastAsia" w:ascii="宋体" w:hAnsi="宋体" w:eastAsia="宋体" w:cs="宋体"/>
          <w:bCs/>
          <w:color w:val="auto"/>
          <w:sz w:val="24"/>
          <w:szCs w:val="24"/>
          <w:highlight w:val="none"/>
        </w:rPr>
        <w:t>，直到扣回的金额达到合同约定的预付款金额为止。</w:t>
      </w:r>
    </w:p>
    <w:p w14:paraId="0362BC0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施工过程中按</w:t>
      </w:r>
      <w:r>
        <w:rPr>
          <w:rFonts w:hint="eastAsia" w:ascii="宋体" w:hAnsi="宋体" w:cs="宋体"/>
          <w:bCs/>
          <w:color w:val="auto"/>
          <w:sz w:val="24"/>
          <w:szCs w:val="24"/>
          <w:highlight w:val="none"/>
          <w:lang w:eastAsia="zh-CN"/>
        </w:rPr>
        <w:t>季度支付</w:t>
      </w:r>
      <w:r>
        <w:rPr>
          <w:rFonts w:hint="eastAsia" w:ascii="宋体" w:hAnsi="宋体" w:eastAsia="宋体" w:cs="宋体"/>
          <w:bCs/>
          <w:color w:val="auto"/>
          <w:sz w:val="24"/>
          <w:szCs w:val="24"/>
          <w:highlight w:val="none"/>
        </w:rPr>
        <w:t>工程进度款：承包人每</w:t>
      </w:r>
      <w:r>
        <w:rPr>
          <w:rFonts w:hint="eastAsia" w:ascii="宋体" w:hAnsi="宋体" w:cs="宋体"/>
          <w:bCs/>
          <w:color w:val="auto"/>
          <w:sz w:val="24"/>
          <w:szCs w:val="24"/>
          <w:highlight w:val="none"/>
          <w:lang w:val="en-US" w:eastAsia="zh-CN"/>
        </w:rPr>
        <w:t>季度</w:t>
      </w:r>
      <w:r>
        <w:rPr>
          <w:rFonts w:hint="eastAsia" w:ascii="宋体" w:hAnsi="宋体" w:eastAsia="宋体" w:cs="宋体"/>
          <w:bCs/>
          <w:color w:val="auto"/>
          <w:sz w:val="24"/>
          <w:szCs w:val="24"/>
          <w:highlight w:val="none"/>
        </w:rPr>
        <w:t>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w:t>
      </w:r>
      <w:r>
        <w:rPr>
          <w:rFonts w:hint="eastAsia" w:ascii="宋体" w:hAnsi="宋体" w:cs="宋体"/>
          <w:bCs/>
          <w:color w:val="auto"/>
          <w:sz w:val="24"/>
          <w:szCs w:val="24"/>
          <w:highlight w:val="none"/>
          <w:lang w:eastAsia="zh-CN"/>
        </w:rPr>
        <w:t>季度支付</w:t>
      </w:r>
      <w:r>
        <w:rPr>
          <w:rFonts w:hint="eastAsia" w:ascii="宋体" w:hAnsi="宋体" w:eastAsia="宋体" w:cs="宋体"/>
          <w:bCs/>
          <w:color w:val="auto"/>
          <w:sz w:val="24"/>
          <w:szCs w:val="24"/>
          <w:highlight w:val="none"/>
        </w:rPr>
        <w:t>。</w:t>
      </w:r>
    </w:p>
    <w:p w14:paraId="6327DE4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 每</w:t>
      </w:r>
      <w:r>
        <w:rPr>
          <w:rFonts w:hint="eastAsia" w:ascii="宋体" w:hAnsi="宋体" w:cs="宋体"/>
          <w:bCs/>
          <w:color w:val="auto"/>
          <w:sz w:val="24"/>
          <w:szCs w:val="24"/>
          <w:highlight w:val="none"/>
          <w:lang w:val="en-US" w:eastAsia="zh-CN"/>
        </w:rPr>
        <w:t>季度</w:t>
      </w:r>
      <w:r>
        <w:rPr>
          <w:rFonts w:hint="eastAsia" w:ascii="宋体" w:hAnsi="宋体" w:eastAsia="宋体" w:cs="宋体"/>
          <w:bCs/>
          <w:color w:val="auto"/>
          <w:sz w:val="24"/>
          <w:szCs w:val="24"/>
          <w:highlight w:val="none"/>
        </w:rPr>
        <w:t>的工程进度款按工程实际完成工程量的</w:t>
      </w:r>
      <w:r>
        <w:rPr>
          <w:rFonts w:hint="eastAsia" w:ascii="宋体" w:hAnsi="宋体" w:eastAsia="宋体" w:cs="宋体"/>
          <w:bCs/>
          <w:color w:val="auto"/>
          <w:sz w:val="24"/>
          <w:szCs w:val="24"/>
          <w:highlight w:val="none"/>
          <w:u w:val="single"/>
        </w:rPr>
        <w:t xml:space="preserve"> 80% </w:t>
      </w:r>
      <w:r>
        <w:rPr>
          <w:rFonts w:hint="eastAsia" w:ascii="宋体" w:hAnsi="宋体" w:eastAsia="宋体" w:cs="宋体"/>
          <w:bCs/>
          <w:color w:val="auto"/>
          <w:sz w:val="24"/>
          <w:szCs w:val="24"/>
          <w:highlight w:val="none"/>
        </w:rPr>
        <w:t>支付，工程进度款中的作业工人工资款项由发包人足额拨付到承包人的工资专户。</w:t>
      </w:r>
      <w:r>
        <w:rPr>
          <w:rFonts w:hint="eastAsia" w:ascii="宋体" w:hAnsi="宋体" w:eastAsia="宋体" w:cs="宋体"/>
          <w:b/>
          <w:bCs w:val="0"/>
          <w:color w:val="auto"/>
          <w:sz w:val="24"/>
          <w:szCs w:val="24"/>
          <w:highlight w:val="none"/>
        </w:rPr>
        <w:t>如中标人未申请，作自动放弃当</w:t>
      </w:r>
      <w:r>
        <w:rPr>
          <w:rFonts w:hint="eastAsia" w:ascii="宋体" w:hAnsi="宋体" w:cs="宋体"/>
          <w:b/>
          <w:bCs w:val="0"/>
          <w:color w:val="auto"/>
          <w:sz w:val="24"/>
          <w:szCs w:val="24"/>
          <w:highlight w:val="none"/>
          <w:lang w:val="en-US" w:eastAsia="zh-CN"/>
        </w:rPr>
        <w:t>前季度</w:t>
      </w:r>
      <w:r>
        <w:rPr>
          <w:rFonts w:hint="eastAsia" w:ascii="宋体" w:hAnsi="宋体" w:eastAsia="宋体" w:cs="宋体"/>
          <w:b/>
          <w:bCs w:val="0"/>
          <w:color w:val="auto"/>
          <w:sz w:val="24"/>
          <w:szCs w:val="24"/>
          <w:highlight w:val="none"/>
        </w:rPr>
        <w:t>进度款，列入下期进度款合并申请支付。支付方法：发包人和监理签发进度款支付申请，经</w:t>
      </w:r>
      <w:r>
        <w:rPr>
          <w:rFonts w:hint="eastAsia" w:ascii="宋体" w:hAnsi="宋体" w:cs="宋体"/>
          <w:b/>
          <w:bCs w:val="0"/>
          <w:color w:val="auto"/>
          <w:sz w:val="24"/>
          <w:szCs w:val="24"/>
          <w:highlight w:val="none"/>
          <w:lang w:val="en-US" w:eastAsia="zh-CN"/>
        </w:rPr>
        <w:t>乐昌</w:t>
      </w:r>
      <w:r>
        <w:rPr>
          <w:rFonts w:hint="eastAsia" w:ascii="宋体" w:hAnsi="宋体" w:eastAsia="宋体" w:cs="宋体"/>
          <w:b/>
          <w:bCs w:val="0"/>
          <w:color w:val="auto"/>
          <w:sz w:val="24"/>
          <w:szCs w:val="24"/>
          <w:highlight w:val="none"/>
        </w:rPr>
        <w:t>市财政部门审核后支付。同时根据乐昌市财政局</w:t>
      </w:r>
      <w:r>
        <w:rPr>
          <w:rFonts w:hint="eastAsia" w:ascii="宋体" w:hAnsi="宋体" w:cs="宋体"/>
          <w:b/>
          <w:bCs w:val="0"/>
          <w:color w:val="auto"/>
          <w:sz w:val="24"/>
          <w:szCs w:val="24"/>
          <w:highlight w:val="none"/>
          <w:lang w:val="en-US" w:eastAsia="zh-CN"/>
        </w:rPr>
        <w:t>最新发布的</w:t>
      </w:r>
      <w:r>
        <w:rPr>
          <w:rFonts w:hint="eastAsia" w:ascii="宋体" w:hAnsi="宋体" w:eastAsia="宋体" w:cs="宋体"/>
          <w:b/>
          <w:bCs w:val="0"/>
          <w:color w:val="auto"/>
          <w:sz w:val="24"/>
          <w:szCs w:val="24"/>
          <w:highlight w:val="none"/>
        </w:rPr>
        <w:t>财政投资评审工作</w:t>
      </w:r>
      <w:r>
        <w:rPr>
          <w:rFonts w:hint="eastAsia" w:ascii="宋体" w:hAnsi="宋体" w:cs="宋体"/>
          <w:b/>
          <w:bCs w:val="0"/>
          <w:color w:val="auto"/>
          <w:sz w:val="24"/>
          <w:szCs w:val="24"/>
          <w:highlight w:val="none"/>
          <w:lang w:val="en-US" w:eastAsia="zh-CN"/>
        </w:rPr>
        <w:t>相关</w:t>
      </w:r>
      <w:r>
        <w:rPr>
          <w:rFonts w:hint="eastAsia" w:ascii="宋体" w:hAnsi="宋体" w:eastAsia="宋体" w:cs="宋体"/>
          <w:b/>
          <w:bCs w:val="0"/>
          <w:color w:val="auto"/>
          <w:sz w:val="24"/>
          <w:szCs w:val="24"/>
          <w:highlight w:val="none"/>
        </w:rPr>
        <w:t>文件规定，项目已完工未结算期间，经招标人同意并提供完工证明材料后，报</w:t>
      </w:r>
      <w:r>
        <w:rPr>
          <w:rFonts w:hint="eastAsia" w:ascii="宋体" w:hAnsi="宋体" w:cs="宋体"/>
          <w:b/>
          <w:bCs w:val="0"/>
          <w:color w:val="auto"/>
          <w:sz w:val="24"/>
          <w:szCs w:val="24"/>
          <w:highlight w:val="none"/>
          <w:lang w:val="en-US" w:eastAsia="zh-CN"/>
        </w:rPr>
        <w:t>乐昌</w:t>
      </w:r>
      <w:r>
        <w:rPr>
          <w:rFonts w:hint="eastAsia" w:ascii="宋体" w:hAnsi="宋体" w:eastAsia="宋体" w:cs="宋体"/>
          <w:b/>
          <w:bCs w:val="0"/>
          <w:color w:val="auto"/>
          <w:sz w:val="24"/>
          <w:szCs w:val="24"/>
          <w:highlight w:val="none"/>
        </w:rPr>
        <w:t>市财政局审核后，可按不超过90%原则支付工程进度款。</w:t>
      </w:r>
    </w:p>
    <w:p w14:paraId="7F3384D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 措施项目费中的“绿色施工安全防护措施费”拨付按照《广东省建设工程计价依据（2018）》和《关于调整〈广东省建设工程计价依据2018〉计价规则的通知》（粤标定函〔2025〕22号）等最新规定执行，按照项目所在地的建设行政主管部门有关规定支付。发生一般事故及以上等级重大安全事故的，发包人可扣除承包人金额相当于所有“绿色施工安全防护措施费”的工程管理费。</w:t>
      </w:r>
    </w:p>
    <w:p w14:paraId="46CF573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 变更工程造价必须经监理单位、第三方造价咨询单位或</w:t>
      </w:r>
      <w:r>
        <w:rPr>
          <w:rFonts w:hint="eastAsia" w:ascii="宋体" w:hAnsi="宋体" w:cs="宋体"/>
          <w:bCs/>
          <w:color w:val="auto"/>
          <w:sz w:val="24"/>
          <w:szCs w:val="24"/>
          <w:highlight w:val="none"/>
          <w:lang w:val="en-US" w:eastAsia="zh-CN"/>
        </w:rPr>
        <w:t>乐昌</w:t>
      </w:r>
      <w:r>
        <w:rPr>
          <w:rFonts w:hint="eastAsia" w:ascii="宋体" w:hAnsi="宋体" w:eastAsia="宋体" w:cs="宋体"/>
          <w:bCs/>
          <w:color w:val="auto"/>
          <w:sz w:val="24"/>
          <w:szCs w:val="24"/>
          <w:highlight w:val="none"/>
        </w:rPr>
        <w:t>市财政投资评审中心核实，并经发包人核定后方可支付。</w:t>
      </w:r>
    </w:p>
    <w:p w14:paraId="68FDFA0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3.7结算金额以经发包人委托的第三方造价咨询单位或</w:t>
      </w:r>
      <w:r>
        <w:rPr>
          <w:rFonts w:hint="eastAsia" w:ascii="宋体" w:hAnsi="宋体" w:cs="宋体"/>
          <w:bCs/>
          <w:color w:val="auto"/>
          <w:sz w:val="24"/>
          <w:szCs w:val="24"/>
          <w:highlight w:val="none"/>
          <w:lang w:val="en-US" w:eastAsia="zh-CN"/>
        </w:rPr>
        <w:t>乐昌</w:t>
      </w:r>
      <w:r>
        <w:rPr>
          <w:rFonts w:hint="eastAsia" w:ascii="宋体" w:hAnsi="宋体" w:eastAsia="宋体" w:cs="宋体"/>
          <w:bCs/>
          <w:color w:val="auto"/>
          <w:sz w:val="24"/>
          <w:szCs w:val="24"/>
          <w:highlight w:val="none"/>
        </w:rPr>
        <w:t>市财政投资评审中心审核完成后，于次月支付至审定总造价的97%，剩余3%转为质量保证金；承包人提交了等额质量保证担保或质量保证保险的，于次月一次性结清审定总造价。</w:t>
      </w:r>
    </w:p>
    <w:p w14:paraId="3320972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 本招标项目缺陷责任期为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自通过竣工验收之日起计）。缺陷责任期到期后，承包人向发包人申请退还质量保证金。发包人收到退还申请后，于14天内会同承包人进行核实。经双方核实且均无异议后，发包人在核实之日起14天内将应返保证金（或质量保证担保或质量保证保险）退还承包人。</w:t>
      </w:r>
    </w:p>
    <w:p w14:paraId="55724AA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3.9 发包人每次支付工程款前，承包人均应提供有效的增值税发票。如果承包人无法提供符合要求的发票，由此造成的相应损失由承包人承担。</w:t>
      </w:r>
    </w:p>
    <w:p w14:paraId="2294D1F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3.10 暂列金额支付方式：</w:t>
      </w:r>
      <w:r>
        <w:rPr>
          <w:rFonts w:hint="eastAsia" w:ascii="宋体" w:hAnsi="宋体" w:eastAsia="宋体" w:cs="宋体"/>
          <w:bCs/>
          <w:color w:val="auto"/>
          <w:sz w:val="24"/>
          <w:szCs w:val="24"/>
          <w:highlight w:val="none"/>
          <w:u w:val="single"/>
        </w:rPr>
        <w:t>承包人需根据发包人的要求完善工程变更签证相关程序后，与每期的工程进度款一并报送；若承包人原因未按上述办法在规定时间内完善工程变更签证相关程序的，当期工程进度款暂停拨付。在暂列金额的范围内，最终经发包人委托的第三方造价咨询机构审核、发包人确认后支付至该部分实际完成工程量的50％，工程竣工验收合格后支付至80%，其余部分待结算完成审核后支付至审定造价的97%，剩余3%为工程质量保修金。</w:t>
      </w:r>
    </w:p>
    <w:p w14:paraId="534BF46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3.11 材料暂估价、专业工程暂估价支付方式：</w:t>
      </w:r>
      <w:r>
        <w:rPr>
          <w:rFonts w:hint="eastAsia" w:ascii="宋体" w:hAnsi="宋体" w:eastAsia="宋体" w:cs="宋体"/>
          <w:bCs/>
          <w:color w:val="auto"/>
          <w:sz w:val="24"/>
          <w:szCs w:val="24"/>
          <w:highlight w:val="none"/>
          <w:u w:val="single"/>
        </w:rPr>
        <w:t>材料暂估价、专业工程暂估价与每期的工程进度款一并报送，但需要列明详细项目内容，该部分材料暂估价、专业工程暂估价按该部分实际完成工程量的50%支付，工程竣工验收合格后支付至80%，剩余部分结算完成后支付至审定造价的97%，剩余3%为工程质量保修金。</w:t>
      </w:r>
    </w:p>
    <w:p w14:paraId="4C3ECF4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1C2FFB1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．其他专用合同条款（由招标人根据本工程实际情况和地方政策与中标人自行协商签定相关专用合同条款）</w:t>
      </w:r>
    </w:p>
    <w:p w14:paraId="4A6758D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.1专业工程分包</w:t>
      </w:r>
    </w:p>
    <w:p w14:paraId="74A5E3D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7E589CB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4.2工人工资支付专用账户</w:t>
      </w:r>
    </w:p>
    <w:p w14:paraId="75431A7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4.2.1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18CB481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4.2.2依据人力资源社会保障部等十部门印发的《工程建设领域农民工工资专用账户管理暂行办法》（人社部发〔2021〕53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362D1A8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国家金融监督管理总局韶关监管分局关于印发《韶关市工程建设领域农民工工资保证金管理实施细则》的通知(韶人社规〔2023〕2 号)及《韶关市工程建设领域农民工工资保证金管理实施细则》（韶法审〔2023〕19 号）规定执行。承包人在签订工程施工承包合同后一个月内必须办妥该事项，并将办妥回执交发包人。</w:t>
      </w:r>
    </w:p>
    <w:p w14:paraId="227C536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w:t>
      </w:r>
    </w:p>
    <w:p w14:paraId="71C2D5D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4.2.3 承包人应在工资专户开立后 2 个工作日内，将开户银行及其账号、开户协议等资料提交给发包人。</w:t>
      </w:r>
    </w:p>
    <w:p w14:paraId="4CAA6ED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（1）用人单位应当在建设项目动工前，在建设项目所在地商业银行设立工人工资支付专用账户。</w:t>
      </w:r>
    </w:p>
    <w:p w14:paraId="17D044A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（2）用人单位应当在用工之日起 15 日内为每一位工人办理个人银行账户。</w:t>
      </w:r>
    </w:p>
    <w:p w14:paraId="6D68175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（3）用人单位应当指定专人负责建设项目施工现场台账管理，真实、准确记录工人名册、劳务合同、劳动合同、工程进度、工时台账、劳务承包款和工人工资支付等信息，并保存两年以上备查。</w:t>
      </w:r>
    </w:p>
    <w:p w14:paraId="4A77A20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用人单位应当按照“及时支付，按实结算”的原则，在规定日期前通过银行工人工资支付专用账户将工人工资直接支付到工人的个人银行账户，并按月将工人工资支付明细表报施工总承包单位和建设单位备案。用人单位未建立、保存用工管理台账，或者伪造相关台账的，按照《广东省劳动保障监察条例》第五十条的规定，由人力资源社会保障部门责令改正，并可处以二千元以上二万元以下的人民币罚款。</w:t>
      </w:r>
    </w:p>
    <w:p w14:paraId="0246FDE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4.2.4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1FC1663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4.3诚信登记</w:t>
      </w:r>
    </w:p>
    <w:p w14:paraId="36EC60B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根据资质管理规定，许可机关应当建立、健全建筑业企业信用档案管理制度，包括企业基本信息、资质、业绩、工程质量和安全、合同履约、社会投诉和违法行为等情况。</w:t>
      </w:r>
    </w:p>
    <w:p w14:paraId="6D1874E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4.4工期进度</w:t>
      </w:r>
    </w:p>
    <w:p w14:paraId="5B61078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4.4.1本招标项目招标工期为</w:t>
      </w:r>
      <w:r>
        <w:rPr>
          <w:rFonts w:hint="eastAsia" w:ascii="宋体" w:hAnsi="宋体" w:eastAsia="宋体" w:cs="宋体"/>
          <w:bCs/>
          <w:color w:val="auto"/>
          <w:sz w:val="24"/>
          <w:szCs w:val="24"/>
          <w:highlight w:val="none"/>
          <w:u w:val="single"/>
          <w:lang w:eastAsia="zh-CN"/>
        </w:rPr>
        <w:t>365</w:t>
      </w:r>
      <w:r>
        <w:rPr>
          <w:rFonts w:hint="eastAsia" w:ascii="宋体" w:hAnsi="宋体" w:eastAsia="宋体" w:cs="宋体"/>
          <w:bCs/>
          <w:color w:val="auto"/>
          <w:sz w:val="24"/>
          <w:szCs w:val="24"/>
          <w:highlight w:val="none"/>
          <w:u w:val="none"/>
          <w:lang w:eastAsia="zh-CN"/>
        </w:rPr>
        <w:t>个日历天</w:t>
      </w:r>
      <w:r>
        <w:rPr>
          <w:rFonts w:hint="eastAsia" w:ascii="宋体" w:hAnsi="宋体" w:eastAsia="宋体" w:cs="宋体"/>
          <w:bCs/>
          <w:color w:val="auto"/>
          <w:sz w:val="24"/>
          <w:szCs w:val="24"/>
          <w:highlight w:val="none"/>
        </w:rPr>
        <w:t>。 承包人必须在招标工期内完成招标范围内的全部内容。</w:t>
      </w:r>
    </w:p>
    <w:p w14:paraId="6B2C09C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4.4.2施工工期从承包人收到监理单位签发的开工令之日起计或发包人发出的开工通知之日起计，至竣工验收合格之日止。</w:t>
      </w:r>
    </w:p>
    <w:p w14:paraId="5274597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4.4.3工期奖罚</w:t>
      </w:r>
    </w:p>
    <w:p w14:paraId="449FAB3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□竣工验收合格交付使用每提前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天竣工；奖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元，奖励金额不超过合同价款的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%（一般为 2%～5%）且不超过</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万元。</w:t>
      </w:r>
    </w:p>
    <w:p w14:paraId="1F41C4C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☑按施工合同期约定，因承包人原因每延误</w:t>
      </w:r>
      <w:r>
        <w:rPr>
          <w:rFonts w:hint="eastAsia" w:ascii="宋体" w:hAnsi="宋体" w:eastAsia="宋体" w:cs="宋体"/>
          <w:bCs/>
          <w:color w:val="auto"/>
          <w:sz w:val="24"/>
          <w:szCs w:val="24"/>
          <w:highlight w:val="none"/>
          <w:u w:val="single"/>
        </w:rPr>
        <w:t xml:space="preserve"> 1 </w:t>
      </w:r>
      <w:r>
        <w:rPr>
          <w:rFonts w:hint="eastAsia" w:ascii="宋体" w:hAnsi="宋体" w:eastAsia="宋体" w:cs="宋体"/>
          <w:bCs/>
          <w:color w:val="auto"/>
          <w:sz w:val="24"/>
          <w:szCs w:val="24"/>
          <w:highlight w:val="none"/>
        </w:rPr>
        <w:t>天竣工，罚</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000</w:t>
      </w:r>
      <w:r>
        <w:rPr>
          <w:rFonts w:hint="eastAsia" w:ascii="宋体" w:hAnsi="宋体" w:eastAsia="宋体" w:cs="宋体"/>
          <w:bCs/>
          <w:color w:val="auto"/>
          <w:sz w:val="24"/>
          <w:szCs w:val="24"/>
          <w:highlight w:val="none"/>
        </w:rPr>
        <w:t>元，处罚金额不超过合同价款的</w:t>
      </w:r>
      <w:r>
        <w:rPr>
          <w:rFonts w:hint="eastAsia" w:ascii="宋体" w:hAnsi="宋体" w:eastAsia="宋体" w:cs="宋体"/>
          <w:bCs/>
          <w:color w:val="auto"/>
          <w:sz w:val="24"/>
          <w:szCs w:val="24"/>
          <w:highlight w:val="none"/>
          <w:u w:val="single"/>
        </w:rPr>
        <w:t xml:space="preserve"> 2 </w:t>
      </w:r>
      <w:r>
        <w:rPr>
          <w:rFonts w:hint="eastAsia" w:ascii="宋体" w:hAnsi="宋体" w:eastAsia="宋体" w:cs="宋体"/>
          <w:bCs/>
          <w:color w:val="auto"/>
          <w:sz w:val="24"/>
          <w:szCs w:val="24"/>
          <w:highlight w:val="none"/>
        </w:rPr>
        <w:t>%。</w:t>
      </w:r>
    </w:p>
    <w:p w14:paraId="564632B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kern w:val="2"/>
          <w:sz w:val="24"/>
          <w:szCs w:val="24"/>
          <w:highlight w:val="none"/>
          <w:lang w:val="en-US" w:eastAsia="zh-CN" w:bidi="ar-SA"/>
        </w:rPr>
        <w:t>按施工合同期约定，因承包人原因延误工期</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天内不处罚，自第</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天起每延误</w:t>
      </w:r>
      <w:r>
        <w:rPr>
          <w:rFonts w:hint="eastAsia" w:ascii="宋体" w:hAnsi="宋体" w:eastAsia="宋体" w:cs="宋体"/>
          <w:bCs/>
          <w:i/>
          <w:i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天竣工，罚</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元。处罚金额不超过合同价款的</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%（一般为 2%～5%）且不超过</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万元，累计延误工期达到</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天，报请建设行政主管部门作不良行为记录，非承包方原因或不可抗力造成延误的除外。</w:t>
      </w:r>
    </w:p>
    <w:p w14:paraId="3CF42C0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□其它说明：/</w:t>
      </w:r>
    </w:p>
    <w:p w14:paraId="5CEB830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4.5项目管理机构</w:t>
      </w:r>
    </w:p>
    <w:p w14:paraId="205DE26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4.5.1承包人派驻的项目管理班子成员必须为其投标文件确定的人员，否则发包人有权终止合同。</w:t>
      </w:r>
    </w:p>
    <w:p w14:paraId="1E9565A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4.5.2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55F14FC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4.6现场管理</w:t>
      </w:r>
    </w:p>
    <w:p w14:paraId="67CEF44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4.6.1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24E7F8E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4.6.2承包人应按安全施工有关规定，采取严格、科学的安全防护措施，确保施工和人员（包括第三者）的安全，承担由于自身安全防护措施不力所造成的安全事故责任和发生的费用。</w:t>
      </w:r>
    </w:p>
    <w:p w14:paraId="350469E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4.6.3为保证施工现场的环境卫生，承包人在本招标项目施工过程中，所有的车辆必须按发包人规定的行车路线行驶。</w:t>
      </w:r>
    </w:p>
    <w:p w14:paraId="2DC0324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4.7监督实施</w:t>
      </w:r>
    </w:p>
    <w:p w14:paraId="6AAC1A5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727D5D2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4.8主材的采购和使用</w:t>
      </w:r>
    </w:p>
    <w:p w14:paraId="4D8DD6C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有权拒绝承包人提供的不合格或不符合绿色施工要求的材料，并要求承包人立即进行更换。承包人应按发包人确认后的主要材料的规格、颜色要求采购。如果承包人在发包人确认的主要材料规格、颜色等要求后提出变更规格或颜色，必须经发包人同意后，报有关审核部门重新核定单价后方可采购，并相应调整合同价款。主要材料必须先提供样板给发包人确定其规格、颜色、等级等，发包人同意后方可使用。</w:t>
      </w:r>
    </w:p>
    <w:p w14:paraId="3C3C523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4.9竣工资料移交</w:t>
      </w:r>
    </w:p>
    <w:p w14:paraId="4820EDD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项目竣工验收时，承包人应向监理单位和发包人提供符合国家档案部门备案要求的，编制成册的竣工图及有关的技术档案资料（含声像档案）一式八份。</w:t>
      </w:r>
    </w:p>
    <w:p w14:paraId="381B91F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4.10质量保证</w:t>
      </w:r>
    </w:p>
    <w:p w14:paraId="1120218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4.10.1 本招标项目缺陷责任期为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年（自通过竣工验收之日起计），在此期间预留金额为结算价</w:t>
      </w:r>
      <w:r>
        <w:rPr>
          <w:rFonts w:hint="eastAsia" w:ascii="宋体" w:hAnsi="宋体" w:eastAsia="宋体" w:cs="宋体"/>
          <w:bCs/>
          <w:color w:val="auto"/>
          <w:sz w:val="24"/>
          <w:szCs w:val="24"/>
          <w:highlight w:val="none"/>
          <w:u w:val="single"/>
        </w:rPr>
        <w:t xml:space="preserve"> 3% </w:t>
      </w:r>
      <w:r>
        <w:rPr>
          <w:rFonts w:hint="eastAsia" w:ascii="宋体" w:hAnsi="宋体" w:eastAsia="宋体" w:cs="宋体"/>
          <w:bCs/>
          <w:color w:val="auto"/>
          <w:sz w:val="24"/>
          <w:szCs w:val="24"/>
          <w:highlight w:val="none"/>
        </w:rPr>
        <w:t>的质量保证。</w:t>
      </w:r>
    </w:p>
    <w:p w14:paraId="5CEFC0C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4.10.2 质量保证的形式包括质量保证金、质量保证担保、质量保证保险三种，由承包人自主选择。</w:t>
      </w:r>
    </w:p>
    <w:p w14:paraId="7CBA624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（1）采用质量保证金形式的，在结清审定总造价时一次性扣留相应金额作为质量保证金。</w:t>
      </w:r>
    </w:p>
    <w:p w14:paraId="6162262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用质量保证担保或质量保证保险的，承包人应在竣工验收时向发包人提交有效的商业保函、银行保函或保险合同（或保险单）原件，商业保函、银行保函或保险合同（或保险单）的有效期不得短于缺陷责任期。</w:t>
      </w:r>
    </w:p>
    <w:p w14:paraId="6FF28E7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4.10.3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0762CBB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由他人原因造成的缺陷，发包人负责组织维修，承包人不承担费用，且发包人不得从质量保证中扣除费用。</w:t>
      </w:r>
    </w:p>
    <w:p w14:paraId="17EEC54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4.10.4 缺陷责任期内，承包人应认真履行合同约定的责任。缺陷责任期到期后，承包人向发包人申请退还质量保证，发包人应按照《建设工程质量保证金管理办法》有关规定将质量保证退还给承包人。</w:t>
      </w:r>
    </w:p>
    <w:p w14:paraId="371AB7B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4.11不良行为处理</w:t>
      </w:r>
    </w:p>
    <w:p w14:paraId="3FE7FB3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24C2BC9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（1）转包、违法分包或违反投标承诺分包工程的；</w:t>
      </w:r>
    </w:p>
    <w:p w14:paraId="63183C3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（2）非原参加投标中标的项目经理负责组织施工或在实施过程中擅自更换项目经理的、项目的其他主要管理人员与中标文件确定的人员不相符的；</w:t>
      </w:r>
    </w:p>
    <w:p w14:paraId="37EB4B2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（3）投标文件确定的大型机械设备没有进入施工现场的；</w:t>
      </w:r>
    </w:p>
    <w:p w14:paraId="52C9CEB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（4）与建设单位、监理单位串通，签认虚假工程量或工程造价的；</w:t>
      </w:r>
    </w:p>
    <w:p w14:paraId="09D3C1CA">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（5）项目经理施工现场管理不到位的；</w:t>
      </w:r>
    </w:p>
    <w:p w14:paraId="197D155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（6）项目经理在非本人资格证书注册单位从事工程项目施工管理的；</w:t>
      </w:r>
    </w:p>
    <w:p w14:paraId="3179098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（7）项目经理同时承担超过一项工程项目的；</w:t>
      </w:r>
    </w:p>
    <w:p w14:paraId="7F0DD467">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（8）违反有关法律、法规、规章规定的其它行为。</w:t>
      </w:r>
    </w:p>
    <w:p w14:paraId="40BD030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4.12信用评价条款内容</w:t>
      </w:r>
    </w:p>
    <w:p w14:paraId="6748BF4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由发包人决定是否对施工单位的履约情况进行信用评价。若进行信用评价，评价条款由发包人自拟，条款内容可参考人员到位情况、服务配合程度、服务成果质量、项目后期服务及信用评价结果的运用等。</w:t>
      </w:r>
    </w:p>
    <w:p w14:paraId="0EBE19F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4.1</w:t>
      </w:r>
      <w:r>
        <w:rPr>
          <w:rFonts w:hint="eastAsia" w:ascii="宋体" w:hAnsi="宋体" w:eastAsia="宋体" w:cs="宋体"/>
          <w:b/>
          <w:bCs w:val="0"/>
          <w:color w:val="auto"/>
          <w:sz w:val="24"/>
          <w:szCs w:val="24"/>
          <w:highlight w:val="none"/>
          <w:lang w:val="en-US" w:eastAsia="zh-CN"/>
        </w:rPr>
        <w:t>3承包人须知事项</w:t>
      </w:r>
    </w:p>
    <w:p w14:paraId="0C8D685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 危险性较大的分部分项工程安全管理约定。对危险性较大的工程必须按《危险性较大的分部分项工程安全管理规定》（中华人民共和国住房和城乡建设部令第37号）的规定编制专项施工方案。同时，</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必须按照《危险性较大的分部分项工程安全管理规定》的规定和经审批的专项施工方案履行安全职责，严格执行国家、地方政府有关施工安全管理方面的法律、法规及规章制度，同时严格执行</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制订的本项目安全生产管理方面的规章制度、安全检查程序及施工安全管理要求，以及监理人有关安全工作的指令。</w:t>
      </w:r>
    </w:p>
    <w:p w14:paraId="507E5F43">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27EF3D9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 xml:space="preserve">.2 </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在工程实施过程中，按照国家、省、市的相关规定制定相关的专项安全施工方案（如高支模、基坑支护、沉井等），编制专项施工方案报监理人、</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审批后方可开展专项工程的施工。</w:t>
      </w:r>
    </w:p>
    <w:p w14:paraId="34B3D4D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 xml:space="preserve">.3 </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须按照《韶关市建筑垃圾管理条例》（2021年5月1日起施行），将弃土运至经韶关市政府有关规定核准使用的建筑垃圾消纳场，否则</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有权要求</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无条件将弃土从违约弃土点运至经韶关市政府有关规定核准使用的建筑垃圾消纳场并扣除违约金</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rPr>
        <w:t>万元人民币/次。</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对建筑垃圾须按《韶关市建筑垃圾管理条例》（2021年5月1日起施行）的相关规定进行排放和运输，投标人在投标报价时综合考虑在报价内。</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应在施工现场建立洗车槽和临时排水系统等确保外运车辆（土方运输车辆应符合韶关市相关规定）不带泥上路，投标人在投标报价时综合考虑在报价内，</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不另行支付该部分费用）。建设单位、施工单位应当在施工工地出入口显著位置公示建筑垃圾处理方案主要信息，包括建设工程垃圾种类、产生量、外运处置去向等信息及各相关单位名称、联系人及联系电话等。</w:t>
      </w:r>
    </w:p>
    <w:p w14:paraId="29C3C95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.4 工程竣工验收后15日内，</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应按市城建档案馆的要求（质量、数量），将编制成册的施工档案资料（含声像档案和电子档案）提供给</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、市城建档案馆、市住建管理局、管养单位及监理单位，并承担档案涉及的所有费用（制作标准和相关要求按市城建档案馆的有关规定执行）。</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提交符合城建档案馆要求的竣工资料经</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确认签收后，即可办理工程结算手续。</w:t>
      </w:r>
    </w:p>
    <w:p w14:paraId="2D43ED7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应做好周边设施（含军用光缆、燃气、供电、供水、排水、排污、人行道、路灯、治安监控、交通电警等）的成品保护并及时与周边设施的权属单位协调解决，如因</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原因导致上述设施发生损坏，</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无条件按</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规定的期限内修复，涉及成品保护费、索赔等一切费用全部由</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自行解决。</w:t>
      </w:r>
    </w:p>
    <w:p w14:paraId="282B1ED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 xml:space="preserve">.6 </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中标后必须按规定及时缴交工人工资保证金、环保噪声排污费等。</w:t>
      </w:r>
    </w:p>
    <w:p w14:paraId="1BB7EB8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.7工程质量保修期按《中华人民共和国建筑法》、《建设工程质量管理条例》等相关规定实施。</w:t>
      </w:r>
    </w:p>
    <w:p w14:paraId="107E33C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.8 如项目实施过程中发生了工程变更及工程签证，</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需根据</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规定的相关程序进行工程变更签证，其纳入变更管理属于需要进一步办理审批的，应按照韶府办发函〔2021〕32号规定程序办理变更审批手续。</w:t>
      </w:r>
    </w:p>
    <w:p w14:paraId="5A5C653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 xml:space="preserve">.9 </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需按相关规定要求，设置本工程符合相关要求的永久性标牌及规划公示牌，投标人在投标报价时综合考虑在报价内，</w:t>
      </w:r>
      <w:r>
        <w:rPr>
          <w:rFonts w:hint="eastAsia" w:ascii="宋体" w:hAnsi="宋体" w:eastAsia="宋体" w:cs="宋体"/>
          <w:bCs/>
          <w:color w:val="auto"/>
          <w:sz w:val="24"/>
          <w:szCs w:val="24"/>
          <w:highlight w:val="none"/>
          <w:lang w:eastAsia="zh-CN"/>
        </w:rPr>
        <w:t>发包人</w:t>
      </w:r>
      <w:r>
        <w:rPr>
          <w:rFonts w:hint="eastAsia" w:ascii="宋体" w:hAnsi="宋体" w:eastAsia="宋体" w:cs="宋体"/>
          <w:bCs/>
          <w:color w:val="auto"/>
          <w:sz w:val="24"/>
          <w:szCs w:val="24"/>
          <w:highlight w:val="none"/>
        </w:rPr>
        <w:t>不另行支付该部分费用。</w:t>
      </w:r>
    </w:p>
    <w:p w14:paraId="143EAB6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4.13</w:t>
      </w: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lang w:eastAsia="zh-CN"/>
        </w:rPr>
        <w:t>承包人</w:t>
      </w:r>
      <w:r>
        <w:rPr>
          <w:rFonts w:hint="eastAsia" w:ascii="宋体" w:hAnsi="宋体" w:eastAsia="宋体" w:cs="宋体"/>
          <w:bCs/>
          <w:color w:val="auto"/>
          <w:sz w:val="24"/>
          <w:szCs w:val="24"/>
          <w:highlight w:val="none"/>
        </w:rPr>
        <w:t>应按韶关市住房和城乡建设管理局、韶关市人力资源和社会保障局等职能部门对用工实名制的相关规定，落实工人及相关软硬件设施要求。</w:t>
      </w:r>
    </w:p>
    <w:p w14:paraId="25CE5F2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4.14</w:t>
      </w:r>
      <w:r>
        <w:rPr>
          <w:rFonts w:hint="eastAsia" w:ascii="宋体" w:hAnsi="宋体" w:eastAsia="宋体" w:cs="宋体"/>
          <w:b/>
          <w:bCs w:val="0"/>
          <w:color w:val="auto"/>
          <w:sz w:val="24"/>
          <w:szCs w:val="24"/>
          <w:highlight w:val="none"/>
        </w:rPr>
        <w:t xml:space="preserve"> 工程移交延误违约</w:t>
      </w:r>
    </w:p>
    <w:p w14:paraId="471982C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4.14</w:t>
      </w:r>
      <w:r>
        <w:rPr>
          <w:rFonts w:hint="eastAsia" w:ascii="宋体" w:hAnsi="宋体" w:eastAsia="宋体" w:cs="宋体"/>
          <w:bCs/>
          <w:color w:val="auto"/>
          <w:sz w:val="24"/>
          <w:szCs w:val="24"/>
          <w:highlight w:val="none"/>
        </w:rPr>
        <w:t>.1按施工合同期约定,因承包人原因造成工期延误的，承包人须在逾期第壹天起每天按人民币</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000</w:t>
      </w:r>
      <w:r>
        <w:rPr>
          <w:rFonts w:hint="eastAsia" w:ascii="宋体" w:hAnsi="宋体" w:eastAsia="宋体" w:cs="宋体"/>
          <w:bCs/>
          <w:color w:val="auto"/>
          <w:sz w:val="24"/>
          <w:szCs w:val="24"/>
          <w:highlight w:val="none"/>
        </w:rPr>
        <w:t>元/天向发包人返纳逾期竣工违约金。逾期竣工违约金的最高限额为合同价款的</w:t>
      </w:r>
      <w:r>
        <w:rPr>
          <w:rFonts w:hint="eastAsia" w:ascii="宋体" w:hAnsi="宋体" w:eastAsia="宋体" w:cs="宋体"/>
          <w:bCs/>
          <w:color w:val="auto"/>
          <w:sz w:val="24"/>
          <w:szCs w:val="24"/>
          <w:highlight w:val="none"/>
          <w:u w:val="single"/>
        </w:rPr>
        <w:t xml:space="preserve"> 2%</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10F024C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4.14</w:t>
      </w:r>
      <w:r>
        <w:rPr>
          <w:rFonts w:hint="eastAsia" w:ascii="宋体" w:hAnsi="宋体" w:eastAsia="宋体" w:cs="宋体"/>
          <w:bCs/>
          <w:color w:val="auto"/>
          <w:sz w:val="24"/>
          <w:szCs w:val="24"/>
          <w:highlight w:val="none"/>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w:t>
      </w:r>
      <w:r>
        <w:rPr>
          <w:rFonts w:hint="eastAsia" w:ascii="宋体" w:hAnsi="宋体" w:eastAsia="宋体" w:cs="宋体"/>
          <w:bCs/>
          <w:color w:val="auto"/>
          <w:sz w:val="24"/>
          <w:szCs w:val="24"/>
          <w:highlight w:val="none"/>
          <w:u w:val="single"/>
        </w:rPr>
        <w:t>2000</w:t>
      </w:r>
      <w:r>
        <w:rPr>
          <w:rFonts w:hint="eastAsia" w:ascii="宋体" w:hAnsi="宋体" w:eastAsia="宋体" w:cs="宋体"/>
          <w:bCs/>
          <w:color w:val="auto"/>
          <w:sz w:val="24"/>
          <w:szCs w:val="24"/>
          <w:highlight w:val="none"/>
        </w:rPr>
        <w:t>元缴纳违约金给发包人，在结算中一并扣除。</w:t>
      </w:r>
    </w:p>
    <w:p w14:paraId="7569AE6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4.14</w:t>
      </w:r>
      <w:r>
        <w:rPr>
          <w:rFonts w:hint="eastAsia" w:ascii="宋体" w:hAnsi="宋体" w:eastAsia="宋体" w:cs="宋体"/>
          <w:bCs/>
          <w:color w:val="auto"/>
          <w:sz w:val="24"/>
          <w:szCs w:val="24"/>
          <w:highlight w:val="none"/>
        </w:rPr>
        <w:t>.3承包人在中标后7个日历天内提交施工进度计划，并注明主要施工工期节点时间，送监理单位及发包人审核后，作为工期考核的阶段性指标。若因承包人原因无法按进度节点完成的，逾期第壹天起每天按人民币</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000</w:t>
      </w:r>
      <w:r>
        <w:rPr>
          <w:rFonts w:hint="eastAsia" w:ascii="宋体" w:hAnsi="宋体" w:eastAsia="宋体" w:cs="宋体"/>
          <w:bCs/>
          <w:color w:val="auto"/>
          <w:sz w:val="24"/>
          <w:szCs w:val="24"/>
          <w:highlight w:val="none"/>
        </w:rPr>
        <w:t>元/天向发包人返纳逾期违约金。</w:t>
      </w:r>
    </w:p>
    <w:p w14:paraId="15B4C148">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4.14</w:t>
      </w:r>
      <w:r>
        <w:rPr>
          <w:rFonts w:hint="eastAsia" w:ascii="宋体" w:hAnsi="宋体" w:eastAsia="宋体" w:cs="宋体"/>
          <w:bCs/>
          <w:color w:val="auto"/>
          <w:sz w:val="24"/>
          <w:szCs w:val="24"/>
          <w:highlight w:val="none"/>
        </w:rPr>
        <w:t>.4 经监理单位或发包人在现场检查时发现承包人申报的形象进度与实际不符时，每发生一次需向发包人缴纳违约金</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000</w:t>
      </w:r>
      <w:r>
        <w:rPr>
          <w:rFonts w:hint="eastAsia" w:ascii="宋体" w:hAnsi="宋体" w:eastAsia="宋体" w:cs="宋体"/>
          <w:bCs/>
          <w:color w:val="auto"/>
          <w:sz w:val="24"/>
          <w:szCs w:val="24"/>
          <w:highlight w:val="none"/>
        </w:rPr>
        <w:t>元。</w:t>
      </w:r>
    </w:p>
    <w:p w14:paraId="75777DDD">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4.15</w:t>
      </w:r>
      <w:r>
        <w:rPr>
          <w:rFonts w:hint="eastAsia" w:ascii="宋体" w:hAnsi="宋体" w:eastAsia="宋体" w:cs="宋体"/>
          <w:b/>
          <w:bCs w:val="0"/>
          <w:color w:val="auto"/>
          <w:sz w:val="24"/>
          <w:szCs w:val="24"/>
          <w:highlight w:val="none"/>
        </w:rPr>
        <w:t xml:space="preserve"> 质量违约</w:t>
      </w:r>
    </w:p>
    <w:p w14:paraId="7F774DE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4.15</w:t>
      </w:r>
      <w:r>
        <w:rPr>
          <w:rFonts w:hint="eastAsia" w:ascii="宋体" w:hAnsi="宋体" w:eastAsia="宋体" w:cs="宋体"/>
          <w:bCs/>
          <w:color w:val="auto"/>
          <w:sz w:val="24"/>
          <w:szCs w:val="24"/>
          <w:highlight w:val="none"/>
        </w:rPr>
        <w:t>.1材料违约处理：若发现材料不符合国家标准或发包人在技术规范中规定的标准，视为承包人违约，按现行《建设工程质量管理条例》处理。</w:t>
      </w:r>
    </w:p>
    <w:p w14:paraId="2C71ADFB">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4.15</w:t>
      </w:r>
      <w:r>
        <w:rPr>
          <w:rFonts w:hint="eastAsia" w:ascii="宋体" w:hAnsi="宋体" w:eastAsia="宋体" w:cs="宋体"/>
          <w:bCs/>
          <w:color w:val="auto"/>
          <w:sz w:val="24"/>
          <w:szCs w:val="24"/>
          <w:highlight w:val="none"/>
        </w:rPr>
        <w:t>.2工程质量违约：</w:t>
      </w:r>
    </w:p>
    <w:p w14:paraId="684BB66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4.15</w:t>
      </w:r>
      <w:r>
        <w:rPr>
          <w:rFonts w:hint="eastAsia" w:ascii="宋体" w:hAnsi="宋体" w:eastAsia="宋体" w:cs="宋体"/>
          <w:bCs/>
          <w:color w:val="auto"/>
          <w:sz w:val="24"/>
          <w:szCs w:val="24"/>
          <w:highlight w:val="none"/>
        </w:rPr>
        <w:t>.2.1在施工过程中经监理单位日常巡查或抽检发现未达到合格标准，责令承包人进行整改，如未按规定时间进行整改或整改不到位的，每次按</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000</w:t>
      </w:r>
      <w:r>
        <w:rPr>
          <w:rFonts w:hint="eastAsia" w:ascii="宋体" w:hAnsi="宋体" w:eastAsia="宋体" w:cs="宋体"/>
          <w:bCs/>
          <w:color w:val="auto"/>
          <w:sz w:val="24"/>
          <w:szCs w:val="24"/>
          <w:highlight w:val="none"/>
        </w:rPr>
        <w:t>元缴纳违约金给发包人，在进度款或结算款中一并扣除。</w:t>
      </w:r>
    </w:p>
    <w:p w14:paraId="1DA3AFD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4.15</w:t>
      </w:r>
      <w:r>
        <w:rPr>
          <w:rFonts w:hint="eastAsia" w:ascii="宋体" w:hAnsi="宋体" w:eastAsia="宋体" w:cs="宋体"/>
          <w:bCs/>
          <w:color w:val="auto"/>
          <w:sz w:val="24"/>
          <w:szCs w:val="24"/>
          <w:highlight w:val="none"/>
        </w:rPr>
        <w:t>.2.2工程质量标准须达到国家验收合格标准。如未达到合格标准，除无偿返工至合格外，还要按合同价款的</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rPr>
        <w:t>%向招标人支付质量违约金，工期不予顺延。</w:t>
      </w:r>
    </w:p>
    <w:p w14:paraId="7F6E6B5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4.16</w:t>
      </w:r>
      <w:r>
        <w:rPr>
          <w:rFonts w:hint="eastAsia" w:ascii="宋体" w:hAnsi="宋体" w:eastAsia="宋体" w:cs="宋体"/>
          <w:b/>
          <w:bCs w:val="0"/>
          <w:color w:val="auto"/>
          <w:sz w:val="24"/>
          <w:szCs w:val="24"/>
          <w:highlight w:val="none"/>
        </w:rPr>
        <w:t xml:space="preserve"> 一般及以上等级事故违约</w:t>
      </w:r>
    </w:p>
    <w:p w14:paraId="61F07DE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因违反国家安全质量法规及合同有关条款约定,出现火灾、坍塌、人员重伤、死亡等一般及以上等级事故,则承包人应承担全部损失,并按相关法规接受行政处罚；如造成发包人及对第三人利益的损害,该等损害赔偿责任均由承包人承担。同时,每出现一次一般及以上等级事故, 承包人应同时支付惩罚性违约金50万元。</w:t>
      </w:r>
    </w:p>
    <w:p w14:paraId="36A469B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4.1</w:t>
      </w: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用工违约</w:t>
      </w:r>
    </w:p>
    <w:p w14:paraId="6F1DC84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在合同履行期间，如经查实承包人拖欠或克扣农民工或劳务工工资，导致劳资纠纷或发生危及公共安全或正常社会秩序的事件的，按承包人违约处理，承包人应按拖欠或克扣农民工或劳务工工资总金额</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倍的标准向发包人支付惩罚性违约金。</w:t>
      </w:r>
    </w:p>
    <w:p w14:paraId="337AAD6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4.1</w:t>
      </w: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 xml:space="preserve"> 安全文明施工违约</w:t>
      </w:r>
    </w:p>
    <w:p w14:paraId="25DEF05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.1如承包人违反国家、广东省、发包人及合同关于安全文明施工的规定，但尚未造成安全责任事故，承包人应及时改正行为并赔偿相关方的损失，如未及时整改,针对每一违约行为每持续一天应支付违约金1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00元。</w:t>
      </w:r>
    </w:p>
    <w:p w14:paraId="579F02A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.2承包人现场施工人员存在野蛮施工行为，经现场发包人（含监理单位）管理人员确认后，承包人须按</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000元/次支付违约金，并承担因野蛮施工行为所造成的全部责任。</w:t>
      </w:r>
    </w:p>
    <w:p w14:paraId="6153FA9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.3承包人必须接受发包人组织的安全、文明施工的检查，检查中的不合格项目、安全隐患必须在规定的时间内整改完成，否则每拖延一天处以</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000元人民币违约金，直至整改合格。</w:t>
      </w:r>
    </w:p>
    <w:p w14:paraId="5540CB1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.4因施工造成的道路交通中断、通讯中断、管线漏水漏气等全部责任事故，由承包人承担责任，并支付违约金</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000元人民币。</w:t>
      </w:r>
    </w:p>
    <w:p w14:paraId="790D7E1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4.19</w:t>
      </w:r>
      <w:r>
        <w:rPr>
          <w:rFonts w:hint="eastAsia" w:ascii="宋体" w:hAnsi="宋体" w:eastAsia="宋体" w:cs="宋体"/>
          <w:b/>
          <w:bCs w:val="0"/>
          <w:color w:val="auto"/>
          <w:sz w:val="24"/>
          <w:szCs w:val="24"/>
          <w:highlight w:val="none"/>
        </w:rPr>
        <w:t xml:space="preserve"> 其他违约</w:t>
      </w:r>
    </w:p>
    <w:p w14:paraId="5A1CAC0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1项目经理、项目负责人施工期间必须驻场办公，发包人或发包人委托的监理人有权对其进行考勤，承包人项目经理、项目负责人在工程施工期间，一周内必须保证5天及以上在施工现场，否则向发包人支付违约金：人民币2000元/天，处罚金额由承包人直接将处罚金额转入发包人单位。</w:t>
      </w:r>
    </w:p>
    <w:p w14:paraId="2BFA23D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2承包人安排在施工场地的主要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次数达到22天，不足按2000元/人/天支付违约金给发包人。</w:t>
      </w:r>
    </w:p>
    <w:p w14:paraId="6362358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3发包人要求承包人替换项目部中不称职人员，而承包人不予替换，视为承包人违约，承包人须按承包人项目部主要管理人员（主要指项目经理、项目技术负责人和专职安全生产管理人员）2万元/人次支付违约金给发包人。</w:t>
      </w:r>
    </w:p>
    <w:p w14:paraId="55E8AEF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.4发包人对上述约定中的规定并不免除承包人接受国家、地方政府相关部门依法对承包人的处罚。</w:t>
      </w:r>
    </w:p>
    <w:p w14:paraId="3270FC8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.5中标人施工资料必须与形象进度同步。</w:t>
      </w:r>
    </w:p>
    <w:p w14:paraId="3E4BD75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4.19.6</w:t>
      </w:r>
      <w:r>
        <w:rPr>
          <w:rFonts w:hint="eastAsia" w:ascii="宋体" w:hAnsi="宋体" w:eastAsia="宋体" w:cs="宋体"/>
          <w:bCs/>
          <w:color w:val="auto"/>
          <w:sz w:val="24"/>
          <w:szCs w:val="24"/>
          <w:highlight w:val="none"/>
        </w:rPr>
        <w:t>承包人没有正当合理的理由中途退场，可扣除承包人已递交的所有履约风险保证金。</w:t>
      </w:r>
    </w:p>
    <w:p w14:paraId="3361704C">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有下列情况之一的，承包人在一年内不得参与发包人的任何工程任务，并勒令从现施工的工地退场，同时支付5万元违约金：</w:t>
      </w:r>
    </w:p>
    <w:p w14:paraId="673487E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A、边坡沉降、开裂超过规范要求并造成不良社会影响的；</w:t>
      </w:r>
    </w:p>
    <w:p w14:paraId="6D2E4766">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B、发生一般及以上等级质量安全事故的；</w:t>
      </w:r>
    </w:p>
    <w:p w14:paraId="3752C284">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C、承包人所承担的施工任务在施工期间，由于工程质量或工程进度原因，监理单位发出10个以上﹙含10个﹚停工令的；</w:t>
      </w:r>
    </w:p>
    <w:p w14:paraId="47E757A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D、质量监督部门在抽检时发出5个以上（含5个）由于工程质量原因通报的。</w:t>
      </w:r>
    </w:p>
    <w:p w14:paraId="193C554E">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4.19</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承包人必须在中标后7个日历天内提供经审核的可行的施工组织设计。</w:t>
      </w:r>
    </w:p>
    <w:p w14:paraId="777A1C12">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4.</w:t>
      </w:r>
      <w:r>
        <w:rPr>
          <w:rFonts w:hint="eastAsia" w:ascii="宋体" w:hAnsi="宋体" w:eastAsia="宋体" w:cs="宋体"/>
          <w:b/>
          <w:bCs w:val="0"/>
          <w:color w:val="auto"/>
          <w:sz w:val="24"/>
          <w:szCs w:val="24"/>
          <w:highlight w:val="none"/>
          <w:lang w:val="en-US" w:eastAsia="zh-CN"/>
        </w:rPr>
        <w:t>20</w:t>
      </w:r>
      <w:r>
        <w:rPr>
          <w:rFonts w:hint="eastAsia" w:ascii="宋体" w:hAnsi="宋体" w:eastAsia="宋体" w:cs="宋体"/>
          <w:bCs/>
          <w:color w:val="auto"/>
          <w:sz w:val="24"/>
          <w:szCs w:val="24"/>
          <w:highlight w:val="none"/>
        </w:rPr>
        <w:t xml:space="preserve"> </w:t>
      </w:r>
      <w:r>
        <w:rPr>
          <w:rFonts w:hint="eastAsia" w:ascii="宋体" w:hAnsi="宋体" w:eastAsia="宋体" w:cs="宋体"/>
          <w:b/>
          <w:bCs w:val="0"/>
          <w:color w:val="auto"/>
          <w:sz w:val="24"/>
          <w:szCs w:val="24"/>
          <w:highlight w:val="none"/>
        </w:rPr>
        <w:t>承包人因上述违约行为而须按时向发包人缴纳的违约金，如不按时缴纳则发包人有权在工程结算时一并扣除。</w:t>
      </w:r>
    </w:p>
    <w:p w14:paraId="5F0637B1">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4.2</w:t>
      </w:r>
      <w:r>
        <w:rPr>
          <w:rFonts w:hint="eastAsia" w:ascii="宋体" w:hAnsi="宋体" w:eastAsia="宋体" w:cs="宋体"/>
          <w:b/>
          <w:bCs w:val="0"/>
          <w:color w:val="auto"/>
          <w:sz w:val="24"/>
          <w:szCs w:val="24"/>
          <w:highlight w:val="none"/>
          <w:lang w:val="en-US" w:eastAsia="zh-CN"/>
        </w:rPr>
        <w:t xml:space="preserve">1 </w:t>
      </w:r>
      <w:r>
        <w:rPr>
          <w:rFonts w:hint="eastAsia" w:ascii="宋体" w:hAnsi="宋体" w:eastAsia="宋体" w:cs="宋体"/>
          <w:bCs/>
          <w:color w:val="auto"/>
          <w:sz w:val="24"/>
          <w:szCs w:val="24"/>
          <w:highlight w:val="none"/>
        </w:rPr>
        <w:t>承包人应当知悉并接受可能因为设计方案调整等原因，导致实际实施的工程量等发生变化，承包人须无条件同意根据结算原则据实结算，不得因此提出索赔或赔偿</w:t>
      </w:r>
      <w:r>
        <w:rPr>
          <w:rFonts w:hint="eastAsia" w:ascii="宋体" w:hAnsi="宋体" w:eastAsia="宋体" w:cs="宋体"/>
          <w:color w:val="auto"/>
          <w:sz w:val="24"/>
          <w:szCs w:val="24"/>
          <w:highlight w:val="none"/>
        </w:rPr>
        <w:t>。</w:t>
      </w:r>
    </w:p>
    <w:p w14:paraId="5D0DB3EF">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bCs w:val="0"/>
          <w:color w:val="auto"/>
          <w:sz w:val="24"/>
          <w:szCs w:val="24"/>
          <w:highlight w:val="none"/>
        </w:rPr>
        <w:t>4.2</w:t>
      </w:r>
      <w:r>
        <w:rPr>
          <w:rFonts w:hint="eastAsia" w:ascii="宋体" w:hAnsi="宋体" w:eastAsia="宋体" w:cs="宋体"/>
          <w:b/>
          <w:bCs w:val="0"/>
          <w:color w:val="auto"/>
          <w:sz w:val="24"/>
          <w:szCs w:val="24"/>
          <w:highlight w:val="none"/>
          <w:lang w:val="en-US" w:eastAsia="zh-CN"/>
        </w:rPr>
        <w:t xml:space="preserve">2 </w:t>
      </w:r>
      <w:r>
        <w:rPr>
          <w:rFonts w:hint="eastAsia" w:ascii="宋体" w:hAnsi="宋体" w:eastAsia="宋体" w:cs="宋体"/>
          <w:b/>
          <w:bCs/>
          <w:color w:val="auto"/>
          <w:sz w:val="24"/>
          <w:szCs w:val="24"/>
          <w:highlight w:val="none"/>
        </w:rPr>
        <w:t>根据乐昌市应急管理局《关于做好安全生产责任保险推广工作的通知》（乐安委办〔2020〕21号）</w:t>
      </w:r>
      <w:r>
        <w:rPr>
          <w:rFonts w:hint="eastAsia" w:ascii="宋体" w:hAnsi="宋体" w:cs="宋体"/>
          <w:b/>
          <w:bCs/>
          <w:color w:val="auto"/>
          <w:sz w:val="24"/>
          <w:szCs w:val="24"/>
          <w:highlight w:val="none"/>
          <w:lang w:val="en-US" w:eastAsia="zh-CN"/>
        </w:rPr>
        <w:t>或现行最新规定</w:t>
      </w:r>
      <w:r>
        <w:rPr>
          <w:rFonts w:hint="eastAsia" w:ascii="宋体" w:hAnsi="宋体" w:eastAsia="宋体" w:cs="宋体"/>
          <w:b/>
          <w:bCs/>
          <w:color w:val="auto"/>
          <w:sz w:val="24"/>
          <w:szCs w:val="24"/>
          <w:highlight w:val="none"/>
        </w:rPr>
        <w:t>，安责险实施全覆盖的文件精神，投标单位须按照文件要求将项目安责险费用计入投标报价中。</w:t>
      </w:r>
    </w:p>
    <w:p w14:paraId="6252A3D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8"/>
          <w:szCs w:val="28"/>
          <w:highlight w:val="none"/>
        </w:rPr>
      </w:pPr>
    </w:p>
    <w:p w14:paraId="18232439">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合同文件格式</w:t>
      </w:r>
    </w:p>
    <w:p w14:paraId="3FB98A2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hAnsi="宋体"/>
          <w:b/>
          <w:bCs/>
          <w:snapToGrid w:val="0"/>
          <w:color w:val="auto"/>
          <w:kern w:val="0"/>
          <w:highlight w:val="none"/>
        </w:rPr>
      </w:pPr>
    </w:p>
    <w:p w14:paraId="155E59B1">
      <w:pPr>
        <w:keepNext w:val="0"/>
        <w:keepLines w:val="0"/>
        <w:pageBreakBefore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按《广东省建设工程标准施工合同》（2009年版）或《建设工程施工合同（指导文本）》（GF—2017—0201）执行，具体以双方协商签订为准。</w:t>
      </w:r>
    </w:p>
    <w:p w14:paraId="49A95F9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br w:type="page"/>
      </w:r>
    </w:p>
    <w:p w14:paraId="54466F74">
      <w:pPr>
        <w:jc w:val="center"/>
        <w:outlineLvl w:val="0"/>
        <w:rPr>
          <w:rFonts w:hint="eastAsia" w:ascii="宋体" w:hAnsi="宋体" w:eastAsia="宋体" w:cs="宋体"/>
          <w:b/>
          <w:bCs/>
          <w:color w:val="auto"/>
          <w:sz w:val="32"/>
          <w:szCs w:val="32"/>
          <w:highlight w:val="none"/>
        </w:rPr>
      </w:pPr>
      <w:bookmarkStart w:id="116" w:name="_Toc25182"/>
    </w:p>
    <w:p w14:paraId="6CAC436B">
      <w:pPr>
        <w:jc w:val="center"/>
        <w:outlineLvl w:val="0"/>
        <w:rPr>
          <w:rFonts w:hint="eastAsia" w:ascii="宋体" w:hAnsi="宋体" w:eastAsia="宋体" w:cs="宋体"/>
          <w:b/>
          <w:bCs/>
          <w:color w:val="auto"/>
          <w:sz w:val="32"/>
          <w:szCs w:val="32"/>
          <w:highlight w:val="none"/>
        </w:rPr>
      </w:pPr>
    </w:p>
    <w:p w14:paraId="5E82E6C6">
      <w:pPr>
        <w:jc w:val="center"/>
        <w:outlineLvl w:val="0"/>
        <w:rPr>
          <w:rFonts w:hint="eastAsia" w:ascii="宋体" w:hAnsi="宋体" w:eastAsia="宋体" w:cs="宋体"/>
          <w:b/>
          <w:color w:val="auto"/>
          <w:sz w:val="36"/>
          <w:szCs w:val="36"/>
          <w:highlight w:val="none"/>
        </w:rPr>
      </w:pPr>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施工图纸</w:t>
      </w:r>
      <w:bookmarkEnd w:id="116"/>
    </w:p>
    <w:p w14:paraId="70A0936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p>
    <w:p w14:paraId="49C94D8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34490CE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p>
    <w:p w14:paraId="430AB75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p>
    <w:p w14:paraId="0E82D808">
      <w:pPr>
        <w:jc w:val="center"/>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bookmarkStart w:id="117" w:name="_Toc24581"/>
    </w:p>
    <w:p w14:paraId="05349E4F">
      <w:pPr>
        <w:jc w:val="center"/>
        <w:outlineLvl w:val="0"/>
        <w:rPr>
          <w:rFonts w:hint="eastAsia" w:ascii="宋体" w:hAnsi="宋体" w:eastAsia="宋体" w:cs="宋体"/>
          <w:b/>
          <w:bCs/>
          <w:color w:val="auto"/>
          <w:sz w:val="32"/>
          <w:szCs w:val="32"/>
          <w:highlight w:val="none"/>
        </w:rPr>
      </w:pPr>
    </w:p>
    <w:p w14:paraId="7D873A3B">
      <w:pPr>
        <w:jc w:val="center"/>
        <w:outlineLvl w:val="0"/>
        <w:rPr>
          <w:rFonts w:hint="eastAsia" w:ascii="宋体" w:hAnsi="宋体" w:eastAsia="宋体" w:cs="宋体"/>
          <w:b/>
          <w:bCs/>
          <w:color w:val="auto"/>
          <w:sz w:val="32"/>
          <w:szCs w:val="32"/>
          <w:highlight w:val="none"/>
        </w:rPr>
      </w:pPr>
    </w:p>
    <w:p w14:paraId="2F25388F">
      <w:pPr>
        <w:jc w:val="center"/>
        <w:outlineLvl w:val="0"/>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第七章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工程量清单</w:t>
      </w:r>
      <w:bookmarkEnd w:id="117"/>
    </w:p>
    <w:p w14:paraId="1525FA9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p>
    <w:p w14:paraId="2B13D6B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68DEF4A4">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b/>
          <w:bCs/>
          <w:color w:val="auto"/>
          <w:sz w:val="24"/>
          <w:szCs w:val="24"/>
          <w:highlight w:val="none"/>
          <w:lang w:eastAsia="zh-CN"/>
        </w:rPr>
      </w:pPr>
    </w:p>
    <w:p w14:paraId="009FBF7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lang w:eastAsia="zh-CN"/>
        </w:rPr>
      </w:pPr>
    </w:p>
    <w:p w14:paraId="2F51465D">
      <w:pPr>
        <w:pStyle w:val="17"/>
        <w:rPr>
          <w:rFonts w:hint="eastAsia" w:ascii="宋体" w:hAnsi="宋体" w:eastAsia="宋体" w:cs="宋体"/>
          <w:color w:val="auto"/>
          <w:highlight w:val="none"/>
          <w:lang w:eastAsia="zh-CN"/>
        </w:rPr>
      </w:pPr>
    </w:p>
    <w:p w14:paraId="3FA2CC07">
      <w:pPr>
        <w:jc w:val="center"/>
        <w:outlineLvl w:val="0"/>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lang w:eastAsia="zh-CN"/>
        </w:rPr>
        <w:br w:type="page"/>
      </w:r>
      <w:bookmarkStart w:id="118" w:name="_Toc3541"/>
      <w:r>
        <w:rPr>
          <w:rFonts w:hint="eastAsia" w:ascii="宋体" w:hAnsi="宋体" w:eastAsia="宋体" w:cs="宋体"/>
          <w:b/>
          <w:bCs/>
          <w:color w:val="auto"/>
          <w:sz w:val="32"/>
          <w:szCs w:val="32"/>
          <w:highlight w:val="none"/>
        </w:rPr>
        <w:t>第八章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最高投标限</w:t>
      </w:r>
      <w:r>
        <w:rPr>
          <w:rFonts w:hint="eastAsia" w:ascii="宋体" w:hAnsi="宋体" w:eastAsia="宋体" w:cs="宋体"/>
          <w:b/>
          <w:color w:val="auto"/>
          <w:sz w:val="32"/>
          <w:szCs w:val="32"/>
          <w:highlight w:val="none"/>
        </w:rPr>
        <w:t>价</w:t>
      </w:r>
      <w:bookmarkEnd w:id="118"/>
    </w:p>
    <w:p w14:paraId="47BB868A">
      <w:pPr>
        <w:spacing w:line="460" w:lineRule="exact"/>
        <w:jc w:val="center"/>
        <w:outlineLvl w:val="9"/>
        <w:rPr>
          <w:rFonts w:hint="eastAsia" w:ascii="宋体" w:hAnsi="宋体" w:eastAsia="宋体" w:cs="宋体"/>
          <w:b/>
          <w:bCs/>
          <w:color w:val="auto"/>
          <w:sz w:val="28"/>
          <w:szCs w:val="28"/>
          <w:highlight w:val="none"/>
          <w:lang w:eastAsia="zh-CN"/>
        </w:rPr>
      </w:pPr>
    </w:p>
    <w:p w14:paraId="4DABD9D0">
      <w:pPr>
        <w:spacing w:line="360" w:lineRule="auto"/>
        <w:ind w:firstLine="480" w:firstLineChars="200"/>
        <w:jc w:val="center"/>
        <w:outlineLvl w:val="9"/>
        <w:rPr>
          <w:rFonts w:hint="eastAsia" w:ascii="宋体" w:hAnsi="宋体" w:eastAsia="宋体" w:cs="宋体"/>
          <w:b/>
          <w:bCs/>
          <w:i w:val="0"/>
          <w:iCs w:val="0"/>
          <w:caps w:val="0"/>
          <w:color w:val="auto"/>
          <w:spacing w:val="0"/>
          <w:sz w:val="24"/>
          <w:szCs w:val="24"/>
          <w:highlight w:val="none"/>
          <w:shd w:val="clear" w:color="auto" w:fill="FFFFFF"/>
          <w:lang w:eastAsia="zh-CN"/>
        </w:rPr>
      </w:pPr>
      <w:r>
        <w:rPr>
          <w:rFonts w:hint="default" w:ascii="宋体" w:hAnsi="宋体" w:eastAsia="宋体" w:cs="宋体"/>
          <w:bCs/>
          <w:snapToGrid w:val="0"/>
          <w:color w:val="auto"/>
          <w:kern w:val="0"/>
          <w:sz w:val="24"/>
          <w:szCs w:val="24"/>
          <w:highlight w:val="none"/>
          <w:lang w:val="en-US" w:eastAsia="zh-CN"/>
        </w:rPr>
        <w:t>本招标项目最高投标限价为人民币（大写）：</w:t>
      </w:r>
      <w:r>
        <w:rPr>
          <w:rFonts w:hint="eastAsia" w:ascii="宋体" w:hAnsi="宋体" w:eastAsia="宋体" w:cs="宋体"/>
          <w:bCs/>
          <w:snapToGrid w:val="0"/>
          <w:color w:val="auto"/>
          <w:kern w:val="0"/>
          <w:sz w:val="24"/>
          <w:szCs w:val="24"/>
          <w:highlight w:val="none"/>
          <w:u w:val="single"/>
          <w:lang w:val="en-US" w:eastAsia="zh-CN"/>
        </w:rPr>
        <w:t>壹仟陆佰柒拾陆万陆仟伍佰柒拾陆元捌角肆分</w:t>
      </w:r>
      <w:r>
        <w:rPr>
          <w:rFonts w:hint="default" w:ascii="宋体" w:hAnsi="宋体" w:eastAsia="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u w:val="single"/>
          <w:lang w:val="en-US" w:eastAsia="zh-CN"/>
        </w:rPr>
        <w:t>16766576.84</w:t>
      </w:r>
      <w:r>
        <w:rPr>
          <w:rFonts w:hint="default" w:ascii="宋体" w:hAnsi="宋体" w:eastAsia="宋体" w:cs="宋体"/>
          <w:bCs/>
          <w:snapToGrid w:val="0"/>
          <w:color w:val="auto"/>
          <w:kern w:val="0"/>
          <w:sz w:val="24"/>
          <w:szCs w:val="24"/>
          <w:highlight w:val="none"/>
          <w:lang w:val="en-US" w:eastAsia="zh-CN"/>
        </w:rPr>
        <w:t>元），其中绿色施工安全防护措施费为¥</w:t>
      </w:r>
      <w:r>
        <w:rPr>
          <w:rFonts w:hint="eastAsia" w:ascii="宋体" w:hAnsi="宋体" w:eastAsia="宋体" w:cs="宋体"/>
          <w:bCs/>
          <w:snapToGrid w:val="0"/>
          <w:color w:val="auto"/>
          <w:kern w:val="0"/>
          <w:sz w:val="24"/>
          <w:szCs w:val="24"/>
          <w:highlight w:val="none"/>
          <w:u w:val="single"/>
          <w:lang w:val="en-US" w:eastAsia="zh-CN"/>
        </w:rPr>
        <w:t>1136979.24</w:t>
      </w:r>
      <w:r>
        <w:rPr>
          <w:rFonts w:hint="default" w:ascii="宋体" w:hAnsi="宋体" w:eastAsia="宋体" w:cs="宋体"/>
          <w:bCs/>
          <w:snapToGrid w:val="0"/>
          <w:color w:val="auto"/>
          <w:kern w:val="0"/>
          <w:sz w:val="24"/>
          <w:szCs w:val="24"/>
          <w:highlight w:val="none"/>
          <w:lang w:val="en-US" w:eastAsia="zh-CN"/>
        </w:rPr>
        <w:t>元，暂列金额为¥</w:t>
      </w:r>
      <w:r>
        <w:rPr>
          <w:rFonts w:hint="eastAsia" w:ascii="宋体" w:hAnsi="宋体" w:cs="宋体"/>
          <w:bCs/>
          <w:snapToGrid w:val="0"/>
          <w:color w:val="auto"/>
          <w:kern w:val="0"/>
          <w:sz w:val="24"/>
          <w:szCs w:val="24"/>
          <w:highlight w:val="none"/>
          <w:u w:val="single"/>
          <w:lang w:val="en-US" w:eastAsia="zh-CN"/>
        </w:rPr>
        <w:t>/</w:t>
      </w:r>
      <w:r>
        <w:rPr>
          <w:rFonts w:hint="default" w:ascii="宋体" w:hAnsi="宋体" w:eastAsia="宋体" w:cs="宋体"/>
          <w:bCs/>
          <w:snapToGrid w:val="0"/>
          <w:color w:val="auto"/>
          <w:kern w:val="0"/>
          <w:sz w:val="24"/>
          <w:szCs w:val="24"/>
          <w:highlight w:val="none"/>
          <w:lang w:val="en-US" w:eastAsia="zh-CN"/>
        </w:rPr>
        <w:t>元，暂估价为¥</w:t>
      </w:r>
      <w:r>
        <w:rPr>
          <w:rFonts w:hint="eastAsia" w:ascii="宋体" w:hAnsi="宋体" w:cs="宋体"/>
          <w:bCs/>
          <w:snapToGrid w:val="0"/>
          <w:color w:val="auto"/>
          <w:kern w:val="0"/>
          <w:sz w:val="24"/>
          <w:szCs w:val="24"/>
          <w:highlight w:val="none"/>
          <w:u w:val="single"/>
          <w:lang w:val="en-US" w:eastAsia="zh-CN"/>
        </w:rPr>
        <w:t>/</w:t>
      </w:r>
      <w:r>
        <w:rPr>
          <w:rFonts w:hint="default" w:ascii="宋体" w:hAnsi="宋体" w:eastAsia="宋体" w:cs="宋体"/>
          <w:bCs/>
          <w:snapToGrid w:val="0"/>
          <w:color w:val="auto"/>
          <w:kern w:val="0"/>
          <w:sz w:val="24"/>
          <w:szCs w:val="24"/>
          <w:highlight w:val="none"/>
          <w:lang w:val="en-US" w:eastAsia="zh-CN"/>
        </w:rPr>
        <w:t>元。投标人的安全生产措施费报价必须达到或超过安全生产措施费限价。</w:t>
      </w:r>
    </w:p>
    <w:sectPr>
      <w:footerReference r:id="rId9" w:type="default"/>
      <w:pgSz w:w="11906" w:h="16838"/>
      <w:pgMar w:top="791" w:right="1092" w:bottom="1402" w:left="115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EA406-07AA-4FB8-B396-9058B9F6E3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FC58482-9371-4937-BED2-4EABF38D8F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992E">
    <w:pPr>
      <w:pStyle w:val="28"/>
      <w:pBdr>
        <w:between w:val="none" w:color="auto" w:sz="0" w:space="0"/>
      </w:pBdr>
      <w:rPr>
        <w:rFonts w:hint="eastAsia"/>
      </w:rPr>
    </w:pPr>
  </w:p>
  <w:p w14:paraId="4908A560">
    <w:pPr>
      <w:pStyle w:val="28"/>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2BF8">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B2CF">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F8395">
                          <w:pPr>
                            <w:pStyle w:val="2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WF+skBAACa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VYX6yQEAAJoDAAAOAAAAAAAAAAEAIAAAAB4BAABkcnMvZTJvRG9j&#10;LnhtbFBLBQYAAAAABgAGAFkBAABZBQAAAAA=&#10;">
              <v:fill on="f" focussize="0,0"/>
              <v:stroke on="f"/>
              <v:imagedata o:title=""/>
              <o:lock v:ext="edit" aspectratio="f"/>
              <v:textbox inset="0mm,0mm,0mm,0mm" style="mso-fit-shape-to-text:t;">
                <w:txbxContent>
                  <w:p w14:paraId="3E5F8395">
                    <w:pPr>
                      <w:pStyle w:val="2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1B33">
    <w:pPr>
      <w:pStyle w:val="17"/>
      <w:spacing w:line="176" w:lineRule="auto"/>
      <w:ind w:left="4104"/>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69986">
                          <w:pPr>
                            <w:pStyle w:val="28"/>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bVyBLdAQAAvwMAAA4AAAAAAAAA&#10;AQAgAAAAHgEAAGRycy9lMm9Eb2MueG1sUEsFBgAAAAAGAAYAWQEAAG0FAAAAAA==&#10;">
              <v:fill on="f" focussize="0,0"/>
              <v:stroke on="f"/>
              <v:imagedata o:title=""/>
              <o:lock v:ext="edit" aspectratio="f"/>
              <v:textbox inset="0mm,0mm,0mm,0mm" style="mso-fit-shape-to-text:t;">
                <w:txbxContent>
                  <w:p w14:paraId="34669986">
                    <w:pPr>
                      <w:pStyle w:val="2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E0C4">
    <w:pPr>
      <w:pStyle w:val="28"/>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F84A2">
                          <w:pPr>
                            <w:pStyle w:val="28"/>
                          </w:pPr>
                          <w:r>
                            <w:t xml:space="preserve">— </w:t>
                          </w:r>
                          <w:r>
                            <w:fldChar w:fldCharType="begin"/>
                          </w:r>
                          <w:r>
                            <w:instrText xml:space="preserve"> PAGE  \* MERGEFORMAT </w:instrText>
                          </w:r>
                          <w:r>
                            <w:fldChar w:fldCharType="separate"/>
                          </w:r>
                          <w:r>
                            <w:t>89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VsIt8BAAC/AwAADgAAAAAA&#10;AAABACAAAAAeAQAAZHJzL2Uyb0RvYy54bWxQSwUGAAAAAAYABgBZAQAAbwUAAAAA&#10;">
              <v:fill on="f" focussize="0,0"/>
              <v:stroke on="f"/>
              <v:imagedata o:title=""/>
              <o:lock v:ext="edit" aspectratio="f"/>
              <v:textbox inset="0mm,0mm,0mm,0mm" style="mso-fit-shape-to-text:t;">
                <w:txbxContent>
                  <w:p w14:paraId="362F84A2">
                    <w:pPr>
                      <w:pStyle w:val="28"/>
                    </w:pPr>
                    <w:r>
                      <w:t xml:space="preserve">— </w:t>
                    </w:r>
                    <w:r>
                      <w:fldChar w:fldCharType="begin"/>
                    </w:r>
                    <w:r>
                      <w:instrText xml:space="preserve"> PAGE  \* MERGEFORMAT </w:instrText>
                    </w:r>
                    <w:r>
                      <w:fldChar w:fldCharType="separate"/>
                    </w:r>
                    <w:r>
                      <w:t>89</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622A5A"/>
                      </w:txbxContent>
                    </wps:txbx>
                    <wps:bodyPr wrap="none" lIns="0" tIns="0" rIns="0" bIns="0" upright="0">
                      <a:spAutoFit/>
                    </wps:bodyPr>
                  </wps:wsp>
                </a:graphicData>
              </a:graphic>
            </wp:anchor>
          </w:drawing>
        </mc:Choice>
        <mc:Fallback>
          <w:pict>
            <v:rect id="文本框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1+y7DAQAAjgMAAA4AAABkcnMvZTJvRG9jLnhtbK1TzY7TMBC+I/EO&#10;lu80aZF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e3&#10;t8mdPmBFTQ/hHqYMKUxShxZsepMINmRHz1dH1RCZpOJyvVqvSzJb0tmcEE7x+HkAjO+VtywFNQe6&#10;suykOH3EOLbOLWma83faGKqLyri/CoSZKkViPHJMURz2w0R875szie3ptmvuaLk5Mx8cmZkWYw5g&#10;DvZzcAygD13enDQPw7tjJBKZW5owwk6D6Zqyumml0h48zXPX42+0/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LX7LsMBAACOAwAADgAAAAAAAAABACAAAAAfAQAAZHJzL2Uyb0RvYy54bWxQ&#10;SwUGAAAAAAYABgBZAQAAVAUAAAAA&#10;">
              <v:fill on="f" focussize="0,0"/>
              <v:stroke on="f"/>
              <v:imagedata o:title=""/>
              <o:lock v:ext="edit" aspectratio="f"/>
              <v:textbox inset="0mm,0mm,0mm,0mm" style="mso-fit-shape-to-text:t;">
                <w:txbxContent>
                  <w:p w14:paraId="65622A5A"/>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296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8C17">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F05F7"/>
    <w:multiLevelType w:val="singleLevel"/>
    <w:tmpl w:val="A53F05F7"/>
    <w:lvl w:ilvl="0" w:tentative="0">
      <w:start w:val="1"/>
      <w:numFmt w:val="bullet"/>
      <w:pStyle w:val="23"/>
      <w:lvlText w:val=""/>
      <w:lvlJc w:val="left"/>
      <w:pPr>
        <w:tabs>
          <w:tab w:val="left" w:pos="2040"/>
        </w:tabs>
        <w:ind w:left="2040" w:hanging="360"/>
      </w:pPr>
      <w:rPr>
        <w:rFonts w:hint="default" w:ascii="Wingdings" w:hAnsi="Wingdings"/>
      </w:rPr>
    </w:lvl>
  </w:abstractNum>
  <w:abstractNum w:abstractNumId="1">
    <w:nsid w:val="B8EB13E2"/>
    <w:multiLevelType w:val="singleLevel"/>
    <w:tmpl w:val="B8EB13E2"/>
    <w:lvl w:ilvl="0" w:tentative="0">
      <w:start w:val="1"/>
      <w:numFmt w:val="decimal"/>
      <w:lvlText w:val="%1."/>
      <w:lvlJc w:val="left"/>
      <w:pPr>
        <w:tabs>
          <w:tab w:val="left" w:pos="312"/>
        </w:tabs>
      </w:pPr>
    </w:lvl>
  </w:abstractNum>
  <w:abstractNum w:abstractNumId="2">
    <w:nsid w:val="E3CD69B4"/>
    <w:multiLevelType w:val="singleLevel"/>
    <w:tmpl w:val="E3CD69B4"/>
    <w:lvl w:ilvl="0" w:tentative="0">
      <w:start w:val="1"/>
      <w:numFmt w:val="decimal"/>
      <w:suff w:val="nothing"/>
      <w:lvlText w:val="%1．"/>
      <w:lvlJc w:val="left"/>
    </w:lvl>
  </w:abstractNum>
  <w:abstractNum w:abstractNumId="3">
    <w:nsid w:val="2F4A5BA0"/>
    <w:multiLevelType w:val="singleLevel"/>
    <w:tmpl w:val="2F4A5BA0"/>
    <w:lvl w:ilvl="0" w:tentative="0">
      <w:start w:val="2"/>
      <w:numFmt w:val="decimal"/>
      <w:suff w:val="nothing"/>
      <w:lvlText w:val="（%1）"/>
      <w:lvlJc w:val="left"/>
    </w:lvl>
  </w:abstractNum>
  <w:abstractNum w:abstractNumId="4">
    <w:nsid w:val="599B27B4"/>
    <w:multiLevelType w:val="singleLevel"/>
    <w:tmpl w:val="599B27B4"/>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TYyZDlhZmY0YjRlYzhkODNmNWQ2YTVhNDlhMTAifQ=="/>
  </w:docVars>
  <w:rsids>
    <w:rsidRoot w:val="00172A27"/>
    <w:rsid w:val="00005402"/>
    <w:rsid w:val="00131E38"/>
    <w:rsid w:val="00166D80"/>
    <w:rsid w:val="00190B14"/>
    <w:rsid w:val="00210AAD"/>
    <w:rsid w:val="0035676E"/>
    <w:rsid w:val="00362B34"/>
    <w:rsid w:val="003E106F"/>
    <w:rsid w:val="00594A41"/>
    <w:rsid w:val="005D36FC"/>
    <w:rsid w:val="006104EC"/>
    <w:rsid w:val="00671FB5"/>
    <w:rsid w:val="006F670C"/>
    <w:rsid w:val="00711BF5"/>
    <w:rsid w:val="007322D4"/>
    <w:rsid w:val="0078768E"/>
    <w:rsid w:val="00885B23"/>
    <w:rsid w:val="008A1569"/>
    <w:rsid w:val="009605B5"/>
    <w:rsid w:val="009D6F26"/>
    <w:rsid w:val="00A87252"/>
    <w:rsid w:val="00B5443F"/>
    <w:rsid w:val="00CA11CB"/>
    <w:rsid w:val="00D26D9F"/>
    <w:rsid w:val="00D33509"/>
    <w:rsid w:val="00EB7BDC"/>
    <w:rsid w:val="00ED4614"/>
    <w:rsid w:val="00EE24C7"/>
    <w:rsid w:val="010F37FF"/>
    <w:rsid w:val="01136B4E"/>
    <w:rsid w:val="011C66E6"/>
    <w:rsid w:val="01231D0D"/>
    <w:rsid w:val="01237189"/>
    <w:rsid w:val="012507F6"/>
    <w:rsid w:val="012D6925"/>
    <w:rsid w:val="01411140"/>
    <w:rsid w:val="0147086B"/>
    <w:rsid w:val="014B0E09"/>
    <w:rsid w:val="01514167"/>
    <w:rsid w:val="015B3238"/>
    <w:rsid w:val="016F1F8D"/>
    <w:rsid w:val="016F283F"/>
    <w:rsid w:val="0188057E"/>
    <w:rsid w:val="018813E7"/>
    <w:rsid w:val="018C75E4"/>
    <w:rsid w:val="018E14D7"/>
    <w:rsid w:val="018F030C"/>
    <w:rsid w:val="01945111"/>
    <w:rsid w:val="019B70E3"/>
    <w:rsid w:val="019E4D02"/>
    <w:rsid w:val="01AA2302"/>
    <w:rsid w:val="01AB281C"/>
    <w:rsid w:val="01B75448"/>
    <w:rsid w:val="01BE7323"/>
    <w:rsid w:val="01C44B59"/>
    <w:rsid w:val="01D70B33"/>
    <w:rsid w:val="01DA06FA"/>
    <w:rsid w:val="01DF3AA6"/>
    <w:rsid w:val="01E06DE7"/>
    <w:rsid w:val="01EB6EF0"/>
    <w:rsid w:val="01EC3E90"/>
    <w:rsid w:val="020020D6"/>
    <w:rsid w:val="0200517B"/>
    <w:rsid w:val="020166BE"/>
    <w:rsid w:val="020C4532"/>
    <w:rsid w:val="0215128A"/>
    <w:rsid w:val="02311C25"/>
    <w:rsid w:val="02497EAE"/>
    <w:rsid w:val="024D4936"/>
    <w:rsid w:val="0253009B"/>
    <w:rsid w:val="02552156"/>
    <w:rsid w:val="02560675"/>
    <w:rsid w:val="025B6F6D"/>
    <w:rsid w:val="02706361"/>
    <w:rsid w:val="028A0E54"/>
    <w:rsid w:val="02983DE3"/>
    <w:rsid w:val="02A14D44"/>
    <w:rsid w:val="02A623F0"/>
    <w:rsid w:val="02B10BD8"/>
    <w:rsid w:val="02B374BF"/>
    <w:rsid w:val="02B70580"/>
    <w:rsid w:val="02C1356F"/>
    <w:rsid w:val="02D4315A"/>
    <w:rsid w:val="031169D7"/>
    <w:rsid w:val="03116DF0"/>
    <w:rsid w:val="03117BB8"/>
    <w:rsid w:val="031F3187"/>
    <w:rsid w:val="03207FB0"/>
    <w:rsid w:val="03233386"/>
    <w:rsid w:val="03263F15"/>
    <w:rsid w:val="032B0637"/>
    <w:rsid w:val="03606377"/>
    <w:rsid w:val="0362334B"/>
    <w:rsid w:val="03633B9D"/>
    <w:rsid w:val="036F72C4"/>
    <w:rsid w:val="037F7120"/>
    <w:rsid w:val="038B7AB2"/>
    <w:rsid w:val="038C0A4B"/>
    <w:rsid w:val="038F4B1F"/>
    <w:rsid w:val="03A60B0D"/>
    <w:rsid w:val="03B8607D"/>
    <w:rsid w:val="03C36E72"/>
    <w:rsid w:val="03C520CE"/>
    <w:rsid w:val="03CE0580"/>
    <w:rsid w:val="03D52F56"/>
    <w:rsid w:val="03DC039D"/>
    <w:rsid w:val="03DD08C0"/>
    <w:rsid w:val="03E1561A"/>
    <w:rsid w:val="03FC36FD"/>
    <w:rsid w:val="04043B9E"/>
    <w:rsid w:val="0404593C"/>
    <w:rsid w:val="04121D6C"/>
    <w:rsid w:val="041A7578"/>
    <w:rsid w:val="04240E58"/>
    <w:rsid w:val="043C3CC0"/>
    <w:rsid w:val="043F3E44"/>
    <w:rsid w:val="049007F3"/>
    <w:rsid w:val="049147BA"/>
    <w:rsid w:val="04996460"/>
    <w:rsid w:val="04A66578"/>
    <w:rsid w:val="04AD4476"/>
    <w:rsid w:val="04B74AB2"/>
    <w:rsid w:val="04B86CCD"/>
    <w:rsid w:val="04C2570D"/>
    <w:rsid w:val="04C6333E"/>
    <w:rsid w:val="04C85449"/>
    <w:rsid w:val="04E252CF"/>
    <w:rsid w:val="04EE78CC"/>
    <w:rsid w:val="04FF7787"/>
    <w:rsid w:val="05012995"/>
    <w:rsid w:val="05017F69"/>
    <w:rsid w:val="05036C8C"/>
    <w:rsid w:val="05050908"/>
    <w:rsid w:val="050A7EEF"/>
    <w:rsid w:val="05190ECE"/>
    <w:rsid w:val="05354E79"/>
    <w:rsid w:val="053A1F4E"/>
    <w:rsid w:val="054516BB"/>
    <w:rsid w:val="054B64F4"/>
    <w:rsid w:val="05531AC7"/>
    <w:rsid w:val="05546AE3"/>
    <w:rsid w:val="055C757F"/>
    <w:rsid w:val="05622D89"/>
    <w:rsid w:val="05897ED2"/>
    <w:rsid w:val="058E2190"/>
    <w:rsid w:val="05C0724A"/>
    <w:rsid w:val="05CF792A"/>
    <w:rsid w:val="05D02B47"/>
    <w:rsid w:val="05E732EC"/>
    <w:rsid w:val="05E81F61"/>
    <w:rsid w:val="05ED17BA"/>
    <w:rsid w:val="05ED7F4A"/>
    <w:rsid w:val="05F4376A"/>
    <w:rsid w:val="05F44D12"/>
    <w:rsid w:val="05F6285B"/>
    <w:rsid w:val="05F62D93"/>
    <w:rsid w:val="05F75FE1"/>
    <w:rsid w:val="063F6FF4"/>
    <w:rsid w:val="06400C4E"/>
    <w:rsid w:val="0641333B"/>
    <w:rsid w:val="06420DAA"/>
    <w:rsid w:val="064E4887"/>
    <w:rsid w:val="065546FA"/>
    <w:rsid w:val="06566711"/>
    <w:rsid w:val="06733836"/>
    <w:rsid w:val="067C4D9F"/>
    <w:rsid w:val="067E50A1"/>
    <w:rsid w:val="06816F6A"/>
    <w:rsid w:val="0683755F"/>
    <w:rsid w:val="068A371A"/>
    <w:rsid w:val="068F50C9"/>
    <w:rsid w:val="06A16E3B"/>
    <w:rsid w:val="06A5405A"/>
    <w:rsid w:val="06B7745D"/>
    <w:rsid w:val="06BE1816"/>
    <w:rsid w:val="06C03657"/>
    <w:rsid w:val="06DF3FC3"/>
    <w:rsid w:val="06EC048E"/>
    <w:rsid w:val="06F828CB"/>
    <w:rsid w:val="06FC0576"/>
    <w:rsid w:val="071658B1"/>
    <w:rsid w:val="071958C1"/>
    <w:rsid w:val="071C7C80"/>
    <w:rsid w:val="072467BF"/>
    <w:rsid w:val="074D4932"/>
    <w:rsid w:val="07597B41"/>
    <w:rsid w:val="075E739C"/>
    <w:rsid w:val="075F7DE5"/>
    <w:rsid w:val="0764114F"/>
    <w:rsid w:val="07645B49"/>
    <w:rsid w:val="076C3F89"/>
    <w:rsid w:val="077A57A4"/>
    <w:rsid w:val="078A7B40"/>
    <w:rsid w:val="0791725B"/>
    <w:rsid w:val="079C647B"/>
    <w:rsid w:val="07CF236E"/>
    <w:rsid w:val="07E35D35"/>
    <w:rsid w:val="07F25822"/>
    <w:rsid w:val="07FD764F"/>
    <w:rsid w:val="080B2B96"/>
    <w:rsid w:val="082B7612"/>
    <w:rsid w:val="082C148A"/>
    <w:rsid w:val="0832294A"/>
    <w:rsid w:val="083F299F"/>
    <w:rsid w:val="0847681F"/>
    <w:rsid w:val="08484A61"/>
    <w:rsid w:val="084B746C"/>
    <w:rsid w:val="085843D8"/>
    <w:rsid w:val="086B3462"/>
    <w:rsid w:val="087529E2"/>
    <w:rsid w:val="08777C34"/>
    <w:rsid w:val="087B49F2"/>
    <w:rsid w:val="087C7A23"/>
    <w:rsid w:val="088C3CD7"/>
    <w:rsid w:val="08986B20"/>
    <w:rsid w:val="08AF4508"/>
    <w:rsid w:val="08B006FF"/>
    <w:rsid w:val="08B742F3"/>
    <w:rsid w:val="08BA15F2"/>
    <w:rsid w:val="08BB38C3"/>
    <w:rsid w:val="08CC66A7"/>
    <w:rsid w:val="08CD6119"/>
    <w:rsid w:val="08D36A3A"/>
    <w:rsid w:val="08D95E87"/>
    <w:rsid w:val="08E231CD"/>
    <w:rsid w:val="08E81782"/>
    <w:rsid w:val="08EB1F20"/>
    <w:rsid w:val="08ED6A66"/>
    <w:rsid w:val="08F00271"/>
    <w:rsid w:val="090845F5"/>
    <w:rsid w:val="090E7B43"/>
    <w:rsid w:val="09146B42"/>
    <w:rsid w:val="09152FBF"/>
    <w:rsid w:val="09187752"/>
    <w:rsid w:val="0919027A"/>
    <w:rsid w:val="091A2728"/>
    <w:rsid w:val="09286EE7"/>
    <w:rsid w:val="09357A7E"/>
    <w:rsid w:val="09396BBE"/>
    <w:rsid w:val="093A4032"/>
    <w:rsid w:val="093D3270"/>
    <w:rsid w:val="09411864"/>
    <w:rsid w:val="09437A0B"/>
    <w:rsid w:val="09461813"/>
    <w:rsid w:val="094A0A73"/>
    <w:rsid w:val="094B7CD1"/>
    <w:rsid w:val="095711C8"/>
    <w:rsid w:val="09575265"/>
    <w:rsid w:val="09597491"/>
    <w:rsid w:val="09603767"/>
    <w:rsid w:val="09614E0C"/>
    <w:rsid w:val="097333ED"/>
    <w:rsid w:val="097924AD"/>
    <w:rsid w:val="098D51A8"/>
    <w:rsid w:val="09B94F9F"/>
    <w:rsid w:val="09BA6930"/>
    <w:rsid w:val="09C15C02"/>
    <w:rsid w:val="09C41168"/>
    <w:rsid w:val="09D40BD4"/>
    <w:rsid w:val="09D43A99"/>
    <w:rsid w:val="09D75426"/>
    <w:rsid w:val="09DA4D3B"/>
    <w:rsid w:val="09E013D8"/>
    <w:rsid w:val="09E70D02"/>
    <w:rsid w:val="09E925E9"/>
    <w:rsid w:val="09F1425C"/>
    <w:rsid w:val="0A0978DD"/>
    <w:rsid w:val="0A0C745D"/>
    <w:rsid w:val="0A1042F2"/>
    <w:rsid w:val="0A2875AB"/>
    <w:rsid w:val="0A2B6E00"/>
    <w:rsid w:val="0A2C50C2"/>
    <w:rsid w:val="0A2D26E4"/>
    <w:rsid w:val="0A2F1335"/>
    <w:rsid w:val="0A484476"/>
    <w:rsid w:val="0A5719F7"/>
    <w:rsid w:val="0A5D4431"/>
    <w:rsid w:val="0A6C3DC0"/>
    <w:rsid w:val="0A6F68DB"/>
    <w:rsid w:val="0A742C99"/>
    <w:rsid w:val="0A7C0FB7"/>
    <w:rsid w:val="0A870F32"/>
    <w:rsid w:val="0AA76787"/>
    <w:rsid w:val="0AAC3C95"/>
    <w:rsid w:val="0AAC61AC"/>
    <w:rsid w:val="0AAD62E9"/>
    <w:rsid w:val="0AAF0CE9"/>
    <w:rsid w:val="0ACB14ED"/>
    <w:rsid w:val="0ACD0FD9"/>
    <w:rsid w:val="0AE44885"/>
    <w:rsid w:val="0AFD77DA"/>
    <w:rsid w:val="0B007CDA"/>
    <w:rsid w:val="0B074181"/>
    <w:rsid w:val="0B0F01F5"/>
    <w:rsid w:val="0B143106"/>
    <w:rsid w:val="0B143F0E"/>
    <w:rsid w:val="0B2823DD"/>
    <w:rsid w:val="0B512FB6"/>
    <w:rsid w:val="0B544B45"/>
    <w:rsid w:val="0B5C6C51"/>
    <w:rsid w:val="0B61144B"/>
    <w:rsid w:val="0B681EC6"/>
    <w:rsid w:val="0B772A1C"/>
    <w:rsid w:val="0B7C4B5D"/>
    <w:rsid w:val="0B883915"/>
    <w:rsid w:val="0B8B296C"/>
    <w:rsid w:val="0B8E39C2"/>
    <w:rsid w:val="0B9D2E49"/>
    <w:rsid w:val="0BBA0B5B"/>
    <w:rsid w:val="0BBA1C28"/>
    <w:rsid w:val="0BD016D7"/>
    <w:rsid w:val="0BD53B7F"/>
    <w:rsid w:val="0BE10255"/>
    <w:rsid w:val="0BE41F3A"/>
    <w:rsid w:val="0BEB3B4B"/>
    <w:rsid w:val="0BED0B6F"/>
    <w:rsid w:val="0BF1538F"/>
    <w:rsid w:val="0C0F70F9"/>
    <w:rsid w:val="0C1334DF"/>
    <w:rsid w:val="0C1445A4"/>
    <w:rsid w:val="0C14470F"/>
    <w:rsid w:val="0C1D53EF"/>
    <w:rsid w:val="0C28597F"/>
    <w:rsid w:val="0C3C5DC9"/>
    <w:rsid w:val="0C3F69DE"/>
    <w:rsid w:val="0C405504"/>
    <w:rsid w:val="0C41561A"/>
    <w:rsid w:val="0C456577"/>
    <w:rsid w:val="0C4833AB"/>
    <w:rsid w:val="0C50326D"/>
    <w:rsid w:val="0C5B0590"/>
    <w:rsid w:val="0C5E4F2D"/>
    <w:rsid w:val="0C635431"/>
    <w:rsid w:val="0C684B39"/>
    <w:rsid w:val="0C714D93"/>
    <w:rsid w:val="0C7B3AB4"/>
    <w:rsid w:val="0C7B4C7F"/>
    <w:rsid w:val="0C822F73"/>
    <w:rsid w:val="0C84180D"/>
    <w:rsid w:val="0C9459C2"/>
    <w:rsid w:val="0CA2759F"/>
    <w:rsid w:val="0CA35A93"/>
    <w:rsid w:val="0CB258E3"/>
    <w:rsid w:val="0CB33364"/>
    <w:rsid w:val="0CB819EA"/>
    <w:rsid w:val="0CBE1D97"/>
    <w:rsid w:val="0CCB0A0B"/>
    <w:rsid w:val="0CCB7B57"/>
    <w:rsid w:val="0CCE2B10"/>
    <w:rsid w:val="0CD6672B"/>
    <w:rsid w:val="0CDB0B84"/>
    <w:rsid w:val="0CEB7D2D"/>
    <w:rsid w:val="0CEF0D09"/>
    <w:rsid w:val="0CF63E15"/>
    <w:rsid w:val="0CF70102"/>
    <w:rsid w:val="0CFA675D"/>
    <w:rsid w:val="0D0A6501"/>
    <w:rsid w:val="0D165574"/>
    <w:rsid w:val="0D1E5F59"/>
    <w:rsid w:val="0D2745ED"/>
    <w:rsid w:val="0D2773E3"/>
    <w:rsid w:val="0D2C4B6D"/>
    <w:rsid w:val="0D340F24"/>
    <w:rsid w:val="0D374B59"/>
    <w:rsid w:val="0D3D5EE8"/>
    <w:rsid w:val="0D413799"/>
    <w:rsid w:val="0D473FC4"/>
    <w:rsid w:val="0D527918"/>
    <w:rsid w:val="0D6F4673"/>
    <w:rsid w:val="0D97330A"/>
    <w:rsid w:val="0DA95020"/>
    <w:rsid w:val="0DB90694"/>
    <w:rsid w:val="0DD35DD5"/>
    <w:rsid w:val="0DDC62CA"/>
    <w:rsid w:val="0DDE49B3"/>
    <w:rsid w:val="0DEB0A7A"/>
    <w:rsid w:val="0DEE1DDF"/>
    <w:rsid w:val="0DF45F54"/>
    <w:rsid w:val="0DFD1C98"/>
    <w:rsid w:val="0E1E2466"/>
    <w:rsid w:val="0E210781"/>
    <w:rsid w:val="0E367229"/>
    <w:rsid w:val="0E471A40"/>
    <w:rsid w:val="0E5228AA"/>
    <w:rsid w:val="0E59465B"/>
    <w:rsid w:val="0E646EAF"/>
    <w:rsid w:val="0E695FFB"/>
    <w:rsid w:val="0E7E0566"/>
    <w:rsid w:val="0E820D5B"/>
    <w:rsid w:val="0E925985"/>
    <w:rsid w:val="0E9E07FA"/>
    <w:rsid w:val="0EA1652E"/>
    <w:rsid w:val="0EAE2BD9"/>
    <w:rsid w:val="0EB45D35"/>
    <w:rsid w:val="0EB50D45"/>
    <w:rsid w:val="0EB746F4"/>
    <w:rsid w:val="0EBA1222"/>
    <w:rsid w:val="0ED53AA3"/>
    <w:rsid w:val="0ED65554"/>
    <w:rsid w:val="0EDB32C2"/>
    <w:rsid w:val="0EF54178"/>
    <w:rsid w:val="0EF8579D"/>
    <w:rsid w:val="0F0B4557"/>
    <w:rsid w:val="0F0D2EA5"/>
    <w:rsid w:val="0F0D2F21"/>
    <w:rsid w:val="0F14138D"/>
    <w:rsid w:val="0F173B33"/>
    <w:rsid w:val="0F213644"/>
    <w:rsid w:val="0F484368"/>
    <w:rsid w:val="0F6925D8"/>
    <w:rsid w:val="0F774AE8"/>
    <w:rsid w:val="0F7C1663"/>
    <w:rsid w:val="0F8514D8"/>
    <w:rsid w:val="0F895868"/>
    <w:rsid w:val="0F9811B3"/>
    <w:rsid w:val="0F9D41E8"/>
    <w:rsid w:val="0FB30CBE"/>
    <w:rsid w:val="0FB83603"/>
    <w:rsid w:val="0FBC272E"/>
    <w:rsid w:val="0FC93BF5"/>
    <w:rsid w:val="0FCF76A4"/>
    <w:rsid w:val="0FE663C2"/>
    <w:rsid w:val="0FF8394A"/>
    <w:rsid w:val="0FFB6224"/>
    <w:rsid w:val="101B6D87"/>
    <w:rsid w:val="10260EB5"/>
    <w:rsid w:val="103044CC"/>
    <w:rsid w:val="1030535F"/>
    <w:rsid w:val="10333A24"/>
    <w:rsid w:val="104073ED"/>
    <w:rsid w:val="10481806"/>
    <w:rsid w:val="104B19C6"/>
    <w:rsid w:val="10570A06"/>
    <w:rsid w:val="10757746"/>
    <w:rsid w:val="10793D31"/>
    <w:rsid w:val="10876A06"/>
    <w:rsid w:val="108C4608"/>
    <w:rsid w:val="1090605D"/>
    <w:rsid w:val="109127D2"/>
    <w:rsid w:val="109629A0"/>
    <w:rsid w:val="10A97615"/>
    <w:rsid w:val="10B65D95"/>
    <w:rsid w:val="10BF08A6"/>
    <w:rsid w:val="10C367F1"/>
    <w:rsid w:val="10E336A5"/>
    <w:rsid w:val="10E37553"/>
    <w:rsid w:val="10EA5A3E"/>
    <w:rsid w:val="10FF29EB"/>
    <w:rsid w:val="111F2BA3"/>
    <w:rsid w:val="11245613"/>
    <w:rsid w:val="11245E6A"/>
    <w:rsid w:val="11261DA1"/>
    <w:rsid w:val="1136581B"/>
    <w:rsid w:val="11460865"/>
    <w:rsid w:val="1152352B"/>
    <w:rsid w:val="11607E11"/>
    <w:rsid w:val="11616E90"/>
    <w:rsid w:val="11857BFE"/>
    <w:rsid w:val="119C7706"/>
    <w:rsid w:val="11AA7C31"/>
    <w:rsid w:val="11B318EB"/>
    <w:rsid w:val="11BD4180"/>
    <w:rsid w:val="11CD58D2"/>
    <w:rsid w:val="11D1328F"/>
    <w:rsid w:val="11EE1628"/>
    <w:rsid w:val="11FB1FDE"/>
    <w:rsid w:val="121457CA"/>
    <w:rsid w:val="12213670"/>
    <w:rsid w:val="122704B0"/>
    <w:rsid w:val="125966BB"/>
    <w:rsid w:val="125B25CF"/>
    <w:rsid w:val="125D7411"/>
    <w:rsid w:val="12634C87"/>
    <w:rsid w:val="126714D3"/>
    <w:rsid w:val="126D1873"/>
    <w:rsid w:val="12755112"/>
    <w:rsid w:val="12761838"/>
    <w:rsid w:val="128961AC"/>
    <w:rsid w:val="128A7A12"/>
    <w:rsid w:val="12A05CB5"/>
    <w:rsid w:val="12AD21AE"/>
    <w:rsid w:val="12B409FA"/>
    <w:rsid w:val="12B560A5"/>
    <w:rsid w:val="12C21B50"/>
    <w:rsid w:val="12CC5F18"/>
    <w:rsid w:val="12CD71C3"/>
    <w:rsid w:val="12D5789F"/>
    <w:rsid w:val="12DD3D8E"/>
    <w:rsid w:val="12EC1F42"/>
    <w:rsid w:val="12F350C7"/>
    <w:rsid w:val="12F51273"/>
    <w:rsid w:val="12F929EC"/>
    <w:rsid w:val="12FB0D7C"/>
    <w:rsid w:val="12FD0682"/>
    <w:rsid w:val="130E703E"/>
    <w:rsid w:val="13120DBB"/>
    <w:rsid w:val="131D6848"/>
    <w:rsid w:val="13225686"/>
    <w:rsid w:val="13255454"/>
    <w:rsid w:val="132F22CB"/>
    <w:rsid w:val="13394A5B"/>
    <w:rsid w:val="133A2D45"/>
    <w:rsid w:val="133A63A1"/>
    <w:rsid w:val="13444ED9"/>
    <w:rsid w:val="134A2251"/>
    <w:rsid w:val="134D0FBA"/>
    <w:rsid w:val="13736052"/>
    <w:rsid w:val="13774FE0"/>
    <w:rsid w:val="137C0F5D"/>
    <w:rsid w:val="137E1788"/>
    <w:rsid w:val="13941D7D"/>
    <w:rsid w:val="139E4967"/>
    <w:rsid w:val="13A370B6"/>
    <w:rsid w:val="13AB05A7"/>
    <w:rsid w:val="13AE45AF"/>
    <w:rsid w:val="13B3480E"/>
    <w:rsid w:val="13B8364F"/>
    <w:rsid w:val="13BD303B"/>
    <w:rsid w:val="13C70A82"/>
    <w:rsid w:val="13D345AD"/>
    <w:rsid w:val="13D44784"/>
    <w:rsid w:val="13DE1C03"/>
    <w:rsid w:val="13DF0DF5"/>
    <w:rsid w:val="13E958F0"/>
    <w:rsid w:val="13F17AA5"/>
    <w:rsid w:val="13FD5FE5"/>
    <w:rsid w:val="14035AF4"/>
    <w:rsid w:val="1404648F"/>
    <w:rsid w:val="14131C7C"/>
    <w:rsid w:val="14145E5D"/>
    <w:rsid w:val="1418528A"/>
    <w:rsid w:val="142117DC"/>
    <w:rsid w:val="14274EA4"/>
    <w:rsid w:val="14302957"/>
    <w:rsid w:val="14341AF0"/>
    <w:rsid w:val="1437463D"/>
    <w:rsid w:val="14467437"/>
    <w:rsid w:val="144A2269"/>
    <w:rsid w:val="144E07DC"/>
    <w:rsid w:val="14551975"/>
    <w:rsid w:val="14587163"/>
    <w:rsid w:val="145C540E"/>
    <w:rsid w:val="145C7558"/>
    <w:rsid w:val="146C595B"/>
    <w:rsid w:val="146F5AB8"/>
    <w:rsid w:val="147321EF"/>
    <w:rsid w:val="147D07D6"/>
    <w:rsid w:val="14846883"/>
    <w:rsid w:val="14860885"/>
    <w:rsid w:val="148C5B51"/>
    <w:rsid w:val="14CB73CA"/>
    <w:rsid w:val="14F71DA3"/>
    <w:rsid w:val="150752C0"/>
    <w:rsid w:val="15177E87"/>
    <w:rsid w:val="15202377"/>
    <w:rsid w:val="153316F9"/>
    <w:rsid w:val="15351257"/>
    <w:rsid w:val="15363948"/>
    <w:rsid w:val="153C11A8"/>
    <w:rsid w:val="153E7821"/>
    <w:rsid w:val="155C0B98"/>
    <w:rsid w:val="155C2C83"/>
    <w:rsid w:val="15B825AF"/>
    <w:rsid w:val="15BC2038"/>
    <w:rsid w:val="15C6492A"/>
    <w:rsid w:val="15CE37A3"/>
    <w:rsid w:val="15D5716F"/>
    <w:rsid w:val="15DE5199"/>
    <w:rsid w:val="15EC4D86"/>
    <w:rsid w:val="15ED0791"/>
    <w:rsid w:val="15F2091B"/>
    <w:rsid w:val="15F70D7F"/>
    <w:rsid w:val="15F906F9"/>
    <w:rsid w:val="161A6D0E"/>
    <w:rsid w:val="161C0D90"/>
    <w:rsid w:val="16246D51"/>
    <w:rsid w:val="1629035D"/>
    <w:rsid w:val="16312365"/>
    <w:rsid w:val="1645741A"/>
    <w:rsid w:val="16464AA0"/>
    <w:rsid w:val="16495F87"/>
    <w:rsid w:val="165203EF"/>
    <w:rsid w:val="165F68D2"/>
    <w:rsid w:val="166564B8"/>
    <w:rsid w:val="16670725"/>
    <w:rsid w:val="166A7657"/>
    <w:rsid w:val="167012A1"/>
    <w:rsid w:val="16817906"/>
    <w:rsid w:val="16842E75"/>
    <w:rsid w:val="16892D48"/>
    <w:rsid w:val="168C456E"/>
    <w:rsid w:val="16905894"/>
    <w:rsid w:val="16A464D9"/>
    <w:rsid w:val="16B41CB7"/>
    <w:rsid w:val="16B81647"/>
    <w:rsid w:val="16BF0B66"/>
    <w:rsid w:val="16D90A2F"/>
    <w:rsid w:val="16DC349D"/>
    <w:rsid w:val="16E963CC"/>
    <w:rsid w:val="16F635F4"/>
    <w:rsid w:val="16F916DD"/>
    <w:rsid w:val="17012F96"/>
    <w:rsid w:val="170B670F"/>
    <w:rsid w:val="17122FB6"/>
    <w:rsid w:val="171C6B6E"/>
    <w:rsid w:val="17285A0F"/>
    <w:rsid w:val="172C5712"/>
    <w:rsid w:val="17381781"/>
    <w:rsid w:val="174165D4"/>
    <w:rsid w:val="174775D6"/>
    <w:rsid w:val="175C02D7"/>
    <w:rsid w:val="175E2CE2"/>
    <w:rsid w:val="176020B8"/>
    <w:rsid w:val="176A7F66"/>
    <w:rsid w:val="17742C5A"/>
    <w:rsid w:val="1775586B"/>
    <w:rsid w:val="17762B5E"/>
    <w:rsid w:val="178D45D6"/>
    <w:rsid w:val="17950CE0"/>
    <w:rsid w:val="17950F62"/>
    <w:rsid w:val="17A0794B"/>
    <w:rsid w:val="17AC1CA0"/>
    <w:rsid w:val="1800279C"/>
    <w:rsid w:val="1805050A"/>
    <w:rsid w:val="180637E2"/>
    <w:rsid w:val="18087B59"/>
    <w:rsid w:val="18114A0E"/>
    <w:rsid w:val="18134AB0"/>
    <w:rsid w:val="18211DCA"/>
    <w:rsid w:val="1825592A"/>
    <w:rsid w:val="182A3D0B"/>
    <w:rsid w:val="182C15FA"/>
    <w:rsid w:val="18327F1E"/>
    <w:rsid w:val="183F1D57"/>
    <w:rsid w:val="18436C36"/>
    <w:rsid w:val="18441249"/>
    <w:rsid w:val="1847283C"/>
    <w:rsid w:val="185C46BF"/>
    <w:rsid w:val="185E78B9"/>
    <w:rsid w:val="185F040C"/>
    <w:rsid w:val="1865137F"/>
    <w:rsid w:val="18747286"/>
    <w:rsid w:val="18787DD4"/>
    <w:rsid w:val="187C30D9"/>
    <w:rsid w:val="18850A78"/>
    <w:rsid w:val="18930C62"/>
    <w:rsid w:val="189B6BED"/>
    <w:rsid w:val="189D5C89"/>
    <w:rsid w:val="18A23EF8"/>
    <w:rsid w:val="18B9593C"/>
    <w:rsid w:val="18D8497A"/>
    <w:rsid w:val="18D84ADE"/>
    <w:rsid w:val="18DD59D3"/>
    <w:rsid w:val="18F31D44"/>
    <w:rsid w:val="18F40276"/>
    <w:rsid w:val="19072DDE"/>
    <w:rsid w:val="19076B25"/>
    <w:rsid w:val="190F4A0E"/>
    <w:rsid w:val="1910625E"/>
    <w:rsid w:val="19115E35"/>
    <w:rsid w:val="1915703D"/>
    <w:rsid w:val="19237DCB"/>
    <w:rsid w:val="192B4E46"/>
    <w:rsid w:val="19307521"/>
    <w:rsid w:val="19493E9B"/>
    <w:rsid w:val="194B1EF9"/>
    <w:rsid w:val="197D2908"/>
    <w:rsid w:val="197D6C71"/>
    <w:rsid w:val="197F0191"/>
    <w:rsid w:val="1985561B"/>
    <w:rsid w:val="19926617"/>
    <w:rsid w:val="19A355A1"/>
    <w:rsid w:val="19AC5DAE"/>
    <w:rsid w:val="19B30D8F"/>
    <w:rsid w:val="19B451E0"/>
    <w:rsid w:val="19BB4B63"/>
    <w:rsid w:val="19C21FF7"/>
    <w:rsid w:val="19D70988"/>
    <w:rsid w:val="19D75B5F"/>
    <w:rsid w:val="19D77120"/>
    <w:rsid w:val="19DA5394"/>
    <w:rsid w:val="19E93293"/>
    <w:rsid w:val="19EC4772"/>
    <w:rsid w:val="19F811CC"/>
    <w:rsid w:val="1A053195"/>
    <w:rsid w:val="1A067752"/>
    <w:rsid w:val="1A0B14A8"/>
    <w:rsid w:val="1A0D40FC"/>
    <w:rsid w:val="1A0D59ED"/>
    <w:rsid w:val="1A1B0BB9"/>
    <w:rsid w:val="1A28414D"/>
    <w:rsid w:val="1A295829"/>
    <w:rsid w:val="1A395F1B"/>
    <w:rsid w:val="1A6161D8"/>
    <w:rsid w:val="1A6B0AD9"/>
    <w:rsid w:val="1A8043C8"/>
    <w:rsid w:val="1A8E701D"/>
    <w:rsid w:val="1AA255DC"/>
    <w:rsid w:val="1AB5312E"/>
    <w:rsid w:val="1AC05DCC"/>
    <w:rsid w:val="1ACC1735"/>
    <w:rsid w:val="1AD03EF7"/>
    <w:rsid w:val="1AD31C39"/>
    <w:rsid w:val="1AD937A0"/>
    <w:rsid w:val="1AE7091E"/>
    <w:rsid w:val="1AFE6984"/>
    <w:rsid w:val="1B0A5C1C"/>
    <w:rsid w:val="1B102EB4"/>
    <w:rsid w:val="1B1117F5"/>
    <w:rsid w:val="1B172BEE"/>
    <w:rsid w:val="1B175748"/>
    <w:rsid w:val="1B222279"/>
    <w:rsid w:val="1B254FF9"/>
    <w:rsid w:val="1B3274A2"/>
    <w:rsid w:val="1B3501FE"/>
    <w:rsid w:val="1B353B50"/>
    <w:rsid w:val="1B41144D"/>
    <w:rsid w:val="1B440441"/>
    <w:rsid w:val="1B470238"/>
    <w:rsid w:val="1B533AEC"/>
    <w:rsid w:val="1B590626"/>
    <w:rsid w:val="1B6D6FDD"/>
    <w:rsid w:val="1B785A01"/>
    <w:rsid w:val="1B840CA6"/>
    <w:rsid w:val="1B8B59C5"/>
    <w:rsid w:val="1B9C5E0F"/>
    <w:rsid w:val="1B9E2247"/>
    <w:rsid w:val="1BA6748A"/>
    <w:rsid w:val="1BAE0B61"/>
    <w:rsid w:val="1BBD120A"/>
    <w:rsid w:val="1BBE5191"/>
    <w:rsid w:val="1BC0476C"/>
    <w:rsid w:val="1BC2741A"/>
    <w:rsid w:val="1BC86DF3"/>
    <w:rsid w:val="1BD01DA4"/>
    <w:rsid w:val="1BD25304"/>
    <w:rsid w:val="1C0514EF"/>
    <w:rsid w:val="1C0C4517"/>
    <w:rsid w:val="1C0C5CE1"/>
    <w:rsid w:val="1C0D48B9"/>
    <w:rsid w:val="1C0D50B6"/>
    <w:rsid w:val="1C107F9D"/>
    <w:rsid w:val="1C1222ED"/>
    <w:rsid w:val="1C1E240B"/>
    <w:rsid w:val="1C297D63"/>
    <w:rsid w:val="1C2C3FFD"/>
    <w:rsid w:val="1C482BE5"/>
    <w:rsid w:val="1C567E61"/>
    <w:rsid w:val="1C5D17BA"/>
    <w:rsid w:val="1C720B45"/>
    <w:rsid w:val="1C7664AE"/>
    <w:rsid w:val="1C7A6BC9"/>
    <w:rsid w:val="1C8042AC"/>
    <w:rsid w:val="1C850F6C"/>
    <w:rsid w:val="1C924561"/>
    <w:rsid w:val="1C9718E7"/>
    <w:rsid w:val="1CB67C92"/>
    <w:rsid w:val="1CC151E4"/>
    <w:rsid w:val="1CC22C0D"/>
    <w:rsid w:val="1CC400CA"/>
    <w:rsid w:val="1CCE4466"/>
    <w:rsid w:val="1CD001DE"/>
    <w:rsid w:val="1CD10E9D"/>
    <w:rsid w:val="1CF048DA"/>
    <w:rsid w:val="1CF66AF2"/>
    <w:rsid w:val="1CFB45A3"/>
    <w:rsid w:val="1CFE1CD3"/>
    <w:rsid w:val="1D0635FF"/>
    <w:rsid w:val="1D243FBB"/>
    <w:rsid w:val="1D291FE4"/>
    <w:rsid w:val="1D311957"/>
    <w:rsid w:val="1D320E99"/>
    <w:rsid w:val="1D373362"/>
    <w:rsid w:val="1D4538CC"/>
    <w:rsid w:val="1D4604CA"/>
    <w:rsid w:val="1D5406E1"/>
    <w:rsid w:val="1D5740CF"/>
    <w:rsid w:val="1D69121B"/>
    <w:rsid w:val="1D6F28A7"/>
    <w:rsid w:val="1D7371D1"/>
    <w:rsid w:val="1D801C6D"/>
    <w:rsid w:val="1D862F93"/>
    <w:rsid w:val="1D8E32A6"/>
    <w:rsid w:val="1D9E17E8"/>
    <w:rsid w:val="1DA16496"/>
    <w:rsid w:val="1DAA620E"/>
    <w:rsid w:val="1DAF46CA"/>
    <w:rsid w:val="1DB36BFD"/>
    <w:rsid w:val="1DB43FE5"/>
    <w:rsid w:val="1DB4415E"/>
    <w:rsid w:val="1DBB23F6"/>
    <w:rsid w:val="1DBC69B5"/>
    <w:rsid w:val="1DC76AC2"/>
    <w:rsid w:val="1DCF3CE8"/>
    <w:rsid w:val="1DD13942"/>
    <w:rsid w:val="1DD3426B"/>
    <w:rsid w:val="1DD83054"/>
    <w:rsid w:val="1DD9581B"/>
    <w:rsid w:val="1DDA548F"/>
    <w:rsid w:val="1DDB31C1"/>
    <w:rsid w:val="1DDD7FED"/>
    <w:rsid w:val="1DED54B8"/>
    <w:rsid w:val="1E124827"/>
    <w:rsid w:val="1E1412E2"/>
    <w:rsid w:val="1E1A31DE"/>
    <w:rsid w:val="1E1F28F9"/>
    <w:rsid w:val="1E2E78B2"/>
    <w:rsid w:val="1E335185"/>
    <w:rsid w:val="1E344656"/>
    <w:rsid w:val="1E37421B"/>
    <w:rsid w:val="1E3B3EE1"/>
    <w:rsid w:val="1E4365B5"/>
    <w:rsid w:val="1E5B1629"/>
    <w:rsid w:val="1E635082"/>
    <w:rsid w:val="1E6957B8"/>
    <w:rsid w:val="1E764DB5"/>
    <w:rsid w:val="1E931F8B"/>
    <w:rsid w:val="1EA043BC"/>
    <w:rsid w:val="1EA30C09"/>
    <w:rsid w:val="1EA9402B"/>
    <w:rsid w:val="1EDE43F6"/>
    <w:rsid w:val="1EDE5A0B"/>
    <w:rsid w:val="1EE3072E"/>
    <w:rsid w:val="1EEC1929"/>
    <w:rsid w:val="1EEE4C17"/>
    <w:rsid w:val="1EEE7042"/>
    <w:rsid w:val="1EFA1543"/>
    <w:rsid w:val="1EFB1700"/>
    <w:rsid w:val="1F0028D1"/>
    <w:rsid w:val="1F1341DB"/>
    <w:rsid w:val="1F14399D"/>
    <w:rsid w:val="1F4A00D2"/>
    <w:rsid w:val="1F51002B"/>
    <w:rsid w:val="1F6935FB"/>
    <w:rsid w:val="1F7167F9"/>
    <w:rsid w:val="1F792DAF"/>
    <w:rsid w:val="1F7B2341"/>
    <w:rsid w:val="1F854CE2"/>
    <w:rsid w:val="1F8A2471"/>
    <w:rsid w:val="1F8E6C5B"/>
    <w:rsid w:val="1FB02A4B"/>
    <w:rsid w:val="1FB04EF2"/>
    <w:rsid w:val="1FBF2ACF"/>
    <w:rsid w:val="1FCA1CA8"/>
    <w:rsid w:val="1FCE593B"/>
    <w:rsid w:val="1FDF698A"/>
    <w:rsid w:val="1FE84895"/>
    <w:rsid w:val="1FF85A2E"/>
    <w:rsid w:val="2000527E"/>
    <w:rsid w:val="20085724"/>
    <w:rsid w:val="20387B86"/>
    <w:rsid w:val="204027EF"/>
    <w:rsid w:val="204D02FE"/>
    <w:rsid w:val="205A7E19"/>
    <w:rsid w:val="2067586A"/>
    <w:rsid w:val="20705C46"/>
    <w:rsid w:val="20774CFD"/>
    <w:rsid w:val="207B43F4"/>
    <w:rsid w:val="207B46C6"/>
    <w:rsid w:val="208F0FE6"/>
    <w:rsid w:val="20A46B73"/>
    <w:rsid w:val="20AA49A5"/>
    <w:rsid w:val="20AB692F"/>
    <w:rsid w:val="20B617CC"/>
    <w:rsid w:val="20CD585E"/>
    <w:rsid w:val="20CF2E32"/>
    <w:rsid w:val="20D25569"/>
    <w:rsid w:val="20D27BA3"/>
    <w:rsid w:val="20E45483"/>
    <w:rsid w:val="20ED11E0"/>
    <w:rsid w:val="20F11771"/>
    <w:rsid w:val="20FE2683"/>
    <w:rsid w:val="20FF314D"/>
    <w:rsid w:val="21035FBA"/>
    <w:rsid w:val="210A4280"/>
    <w:rsid w:val="2120381D"/>
    <w:rsid w:val="21277B23"/>
    <w:rsid w:val="21445B1A"/>
    <w:rsid w:val="214B76B7"/>
    <w:rsid w:val="214E0CC3"/>
    <w:rsid w:val="21603A0C"/>
    <w:rsid w:val="216E7913"/>
    <w:rsid w:val="21854CFC"/>
    <w:rsid w:val="218B0A7C"/>
    <w:rsid w:val="218C7068"/>
    <w:rsid w:val="21AF429D"/>
    <w:rsid w:val="21AF5ECA"/>
    <w:rsid w:val="21B520A5"/>
    <w:rsid w:val="21B75E11"/>
    <w:rsid w:val="21BB6E20"/>
    <w:rsid w:val="21C166F7"/>
    <w:rsid w:val="21DA38AD"/>
    <w:rsid w:val="21F105C7"/>
    <w:rsid w:val="21F4281E"/>
    <w:rsid w:val="220B73A3"/>
    <w:rsid w:val="22164353"/>
    <w:rsid w:val="2217065D"/>
    <w:rsid w:val="221B326E"/>
    <w:rsid w:val="221C71B7"/>
    <w:rsid w:val="2231658E"/>
    <w:rsid w:val="223E208E"/>
    <w:rsid w:val="224D45F3"/>
    <w:rsid w:val="22506B90"/>
    <w:rsid w:val="225639C9"/>
    <w:rsid w:val="226818FD"/>
    <w:rsid w:val="22682C67"/>
    <w:rsid w:val="22691F9B"/>
    <w:rsid w:val="227D2D8F"/>
    <w:rsid w:val="227E0C54"/>
    <w:rsid w:val="22811DB2"/>
    <w:rsid w:val="228134D0"/>
    <w:rsid w:val="22A073F7"/>
    <w:rsid w:val="22A56367"/>
    <w:rsid w:val="22B032DA"/>
    <w:rsid w:val="22BC1436"/>
    <w:rsid w:val="22C02D72"/>
    <w:rsid w:val="22D32B7D"/>
    <w:rsid w:val="22D91D41"/>
    <w:rsid w:val="22EC2322"/>
    <w:rsid w:val="22FC2974"/>
    <w:rsid w:val="230B4211"/>
    <w:rsid w:val="23140F5B"/>
    <w:rsid w:val="2319543A"/>
    <w:rsid w:val="231E32E1"/>
    <w:rsid w:val="23262A39"/>
    <w:rsid w:val="232E5836"/>
    <w:rsid w:val="232E785F"/>
    <w:rsid w:val="233851AA"/>
    <w:rsid w:val="23395B0A"/>
    <w:rsid w:val="234C2589"/>
    <w:rsid w:val="235814A7"/>
    <w:rsid w:val="2369655D"/>
    <w:rsid w:val="236A19EB"/>
    <w:rsid w:val="238357C2"/>
    <w:rsid w:val="23912F19"/>
    <w:rsid w:val="239301B8"/>
    <w:rsid w:val="23B1063E"/>
    <w:rsid w:val="23E4385B"/>
    <w:rsid w:val="23EB3D61"/>
    <w:rsid w:val="23EC458B"/>
    <w:rsid w:val="23F871D1"/>
    <w:rsid w:val="23FA4C91"/>
    <w:rsid w:val="241402B1"/>
    <w:rsid w:val="244A3022"/>
    <w:rsid w:val="244A70D0"/>
    <w:rsid w:val="24527928"/>
    <w:rsid w:val="247C3EB0"/>
    <w:rsid w:val="24862084"/>
    <w:rsid w:val="249C7FA8"/>
    <w:rsid w:val="24A254F2"/>
    <w:rsid w:val="24A95035"/>
    <w:rsid w:val="24AB4CE4"/>
    <w:rsid w:val="24B05A47"/>
    <w:rsid w:val="24BD373E"/>
    <w:rsid w:val="24C0322E"/>
    <w:rsid w:val="24C433BD"/>
    <w:rsid w:val="24CA19B7"/>
    <w:rsid w:val="24DF13E6"/>
    <w:rsid w:val="24ED51FE"/>
    <w:rsid w:val="24F0083E"/>
    <w:rsid w:val="24F240C5"/>
    <w:rsid w:val="250009D8"/>
    <w:rsid w:val="25002157"/>
    <w:rsid w:val="25400EB0"/>
    <w:rsid w:val="254A31F2"/>
    <w:rsid w:val="254F209E"/>
    <w:rsid w:val="255305D1"/>
    <w:rsid w:val="255706A1"/>
    <w:rsid w:val="256E1667"/>
    <w:rsid w:val="257556CA"/>
    <w:rsid w:val="258A244C"/>
    <w:rsid w:val="25A23CF1"/>
    <w:rsid w:val="25AC1976"/>
    <w:rsid w:val="25AF505C"/>
    <w:rsid w:val="25B30638"/>
    <w:rsid w:val="25BC4D7A"/>
    <w:rsid w:val="25BF7042"/>
    <w:rsid w:val="25C407D4"/>
    <w:rsid w:val="25C40B27"/>
    <w:rsid w:val="25D03B53"/>
    <w:rsid w:val="25D56865"/>
    <w:rsid w:val="25DE027D"/>
    <w:rsid w:val="25DE49A8"/>
    <w:rsid w:val="25ED6B45"/>
    <w:rsid w:val="25F17444"/>
    <w:rsid w:val="26094761"/>
    <w:rsid w:val="260C02FD"/>
    <w:rsid w:val="26102F02"/>
    <w:rsid w:val="26181FB2"/>
    <w:rsid w:val="261C46F1"/>
    <w:rsid w:val="26274E64"/>
    <w:rsid w:val="262D21BC"/>
    <w:rsid w:val="263B45E3"/>
    <w:rsid w:val="26411D78"/>
    <w:rsid w:val="26465948"/>
    <w:rsid w:val="264708B2"/>
    <w:rsid w:val="266A7053"/>
    <w:rsid w:val="266D1BC3"/>
    <w:rsid w:val="267304EE"/>
    <w:rsid w:val="267568C4"/>
    <w:rsid w:val="26922768"/>
    <w:rsid w:val="26C62EDC"/>
    <w:rsid w:val="26C976FA"/>
    <w:rsid w:val="26CA0091"/>
    <w:rsid w:val="26D278C6"/>
    <w:rsid w:val="26E1123A"/>
    <w:rsid w:val="26E34FB2"/>
    <w:rsid w:val="26ED6ECB"/>
    <w:rsid w:val="27105CB5"/>
    <w:rsid w:val="272422AD"/>
    <w:rsid w:val="27284CC9"/>
    <w:rsid w:val="272A6E20"/>
    <w:rsid w:val="272F1FA5"/>
    <w:rsid w:val="2741754A"/>
    <w:rsid w:val="27470027"/>
    <w:rsid w:val="274E4B21"/>
    <w:rsid w:val="275311D6"/>
    <w:rsid w:val="275B2E69"/>
    <w:rsid w:val="276A7481"/>
    <w:rsid w:val="276D13F2"/>
    <w:rsid w:val="27741BE7"/>
    <w:rsid w:val="277D10C8"/>
    <w:rsid w:val="279C54D1"/>
    <w:rsid w:val="27B46B0D"/>
    <w:rsid w:val="27B578A0"/>
    <w:rsid w:val="27B912B1"/>
    <w:rsid w:val="27BB5480"/>
    <w:rsid w:val="27BF3E9E"/>
    <w:rsid w:val="27C22E19"/>
    <w:rsid w:val="27D235FD"/>
    <w:rsid w:val="27D32E53"/>
    <w:rsid w:val="27DF5779"/>
    <w:rsid w:val="27E051A9"/>
    <w:rsid w:val="27FB6F0D"/>
    <w:rsid w:val="28061D38"/>
    <w:rsid w:val="28170901"/>
    <w:rsid w:val="283A5180"/>
    <w:rsid w:val="28552139"/>
    <w:rsid w:val="2857123B"/>
    <w:rsid w:val="28677614"/>
    <w:rsid w:val="286A6B54"/>
    <w:rsid w:val="287326EC"/>
    <w:rsid w:val="287C33A4"/>
    <w:rsid w:val="28877B0F"/>
    <w:rsid w:val="289936D3"/>
    <w:rsid w:val="28CF4308"/>
    <w:rsid w:val="28DE3C83"/>
    <w:rsid w:val="28E2581E"/>
    <w:rsid w:val="28E359D0"/>
    <w:rsid w:val="28F263D7"/>
    <w:rsid w:val="28FC2F28"/>
    <w:rsid w:val="28FD4E2D"/>
    <w:rsid w:val="28FF37BB"/>
    <w:rsid w:val="29081618"/>
    <w:rsid w:val="290F7EC0"/>
    <w:rsid w:val="2916341D"/>
    <w:rsid w:val="29171B75"/>
    <w:rsid w:val="291D16B7"/>
    <w:rsid w:val="29216D13"/>
    <w:rsid w:val="29334939"/>
    <w:rsid w:val="29353773"/>
    <w:rsid w:val="29556B46"/>
    <w:rsid w:val="296845F1"/>
    <w:rsid w:val="296879F1"/>
    <w:rsid w:val="298D692E"/>
    <w:rsid w:val="298E7457"/>
    <w:rsid w:val="29B5000B"/>
    <w:rsid w:val="29B52F2D"/>
    <w:rsid w:val="29C4740A"/>
    <w:rsid w:val="29D349F2"/>
    <w:rsid w:val="29DB29E8"/>
    <w:rsid w:val="29DD154C"/>
    <w:rsid w:val="29DD1C78"/>
    <w:rsid w:val="29E51041"/>
    <w:rsid w:val="29F118DF"/>
    <w:rsid w:val="2A07320C"/>
    <w:rsid w:val="2A097459"/>
    <w:rsid w:val="2A0C7CC6"/>
    <w:rsid w:val="2A0E1578"/>
    <w:rsid w:val="2A1439E1"/>
    <w:rsid w:val="2A177B50"/>
    <w:rsid w:val="2A1B7B5C"/>
    <w:rsid w:val="2A1F4C64"/>
    <w:rsid w:val="2A1F5802"/>
    <w:rsid w:val="2A217057"/>
    <w:rsid w:val="2A3A3570"/>
    <w:rsid w:val="2A5D509B"/>
    <w:rsid w:val="2A697EC4"/>
    <w:rsid w:val="2A703F4B"/>
    <w:rsid w:val="2A7A6504"/>
    <w:rsid w:val="2A7C1863"/>
    <w:rsid w:val="2A7D125A"/>
    <w:rsid w:val="2A9036A3"/>
    <w:rsid w:val="2A924594"/>
    <w:rsid w:val="2A9928C5"/>
    <w:rsid w:val="2AAD1DD8"/>
    <w:rsid w:val="2AB9558F"/>
    <w:rsid w:val="2ABE3918"/>
    <w:rsid w:val="2AC67B3D"/>
    <w:rsid w:val="2ACF08EC"/>
    <w:rsid w:val="2ACF2BEF"/>
    <w:rsid w:val="2AD1039D"/>
    <w:rsid w:val="2AD71E8E"/>
    <w:rsid w:val="2AD93D82"/>
    <w:rsid w:val="2ADD185B"/>
    <w:rsid w:val="2B0A5FC3"/>
    <w:rsid w:val="2B1B15F8"/>
    <w:rsid w:val="2B2B3192"/>
    <w:rsid w:val="2B312790"/>
    <w:rsid w:val="2B3A1803"/>
    <w:rsid w:val="2B3F000A"/>
    <w:rsid w:val="2B45323E"/>
    <w:rsid w:val="2B455FCA"/>
    <w:rsid w:val="2B524DAB"/>
    <w:rsid w:val="2B5D3CC3"/>
    <w:rsid w:val="2B7472EC"/>
    <w:rsid w:val="2B7C46C7"/>
    <w:rsid w:val="2B8F0A57"/>
    <w:rsid w:val="2B947ED8"/>
    <w:rsid w:val="2BA0110A"/>
    <w:rsid w:val="2BAE0C48"/>
    <w:rsid w:val="2BAE6156"/>
    <w:rsid w:val="2BAF0759"/>
    <w:rsid w:val="2BBA6F75"/>
    <w:rsid w:val="2BC57910"/>
    <w:rsid w:val="2BE77795"/>
    <w:rsid w:val="2BF51E54"/>
    <w:rsid w:val="2C0003B4"/>
    <w:rsid w:val="2C0415D9"/>
    <w:rsid w:val="2C0C51FD"/>
    <w:rsid w:val="2C192D14"/>
    <w:rsid w:val="2C1B2D92"/>
    <w:rsid w:val="2C2855A6"/>
    <w:rsid w:val="2C2C11A9"/>
    <w:rsid w:val="2C2E6CCF"/>
    <w:rsid w:val="2C362090"/>
    <w:rsid w:val="2C37319A"/>
    <w:rsid w:val="2C3C75FA"/>
    <w:rsid w:val="2C3D5B3F"/>
    <w:rsid w:val="2C457982"/>
    <w:rsid w:val="2C471947"/>
    <w:rsid w:val="2C477287"/>
    <w:rsid w:val="2C4C575D"/>
    <w:rsid w:val="2C4C7E93"/>
    <w:rsid w:val="2C5D4EB5"/>
    <w:rsid w:val="2C6774C8"/>
    <w:rsid w:val="2C7110CE"/>
    <w:rsid w:val="2C7C3EDF"/>
    <w:rsid w:val="2C7C51C0"/>
    <w:rsid w:val="2C83486F"/>
    <w:rsid w:val="2CB03F40"/>
    <w:rsid w:val="2CBD3038"/>
    <w:rsid w:val="2CDC494F"/>
    <w:rsid w:val="2CE81574"/>
    <w:rsid w:val="2CEA131D"/>
    <w:rsid w:val="2CF5645B"/>
    <w:rsid w:val="2CF87D27"/>
    <w:rsid w:val="2D186BBD"/>
    <w:rsid w:val="2D220ADB"/>
    <w:rsid w:val="2D2663E1"/>
    <w:rsid w:val="2D2F4723"/>
    <w:rsid w:val="2D2F6636"/>
    <w:rsid w:val="2D2F7735"/>
    <w:rsid w:val="2D3B2190"/>
    <w:rsid w:val="2D3C541C"/>
    <w:rsid w:val="2D412B04"/>
    <w:rsid w:val="2D465D32"/>
    <w:rsid w:val="2D46629B"/>
    <w:rsid w:val="2D4A096F"/>
    <w:rsid w:val="2D5E5392"/>
    <w:rsid w:val="2D7143E4"/>
    <w:rsid w:val="2D782F8C"/>
    <w:rsid w:val="2D88240F"/>
    <w:rsid w:val="2D8F0174"/>
    <w:rsid w:val="2D9D03AB"/>
    <w:rsid w:val="2DA55ACD"/>
    <w:rsid w:val="2DAC5DFC"/>
    <w:rsid w:val="2DD01816"/>
    <w:rsid w:val="2DD536C3"/>
    <w:rsid w:val="2DDF7023"/>
    <w:rsid w:val="2DE8788B"/>
    <w:rsid w:val="2DEA2A43"/>
    <w:rsid w:val="2DEB68B1"/>
    <w:rsid w:val="2DF14091"/>
    <w:rsid w:val="2DF40ECF"/>
    <w:rsid w:val="2DF53F49"/>
    <w:rsid w:val="2E0917A2"/>
    <w:rsid w:val="2E16690E"/>
    <w:rsid w:val="2E1A3F92"/>
    <w:rsid w:val="2E24038A"/>
    <w:rsid w:val="2E273FE6"/>
    <w:rsid w:val="2E2C04D5"/>
    <w:rsid w:val="2E3600BD"/>
    <w:rsid w:val="2E37306C"/>
    <w:rsid w:val="2E3A7B47"/>
    <w:rsid w:val="2E404E8B"/>
    <w:rsid w:val="2E47772E"/>
    <w:rsid w:val="2E507CF4"/>
    <w:rsid w:val="2E5945E1"/>
    <w:rsid w:val="2E5F2166"/>
    <w:rsid w:val="2E6E4FDE"/>
    <w:rsid w:val="2E933762"/>
    <w:rsid w:val="2EA02507"/>
    <w:rsid w:val="2EB01C1E"/>
    <w:rsid w:val="2EB500C5"/>
    <w:rsid w:val="2EC71DCC"/>
    <w:rsid w:val="2ED0406E"/>
    <w:rsid w:val="2ED618D0"/>
    <w:rsid w:val="2EE854F6"/>
    <w:rsid w:val="2EE9263F"/>
    <w:rsid w:val="2EEF33B7"/>
    <w:rsid w:val="2EF36ACF"/>
    <w:rsid w:val="2EFC50E1"/>
    <w:rsid w:val="2EFE1F25"/>
    <w:rsid w:val="2F05173F"/>
    <w:rsid w:val="2F1B303D"/>
    <w:rsid w:val="2F1B7B7B"/>
    <w:rsid w:val="2F20651F"/>
    <w:rsid w:val="2F281D82"/>
    <w:rsid w:val="2F2B399A"/>
    <w:rsid w:val="2F2D4B83"/>
    <w:rsid w:val="2F372610"/>
    <w:rsid w:val="2F3D0A49"/>
    <w:rsid w:val="2F464C06"/>
    <w:rsid w:val="2F522CD5"/>
    <w:rsid w:val="2F6E5A5D"/>
    <w:rsid w:val="2F73357B"/>
    <w:rsid w:val="2F8552D8"/>
    <w:rsid w:val="2F96449C"/>
    <w:rsid w:val="2FA33530"/>
    <w:rsid w:val="2FA77E1B"/>
    <w:rsid w:val="2FAE23C2"/>
    <w:rsid w:val="2FC41161"/>
    <w:rsid w:val="2FC67E3D"/>
    <w:rsid w:val="2FC738E3"/>
    <w:rsid w:val="2FCD0C40"/>
    <w:rsid w:val="2FCE57E7"/>
    <w:rsid w:val="2FD16B6C"/>
    <w:rsid w:val="2FDA23EE"/>
    <w:rsid w:val="2FE11238"/>
    <w:rsid w:val="2FE268C2"/>
    <w:rsid w:val="2FEA5D8B"/>
    <w:rsid w:val="2FF3120A"/>
    <w:rsid w:val="2FF7054C"/>
    <w:rsid w:val="301B4C7C"/>
    <w:rsid w:val="304B7D39"/>
    <w:rsid w:val="304E755C"/>
    <w:rsid w:val="30507713"/>
    <w:rsid w:val="30586275"/>
    <w:rsid w:val="3063477E"/>
    <w:rsid w:val="30657C71"/>
    <w:rsid w:val="30672646"/>
    <w:rsid w:val="3077752C"/>
    <w:rsid w:val="3082583C"/>
    <w:rsid w:val="30937A49"/>
    <w:rsid w:val="30A4586A"/>
    <w:rsid w:val="30AF4095"/>
    <w:rsid w:val="30B229B7"/>
    <w:rsid w:val="30B26574"/>
    <w:rsid w:val="30B5717E"/>
    <w:rsid w:val="30BF591E"/>
    <w:rsid w:val="30C512BD"/>
    <w:rsid w:val="30C71F5E"/>
    <w:rsid w:val="30CD3D24"/>
    <w:rsid w:val="30D12DD9"/>
    <w:rsid w:val="30D83E45"/>
    <w:rsid w:val="30DB5D23"/>
    <w:rsid w:val="30DF2C8E"/>
    <w:rsid w:val="30F21FF0"/>
    <w:rsid w:val="30F420DD"/>
    <w:rsid w:val="310242A8"/>
    <w:rsid w:val="310D77FB"/>
    <w:rsid w:val="310F4EEA"/>
    <w:rsid w:val="31126BC0"/>
    <w:rsid w:val="31134954"/>
    <w:rsid w:val="311667C7"/>
    <w:rsid w:val="3122154C"/>
    <w:rsid w:val="3122284D"/>
    <w:rsid w:val="312D5CDB"/>
    <w:rsid w:val="31416BEE"/>
    <w:rsid w:val="314A45AB"/>
    <w:rsid w:val="314D5316"/>
    <w:rsid w:val="314D5E4A"/>
    <w:rsid w:val="31524AB7"/>
    <w:rsid w:val="31657624"/>
    <w:rsid w:val="31687BA1"/>
    <w:rsid w:val="317D102E"/>
    <w:rsid w:val="31872E91"/>
    <w:rsid w:val="31930FE5"/>
    <w:rsid w:val="31931525"/>
    <w:rsid w:val="31933932"/>
    <w:rsid w:val="319461CB"/>
    <w:rsid w:val="319A75DD"/>
    <w:rsid w:val="31A02BF8"/>
    <w:rsid w:val="31A35A6A"/>
    <w:rsid w:val="31AE7298"/>
    <w:rsid w:val="31BA1DDE"/>
    <w:rsid w:val="31BF6451"/>
    <w:rsid w:val="31C365D4"/>
    <w:rsid w:val="31D500EA"/>
    <w:rsid w:val="32025843"/>
    <w:rsid w:val="32061CF4"/>
    <w:rsid w:val="320C1A28"/>
    <w:rsid w:val="32121CCE"/>
    <w:rsid w:val="321A1277"/>
    <w:rsid w:val="321D4EFD"/>
    <w:rsid w:val="3221023C"/>
    <w:rsid w:val="322D157B"/>
    <w:rsid w:val="323B4708"/>
    <w:rsid w:val="325D5834"/>
    <w:rsid w:val="32625167"/>
    <w:rsid w:val="326A2A2B"/>
    <w:rsid w:val="328522B8"/>
    <w:rsid w:val="32866FCE"/>
    <w:rsid w:val="32880821"/>
    <w:rsid w:val="328D01AB"/>
    <w:rsid w:val="32906BDD"/>
    <w:rsid w:val="32963820"/>
    <w:rsid w:val="32A722D5"/>
    <w:rsid w:val="32B4742F"/>
    <w:rsid w:val="32C4213C"/>
    <w:rsid w:val="32C65FA4"/>
    <w:rsid w:val="32C97752"/>
    <w:rsid w:val="32CA67F6"/>
    <w:rsid w:val="32E8119E"/>
    <w:rsid w:val="32EF104E"/>
    <w:rsid w:val="32F24425"/>
    <w:rsid w:val="32F45057"/>
    <w:rsid w:val="33010C9A"/>
    <w:rsid w:val="3308481E"/>
    <w:rsid w:val="33106709"/>
    <w:rsid w:val="331D37D7"/>
    <w:rsid w:val="33200AB0"/>
    <w:rsid w:val="332D4712"/>
    <w:rsid w:val="334273F2"/>
    <w:rsid w:val="334B4FFB"/>
    <w:rsid w:val="33511348"/>
    <w:rsid w:val="335133F7"/>
    <w:rsid w:val="33653319"/>
    <w:rsid w:val="33675ED5"/>
    <w:rsid w:val="336E20A7"/>
    <w:rsid w:val="33772FC3"/>
    <w:rsid w:val="33837901"/>
    <w:rsid w:val="33874816"/>
    <w:rsid w:val="339F7730"/>
    <w:rsid w:val="33A1247D"/>
    <w:rsid w:val="33A93A5C"/>
    <w:rsid w:val="33CC420E"/>
    <w:rsid w:val="33D4187F"/>
    <w:rsid w:val="33D57522"/>
    <w:rsid w:val="33DD178E"/>
    <w:rsid w:val="33F64BB5"/>
    <w:rsid w:val="33F711F1"/>
    <w:rsid w:val="33F84AED"/>
    <w:rsid w:val="33F97BC3"/>
    <w:rsid w:val="34053463"/>
    <w:rsid w:val="341B3FDD"/>
    <w:rsid w:val="344835C0"/>
    <w:rsid w:val="344F264A"/>
    <w:rsid w:val="345F6F7C"/>
    <w:rsid w:val="346049FD"/>
    <w:rsid w:val="346609CE"/>
    <w:rsid w:val="346B7C2E"/>
    <w:rsid w:val="3479170D"/>
    <w:rsid w:val="34825E0A"/>
    <w:rsid w:val="34922680"/>
    <w:rsid w:val="349413EA"/>
    <w:rsid w:val="34943D90"/>
    <w:rsid w:val="349F4C0E"/>
    <w:rsid w:val="34AC43BE"/>
    <w:rsid w:val="34B050A0"/>
    <w:rsid w:val="34B536CC"/>
    <w:rsid w:val="34B84157"/>
    <w:rsid w:val="34C46125"/>
    <w:rsid w:val="34C907A7"/>
    <w:rsid w:val="34EB1C02"/>
    <w:rsid w:val="350B4CCC"/>
    <w:rsid w:val="35153D82"/>
    <w:rsid w:val="352E5F92"/>
    <w:rsid w:val="35362A39"/>
    <w:rsid w:val="353E691E"/>
    <w:rsid w:val="356D3366"/>
    <w:rsid w:val="356E7694"/>
    <w:rsid w:val="3572793B"/>
    <w:rsid w:val="35865336"/>
    <w:rsid w:val="358B2C27"/>
    <w:rsid w:val="35953F2D"/>
    <w:rsid w:val="35BF0085"/>
    <w:rsid w:val="35CF2893"/>
    <w:rsid w:val="35D64414"/>
    <w:rsid w:val="35DE054C"/>
    <w:rsid w:val="35F40295"/>
    <w:rsid w:val="35FD7EE7"/>
    <w:rsid w:val="36005F69"/>
    <w:rsid w:val="361909F0"/>
    <w:rsid w:val="361D3F2E"/>
    <w:rsid w:val="362448FC"/>
    <w:rsid w:val="3628331D"/>
    <w:rsid w:val="36313399"/>
    <w:rsid w:val="36352F6A"/>
    <w:rsid w:val="363778EA"/>
    <w:rsid w:val="363D3382"/>
    <w:rsid w:val="36415851"/>
    <w:rsid w:val="365E6B01"/>
    <w:rsid w:val="366621A4"/>
    <w:rsid w:val="366D22D5"/>
    <w:rsid w:val="36727D5C"/>
    <w:rsid w:val="367B34BC"/>
    <w:rsid w:val="3683190C"/>
    <w:rsid w:val="368928DC"/>
    <w:rsid w:val="36925815"/>
    <w:rsid w:val="369E4A52"/>
    <w:rsid w:val="369E6DC7"/>
    <w:rsid w:val="36A32A8A"/>
    <w:rsid w:val="36AB12B6"/>
    <w:rsid w:val="36B34119"/>
    <w:rsid w:val="36C6306A"/>
    <w:rsid w:val="36CC184F"/>
    <w:rsid w:val="36D41B01"/>
    <w:rsid w:val="36DD65CE"/>
    <w:rsid w:val="36DF4940"/>
    <w:rsid w:val="36E008AD"/>
    <w:rsid w:val="36E66A9A"/>
    <w:rsid w:val="36EB4B1F"/>
    <w:rsid w:val="37051454"/>
    <w:rsid w:val="37184FD3"/>
    <w:rsid w:val="37235C96"/>
    <w:rsid w:val="372A23CC"/>
    <w:rsid w:val="372B09DB"/>
    <w:rsid w:val="373A7029"/>
    <w:rsid w:val="37417C72"/>
    <w:rsid w:val="37495EBD"/>
    <w:rsid w:val="37512761"/>
    <w:rsid w:val="37557D45"/>
    <w:rsid w:val="375C1752"/>
    <w:rsid w:val="3791482A"/>
    <w:rsid w:val="379453F2"/>
    <w:rsid w:val="37964263"/>
    <w:rsid w:val="379876F3"/>
    <w:rsid w:val="37996BF2"/>
    <w:rsid w:val="37A2790F"/>
    <w:rsid w:val="37A84632"/>
    <w:rsid w:val="37BA68FC"/>
    <w:rsid w:val="37E346AA"/>
    <w:rsid w:val="37E55AB7"/>
    <w:rsid w:val="37E706C5"/>
    <w:rsid w:val="37E82745"/>
    <w:rsid w:val="37F5325E"/>
    <w:rsid w:val="38107583"/>
    <w:rsid w:val="38187EA4"/>
    <w:rsid w:val="38213B8C"/>
    <w:rsid w:val="382A4EE3"/>
    <w:rsid w:val="38383574"/>
    <w:rsid w:val="384E208D"/>
    <w:rsid w:val="38502827"/>
    <w:rsid w:val="385721CC"/>
    <w:rsid w:val="3862384A"/>
    <w:rsid w:val="38660668"/>
    <w:rsid w:val="386966F6"/>
    <w:rsid w:val="387F1331"/>
    <w:rsid w:val="389138EF"/>
    <w:rsid w:val="389327A5"/>
    <w:rsid w:val="38990CEC"/>
    <w:rsid w:val="389D5EC0"/>
    <w:rsid w:val="38A139AD"/>
    <w:rsid w:val="38A23B62"/>
    <w:rsid w:val="38A25E6A"/>
    <w:rsid w:val="38B216C7"/>
    <w:rsid w:val="38B64D01"/>
    <w:rsid w:val="38C7051F"/>
    <w:rsid w:val="38C764E2"/>
    <w:rsid w:val="38C81B49"/>
    <w:rsid w:val="38DE1A7D"/>
    <w:rsid w:val="38F165F8"/>
    <w:rsid w:val="38F60345"/>
    <w:rsid w:val="38FC0083"/>
    <w:rsid w:val="39037EDB"/>
    <w:rsid w:val="390A5540"/>
    <w:rsid w:val="391C1BCF"/>
    <w:rsid w:val="392108DD"/>
    <w:rsid w:val="39233C8B"/>
    <w:rsid w:val="39237490"/>
    <w:rsid w:val="393F01AE"/>
    <w:rsid w:val="394102B6"/>
    <w:rsid w:val="39527465"/>
    <w:rsid w:val="39545B3C"/>
    <w:rsid w:val="395700CF"/>
    <w:rsid w:val="39582EC5"/>
    <w:rsid w:val="395B4862"/>
    <w:rsid w:val="39643085"/>
    <w:rsid w:val="39875C71"/>
    <w:rsid w:val="39892676"/>
    <w:rsid w:val="39925B6B"/>
    <w:rsid w:val="399364C6"/>
    <w:rsid w:val="39942EBC"/>
    <w:rsid w:val="399F2FBB"/>
    <w:rsid w:val="39A20CFD"/>
    <w:rsid w:val="39B70C50"/>
    <w:rsid w:val="39BF1557"/>
    <w:rsid w:val="39C443D2"/>
    <w:rsid w:val="39C649EB"/>
    <w:rsid w:val="39CE136B"/>
    <w:rsid w:val="39E12B6A"/>
    <w:rsid w:val="39E310B1"/>
    <w:rsid w:val="39E73D9A"/>
    <w:rsid w:val="39EC027C"/>
    <w:rsid w:val="39F423B8"/>
    <w:rsid w:val="39F97F41"/>
    <w:rsid w:val="3A0D78F2"/>
    <w:rsid w:val="3A176FF5"/>
    <w:rsid w:val="3A1C0358"/>
    <w:rsid w:val="3A1C773D"/>
    <w:rsid w:val="3A296D28"/>
    <w:rsid w:val="3A2A4F7A"/>
    <w:rsid w:val="3A2C6423"/>
    <w:rsid w:val="3A304B0F"/>
    <w:rsid w:val="3A3751D4"/>
    <w:rsid w:val="3A3E38D6"/>
    <w:rsid w:val="3A3E6C77"/>
    <w:rsid w:val="3A4D2EC4"/>
    <w:rsid w:val="3A593009"/>
    <w:rsid w:val="3A5B357D"/>
    <w:rsid w:val="3A627656"/>
    <w:rsid w:val="3A957E2A"/>
    <w:rsid w:val="3A987C9D"/>
    <w:rsid w:val="3A99047D"/>
    <w:rsid w:val="3AA4584B"/>
    <w:rsid w:val="3AA55ACF"/>
    <w:rsid w:val="3ABF0A83"/>
    <w:rsid w:val="3AC950BE"/>
    <w:rsid w:val="3ACB7B0D"/>
    <w:rsid w:val="3AD75C7C"/>
    <w:rsid w:val="3ADF71D3"/>
    <w:rsid w:val="3AE127F5"/>
    <w:rsid w:val="3AEF2536"/>
    <w:rsid w:val="3AF6725A"/>
    <w:rsid w:val="3AF84858"/>
    <w:rsid w:val="3B08098E"/>
    <w:rsid w:val="3B0D032A"/>
    <w:rsid w:val="3B13678A"/>
    <w:rsid w:val="3B1C09F4"/>
    <w:rsid w:val="3B35471E"/>
    <w:rsid w:val="3B395A86"/>
    <w:rsid w:val="3B4007CD"/>
    <w:rsid w:val="3B475E26"/>
    <w:rsid w:val="3B5104BE"/>
    <w:rsid w:val="3B512DAC"/>
    <w:rsid w:val="3B530CF9"/>
    <w:rsid w:val="3B7E73E3"/>
    <w:rsid w:val="3B9236C9"/>
    <w:rsid w:val="3B9601CC"/>
    <w:rsid w:val="3B967CDA"/>
    <w:rsid w:val="3BBD6883"/>
    <w:rsid w:val="3BCD02B3"/>
    <w:rsid w:val="3BD507EE"/>
    <w:rsid w:val="3BD51EA2"/>
    <w:rsid w:val="3BF629EC"/>
    <w:rsid w:val="3C12216A"/>
    <w:rsid w:val="3C3253EF"/>
    <w:rsid w:val="3C355E58"/>
    <w:rsid w:val="3C495016"/>
    <w:rsid w:val="3C6406FF"/>
    <w:rsid w:val="3C67618C"/>
    <w:rsid w:val="3C6B2A81"/>
    <w:rsid w:val="3C7B47C0"/>
    <w:rsid w:val="3C7B549E"/>
    <w:rsid w:val="3C8A1D00"/>
    <w:rsid w:val="3C8B3CCA"/>
    <w:rsid w:val="3C9D5513"/>
    <w:rsid w:val="3C9E39FD"/>
    <w:rsid w:val="3CA9417F"/>
    <w:rsid w:val="3CAC611A"/>
    <w:rsid w:val="3CB418C0"/>
    <w:rsid w:val="3CB67FA5"/>
    <w:rsid w:val="3CBB0A82"/>
    <w:rsid w:val="3CBF78F3"/>
    <w:rsid w:val="3CC80600"/>
    <w:rsid w:val="3CCC60DF"/>
    <w:rsid w:val="3CCE0ED2"/>
    <w:rsid w:val="3CE120F1"/>
    <w:rsid w:val="3CE430AE"/>
    <w:rsid w:val="3CF26E0A"/>
    <w:rsid w:val="3D063398"/>
    <w:rsid w:val="3D0D6C88"/>
    <w:rsid w:val="3D121CF5"/>
    <w:rsid w:val="3D1A362C"/>
    <w:rsid w:val="3D311DA7"/>
    <w:rsid w:val="3D346F8F"/>
    <w:rsid w:val="3D3E0D3C"/>
    <w:rsid w:val="3D404689"/>
    <w:rsid w:val="3D404AB5"/>
    <w:rsid w:val="3D49170C"/>
    <w:rsid w:val="3D4D4BDC"/>
    <w:rsid w:val="3D5F6F11"/>
    <w:rsid w:val="3D6E0A31"/>
    <w:rsid w:val="3D860EC3"/>
    <w:rsid w:val="3D957616"/>
    <w:rsid w:val="3D99013D"/>
    <w:rsid w:val="3D9D1F93"/>
    <w:rsid w:val="3D9F541D"/>
    <w:rsid w:val="3DA218CF"/>
    <w:rsid w:val="3DA74E0C"/>
    <w:rsid w:val="3DBB413B"/>
    <w:rsid w:val="3DBC7C19"/>
    <w:rsid w:val="3DC2244E"/>
    <w:rsid w:val="3DCB722B"/>
    <w:rsid w:val="3DD6642B"/>
    <w:rsid w:val="3DD849D6"/>
    <w:rsid w:val="3DDE3E1C"/>
    <w:rsid w:val="3DE34601"/>
    <w:rsid w:val="3DF00289"/>
    <w:rsid w:val="3DF1637D"/>
    <w:rsid w:val="3DFA1CE2"/>
    <w:rsid w:val="3DFF27E6"/>
    <w:rsid w:val="3E071BAF"/>
    <w:rsid w:val="3E251918"/>
    <w:rsid w:val="3E260F31"/>
    <w:rsid w:val="3E2669BC"/>
    <w:rsid w:val="3E2E7003"/>
    <w:rsid w:val="3E337CA1"/>
    <w:rsid w:val="3E4405D4"/>
    <w:rsid w:val="3E4D0FA9"/>
    <w:rsid w:val="3E55433C"/>
    <w:rsid w:val="3E556EFA"/>
    <w:rsid w:val="3E564FCF"/>
    <w:rsid w:val="3E59656E"/>
    <w:rsid w:val="3E5975BC"/>
    <w:rsid w:val="3E5E4419"/>
    <w:rsid w:val="3E782FED"/>
    <w:rsid w:val="3E7848C4"/>
    <w:rsid w:val="3E7C38CA"/>
    <w:rsid w:val="3E83591A"/>
    <w:rsid w:val="3E9B7E65"/>
    <w:rsid w:val="3E9C72F7"/>
    <w:rsid w:val="3EA2096E"/>
    <w:rsid w:val="3EB43064"/>
    <w:rsid w:val="3EB61260"/>
    <w:rsid w:val="3EBF1330"/>
    <w:rsid w:val="3EC22BF6"/>
    <w:rsid w:val="3EC93DBD"/>
    <w:rsid w:val="3ECA554E"/>
    <w:rsid w:val="3ECB73CB"/>
    <w:rsid w:val="3EDD348C"/>
    <w:rsid w:val="3EDF0BC3"/>
    <w:rsid w:val="3EE21F7F"/>
    <w:rsid w:val="3EE31809"/>
    <w:rsid w:val="3EFB749B"/>
    <w:rsid w:val="3F0C2D30"/>
    <w:rsid w:val="3F4A0C52"/>
    <w:rsid w:val="3F50057E"/>
    <w:rsid w:val="3F5636BD"/>
    <w:rsid w:val="3F5676D7"/>
    <w:rsid w:val="3F570968"/>
    <w:rsid w:val="3F595DAA"/>
    <w:rsid w:val="3F5A35F1"/>
    <w:rsid w:val="3F5D7258"/>
    <w:rsid w:val="3F6127C4"/>
    <w:rsid w:val="3F733796"/>
    <w:rsid w:val="3F754D52"/>
    <w:rsid w:val="3F76435D"/>
    <w:rsid w:val="3F836EDA"/>
    <w:rsid w:val="3F8C319B"/>
    <w:rsid w:val="3F8C6DD2"/>
    <w:rsid w:val="3F8E7408"/>
    <w:rsid w:val="3F983A64"/>
    <w:rsid w:val="3F9B029F"/>
    <w:rsid w:val="3F9D32A1"/>
    <w:rsid w:val="3FA255BF"/>
    <w:rsid w:val="3FA66F7F"/>
    <w:rsid w:val="3FA94D89"/>
    <w:rsid w:val="3FB04B48"/>
    <w:rsid w:val="3FB67A7C"/>
    <w:rsid w:val="3FC45529"/>
    <w:rsid w:val="3FD55988"/>
    <w:rsid w:val="3FE576F7"/>
    <w:rsid w:val="3FEE6527"/>
    <w:rsid w:val="40022383"/>
    <w:rsid w:val="40093B96"/>
    <w:rsid w:val="401B44CE"/>
    <w:rsid w:val="401D10DD"/>
    <w:rsid w:val="40202950"/>
    <w:rsid w:val="40234EEB"/>
    <w:rsid w:val="402C71AA"/>
    <w:rsid w:val="4033567D"/>
    <w:rsid w:val="403626DC"/>
    <w:rsid w:val="40422BEF"/>
    <w:rsid w:val="4061639D"/>
    <w:rsid w:val="40647478"/>
    <w:rsid w:val="406D5BC2"/>
    <w:rsid w:val="4071000B"/>
    <w:rsid w:val="40767ADC"/>
    <w:rsid w:val="40793ED7"/>
    <w:rsid w:val="407C42F0"/>
    <w:rsid w:val="408847A8"/>
    <w:rsid w:val="40903C0B"/>
    <w:rsid w:val="409450AF"/>
    <w:rsid w:val="409F48FD"/>
    <w:rsid w:val="40A25776"/>
    <w:rsid w:val="40A36340"/>
    <w:rsid w:val="40A71DF4"/>
    <w:rsid w:val="40AD3640"/>
    <w:rsid w:val="40AE061E"/>
    <w:rsid w:val="40BD6D76"/>
    <w:rsid w:val="40E409CD"/>
    <w:rsid w:val="40E60758"/>
    <w:rsid w:val="40E81F8C"/>
    <w:rsid w:val="40ED0AAF"/>
    <w:rsid w:val="40F634FA"/>
    <w:rsid w:val="40FF07E3"/>
    <w:rsid w:val="412242E3"/>
    <w:rsid w:val="412274DB"/>
    <w:rsid w:val="41302009"/>
    <w:rsid w:val="413759CE"/>
    <w:rsid w:val="4150198D"/>
    <w:rsid w:val="41516A0F"/>
    <w:rsid w:val="4154034D"/>
    <w:rsid w:val="41541509"/>
    <w:rsid w:val="41600542"/>
    <w:rsid w:val="41610A49"/>
    <w:rsid w:val="416C06CB"/>
    <w:rsid w:val="417265F5"/>
    <w:rsid w:val="417B6B74"/>
    <w:rsid w:val="41821592"/>
    <w:rsid w:val="419348A5"/>
    <w:rsid w:val="41944121"/>
    <w:rsid w:val="41AD3A62"/>
    <w:rsid w:val="41BD66D4"/>
    <w:rsid w:val="41BE32E4"/>
    <w:rsid w:val="41C072AB"/>
    <w:rsid w:val="41C21021"/>
    <w:rsid w:val="41C45CB4"/>
    <w:rsid w:val="41CB3D52"/>
    <w:rsid w:val="41D57EC1"/>
    <w:rsid w:val="41E40C65"/>
    <w:rsid w:val="41E616CD"/>
    <w:rsid w:val="41F57FEF"/>
    <w:rsid w:val="42056AAE"/>
    <w:rsid w:val="4213387F"/>
    <w:rsid w:val="42167DEC"/>
    <w:rsid w:val="421F2EEA"/>
    <w:rsid w:val="4224068F"/>
    <w:rsid w:val="422C0725"/>
    <w:rsid w:val="423B75FA"/>
    <w:rsid w:val="423C6A82"/>
    <w:rsid w:val="423D79B8"/>
    <w:rsid w:val="4240405E"/>
    <w:rsid w:val="426135A0"/>
    <w:rsid w:val="4263328B"/>
    <w:rsid w:val="426816D8"/>
    <w:rsid w:val="426F2CD3"/>
    <w:rsid w:val="4276123E"/>
    <w:rsid w:val="427E4485"/>
    <w:rsid w:val="42973B95"/>
    <w:rsid w:val="42A11B51"/>
    <w:rsid w:val="42AA604E"/>
    <w:rsid w:val="42AD6EA2"/>
    <w:rsid w:val="42B206D3"/>
    <w:rsid w:val="42B535EE"/>
    <w:rsid w:val="42CD4652"/>
    <w:rsid w:val="42EB0F8C"/>
    <w:rsid w:val="42FB085B"/>
    <w:rsid w:val="430E697C"/>
    <w:rsid w:val="430F24DA"/>
    <w:rsid w:val="43140575"/>
    <w:rsid w:val="4324557A"/>
    <w:rsid w:val="43272C84"/>
    <w:rsid w:val="432C245C"/>
    <w:rsid w:val="432E620B"/>
    <w:rsid w:val="43303976"/>
    <w:rsid w:val="43310A66"/>
    <w:rsid w:val="4339116D"/>
    <w:rsid w:val="434407AC"/>
    <w:rsid w:val="43454BD3"/>
    <w:rsid w:val="434F26FC"/>
    <w:rsid w:val="434F5F5D"/>
    <w:rsid w:val="435056FD"/>
    <w:rsid w:val="43510596"/>
    <w:rsid w:val="436A6620"/>
    <w:rsid w:val="437B6846"/>
    <w:rsid w:val="43814017"/>
    <w:rsid w:val="438376EB"/>
    <w:rsid w:val="43911EEB"/>
    <w:rsid w:val="43A51CEB"/>
    <w:rsid w:val="43AB141C"/>
    <w:rsid w:val="43AC327A"/>
    <w:rsid w:val="43B109C9"/>
    <w:rsid w:val="43B1499E"/>
    <w:rsid w:val="43CD117F"/>
    <w:rsid w:val="43CE244E"/>
    <w:rsid w:val="43D06403"/>
    <w:rsid w:val="43D575E1"/>
    <w:rsid w:val="43D91B14"/>
    <w:rsid w:val="43EE526A"/>
    <w:rsid w:val="43F67065"/>
    <w:rsid w:val="43F8757D"/>
    <w:rsid w:val="43FF0D4F"/>
    <w:rsid w:val="4400612A"/>
    <w:rsid w:val="44015A86"/>
    <w:rsid w:val="44036CDF"/>
    <w:rsid w:val="440D6015"/>
    <w:rsid w:val="44144A4E"/>
    <w:rsid w:val="441546EA"/>
    <w:rsid w:val="4427742E"/>
    <w:rsid w:val="443631A0"/>
    <w:rsid w:val="4437309E"/>
    <w:rsid w:val="444419CD"/>
    <w:rsid w:val="445F4DC6"/>
    <w:rsid w:val="44680760"/>
    <w:rsid w:val="446908C9"/>
    <w:rsid w:val="447B4624"/>
    <w:rsid w:val="447E28E2"/>
    <w:rsid w:val="4480435E"/>
    <w:rsid w:val="44890BE8"/>
    <w:rsid w:val="448A719A"/>
    <w:rsid w:val="449470EF"/>
    <w:rsid w:val="449B1D33"/>
    <w:rsid w:val="44AF5172"/>
    <w:rsid w:val="44B32ADD"/>
    <w:rsid w:val="44C72113"/>
    <w:rsid w:val="44D23843"/>
    <w:rsid w:val="44D91E82"/>
    <w:rsid w:val="44D971DD"/>
    <w:rsid w:val="44DD0E3B"/>
    <w:rsid w:val="44F9406A"/>
    <w:rsid w:val="4503464A"/>
    <w:rsid w:val="450C5C17"/>
    <w:rsid w:val="4513044F"/>
    <w:rsid w:val="4516344D"/>
    <w:rsid w:val="452B582C"/>
    <w:rsid w:val="454B1104"/>
    <w:rsid w:val="45531DFA"/>
    <w:rsid w:val="45626B4E"/>
    <w:rsid w:val="45652567"/>
    <w:rsid w:val="45777281"/>
    <w:rsid w:val="4584296B"/>
    <w:rsid w:val="458D427D"/>
    <w:rsid w:val="459D0139"/>
    <w:rsid w:val="459D6A25"/>
    <w:rsid w:val="459E05CA"/>
    <w:rsid w:val="459E37D4"/>
    <w:rsid w:val="45AD5441"/>
    <w:rsid w:val="45B475FD"/>
    <w:rsid w:val="45C2075D"/>
    <w:rsid w:val="45C85618"/>
    <w:rsid w:val="45FE7DDA"/>
    <w:rsid w:val="46011670"/>
    <w:rsid w:val="460D49A6"/>
    <w:rsid w:val="46144D30"/>
    <w:rsid w:val="461B2760"/>
    <w:rsid w:val="461F5BAF"/>
    <w:rsid w:val="46222FA9"/>
    <w:rsid w:val="462C5BD6"/>
    <w:rsid w:val="46326F64"/>
    <w:rsid w:val="46346C0F"/>
    <w:rsid w:val="46454217"/>
    <w:rsid w:val="464C19FF"/>
    <w:rsid w:val="466405C1"/>
    <w:rsid w:val="466B3AEF"/>
    <w:rsid w:val="466B4C6F"/>
    <w:rsid w:val="466F399A"/>
    <w:rsid w:val="46897881"/>
    <w:rsid w:val="468A0B4E"/>
    <w:rsid w:val="468E4AE3"/>
    <w:rsid w:val="4691778B"/>
    <w:rsid w:val="46B10077"/>
    <w:rsid w:val="46B1432D"/>
    <w:rsid w:val="46B22A95"/>
    <w:rsid w:val="46B73ED3"/>
    <w:rsid w:val="46BB523E"/>
    <w:rsid w:val="46C062B1"/>
    <w:rsid w:val="46D634CC"/>
    <w:rsid w:val="46E07887"/>
    <w:rsid w:val="47072496"/>
    <w:rsid w:val="471A279D"/>
    <w:rsid w:val="47211BA0"/>
    <w:rsid w:val="47263AF1"/>
    <w:rsid w:val="47353242"/>
    <w:rsid w:val="473906E7"/>
    <w:rsid w:val="473F5DDD"/>
    <w:rsid w:val="47417E71"/>
    <w:rsid w:val="47462103"/>
    <w:rsid w:val="47486FA2"/>
    <w:rsid w:val="47571476"/>
    <w:rsid w:val="47661A9B"/>
    <w:rsid w:val="477562B4"/>
    <w:rsid w:val="477B1F5B"/>
    <w:rsid w:val="477D4917"/>
    <w:rsid w:val="47881532"/>
    <w:rsid w:val="479C322F"/>
    <w:rsid w:val="47AE05F5"/>
    <w:rsid w:val="47CE1092"/>
    <w:rsid w:val="47D434C2"/>
    <w:rsid w:val="47E66258"/>
    <w:rsid w:val="47F377D7"/>
    <w:rsid w:val="47F4427A"/>
    <w:rsid w:val="480170F5"/>
    <w:rsid w:val="480972B7"/>
    <w:rsid w:val="480D1A37"/>
    <w:rsid w:val="481013FC"/>
    <w:rsid w:val="48147269"/>
    <w:rsid w:val="481936FE"/>
    <w:rsid w:val="481A105A"/>
    <w:rsid w:val="482125CD"/>
    <w:rsid w:val="482E109A"/>
    <w:rsid w:val="48302A3F"/>
    <w:rsid w:val="48357685"/>
    <w:rsid w:val="483B3246"/>
    <w:rsid w:val="483D0511"/>
    <w:rsid w:val="486F5AC8"/>
    <w:rsid w:val="48980780"/>
    <w:rsid w:val="48A151BB"/>
    <w:rsid w:val="48BA1C81"/>
    <w:rsid w:val="48EC1B73"/>
    <w:rsid w:val="48EC5AF0"/>
    <w:rsid w:val="49020963"/>
    <w:rsid w:val="49024B2A"/>
    <w:rsid w:val="49441489"/>
    <w:rsid w:val="49645542"/>
    <w:rsid w:val="496C156E"/>
    <w:rsid w:val="49772DB5"/>
    <w:rsid w:val="4984334E"/>
    <w:rsid w:val="49884FA0"/>
    <w:rsid w:val="499E472C"/>
    <w:rsid w:val="49A40761"/>
    <w:rsid w:val="49A452DD"/>
    <w:rsid w:val="49A71407"/>
    <w:rsid w:val="49BC1F05"/>
    <w:rsid w:val="49C65387"/>
    <w:rsid w:val="49EE5739"/>
    <w:rsid w:val="49F00052"/>
    <w:rsid w:val="49F40639"/>
    <w:rsid w:val="49FB248F"/>
    <w:rsid w:val="4A074D9F"/>
    <w:rsid w:val="4A100A69"/>
    <w:rsid w:val="4A1A2613"/>
    <w:rsid w:val="4A1B6FD8"/>
    <w:rsid w:val="4A2250D1"/>
    <w:rsid w:val="4A255F65"/>
    <w:rsid w:val="4A283365"/>
    <w:rsid w:val="4A292E59"/>
    <w:rsid w:val="4A34736B"/>
    <w:rsid w:val="4A5B7DC4"/>
    <w:rsid w:val="4A5C3B2F"/>
    <w:rsid w:val="4A5D250E"/>
    <w:rsid w:val="4A5D5DC7"/>
    <w:rsid w:val="4A655B5A"/>
    <w:rsid w:val="4A6B561A"/>
    <w:rsid w:val="4A6F789F"/>
    <w:rsid w:val="4A7B61ED"/>
    <w:rsid w:val="4A8D4CCE"/>
    <w:rsid w:val="4A90137E"/>
    <w:rsid w:val="4AA448D5"/>
    <w:rsid w:val="4AB358DE"/>
    <w:rsid w:val="4AB806E8"/>
    <w:rsid w:val="4ABA0999"/>
    <w:rsid w:val="4AC37A66"/>
    <w:rsid w:val="4AD0694E"/>
    <w:rsid w:val="4AD124CC"/>
    <w:rsid w:val="4AD23834"/>
    <w:rsid w:val="4ADF39BC"/>
    <w:rsid w:val="4AE178D7"/>
    <w:rsid w:val="4B006840"/>
    <w:rsid w:val="4B13706F"/>
    <w:rsid w:val="4B364375"/>
    <w:rsid w:val="4B3D75D1"/>
    <w:rsid w:val="4B512A38"/>
    <w:rsid w:val="4B576AAE"/>
    <w:rsid w:val="4B661B8A"/>
    <w:rsid w:val="4B707823"/>
    <w:rsid w:val="4B780FCB"/>
    <w:rsid w:val="4B923308"/>
    <w:rsid w:val="4B955A8D"/>
    <w:rsid w:val="4BA47844"/>
    <w:rsid w:val="4BA86218"/>
    <w:rsid w:val="4BB00BA5"/>
    <w:rsid w:val="4BB308C1"/>
    <w:rsid w:val="4BC860E3"/>
    <w:rsid w:val="4BCC1544"/>
    <w:rsid w:val="4BD06AC0"/>
    <w:rsid w:val="4BE1398E"/>
    <w:rsid w:val="4BE45CB3"/>
    <w:rsid w:val="4BE96BB4"/>
    <w:rsid w:val="4BEC4616"/>
    <w:rsid w:val="4BED3D3F"/>
    <w:rsid w:val="4C025BE5"/>
    <w:rsid w:val="4C032CBA"/>
    <w:rsid w:val="4C0373D9"/>
    <w:rsid w:val="4C0A79A5"/>
    <w:rsid w:val="4C15710C"/>
    <w:rsid w:val="4C160EA8"/>
    <w:rsid w:val="4C175640"/>
    <w:rsid w:val="4C216727"/>
    <w:rsid w:val="4C23478D"/>
    <w:rsid w:val="4C262345"/>
    <w:rsid w:val="4C270A49"/>
    <w:rsid w:val="4C2C7C0F"/>
    <w:rsid w:val="4C2D747E"/>
    <w:rsid w:val="4C3331CA"/>
    <w:rsid w:val="4C45289E"/>
    <w:rsid w:val="4C4F134C"/>
    <w:rsid w:val="4C577A7F"/>
    <w:rsid w:val="4C5A0678"/>
    <w:rsid w:val="4C5E3D85"/>
    <w:rsid w:val="4C606C5F"/>
    <w:rsid w:val="4C6B6F86"/>
    <w:rsid w:val="4C7129D2"/>
    <w:rsid w:val="4C742085"/>
    <w:rsid w:val="4C792129"/>
    <w:rsid w:val="4C7D52B3"/>
    <w:rsid w:val="4C7F1CE0"/>
    <w:rsid w:val="4C821249"/>
    <w:rsid w:val="4C8D07D8"/>
    <w:rsid w:val="4CA87F80"/>
    <w:rsid w:val="4CAA7394"/>
    <w:rsid w:val="4CB44B77"/>
    <w:rsid w:val="4CB800B6"/>
    <w:rsid w:val="4CBD1796"/>
    <w:rsid w:val="4CC052CA"/>
    <w:rsid w:val="4CC10E66"/>
    <w:rsid w:val="4CC213F1"/>
    <w:rsid w:val="4CC83023"/>
    <w:rsid w:val="4CD64D6B"/>
    <w:rsid w:val="4CDE3F43"/>
    <w:rsid w:val="4CE72F08"/>
    <w:rsid w:val="4CE90CC5"/>
    <w:rsid w:val="4CE935A9"/>
    <w:rsid w:val="4CF002C8"/>
    <w:rsid w:val="4D0A05E1"/>
    <w:rsid w:val="4D10431C"/>
    <w:rsid w:val="4D186925"/>
    <w:rsid w:val="4D1A6407"/>
    <w:rsid w:val="4D1E5164"/>
    <w:rsid w:val="4D1E7EBF"/>
    <w:rsid w:val="4D1F3440"/>
    <w:rsid w:val="4D286B21"/>
    <w:rsid w:val="4D2A6F3E"/>
    <w:rsid w:val="4D487F1E"/>
    <w:rsid w:val="4D4C74EB"/>
    <w:rsid w:val="4D565815"/>
    <w:rsid w:val="4D590494"/>
    <w:rsid w:val="4D5D3C89"/>
    <w:rsid w:val="4D66563B"/>
    <w:rsid w:val="4D834C03"/>
    <w:rsid w:val="4D840821"/>
    <w:rsid w:val="4D9906BC"/>
    <w:rsid w:val="4D995A07"/>
    <w:rsid w:val="4D9F75D5"/>
    <w:rsid w:val="4DA23503"/>
    <w:rsid w:val="4DA611F9"/>
    <w:rsid w:val="4DBD215C"/>
    <w:rsid w:val="4DD675DB"/>
    <w:rsid w:val="4DD7326D"/>
    <w:rsid w:val="4DD976E9"/>
    <w:rsid w:val="4DE9334A"/>
    <w:rsid w:val="4E01203E"/>
    <w:rsid w:val="4E067654"/>
    <w:rsid w:val="4E125FF9"/>
    <w:rsid w:val="4E1C4F2E"/>
    <w:rsid w:val="4E1F4DEF"/>
    <w:rsid w:val="4E236C7E"/>
    <w:rsid w:val="4E26792E"/>
    <w:rsid w:val="4E3147A1"/>
    <w:rsid w:val="4E31692B"/>
    <w:rsid w:val="4E385C29"/>
    <w:rsid w:val="4E41282C"/>
    <w:rsid w:val="4E524648"/>
    <w:rsid w:val="4E5332CB"/>
    <w:rsid w:val="4E5C6896"/>
    <w:rsid w:val="4E5E64EF"/>
    <w:rsid w:val="4E600B13"/>
    <w:rsid w:val="4E612AAA"/>
    <w:rsid w:val="4E66727C"/>
    <w:rsid w:val="4E6E14D9"/>
    <w:rsid w:val="4E746379"/>
    <w:rsid w:val="4E7919E9"/>
    <w:rsid w:val="4E911A19"/>
    <w:rsid w:val="4E944C60"/>
    <w:rsid w:val="4E973653"/>
    <w:rsid w:val="4EB175C0"/>
    <w:rsid w:val="4EC27310"/>
    <w:rsid w:val="4EC92B5C"/>
    <w:rsid w:val="4EC97613"/>
    <w:rsid w:val="4EE07773"/>
    <w:rsid w:val="4EF53461"/>
    <w:rsid w:val="4EFB08AE"/>
    <w:rsid w:val="4F041DA9"/>
    <w:rsid w:val="4F111E0D"/>
    <w:rsid w:val="4F117506"/>
    <w:rsid w:val="4F29390E"/>
    <w:rsid w:val="4F2A7373"/>
    <w:rsid w:val="4F2C7974"/>
    <w:rsid w:val="4F3735F0"/>
    <w:rsid w:val="4F3C6BDE"/>
    <w:rsid w:val="4F50355E"/>
    <w:rsid w:val="4F5472FF"/>
    <w:rsid w:val="4F640470"/>
    <w:rsid w:val="4F6B0F55"/>
    <w:rsid w:val="4F7655EA"/>
    <w:rsid w:val="4F827BAD"/>
    <w:rsid w:val="4F8310A3"/>
    <w:rsid w:val="4F8768EF"/>
    <w:rsid w:val="4F8B568E"/>
    <w:rsid w:val="4F943250"/>
    <w:rsid w:val="4F957E5D"/>
    <w:rsid w:val="4FA31E8F"/>
    <w:rsid w:val="4FA80C84"/>
    <w:rsid w:val="4FB67C7B"/>
    <w:rsid w:val="4FBB0537"/>
    <w:rsid w:val="4FC273DB"/>
    <w:rsid w:val="4FD65995"/>
    <w:rsid w:val="4FE466E1"/>
    <w:rsid w:val="4FFC1B3D"/>
    <w:rsid w:val="50106026"/>
    <w:rsid w:val="50122295"/>
    <w:rsid w:val="501222E0"/>
    <w:rsid w:val="50165A64"/>
    <w:rsid w:val="502B2984"/>
    <w:rsid w:val="50354C99"/>
    <w:rsid w:val="50394C31"/>
    <w:rsid w:val="504306FE"/>
    <w:rsid w:val="504A2522"/>
    <w:rsid w:val="50505A72"/>
    <w:rsid w:val="505A6D33"/>
    <w:rsid w:val="50652DF3"/>
    <w:rsid w:val="506A7665"/>
    <w:rsid w:val="50747A13"/>
    <w:rsid w:val="50757A07"/>
    <w:rsid w:val="507A2CA7"/>
    <w:rsid w:val="508E246F"/>
    <w:rsid w:val="508E3E07"/>
    <w:rsid w:val="509176A9"/>
    <w:rsid w:val="509851F0"/>
    <w:rsid w:val="50AB5606"/>
    <w:rsid w:val="50AB7689"/>
    <w:rsid w:val="50B062B4"/>
    <w:rsid w:val="50C8567C"/>
    <w:rsid w:val="50D27D70"/>
    <w:rsid w:val="50D44534"/>
    <w:rsid w:val="50D62E68"/>
    <w:rsid w:val="50DB088C"/>
    <w:rsid w:val="50DC0FDA"/>
    <w:rsid w:val="50E937C1"/>
    <w:rsid w:val="50F06D84"/>
    <w:rsid w:val="51131A48"/>
    <w:rsid w:val="511378B3"/>
    <w:rsid w:val="511856D5"/>
    <w:rsid w:val="51385786"/>
    <w:rsid w:val="513A55F8"/>
    <w:rsid w:val="514327E1"/>
    <w:rsid w:val="51441B52"/>
    <w:rsid w:val="51683A28"/>
    <w:rsid w:val="516D7152"/>
    <w:rsid w:val="516E3286"/>
    <w:rsid w:val="5178750C"/>
    <w:rsid w:val="51822584"/>
    <w:rsid w:val="518E4EFC"/>
    <w:rsid w:val="51904CD2"/>
    <w:rsid w:val="51990B22"/>
    <w:rsid w:val="51AB12FE"/>
    <w:rsid w:val="51B83DA8"/>
    <w:rsid w:val="51C71966"/>
    <w:rsid w:val="51CB2747"/>
    <w:rsid w:val="51CC3C73"/>
    <w:rsid w:val="51D13F3D"/>
    <w:rsid w:val="51D24F51"/>
    <w:rsid w:val="51D74416"/>
    <w:rsid w:val="51DA5A7E"/>
    <w:rsid w:val="51DB2346"/>
    <w:rsid w:val="51E5535B"/>
    <w:rsid w:val="52021F57"/>
    <w:rsid w:val="52120376"/>
    <w:rsid w:val="521A2506"/>
    <w:rsid w:val="5225729F"/>
    <w:rsid w:val="52284055"/>
    <w:rsid w:val="522C3116"/>
    <w:rsid w:val="5237703F"/>
    <w:rsid w:val="524676EE"/>
    <w:rsid w:val="524C1EA2"/>
    <w:rsid w:val="52566F58"/>
    <w:rsid w:val="5257222D"/>
    <w:rsid w:val="525C1116"/>
    <w:rsid w:val="52626895"/>
    <w:rsid w:val="52722298"/>
    <w:rsid w:val="52831274"/>
    <w:rsid w:val="529405F9"/>
    <w:rsid w:val="529755D0"/>
    <w:rsid w:val="529C5AE7"/>
    <w:rsid w:val="52A1552F"/>
    <w:rsid w:val="52AA1FEB"/>
    <w:rsid w:val="52AD79AD"/>
    <w:rsid w:val="52B275D2"/>
    <w:rsid w:val="52BA7286"/>
    <w:rsid w:val="52DC70BE"/>
    <w:rsid w:val="52FD781B"/>
    <w:rsid w:val="53053749"/>
    <w:rsid w:val="530F4056"/>
    <w:rsid w:val="53252771"/>
    <w:rsid w:val="53292A19"/>
    <w:rsid w:val="53334FB1"/>
    <w:rsid w:val="533816D3"/>
    <w:rsid w:val="53395DD6"/>
    <w:rsid w:val="533C1422"/>
    <w:rsid w:val="5352739C"/>
    <w:rsid w:val="5369597C"/>
    <w:rsid w:val="536A5F90"/>
    <w:rsid w:val="536C4459"/>
    <w:rsid w:val="537736B8"/>
    <w:rsid w:val="53797F8A"/>
    <w:rsid w:val="53864213"/>
    <w:rsid w:val="53AB4ABD"/>
    <w:rsid w:val="53B444B5"/>
    <w:rsid w:val="53BB1263"/>
    <w:rsid w:val="53BE7672"/>
    <w:rsid w:val="53C4129F"/>
    <w:rsid w:val="53C53E18"/>
    <w:rsid w:val="53D21196"/>
    <w:rsid w:val="53D3589F"/>
    <w:rsid w:val="53E578CE"/>
    <w:rsid w:val="53EC4A36"/>
    <w:rsid w:val="53F937A9"/>
    <w:rsid w:val="53FB7606"/>
    <w:rsid w:val="53FE74ED"/>
    <w:rsid w:val="540039F4"/>
    <w:rsid w:val="5404159F"/>
    <w:rsid w:val="542134BB"/>
    <w:rsid w:val="542C1C95"/>
    <w:rsid w:val="544224D7"/>
    <w:rsid w:val="544A762F"/>
    <w:rsid w:val="54503AF2"/>
    <w:rsid w:val="54551582"/>
    <w:rsid w:val="545A24A8"/>
    <w:rsid w:val="545F795B"/>
    <w:rsid w:val="5465546C"/>
    <w:rsid w:val="54734FF3"/>
    <w:rsid w:val="548277D4"/>
    <w:rsid w:val="548338D3"/>
    <w:rsid w:val="549332C4"/>
    <w:rsid w:val="549C1421"/>
    <w:rsid w:val="54A579F3"/>
    <w:rsid w:val="54CB3E34"/>
    <w:rsid w:val="54D033C9"/>
    <w:rsid w:val="54D20C96"/>
    <w:rsid w:val="54D60038"/>
    <w:rsid w:val="54D93454"/>
    <w:rsid w:val="54EA6A1B"/>
    <w:rsid w:val="54F860F5"/>
    <w:rsid w:val="54FE2E33"/>
    <w:rsid w:val="550653F2"/>
    <w:rsid w:val="55090267"/>
    <w:rsid w:val="55234880"/>
    <w:rsid w:val="55275272"/>
    <w:rsid w:val="552F4051"/>
    <w:rsid w:val="55450A62"/>
    <w:rsid w:val="555F74F1"/>
    <w:rsid w:val="556B6051"/>
    <w:rsid w:val="556C45C4"/>
    <w:rsid w:val="55781EC6"/>
    <w:rsid w:val="558E5B63"/>
    <w:rsid w:val="55902E39"/>
    <w:rsid w:val="559869D4"/>
    <w:rsid w:val="559F40F6"/>
    <w:rsid w:val="55B570C7"/>
    <w:rsid w:val="55BB7982"/>
    <w:rsid w:val="55CA0F67"/>
    <w:rsid w:val="55CE2137"/>
    <w:rsid w:val="55D11632"/>
    <w:rsid w:val="55D54531"/>
    <w:rsid w:val="55E35D5D"/>
    <w:rsid w:val="55E84229"/>
    <w:rsid w:val="55EB4403"/>
    <w:rsid w:val="55EF6468"/>
    <w:rsid w:val="55F54475"/>
    <w:rsid w:val="55F857C1"/>
    <w:rsid w:val="55F85AD5"/>
    <w:rsid w:val="5619669E"/>
    <w:rsid w:val="561F1EF2"/>
    <w:rsid w:val="56207E26"/>
    <w:rsid w:val="562E7748"/>
    <w:rsid w:val="5637247A"/>
    <w:rsid w:val="56397C30"/>
    <w:rsid w:val="56466122"/>
    <w:rsid w:val="564D16C5"/>
    <w:rsid w:val="565F4A84"/>
    <w:rsid w:val="56641074"/>
    <w:rsid w:val="566C774E"/>
    <w:rsid w:val="56727EC0"/>
    <w:rsid w:val="567C6D10"/>
    <w:rsid w:val="567E1240"/>
    <w:rsid w:val="56835522"/>
    <w:rsid w:val="5688184B"/>
    <w:rsid w:val="568832C3"/>
    <w:rsid w:val="568E689C"/>
    <w:rsid w:val="56904B54"/>
    <w:rsid w:val="56924604"/>
    <w:rsid w:val="569A4F74"/>
    <w:rsid w:val="569A6888"/>
    <w:rsid w:val="56A95C89"/>
    <w:rsid w:val="56AA09E3"/>
    <w:rsid w:val="56BE2B27"/>
    <w:rsid w:val="56BF604C"/>
    <w:rsid w:val="56C10569"/>
    <w:rsid w:val="56C57948"/>
    <w:rsid w:val="56CB1D6E"/>
    <w:rsid w:val="56CE45FC"/>
    <w:rsid w:val="56D72ED6"/>
    <w:rsid w:val="56E63224"/>
    <w:rsid w:val="56E8048A"/>
    <w:rsid w:val="56E94273"/>
    <w:rsid w:val="56ED726A"/>
    <w:rsid w:val="56FD1D7A"/>
    <w:rsid w:val="570B2C99"/>
    <w:rsid w:val="570F3061"/>
    <w:rsid w:val="57173907"/>
    <w:rsid w:val="57183FEB"/>
    <w:rsid w:val="571959DC"/>
    <w:rsid w:val="571B42E8"/>
    <w:rsid w:val="571F7091"/>
    <w:rsid w:val="572811B3"/>
    <w:rsid w:val="573C68CE"/>
    <w:rsid w:val="573F3F8B"/>
    <w:rsid w:val="57435475"/>
    <w:rsid w:val="574D3BFE"/>
    <w:rsid w:val="574D5974"/>
    <w:rsid w:val="574E07C7"/>
    <w:rsid w:val="57606277"/>
    <w:rsid w:val="5764017A"/>
    <w:rsid w:val="5769137D"/>
    <w:rsid w:val="576E7DB4"/>
    <w:rsid w:val="57782001"/>
    <w:rsid w:val="57875F6C"/>
    <w:rsid w:val="578857AD"/>
    <w:rsid w:val="578C34D7"/>
    <w:rsid w:val="57900026"/>
    <w:rsid w:val="579334BA"/>
    <w:rsid w:val="579B6157"/>
    <w:rsid w:val="57B40424"/>
    <w:rsid w:val="57C00874"/>
    <w:rsid w:val="57C8296E"/>
    <w:rsid w:val="57DA31AF"/>
    <w:rsid w:val="57DB28FB"/>
    <w:rsid w:val="57F81BF9"/>
    <w:rsid w:val="580B7C81"/>
    <w:rsid w:val="58251B98"/>
    <w:rsid w:val="58252B4A"/>
    <w:rsid w:val="5829466B"/>
    <w:rsid w:val="582B4E00"/>
    <w:rsid w:val="58474262"/>
    <w:rsid w:val="584B5CA9"/>
    <w:rsid w:val="58506D9C"/>
    <w:rsid w:val="585757A0"/>
    <w:rsid w:val="58592672"/>
    <w:rsid w:val="58705908"/>
    <w:rsid w:val="58723CD7"/>
    <w:rsid w:val="58730020"/>
    <w:rsid w:val="58774FEC"/>
    <w:rsid w:val="58825341"/>
    <w:rsid w:val="58861E46"/>
    <w:rsid w:val="58863D47"/>
    <w:rsid w:val="588C0912"/>
    <w:rsid w:val="5898173C"/>
    <w:rsid w:val="589C7BF3"/>
    <w:rsid w:val="58B44027"/>
    <w:rsid w:val="58BE36B1"/>
    <w:rsid w:val="58C05628"/>
    <w:rsid w:val="58C3054D"/>
    <w:rsid w:val="58CA5D5C"/>
    <w:rsid w:val="58CE6FC1"/>
    <w:rsid w:val="58DD5400"/>
    <w:rsid w:val="58F433C0"/>
    <w:rsid w:val="58FB4286"/>
    <w:rsid w:val="591C40FD"/>
    <w:rsid w:val="59213AC1"/>
    <w:rsid w:val="59262268"/>
    <w:rsid w:val="592D1D9B"/>
    <w:rsid w:val="593054CC"/>
    <w:rsid w:val="593B4ABC"/>
    <w:rsid w:val="594D04A7"/>
    <w:rsid w:val="59557135"/>
    <w:rsid w:val="595B4761"/>
    <w:rsid w:val="597D7EF4"/>
    <w:rsid w:val="59981403"/>
    <w:rsid w:val="59A27112"/>
    <w:rsid w:val="59A4007F"/>
    <w:rsid w:val="59A97C00"/>
    <w:rsid w:val="59AB646D"/>
    <w:rsid w:val="59BA573D"/>
    <w:rsid w:val="59BD1FD5"/>
    <w:rsid w:val="59C135BC"/>
    <w:rsid w:val="59DC5288"/>
    <w:rsid w:val="59DE7FE7"/>
    <w:rsid w:val="59E720E8"/>
    <w:rsid w:val="59F120A0"/>
    <w:rsid w:val="59FE267A"/>
    <w:rsid w:val="5A0148B9"/>
    <w:rsid w:val="5A041F9C"/>
    <w:rsid w:val="5A217376"/>
    <w:rsid w:val="5A22758E"/>
    <w:rsid w:val="5A3360D3"/>
    <w:rsid w:val="5A455061"/>
    <w:rsid w:val="5A510D8E"/>
    <w:rsid w:val="5A535317"/>
    <w:rsid w:val="5A557E99"/>
    <w:rsid w:val="5A5B00AA"/>
    <w:rsid w:val="5A6B3CD8"/>
    <w:rsid w:val="5A773C64"/>
    <w:rsid w:val="5A820DD7"/>
    <w:rsid w:val="5A9C7376"/>
    <w:rsid w:val="5AA158DB"/>
    <w:rsid w:val="5AA32692"/>
    <w:rsid w:val="5AA41B43"/>
    <w:rsid w:val="5AB24C2B"/>
    <w:rsid w:val="5AD2138E"/>
    <w:rsid w:val="5AD21C52"/>
    <w:rsid w:val="5AD22D98"/>
    <w:rsid w:val="5B0456DD"/>
    <w:rsid w:val="5B055CFB"/>
    <w:rsid w:val="5B09406A"/>
    <w:rsid w:val="5B15692E"/>
    <w:rsid w:val="5B1F3A2F"/>
    <w:rsid w:val="5B283A7B"/>
    <w:rsid w:val="5B306DE6"/>
    <w:rsid w:val="5B34012D"/>
    <w:rsid w:val="5B366133"/>
    <w:rsid w:val="5B3A410F"/>
    <w:rsid w:val="5B3C4271"/>
    <w:rsid w:val="5B455011"/>
    <w:rsid w:val="5B470DF7"/>
    <w:rsid w:val="5B4B7D53"/>
    <w:rsid w:val="5B561F3F"/>
    <w:rsid w:val="5B587282"/>
    <w:rsid w:val="5B7073CC"/>
    <w:rsid w:val="5B714052"/>
    <w:rsid w:val="5B7628B5"/>
    <w:rsid w:val="5B7F053E"/>
    <w:rsid w:val="5B7F5292"/>
    <w:rsid w:val="5B896856"/>
    <w:rsid w:val="5B8F6EDB"/>
    <w:rsid w:val="5B9B13DC"/>
    <w:rsid w:val="5BAB6201"/>
    <w:rsid w:val="5BBB094C"/>
    <w:rsid w:val="5BCE5B2D"/>
    <w:rsid w:val="5BCE6840"/>
    <w:rsid w:val="5BE07D7E"/>
    <w:rsid w:val="5BE22CDC"/>
    <w:rsid w:val="5BE25E48"/>
    <w:rsid w:val="5BEC6AB8"/>
    <w:rsid w:val="5BF46BB7"/>
    <w:rsid w:val="5BFE049B"/>
    <w:rsid w:val="5C09633C"/>
    <w:rsid w:val="5C1339EA"/>
    <w:rsid w:val="5C1C7F12"/>
    <w:rsid w:val="5C2D3FFE"/>
    <w:rsid w:val="5C3B671B"/>
    <w:rsid w:val="5C4223A9"/>
    <w:rsid w:val="5C71451A"/>
    <w:rsid w:val="5C751491"/>
    <w:rsid w:val="5C842A35"/>
    <w:rsid w:val="5C871960"/>
    <w:rsid w:val="5C8E231F"/>
    <w:rsid w:val="5C961BA3"/>
    <w:rsid w:val="5C9B365E"/>
    <w:rsid w:val="5CA70AD3"/>
    <w:rsid w:val="5CAA49FD"/>
    <w:rsid w:val="5CB15E01"/>
    <w:rsid w:val="5CB3795A"/>
    <w:rsid w:val="5CB74018"/>
    <w:rsid w:val="5CC86FD8"/>
    <w:rsid w:val="5CCB5CF1"/>
    <w:rsid w:val="5CD34422"/>
    <w:rsid w:val="5CD72400"/>
    <w:rsid w:val="5CF3494E"/>
    <w:rsid w:val="5CFD7FB3"/>
    <w:rsid w:val="5D02154D"/>
    <w:rsid w:val="5D080197"/>
    <w:rsid w:val="5D11684D"/>
    <w:rsid w:val="5D186A5C"/>
    <w:rsid w:val="5D1B16E2"/>
    <w:rsid w:val="5D1D11B2"/>
    <w:rsid w:val="5D431D2B"/>
    <w:rsid w:val="5D432E15"/>
    <w:rsid w:val="5D4A598D"/>
    <w:rsid w:val="5D532506"/>
    <w:rsid w:val="5D5628FF"/>
    <w:rsid w:val="5D6E0236"/>
    <w:rsid w:val="5D714F6F"/>
    <w:rsid w:val="5D793088"/>
    <w:rsid w:val="5D7B3A4E"/>
    <w:rsid w:val="5D7F51DB"/>
    <w:rsid w:val="5D85367F"/>
    <w:rsid w:val="5D861C18"/>
    <w:rsid w:val="5D8742AB"/>
    <w:rsid w:val="5D8830E2"/>
    <w:rsid w:val="5D8E38C7"/>
    <w:rsid w:val="5D940074"/>
    <w:rsid w:val="5D9A4F75"/>
    <w:rsid w:val="5D9F4190"/>
    <w:rsid w:val="5DAA0F2B"/>
    <w:rsid w:val="5DAB4112"/>
    <w:rsid w:val="5DAD35CF"/>
    <w:rsid w:val="5DBC7752"/>
    <w:rsid w:val="5DEF782D"/>
    <w:rsid w:val="5DFC50BD"/>
    <w:rsid w:val="5E07525E"/>
    <w:rsid w:val="5E0C3844"/>
    <w:rsid w:val="5E15518B"/>
    <w:rsid w:val="5E260B75"/>
    <w:rsid w:val="5E286E51"/>
    <w:rsid w:val="5E39312E"/>
    <w:rsid w:val="5E39657E"/>
    <w:rsid w:val="5E421FE3"/>
    <w:rsid w:val="5E46739D"/>
    <w:rsid w:val="5E472AC4"/>
    <w:rsid w:val="5E4C63C8"/>
    <w:rsid w:val="5E6961F7"/>
    <w:rsid w:val="5E761AFD"/>
    <w:rsid w:val="5E7E4681"/>
    <w:rsid w:val="5E7E6E73"/>
    <w:rsid w:val="5E8171A3"/>
    <w:rsid w:val="5E820631"/>
    <w:rsid w:val="5EAA019E"/>
    <w:rsid w:val="5EBC52A7"/>
    <w:rsid w:val="5ECA4D46"/>
    <w:rsid w:val="5ED03A93"/>
    <w:rsid w:val="5ED17035"/>
    <w:rsid w:val="5ED97BCF"/>
    <w:rsid w:val="5EDC6824"/>
    <w:rsid w:val="5EEF5399"/>
    <w:rsid w:val="5F0740C6"/>
    <w:rsid w:val="5F147E07"/>
    <w:rsid w:val="5F334021"/>
    <w:rsid w:val="5F44063F"/>
    <w:rsid w:val="5F502114"/>
    <w:rsid w:val="5F530D78"/>
    <w:rsid w:val="5F56701E"/>
    <w:rsid w:val="5F59087D"/>
    <w:rsid w:val="5F7A0818"/>
    <w:rsid w:val="5F8B1D80"/>
    <w:rsid w:val="5F8F5932"/>
    <w:rsid w:val="5F97412D"/>
    <w:rsid w:val="5F98670E"/>
    <w:rsid w:val="5FA51705"/>
    <w:rsid w:val="5FA802E6"/>
    <w:rsid w:val="5FAD3EA6"/>
    <w:rsid w:val="5FB74233"/>
    <w:rsid w:val="5FC82ADC"/>
    <w:rsid w:val="5FD24976"/>
    <w:rsid w:val="5FD472CD"/>
    <w:rsid w:val="5FD51606"/>
    <w:rsid w:val="5FEF00A5"/>
    <w:rsid w:val="5FF06501"/>
    <w:rsid w:val="5FFE1ED7"/>
    <w:rsid w:val="60013C9E"/>
    <w:rsid w:val="60022AB7"/>
    <w:rsid w:val="600528D3"/>
    <w:rsid w:val="60083C71"/>
    <w:rsid w:val="60083E99"/>
    <w:rsid w:val="60176855"/>
    <w:rsid w:val="60196D73"/>
    <w:rsid w:val="602452C8"/>
    <w:rsid w:val="602759C3"/>
    <w:rsid w:val="60280642"/>
    <w:rsid w:val="603A664B"/>
    <w:rsid w:val="603F4E28"/>
    <w:rsid w:val="60477D84"/>
    <w:rsid w:val="605015C5"/>
    <w:rsid w:val="606A3A73"/>
    <w:rsid w:val="608420D3"/>
    <w:rsid w:val="608B6D9F"/>
    <w:rsid w:val="60915432"/>
    <w:rsid w:val="609D5BF6"/>
    <w:rsid w:val="609F671B"/>
    <w:rsid w:val="60A124C5"/>
    <w:rsid w:val="60AE3EA6"/>
    <w:rsid w:val="60B42F40"/>
    <w:rsid w:val="60B82A30"/>
    <w:rsid w:val="60BE4465"/>
    <w:rsid w:val="60C82491"/>
    <w:rsid w:val="60CE0EB9"/>
    <w:rsid w:val="60D03028"/>
    <w:rsid w:val="60D34166"/>
    <w:rsid w:val="60D64C64"/>
    <w:rsid w:val="60ED1FCA"/>
    <w:rsid w:val="60F97156"/>
    <w:rsid w:val="61010607"/>
    <w:rsid w:val="610218DF"/>
    <w:rsid w:val="61192766"/>
    <w:rsid w:val="612D0B0A"/>
    <w:rsid w:val="612D64A6"/>
    <w:rsid w:val="61316E97"/>
    <w:rsid w:val="61380253"/>
    <w:rsid w:val="61416A9B"/>
    <w:rsid w:val="6143667D"/>
    <w:rsid w:val="61475B62"/>
    <w:rsid w:val="61490EBF"/>
    <w:rsid w:val="61545E2C"/>
    <w:rsid w:val="61622434"/>
    <w:rsid w:val="61625707"/>
    <w:rsid w:val="61642EEF"/>
    <w:rsid w:val="616851EE"/>
    <w:rsid w:val="616D17A7"/>
    <w:rsid w:val="616E1DF5"/>
    <w:rsid w:val="617C3A5E"/>
    <w:rsid w:val="61834DEC"/>
    <w:rsid w:val="619F3CB0"/>
    <w:rsid w:val="61AB3275"/>
    <w:rsid w:val="61AF035B"/>
    <w:rsid w:val="61CE4024"/>
    <w:rsid w:val="61D66336"/>
    <w:rsid w:val="61E47F27"/>
    <w:rsid w:val="61E86918"/>
    <w:rsid w:val="61E926E4"/>
    <w:rsid w:val="61ED0836"/>
    <w:rsid w:val="61F15FD5"/>
    <w:rsid w:val="61FA75B1"/>
    <w:rsid w:val="62070B11"/>
    <w:rsid w:val="620E2817"/>
    <w:rsid w:val="62132C64"/>
    <w:rsid w:val="622032D0"/>
    <w:rsid w:val="625702B8"/>
    <w:rsid w:val="625B3673"/>
    <w:rsid w:val="625D523E"/>
    <w:rsid w:val="626562A0"/>
    <w:rsid w:val="626F4A8A"/>
    <w:rsid w:val="62727644"/>
    <w:rsid w:val="627B458C"/>
    <w:rsid w:val="627E7362"/>
    <w:rsid w:val="628E2174"/>
    <w:rsid w:val="629F47DF"/>
    <w:rsid w:val="62A40C2C"/>
    <w:rsid w:val="62B66968"/>
    <w:rsid w:val="62BE3C02"/>
    <w:rsid w:val="62C169C0"/>
    <w:rsid w:val="62C9149E"/>
    <w:rsid w:val="62C92C8A"/>
    <w:rsid w:val="62CE3E13"/>
    <w:rsid w:val="62D44729"/>
    <w:rsid w:val="62D60F4C"/>
    <w:rsid w:val="62D64207"/>
    <w:rsid w:val="62D965AA"/>
    <w:rsid w:val="62E17A7F"/>
    <w:rsid w:val="62E34D6E"/>
    <w:rsid w:val="62F2169E"/>
    <w:rsid w:val="63073EBA"/>
    <w:rsid w:val="631B1054"/>
    <w:rsid w:val="63221DE5"/>
    <w:rsid w:val="63363829"/>
    <w:rsid w:val="63383379"/>
    <w:rsid w:val="633E1153"/>
    <w:rsid w:val="634609AB"/>
    <w:rsid w:val="6347009B"/>
    <w:rsid w:val="6356245C"/>
    <w:rsid w:val="63602783"/>
    <w:rsid w:val="63715118"/>
    <w:rsid w:val="638266CE"/>
    <w:rsid w:val="638D7235"/>
    <w:rsid w:val="639559BB"/>
    <w:rsid w:val="639D5F0D"/>
    <w:rsid w:val="639E2E44"/>
    <w:rsid w:val="63B0096C"/>
    <w:rsid w:val="63B0183F"/>
    <w:rsid w:val="63E23B17"/>
    <w:rsid w:val="63EC72F9"/>
    <w:rsid w:val="63FF3232"/>
    <w:rsid w:val="6403351A"/>
    <w:rsid w:val="64054C48"/>
    <w:rsid w:val="640B266D"/>
    <w:rsid w:val="64216E38"/>
    <w:rsid w:val="6422723F"/>
    <w:rsid w:val="642B6FBA"/>
    <w:rsid w:val="644E259F"/>
    <w:rsid w:val="644E6E29"/>
    <w:rsid w:val="645837F4"/>
    <w:rsid w:val="6460748A"/>
    <w:rsid w:val="646C35BE"/>
    <w:rsid w:val="646D4213"/>
    <w:rsid w:val="6470643E"/>
    <w:rsid w:val="6475729B"/>
    <w:rsid w:val="647829F1"/>
    <w:rsid w:val="648604FA"/>
    <w:rsid w:val="649273FD"/>
    <w:rsid w:val="6497363C"/>
    <w:rsid w:val="649A0BC6"/>
    <w:rsid w:val="64B96D77"/>
    <w:rsid w:val="64BF1D5D"/>
    <w:rsid w:val="64D26E04"/>
    <w:rsid w:val="64DE67DD"/>
    <w:rsid w:val="64E02555"/>
    <w:rsid w:val="64E20F78"/>
    <w:rsid w:val="64F54712"/>
    <w:rsid w:val="64F733FB"/>
    <w:rsid w:val="64F95A9B"/>
    <w:rsid w:val="652006F9"/>
    <w:rsid w:val="652266DC"/>
    <w:rsid w:val="65360B3E"/>
    <w:rsid w:val="65434131"/>
    <w:rsid w:val="655144BF"/>
    <w:rsid w:val="65520F97"/>
    <w:rsid w:val="65584535"/>
    <w:rsid w:val="65617091"/>
    <w:rsid w:val="657F0143"/>
    <w:rsid w:val="6588796C"/>
    <w:rsid w:val="65AE0B7E"/>
    <w:rsid w:val="65B16DC7"/>
    <w:rsid w:val="65B23EF2"/>
    <w:rsid w:val="65B64BCF"/>
    <w:rsid w:val="65B74E52"/>
    <w:rsid w:val="65B86B77"/>
    <w:rsid w:val="65BB6A86"/>
    <w:rsid w:val="65BC163F"/>
    <w:rsid w:val="65BE71DC"/>
    <w:rsid w:val="65C73987"/>
    <w:rsid w:val="65CC6636"/>
    <w:rsid w:val="65CF46C3"/>
    <w:rsid w:val="65D16268"/>
    <w:rsid w:val="65DB1671"/>
    <w:rsid w:val="65E90BBE"/>
    <w:rsid w:val="65F7432F"/>
    <w:rsid w:val="65F82EA6"/>
    <w:rsid w:val="65FC2E97"/>
    <w:rsid w:val="6603652B"/>
    <w:rsid w:val="660B3AC5"/>
    <w:rsid w:val="660F042C"/>
    <w:rsid w:val="6619467B"/>
    <w:rsid w:val="661F115D"/>
    <w:rsid w:val="66211DFB"/>
    <w:rsid w:val="662A6910"/>
    <w:rsid w:val="662B08ED"/>
    <w:rsid w:val="662C23A5"/>
    <w:rsid w:val="662C528B"/>
    <w:rsid w:val="66332333"/>
    <w:rsid w:val="663A1628"/>
    <w:rsid w:val="663C0CD1"/>
    <w:rsid w:val="663F4316"/>
    <w:rsid w:val="66440CAD"/>
    <w:rsid w:val="66454555"/>
    <w:rsid w:val="66467288"/>
    <w:rsid w:val="664B10E0"/>
    <w:rsid w:val="6660604B"/>
    <w:rsid w:val="66612EC8"/>
    <w:rsid w:val="66694B45"/>
    <w:rsid w:val="666B4252"/>
    <w:rsid w:val="667A4A8C"/>
    <w:rsid w:val="668A69ED"/>
    <w:rsid w:val="668F6486"/>
    <w:rsid w:val="669A1D0A"/>
    <w:rsid w:val="66B0547D"/>
    <w:rsid w:val="66B153D1"/>
    <w:rsid w:val="66C53020"/>
    <w:rsid w:val="66E761DF"/>
    <w:rsid w:val="66FE68AF"/>
    <w:rsid w:val="671343AC"/>
    <w:rsid w:val="671E03B9"/>
    <w:rsid w:val="671F3CEE"/>
    <w:rsid w:val="67283D40"/>
    <w:rsid w:val="673A0613"/>
    <w:rsid w:val="673E1537"/>
    <w:rsid w:val="673F6235"/>
    <w:rsid w:val="67473F19"/>
    <w:rsid w:val="67610947"/>
    <w:rsid w:val="678B3D17"/>
    <w:rsid w:val="6790289C"/>
    <w:rsid w:val="67914C43"/>
    <w:rsid w:val="679535F0"/>
    <w:rsid w:val="67A26283"/>
    <w:rsid w:val="67A44466"/>
    <w:rsid w:val="67B332B3"/>
    <w:rsid w:val="67B6171B"/>
    <w:rsid w:val="67BE7C8B"/>
    <w:rsid w:val="67BF6452"/>
    <w:rsid w:val="67CA3F9C"/>
    <w:rsid w:val="67E64AFD"/>
    <w:rsid w:val="67F37E2B"/>
    <w:rsid w:val="67FA28A6"/>
    <w:rsid w:val="67FD2BAD"/>
    <w:rsid w:val="680D20FD"/>
    <w:rsid w:val="680F5591"/>
    <w:rsid w:val="68223EE0"/>
    <w:rsid w:val="68230A8D"/>
    <w:rsid w:val="682B2600"/>
    <w:rsid w:val="6837617D"/>
    <w:rsid w:val="683C3967"/>
    <w:rsid w:val="6853141A"/>
    <w:rsid w:val="68593128"/>
    <w:rsid w:val="685A5819"/>
    <w:rsid w:val="686B25A8"/>
    <w:rsid w:val="686C3D5E"/>
    <w:rsid w:val="686D51B6"/>
    <w:rsid w:val="687D759E"/>
    <w:rsid w:val="68813DB8"/>
    <w:rsid w:val="688803EC"/>
    <w:rsid w:val="688F4E56"/>
    <w:rsid w:val="6893009C"/>
    <w:rsid w:val="68B132F4"/>
    <w:rsid w:val="68B24448"/>
    <w:rsid w:val="68B3251E"/>
    <w:rsid w:val="68CA0041"/>
    <w:rsid w:val="68E35EBF"/>
    <w:rsid w:val="68E84323"/>
    <w:rsid w:val="68EE1A28"/>
    <w:rsid w:val="68F03C89"/>
    <w:rsid w:val="68F52D4D"/>
    <w:rsid w:val="69062A2F"/>
    <w:rsid w:val="69075AE0"/>
    <w:rsid w:val="69136471"/>
    <w:rsid w:val="69164798"/>
    <w:rsid w:val="691F2DF8"/>
    <w:rsid w:val="692727F6"/>
    <w:rsid w:val="693E2260"/>
    <w:rsid w:val="69510BEB"/>
    <w:rsid w:val="69573DD1"/>
    <w:rsid w:val="695C282F"/>
    <w:rsid w:val="696077C1"/>
    <w:rsid w:val="696B5A95"/>
    <w:rsid w:val="69861FA8"/>
    <w:rsid w:val="69985CFD"/>
    <w:rsid w:val="69AD4144"/>
    <w:rsid w:val="69AE281F"/>
    <w:rsid w:val="69BF6EB2"/>
    <w:rsid w:val="69D61C79"/>
    <w:rsid w:val="69DF16E7"/>
    <w:rsid w:val="69F747F8"/>
    <w:rsid w:val="6A076C09"/>
    <w:rsid w:val="6A246A40"/>
    <w:rsid w:val="6A260A0B"/>
    <w:rsid w:val="6A470981"/>
    <w:rsid w:val="6A477A60"/>
    <w:rsid w:val="6A5120AF"/>
    <w:rsid w:val="6A521A81"/>
    <w:rsid w:val="6A5303E1"/>
    <w:rsid w:val="6A5470A6"/>
    <w:rsid w:val="6A592D6D"/>
    <w:rsid w:val="6A5C5400"/>
    <w:rsid w:val="6A6F77B8"/>
    <w:rsid w:val="6A737383"/>
    <w:rsid w:val="6A7826F1"/>
    <w:rsid w:val="6A82307E"/>
    <w:rsid w:val="6AA0472E"/>
    <w:rsid w:val="6AAA0DEE"/>
    <w:rsid w:val="6AB43EB4"/>
    <w:rsid w:val="6AE53D3B"/>
    <w:rsid w:val="6AEE7696"/>
    <w:rsid w:val="6AF01018"/>
    <w:rsid w:val="6AF664D5"/>
    <w:rsid w:val="6B1C3EDD"/>
    <w:rsid w:val="6B1F095C"/>
    <w:rsid w:val="6B297870"/>
    <w:rsid w:val="6B325BBB"/>
    <w:rsid w:val="6B5A25D6"/>
    <w:rsid w:val="6B6F7253"/>
    <w:rsid w:val="6B7E7C36"/>
    <w:rsid w:val="6B804469"/>
    <w:rsid w:val="6B8E7DB2"/>
    <w:rsid w:val="6B95107C"/>
    <w:rsid w:val="6B9949B5"/>
    <w:rsid w:val="6BA36184"/>
    <w:rsid w:val="6BAD0D87"/>
    <w:rsid w:val="6BAD499E"/>
    <w:rsid w:val="6BAF0570"/>
    <w:rsid w:val="6BB347DD"/>
    <w:rsid w:val="6BB37BD0"/>
    <w:rsid w:val="6BB61BA7"/>
    <w:rsid w:val="6BC75833"/>
    <w:rsid w:val="6BE64C55"/>
    <w:rsid w:val="6BFD7541"/>
    <w:rsid w:val="6C11031B"/>
    <w:rsid w:val="6C1256D6"/>
    <w:rsid w:val="6C2F427B"/>
    <w:rsid w:val="6C364E1E"/>
    <w:rsid w:val="6C535443"/>
    <w:rsid w:val="6C554EC8"/>
    <w:rsid w:val="6C633EAE"/>
    <w:rsid w:val="6C68589F"/>
    <w:rsid w:val="6C6C1873"/>
    <w:rsid w:val="6C755C79"/>
    <w:rsid w:val="6C81017A"/>
    <w:rsid w:val="6C83646A"/>
    <w:rsid w:val="6C934EFC"/>
    <w:rsid w:val="6C946F16"/>
    <w:rsid w:val="6C971F45"/>
    <w:rsid w:val="6CA303A0"/>
    <w:rsid w:val="6CB23063"/>
    <w:rsid w:val="6CB80997"/>
    <w:rsid w:val="6CF3094C"/>
    <w:rsid w:val="6CF50B68"/>
    <w:rsid w:val="6CFA6915"/>
    <w:rsid w:val="6CFE20B7"/>
    <w:rsid w:val="6D2F307A"/>
    <w:rsid w:val="6D3E252C"/>
    <w:rsid w:val="6D462252"/>
    <w:rsid w:val="6D54416C"/>
    <w:rsid w:val="6D574677"/>
    <w:rsid w:val="6D62577F"/>
    <w:rsid w:val="6D680F68"/>
    <w:rsid w:val="6D891A2B"/>
    <w:rsid w:val="6D9124D9"/>
    <w:rsid w:val="6DA03064"/>
    <w:rsid w:val="6DC2624B"/>
    <w:rsid w:val="6DD2763C"/>
    <w:rsid w:val="6DD9187E"/>
    <w:rsid w:val="6DE76E52"/>
    <w:rsid w:val="6DF551C9"/>
    <w:rsid w:val="6E08472C"/>
    <w:rsid w:val="6E0C6169"/>
    <w:rsid w:val="6E103C6A"/>
    <w:rsid w:val="6E330BE2"/>
    <w:rsid w:val="6E3366B5"/>
    <w:rsid w:val="6E366F9C"/>
    <w:rsid w:val="6E450FC7"/>
    <w:rsid w:val="6E47372B"/>
    <w:rsid w:val="6E47692C"/>
    <w:rsid w:val="6E5A0C83"/>
    <w:rsid w:val="6E6E1225"/>
    <w:rsid w:val="6E6E1CCF"/>
    <w:rsid w:val="6E7B3261"/>
    <w:rsid w:val="6E940FAD"/>
    <w:rsid w:val="6EAC5F94"/>
    <w:rsid w:val="6EC065E2"/>
    <w:rsid w:val="6EC5341D"/>
    <w:rsid w:val="6ECD0990"/>
    <w:rsid w:val="6ECE5094"/>
    <w:rsid w:val="6ED15D5C"/>
    <w:rsid w:val="6EEE0533"/>
    <w:rsid w:val="6EF36A95"/>
    <w:rsid w:val="6F0230C8"/>
    <w:rsid w:val="6F177DFE"/>
    <w:rsid w:val="6F222A1D"/>
    <w:rsid w:val="6F251329"/>
    <w:rsid w:val="6F271310"/>
    <w:rsid w:val="6F307C36"/>
    <w:rsid w:val="6F3C4368"/>
    <w:rsid w:val="6F425EBB"/>
    <w:rsid w:val="6F484659"/>
    <w:rsid w:val="6F490CF7"/>
    <w:rsid w:val="6F590836"/>
    <w:rsid w:val="6F63625D"/>
    <w:rsid w:val="6F653D5C"/>
    <w:rsid w:val="6F660F9A"/>
    <w:rsid w:val="6F6D675F"/>
    <w:rsid w:val="6F8B52DD"/>
    <w:rsid w:val="6F9440D7"/>
    <w:rsid w:val="6FA24AD2"/>
    <w:rsid w:val="6FA44513"/>
    <w:rsid w:val="6FA90783"/>
    <w:rsid w:val="6FA91F6A"/>
    <w:rsid w:val="6FC10442"/>
    <w:rsid w:val="6FC31A51"/>
    <w:rsid w:val="6FC7515F"/>
    <w:rsid w:val="6FC90EC8"/>
    <w:rsid w:val="6FD63D52"/>
    <w:rsid w:val="6FFB490E"/>
    <w:rsid w:val="7012558D"/>
    <w:rsid w:val="70161F41"/>
    <w:rsid w:val="701A5200"/>
    <w:rsid w:val="70221706"/>
    <w:rsid w:val="702540A1"/>
    <w:rsid w:val="702A5F16"/>
    <w:rsid w:val="703404CF"/>
    <w:rsid w:val="703F658F"/>
    <w:rsid w:val="7043210C"/>
    <w:rsid w:val="705E6FC1"/>
    <w:rsid w:val="7060279C"/>
    <w:rsid w:val="706555CB"/>
    <w:rsid w:val="70703896"/>
    <w:rsid w:val="70761A5E"/>
    <w:rsid w:val="70815BA3"/>
    <w:rsid w:val="708C46D5"/>
    <w:rsid w:val="708C7E91"/>
    <w:rsid w:val="709749CA"/>
    <w:rsid w:val="709D5B69"/>
    <w:rsid w:val="709F1DD8"/>
    <w:rsid w:val="70BC3818"/>
    <w:rsid w:val="70BE617E"/>
    <w:rsid w:val="70C1716D"/>
    <w:rsid w:val="70C8546A"/>
    <w:rsid w:val="70CF4B56"/>
    <w:rsid w:val="70D22DFF"/>
    <w:rsid w:val="70D32F6E"/>
    <w:rsid w:val="70DE4049"/>
    <w:rsid w:val="70EA5CFE"/>
    <w:rsid w:val="70EC2E5D"/>
    <w:rsid w:val="70EE35EA"/>
    <w:rsid w:val="70F6547E"/>
    <w:rsid w:val="710D3964"/>
    <w:rsid w:val="710D5244"/>
    <w:rsid w:val="710D691C"/>
    <w:rsid w:val="71101651"/>
    <w:rsid w:val="711451D1"/>
    <w:rsid w:val="71263E50"/>
    <w:rsid w:val="712858D2"/>
    <w:rsid w:val="712C2F01"/>
    <w:rsid w:val="713F5AC3"/>
    <w:rsid w:val="714076BA"/>
    <w:rsid w:val="714A3664"/>
    <w:rsid w:val="714A68A0"/>
    <w:rsid w:val="714D2AEE"/>
    <w:rsid w:val="715312B1"/>
    <w:rsid w:val="715F110D"/>
    <w:rsid w:val="71665B90"/>
    <w:rsid w:val="71692271"/>
    <w:rsid w:val="716E72B6"/>
    <w:rsid w:val="7173778D"/>
    <w:rsid w:val="71755414"/>
    <w:rsid w:val="71791072"/>
    <w:rsid w:val="717B239C"/>
    <w:rsid w:val="717C1858"/>
    <w:rsid w:val="718A21D8"/>
    <w:rsid w:val="718B5681"/>
    <w:rsid w:val="718B7426"/>
    <w:rsid w:val="71985D46"/>
    <w:rsid w:val="719D1325"/>
    <w:rsid w:val="71A01025"/>
    <w:rsid w:val="71AD43F3"/>
    <w:rsid w:val="71B763EC"/>
    <w:rsid w:val="71B97F67"/>
    <w:rsid w:val="71BD1D05"/>
    <w:rsid w:val="71D150A7"/>
    <w:rsid w:val="71D47BC5"/>
    <w:rsid w:val="71D6381D"/>
    <w:rsid w:val="71D96435"/>
    <w:rsid w:val="71E01A3F"/>
    <w:rsid w:val="7208749F"/>
    <w:rsid w:val="721750DD"/>
    <w:rsid w:val="72196C6A"/>
    <w:rsid w:val="721C7346"/>
    <w:rsid w:val="72224401"/>
    <w:rsid w:val="722978DD"/>
    <w:rsid w:val="722A6E31"/>
    <w:rsid w:val="722D16E9"/>
    <w:rsid w:val="722E1B9B"/>
    <w:rsid w:val="722E61DF"/>
    <w:rsid w:val="72451364"/>
    <w:rsid w:val="724524AA"/>
    <w:rsid w:val="724A54B2"/>
    <w:rsid w:val="724D131E"/>
    <w:rsid w:val="724E1FD6"/>
    <w:rsid w:val="7251239D"/>
    <w:rsid w:val="7254303E"/>
    <w:rsid w:val="726F4F19"/>
    <w:rsid w:val="72792ADD"/>
    <w:rsid w:val="72943160"/>
    <w:rsid w:val="72977F10"/>
    <w:rsid w:val="72B3590D"/>
    <w:rsid w:val="72B57B06"/>
    <w:rsid w:val="72BC36E0"/>
    <w:rsid w:val="72BE189F"/>
    <w:rsid w:val="72D00151"/>
    <w:rsid w:val="72D07765"/>
    <w:rsid w:val="72DB63BC"/>
    <w:rsid w:val="72DB705C"/>
    <w:rsid w:val="72DF3FAB"/>
    <w:rsid w:val="72E158F4"/>
    <w:rsid w:val="72F21FFA"/>
    <w:rsid w:val="72F75611"/>
    <w:rsid w:val="730613D9"/>
    <w:rsid w:val="731308FF"/>
    <w:rsid w:val="73137F85"/>
    <w:rsid w:val="73146FD6"/>
    <w:rsid w:val="73303691"/>
    <w:rsid w:val="73353A6C"/>
    <w:rsid w:val="73357D6A"/>
    <w:rsid w:val="733E6120"/>
    <w:rsid w:val="73482B1F"/>
    <w:rsid w:val="734A1425"/>
    <w:rsid w:val="735A2592"/>
    <w:rsid w:val="735E3BC9"/>
    <w:rsid w:val="7362574F"/>
    <w:rsid w:val="73667C95"/>
    <w:rsid w:val="736814EA"/>
    <w:rsid w:val="736C4337"/>
    <w:rsid w:val="736D11B8"/>
    <w:rsid w:val="73A3017E"/>
    <w:rsid w:val="73B42C06"/>
    <w:rsid w:val="73B96842"/>
    <w:rsid w:val="73BB74E7"/>
    <w:rsid w:val="73CE1D14"/>
    <w:rsid w:val="73D762C4"/>
    <w:rsid w:val="73D96AEE"/>
    <w:rsid w:val="73E243DC"/>
    <w:rsid w:val="73E32DFE"/>
    <w:rsid w:val="73EB444F"/>
    <w:rsid w:val="73ED516A"/>
    <w:rsid w:val="73F66C5F"/>
    <w:rsid w:val="740065B5"/>
    <w:rsid w:val="740F5897"/>
    <w:rsid w:val="74205030"/>
    <w:rsid w:val="74261EEF"/>
    <w:rsid w:val="742A7022"/>
    <w:rsid w:val="74351CA7"/>
    <w:rsid w:val="74427A22"/>
    <w:rsid w:val="74667929"/>
    <w:rsid w:val="747B7581"/>
    <w:rsid w:val="7481478B"/>
    <w:rsid w:val="74822A98"/>
    <w:rsid w:val="748B088D"/>
    <w:rsid w:val="749542A0"/>
    <w:rsid w:val="74AB0875"/>
    <w:rsid w:val="74C902C8"/>
    <w:rsid w:val="74C95C00"/>
    <w:rsid w:val="74CA732C"/>
    <w:rsid w:val="74D84FF7"/>
    <w:rsid w:val="74D85F0A"/>
    <w:rsid w:val="74DC6171"/>
    <w:rsid w:val="74DD7C5E"/>
    <w:rsid w:val="74E204D4"/>
    <w:rsid w:val="74E40C68"/>
    <w:rsid w:val="74FC0E59"/>
    <w:rsid w:val="7506297E"/>
    <w:rsid w:val="750A6272"/>
    <w:rsid w:val="75117D18"/>
    <w:rsid w:val="751A6AE3"/>
    <w:rsid w:val="751C0C5F"/>
    <w:rsid w:val="751C1388"/>
    <w:rsid w:val="751E3148"/>
    <w:rsid w:val="75286CFB"/>
    <w:rsid w:val="752E572C"/>
    <w:rsid w:val="75392C83"/>
    <w:rsid w:val="753C0AE1"/>
    <w:rsid w:val="753C257A"/>
    <w:rsid w:val="753C2EB5"/>
    <w:rsid w:val="753F03CF"/>
    <w:rsid w:val="754566A7"/>
    <w:rsid w:val="754E0E15"/>
    <w:rsid w:val="75513F5C"/>
    <w:rsid w:val="755B79D9"/>
    <w:rsid w:val="75687E97"/>
    <w:rsid w:val="756F0174"/>
    <w:rsid w:val="75851C82"/>
    <w:rsid w:val="759301E3"/>
    <w:rsid w:val="75945440"/>
    <w:rsid w:val="75961452"/>
    <w:rsid w:val="75B07D22"/>
    <w:rsid w:val="75B569F2"/>
    <w:rsid w:val="75C76B87"/>
    <w:rsid w:val="75CA40EA"/>
    <w:rsid w:val="75CF14F3"/>
    <w:rsid w:val="75DD70F5"/>
    <w:rsid w:val="75E93780"/>
    <w:rsid w:val="75F0433B"/>
    <w:rsid w:val="75F51112"/>
    <w:rsid w:val="76071C8F"/>
    <w:rsid w:val="760D277B"/>
    <w:rsid w:val="76173A2C"/>
    <w:rsid w:val="76200DA8"/>
    <w:rsid w:val="762A1FEB"/>
    <w:rsid w:val="7632235C"/>
    <w:rsid w:val="76475F31"/>
    <w:rsid w:val="76571F4C"/>
    <w:rsid w:val="765972B7"/>
    <w:rsid w:val="766D176F"/>
    <w:rsid w:val="768E1868"/>
    <w:rsid w:val="769135C9"/>
    <w:rsid w:val="769173AC"/>
    <w:rsid w:val="769345C5"/>
    <w:rsid w:val="769C22DB"/>
    <w:rsid w:val="76A13764"/>
    <w:rsid w:val="76A23BC3"/>
    <w:rsid w:val="76B111DD"/>
    <w:rsid w:val="76BE49F0"/>
    <w:rsid w:val="76CD0C1D"/>
    <w:rsid w:val="76CD0FD0"/>
    <w:rsid w:val="76E2215D"/>
    <w:rsid w:val="76E81E1C"/>
    <w:rsid w:val="76FB22D3"/>
    <w:rsid w:val="7707606A"/>
    <w:rsid w:val="771D0A54"/>
    <w:rsid w:val="771F6221"/>
    <w:rsid w:val="77293A48"/>
    <w:rsid w:val="77306843"/>
    <w:rsid w:val="77337DF5"/>
    <w:rsid w:val="773B1E28"/>
    <w:rsid w:val="773F2FF6"/>
    <w:rsid w:val="77436619"/>
    <w:rsid w:val="774526EF"/>
    <w:rsid w:val="77476464"/>
    <w:rsid w:val="77575788"/>
    <w:rsid w:val="775E668B"/>
    <w:rsid w:val="7769520B"/>
    <w:rsid w:val="77724F21"/>
    <w:rsid w:val="77742CBC"/>
    <w:rsid w:val="777548AC"/>
    <w:rsid w:val="777F37C0"/>
    <w:rsid w:val="77955421"/>
    <w:rsid w:val="779F3A0C"/>
    <w:rsid w:val="77A02E51"/>
    <w:rsid w:val="77A74D0D"/>
    <w:rsid w:val="77B10183"/>
    <w:rsid w:val="77C5624D"/>
    <w:rsid w:val="77D05B9F"/>
    <w:rsid w:val="77DF0766"/>
    <w:rsid w:val="77F85A77"/>
    <w:rsid w:val="77FE517A"/>
    <w:rsid w:val="78040FB1"/>
    <w:rsid w:val="780E429E"/>
    <w:rsid w:val="780E7017"/>
    <w:rsid w:val="78261BC3"/>
    <w:rsid w:val="785C5C48"/>
    <w:rsid w:val="786C4691"/>
    <w:rsid w:val="787741D1"/>
    <w:rsid w:val="78811E24"/>
    <w:rsid w:val="78817221"/>
    <w:rsid w:val="7885138D"/>
    <w:rsid w:val="788543C8"/>
    <w:rsid w:val="78866B18"/>
    <w:rsid w:val="78894EE4"/>
    <w:rsid w:val="78A668CC"/>
    <w:rsid w:val="78A9514A"/>
    <w:rsid w:val="78AC4531"/>
    <w:rsid w:val="78AD22F7"/>
    <w:rsid w:val="78B71D75"/>
    <w:rsid w:val="78B73293"/>
    <w:rsid w:val="78B82A53"/>
    <w:rsid w:val="78CA67EC"/>
    <w:rsid w:val="78D35C78"/>
    <w:rsid w:val="78D55EB6"/>
    <w:rsid w:val="78DD2BDC"/>
    <w:rsid w:val="78E73A5B"/>
    <w:rsid w:val="78ED48AA"/>
    <w:rsid w:val="790960D0"/>
    <w:rsid w:val="79142376"/>
    <w:rsid w:val="791D2160"/>
    <w:rsid w:val="791D3DEA"/>
    <w:rsid w:val="791F4FF3"/>
    <w:rsid w:val="79270183"/>
    <w:rsid w:val="79315632"/>
    <w:rsid w:val="793527C9"/>
    <w:rsid w:val="7935396D"/>
    <w:rsid w:val="795074AA"/>
    <w:rsid w:val="795C7D63"/>
    <w:rsid w:val="796B7C5F"/>
    <w:rsid w:val="79793016"/>
    <w:rsid w:val="797A7E79"/>
    <w:rsid w:val="79825F85"/>
    <w:rsid w:val="79975AC4"/>
    <w:rsid w:val="79AB367F"/>
    <w:rsid w:val="79CB19B6"/>
    <w:rsid w:val="79DB3C4F"/>
    <w:rsid w:val="79E2184E"/>
    <w:rsid w:val="79E26883"/>
    <w:rsid w:val="79F175A9"/>
    <w:rsid w:val="79F842AA"/>
    <w:rsid w:val="7A050504"/>
    <w:rsid w:val="7A0A1B2D"/>
    <w:rsid w:val="7A0C686E"/>
    <w:rsid w:val="7A23526E"/>
    <w:rsid w:val="7A2750B1"/>
    <w:rsid w:val="7A2A7613"/>
    <w:rsid w:val="7A2F7467"/>
    <w:rsid w:val="7A3525A4"/>
    <w:rsid w:val="7A38550E"/>
    <w:rsid w:val="7A3D7DFA"/>
    <w:rsid w:val="7A415391"/>
    <w:rsid w:val="7A4B622C"/>
    <w:rsid w:val="7A525412"/>
    <w:rsid w:val="7A582C27"/>
    <w:rsid w:val="7A601A07"/>
    <w:rsid w:val="7A71031B"/>
    <w:rsid w:val="7A7206F1"/>
    <w:rsid w:val="7A744011"/>
    <w:rsid w:val="7A814790"/>
    <w:rsid w:val="7A8770A4"/>
    <w:rsid w:val="7A8B0BDA"/>
    <w:rsid w:val="7A9D4155"/>
    <w:rsid w:val="7AA031C8"/>
    <w:rsid w:val="7AA50C4A"/>
    <w:rsid w:val="7AA651AE"/>
    <w:rsid w:val="7AA716F4"/>
    <w:rsid w:val="7AC31336"/>
    <w:rsid w:val="7AC43858"/>
    <w:rsid w:val="7AC834D6"/>
    <w:rsid w:val="7AC8491B"/>
    <w:rsid w:val="7AE67872"/>
    <w:rsid w:val="7AEA2AA1"/>
    <w:rsid w:val="7AEA6D39"/>
    <w:rsid w:val="7AEC3FFD"/>
    <w:rsid w:val="7B0C2205"/>
    <w:rsid w:val="7B0D3B81"/>
    <w:rsid w:val="7B182A0F"/>
    <w:rsid w:val="7B194382"/>
    <w:rsid w:val="7B221178"/>
    <w:rsid w:val="7B267C32"/>
    <w:rsid w:val="7B2D68A5"/>
    <w:rsid w:val="7B333BF2"/>
    <w:rsid w:val="7B526EDC"/>
    <w:rsid w:val="7B6115E9"/>
    <w:rsid w:val="7B673C76"/>
    <w:rsid w:val="7B6F5E82"/>
    <w:rsid w:val="7B726F5B"/>
    <w:rsid w:val="7B825CBD"/>
    <w:rsid w:val="7B8600DC"/>
    <w:rsid w:val="7B8B582C"/>
    <w:rsid w:val="7B8E7398"/>
    <w:rsid w:val="7B935CC2"/>
    <w:rsid w:val="7B95756B"/>
    <w:rsid w:val="7B9811F6"/>
    <w:rsid w:val="7BA1683A"/>
    <w:rsid w:val="7BC02843"/>
    <w:rsid w:val="7BD65A1F"/>
    <w:rsid w:val="7BD9170E"/>
    <w:rsid w:val="7BDA74CB"/>
    <w:rsid w:val="7BDE6369"/>
    <w:rsid w:val="7BE55F32"/>
    <w:rsid w:val="7BE61DA8"/>
    <w:rsid w:val="7BE86F07"/>
    <w:rsid w:val="7C0A47D1"/>
    <w:rsid w:val="7C1229BF"/>
    <w:rsid w:val="7C2317CD"/>
    <w:rsid w:val="7C2823C0"/>
    <w:rsid w:val="7C330351"/>
    <w:rsid w:val="7C385B78"/>
    <w:rsid w:val="7C3D197D"/>
    <w:rsid w:val="7C407D1A"/>
    <w:rsid w:val="7C4769FE"/>
    <w:rsid w:val="7C5C1CB9"/>
    <w:rsid w:val="7C7A4EDD"/>
    <w:rsid w:val="7C9B1148"/>
    <w:rsid w:val="7C9B6E70"/>
    <w:rsid w:val="7C9C44FE"/>
    <w:rsid w:val="7CC4654B"/>
    <w:rsid w:val="7CC47C40"/>
    <w:rsid w:val="7CCD7A68"/>
    <w:rsid w:val="7CCE770E"/>
    <w:rsid w:val="7CD331D5"/>
    <w:rsid w:val="7CE6790A"/>
    <w:rsid w:val="7CF54044"/>
    <w:rsid w:val="7CF76D1E"/>
    <w:rsid w:val="7D035762"/>
    <w:rsid w:val="7D06733B"/>
    <w:rsid w:val="7D0A2C25"/>
    <w:rsid w:val="7D0B7F89"/>
    <w:rsid w:val="7D1246F4"/>
    <w:rsid w:val="7D125AC6"/>
    <w:rsid w:val="7D1A548D"/>
    <w:rsid w:val="7D272678"/>
    <w:rsid w:val="7D2D72B5"/>
    <w:rsid w:val="7D2F494F"/>
    <w:rsid w:val="7D387E68"/>
    <w:rsid w:val="7D3D1E9B"/>
    <w:rsid w:val="7D3D50C1"/>
    <w:rsid w:val="7D417333"/>
    <w:rsid w:val="7D430F9C"/>
    <w:rsid w:val="7D543CAC"/>
    <w:rsid w:val="7D5B5FDA"/>
    <w:rsid w:val="7D6D6A37"/>
    <w:rsid w:val="7D810E7A"/>
    <w:rsid w:val="7D88164E"/>
    <w:rsid w:val="7D896D3E"/>
    <w:rsid w:val="7D920163"/>
    <w:rsid w:val="7D973159"/>
    <w:rsid w:val="7D9A72EE"/>
    <w:rsid w:val="7D9C0A1D"/>
    <w:rsid w:val="7D9E1F6F"/>
    <w:rsid w:val="7DA96F8F"/>
    <w:rsid w:val="7DAC0650"/>
    <w:rsid w:val="7DB4519A"/>
    <w:rsid w:val="7DB67D66"/>
    <w:rsid w:val="7DBA3722"/>
    <w:rsid w:val="7DBF5FC7"/>
    <w:rsid w:val="7DC9372F"/>
    <w:rsid w:val="7DCB34AD"/>
    <w:rsid w:val="7DD3234B"/>
    <w:rsid w:val="7DD338C6"/>
    <w:rsid w:val="7DD80DDC"/>
    <w:rsid w:val="7DDB1CC4"/>
    <w:rsid w:val="7DE266C0"/>
    <w:rsid w:val="7DE27F29"/>
    <w:rsid w:val="7DE315FF"/>
    <w:rsid w:val="7DE46433"/>
    <w:rsid w:val="7DF663E8"/>
    <w:rsid w:val="7DF74740"/>
    <w:rsid w:val="7E0230E5"/>
    <w:rsid w:val="7E06569B"/>
    <w:rsid w:val="7E1A3F8B"/>
    <w:rsid w:val="7E2F0C5F"/>
    <w:rsid w:val="7E3A30B2"/>
    <w:rsid w:val="7E3F0B94"/>
    <w:rsid w:val="7E413C0D"/>
    <w:rsid w:val="7E413DFA"/>
    <w:rsid w:val="7E475930"/>
    <w:rsid w:val="7E626724"/>
    <w:rsid w:val="7E6E2528"/>
    <w:rsid w:val="7E9717CF"/>
    <w:rsid w:val="7E9A2706"/>
    <w:rsid w:val="7E9C2914"/>
    <w:rsid w:val="7EB03F69"/>
    <w:rsid w:val="7ECD2B02"/>
    <w:rsid w:val="7ED863D2"/>
    <w:rsid w:val="7EDE62E0"/>
    <w:rsid w:val="7EDF2CD5"/>
    <w:rsid w:val="7EEB65CE"/>
    <w:rsid w:val="7EEF706E"/>
    <w:rsid w:val="7EF1176F"/>
    <w:rsid w:val="7EF23159"/>
    <w:rsid w:val="7EFF4C64"/>
    <w:rsid w:val="7F04016F"/>
    <w:rsid w:val="7F0F5AB9"/>
    <w:rsid w:val="7F126204"/>
    <w:rsid w:val="7F1615C6"/>
    <w:rsid w:val="7F1676EC"/>
    <w:rsid w:val="7F4E3C2E"/>
    <w:rsid w:val="7F515FA2"/>
    <w:rsid w:val="7F5160D2"/>
    <w:rsid w:val="7F54720D"/>
    <w:rsid w:val="7F695915"/>
    <w:rsid w:val="7F6A43FA"/>
    <w:rsid w:val="7F7D0B47"/>
    <w:rsid w:val="7FA2013C"/>
    <w:rsid w:val="7FBB22C9"/>
    <w:rsid w:val="7FC34E70"/>
    <w:rsid w:val="7FE937D5"/>
    <w:rsid w:val="7FEC5582"/>
    <w:rsid w:val="7FED3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tabs>
        <w:tab w:val="left" w:pos="1830"/>
      </w:tabs>
      <w:spacing w:line="480" w:lineRule="exact"/>
      <w:ind w:left="1830" w:hanging="480"/>
      <w:outlineLvl w:val="0"/>
    </w:pPr>
    <w:rPr>
      <w:rFonts w:ascii="宋体" w:eastAsia="宋体"/>
      <w:b/>
      <w:kern w:val="2"/>
      <w:sz w:val="28"/>
      <w:lang w:val="en-US" w:eastAsia="zh-CN" w:bidi="ar-SA"/>
    </w:rPr>
  </w:style>
  <w:style w:type="paragraph" w:styleId="3">
    <w:name w:val="heading 2"/>
    <w:basedOn w:val="1"/>
    <w:next w:val="1"/>
    <w:link w:val="54"/>
    <w:qFormat/>
    <w:uiPriority w:val="0"/>
    <w:pPr>
      <w:keepNext/>
      <w:tabs>
        <w:tab w:val="left" w:pos="1995"/>
      </w:tabs>
      <w:spacing w:line="480" w:lineRule="exact"/>
      <w:ind w:left="1995" w:hanging="720"/>
      <w:outlineLvl w:val="1"/>
    </w:pPr>
    <w:rPr>
      <w:rFonts w:ascii="宋体" w:eastAsia="宋体"/>
      <w:kern w:val="2"/>
      <w:sz w:val="28"/>
      <w:lang w:val="en-US" w:eastAsia="zh-CN" w:bidi="ar-SA"/>
    </w:rPr>
  </w:style>
  <w:style w:type="paragraph" w:styleId="4">
    <w:name w:val="heading 3"/>
    <w:basedOn w:val="1"/>
    <w:next w:val="5"/>
    <w:link w:val="55"/>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57"/>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paragraph" w:styleId="7">
    <w:name w:val="heading 5"/>
    <w:basedOn w:val="1"/>
    <w:next w:val="1"/>
    <w:link w:val="58"/>
    <w:qFormat/>
    <w:uiPriority w:val="0"/>
    <w:pPr>
      <w:keepNext/>
      <w:keepLines/>
      <w:spacing w:before="280" w:beforeLines="0" w:after="290" w:afterLines="0" w:line="376" w:lineRule="auto"/>
      <w:outlineLvl w:val="4"/>
    </w:pPr>
    <w:rPr>
      <w:rFonts w:eastAsia="宋体"/>
      <w:b/>
      <w:bCs/>
      <w:kern w:val="2"/>
      <w:sz w:val="28"/>
      <w:szCs w:val="28"/>
      <w:lang w:val="en-US" w:eastAsia="zh-CN" w:bidi="ar-SA"/>
    </w:rPr>
  </w:style>
  <w:style w:type="paragraph" w:styleId="8">
    <w:name w:val="heading 6"/>
    <w:basedOn w:val="1"/>
    <w:next w:val="1"/>
    <w:link w:val="59"/>
    <w:qFormat/>
    <w:uiPriority w:val="0"/>
    <w:pPr>
      <w:keepNext/>
      <w:keepLines/>
      <w:spacing w:before="240" w:beforeLines="0" w:after="64" w:afterLines="0" w:line="317" w:lineRule="auto"/>
      <w:outlineLvl w:val="5"/>
    </w:pPr>
    <w:rPr>
      <w:rFonts w:ascii="Cambria" w:hAnsi="Cambria" w:eastAsia="宋体"/>
      <w:b/>
      <w:bCs/>
      <w:kern w:val="2"/>
      <w:sz w:val="24"/>
      <w:szCs w:val="24"/>
      <w:lang w:val="en-US" w:eastAsia="zh-CN" w:bidi="ar-SA"/>
    </w:rPr>
  </w:style>
  <w:style w:type="paragraph" w:styleId="9">
    <w:name w:val="heading 7"/>
    <w:basedOn w:val="1"/>
    <w:next w:val="1"/>
    <w:link w:val="60"/>
    <w:qFormat/>
    <w:uiPriority w:val="0"/>
    <w:pPr>
      <w:keepNext/>
      <w:keepLines/>
      <w:spacing w:before="240" w:beforeLines="0" w:after="64" w:afterLines="0" w:line="317" w:lineRule="auto"/>
      <w:outlineLvl w:val="6"/>
    </w:pPr>
    <w:rPr>
      <w:rFonts w:ascii="Calibri" w:hAnsi="Calibri" w:eastAsia="宋体"/>
      <w:b/>
      <w:bCs/>
      <w:kern w:val="2"/>
      <w:sz w:val="24"/>
      <w:szCs w:val="24"/>
      <w:lang w:val="en-US" w:eastAsia="zh-CN" w:bidi="ar-SA"/>
    </w:rPr>
  </w:style>
  <w:style w:type="paragraph" w:styleId="10">
    <w:name w:val="heading 8"/>
    <w:basedOn w:val="1"/>
    <w:next w:val="1"/>
    <w:link w:val="61"/>
    <w:qFormat/>
    <w:uiPriority w:val="0"/>
    <w:pPr>
      <w:keepNext/>
      <w:keepLines/>
      <w:spacing w:before="240" w:beforeLines="0" w:after="64" w:afterLines="0" w:line="317" w:lineRule="auto"/>
      <w:outlineLvl w:val="7"/>
    </w:pPr>
    <w:rPr>
      <w:rFonts w:ascii="Cambria" w:hAnsi="Cambria" w:eastAsia="宋体"/>
      <w:kern w:val="2"/>
      <w:sz w:val="24"/>
      <w:szCs w:val="24"/>
      <w:lang w:val="en-US" w:eastAsia="zh-CN" w:bidi="ar-SA"/>
    </w:rPr>
  </w:style>
  <w:style w:type="paragraph" w:styleId="11">
    <w:name w:val="heading 9"/>
    <w:basedOn w:val="1"/>
    <w:next w:val="1"/>
    <w:link w:val="62"/>
    <w:qFormat/>
    <w:uiPriority w:val="0"/>
    <w:pPr>
      <w:keepNext/>
      <w:keepLines/>
      <w:spacing w:before="240" w:beforeLines="0" w:after="64" w:afterLines="0" w:line="317" w:lineRule="auto"/>
      <w:outlineLvl w:val="8"/>
    </w:pPr>
    <w:rPr>
      <w:rFonts w:ascii="Cambria" w:hAnsi="Cambria" w:eastAsia="宋体"/>
      <w:kern w:val="2"/>
      <w:sz w:val="21"/>
      <w:szCs w:val="21"/>
      <w:lang w:val="en-US" w:eastAsia="zh-CN" w:bidi="ar-SA"/>
    </w:rPr>
  </w:style>
  <w:style w:type="character" w:default="1" w:styleId="45">
    <w:name w:val="Default Paragraph Font"/>
    <w:qFormat/>
    <w:uiPriority w:val="0"/>
  </w:style>
  <w:style w:type="table" w:default="1" w:styleId="4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56"/>
    <w:qFormat/>
    <w:uiPriority w:val="0"/>
    <w:pPr>
      <w:ind w:firstLine="420"/>
    </w:pPr>
    <w:rPr>
      <w:rFonts w:eastAsia="宋体"/>
      <w:kern w:val="2"/>
      <w:sz w:val="21"/>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3"/>
    <w:qFormat/>
    <w:uiPriority w:val="0"/>
    <w:pPr>
      <w:shd w:val="clear" w:color="auto" w:fill="000080"/>
    </w:pPr>
    <w:rPr>
      <w:szCs w:val="24"/>
      <w:shd w:val="clear" w:color="auto" w:fill="000080"/>
      <w:lang w:bidi="ar-SA"/>
    </w:rPr>
  </w:style>
  <w:style w:type="paragraph" w:styleId="15">
    <w:name w:val="annotation text"/>
    <w:basedOn w:val="1"/>
    <w:next w:val="1"/>
    <w:link w:val="52"/>
    <w:qFormat/>
    <w:uiPriority w:val="0"/>
    <w:pPr>
      <w:jc w:val="left"/>
    </w:pPr>
    <w:rPr>
      <w:rFonts w:ascii="宋体" w:hAnsi="Times New Roman" w:eastAsia="宋体" w:cs="Times New Roman"/>
      <w:sz w:val="28"/>
      <w:szCs w:val="20"/>
    </w:rPr>
  </w:style>
  <w:style w:type="paragraph" w:styleId="16">
    <w:name w:val="Salutation"/>
    <w:basedOn w:val="1"/>
    <w:next w:val="1"/>
    <w:qFormat/>
    <w:uiPriority w:val="0"/>
  </w:style>
  <w:style w:type="paragraph" w:styleId="17">
    <w:name w:val="Body Text"/>
    <w:basedOn w:val="1"/>
    <w:link w:val="64"/>
    <w:qFormat/>
    <w:uiPriority w:val="0"/>
    <w:pPr>
      <w:spacing w:after="120" w:afterLines="0"/>
    </w:pPr>
    <w:rPr>
      <w:rFonts w:eastAsia="宋体"/>
      <w:kern w:val="2"/>
      <w:sz w:val="21"/>
      <w:szCs w:val="24"/>
      <w:lang w:val="en-US" w:eastAsia="zh-CN" w:bidi="ar-SA"/>
    </w:rPr>
  </w:style>
  <w:style w:type="paragraph" w:styleId="18">
    <w:name w:val="Body Text Indent"/>
    <w:basedOn w:val="1"/>
    <w:qFormat/>
    <w:uiPriority w:val="0"/>
    <w:pPr>
      <w:ind w:firstLine="480"/>
      <w:jc w:val="center"/>
    </w:pPr>
    <w:rPr>
      <w:rFonts w:eastAsia="黑体"/>
      <w:sz w:val="44"/>
    </w:r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rFonts w:ascii="Calibri" w:hAnsi="Calibri"/>
      <w:szCs w:val="22"/>
    </w:rPr>
  </w:style>
  <w:style w:type="paragraph" w:styleId="21">
    <w:name w:val="toc 3"/>
    <w:basedOn w:val="1"/>
    <w:next w:val="1"/>
    <w:qFormat/>
    <w:uiPriority w:val="0"/>
    <w:pPr>
      <w:ind w:left="840" w:leftChars="400"/>
    </w:pPr>
    <w:rPr>
      <w:rFonts w:ascii="Calibri" w:hAnsi="Calibri"/>
      <w:szCs w:val="22"/>
    </w:rPr>
  </w:style>
  <w:style w:type="paragraph" w:styleId="22">
    <w:name w:val="Plain Text"/>
    <w:basedOn w:val="1"/>
    <w:link w:val="65"/>
    <w:qFormat/>
    <w:uiPriority w:val="0"/>
    <w:rPr>
      <w:rFonts w:ascii="宋体" w:hAnsi="Courier New" w:eastAsia="宋体"/>
      <w:kern w:val="2"/>
      <w:sz w:val="21"/>
      <w:lang w:val="en-US" w:eastAsia="zh-CN" w:bidi="ar-SA"/>
    </w:rPr>
  </w:style>
  <w:style w:type="paragraph" w:styleId="23">
    <w:name w:val="List Bullet 5"/>
    <w:basedOn w:val="1"/>
    <w:qFormat/>
    <w:uiPriority w:val="0"/>
    <w:pPr>
      <w:numPr>
        <w:ilvl w:val="0"/>
        <w:numId w:val="1"/>
      </w:numPr>
    </w:p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6"/>
    <w:qFormat/>
    <w:uiPriority w:val="0"/>
    <w:rPr>
      <w:rFonts w:eastAsia="宋体"/>
      <w:kern w:val="2"/>
      <w:sz w:val="28"/>
      <w:lang w:val="en-US" w:eastAsia="zh-CN" w:bidi="ar-SA"/>
    </w:rPr>
  </w:style>
  <w:style w:type="paragraph" w:styleId="26">
    <w:name w:val="Body Text Indent 2"/>
    <w:basedOn w:val="1"/>
    <w:qFormat/>
    <w:uiPriority w:val="0"/>
    <w:pPr>
      <w:ind w:firstLine="480" w:firstLineChars="200"/>
    </w:pPr>
    <w:rPr>
      <w:sz w:val="24"/>
    </w:rPr>
  </w:style>
  <w:style w:type="paragraph" w:styleId="27">
    <w:name w:val="Balloon Text"/>
    <w:basedOn w:val="1"/>
    <w:link w:val="67"/>
    <w:qFormat/>
    <w:uiPriority w:val="0"/>
    <w:rPr>
      <w:rFonts w:eastAsia="宋体"/>
      <w:kern w:val="2"/>
      <w:sz w:val="18"/>
      <w:szCs w:val="18"/>
      <w:lang w:val="en-US" w:eastAsia="zh-CN" w:bidi="ar-SA"/>
    </w:rPr>
  </w:style>
  <w:style w:type="paragraph" w:styleId="28">
    <w:name w:val="footer"/>
    <w:basedOn w:val="1"/>
    <w:next w:val="1"/>
    <w:link w:val="68"/>
    <w:qFormat/>
    <w:uiPriority w:val="0"/>
    <w:pPr>
      <w:tabs>
        <w:tab w:val="center" w:pos="4153"/>
        <w:tab w:val="right" w:pos="8306"/>
      </w:tabs>
      <w:snapToGrid w:val="0"/>
      <w:jc w:val="left"/>
    </w:pPr>
    <w:rPr>
      <w:rFonts w:eastAsia="宋体"/>
      <w:kern w:val="2"/>
      <w:sz w:val="18"/>
      <w:szCs w:val="18"/>
      <w:lang w:val="en-US" w:eastAsia="zh-CN" w:bidi="ar-SA"/>
    </w:rPr>
  </w:style>
  <w:style w:type="paragraph" w:styleId="29">
    <w:name w:val="header"/>
    <w:basedOn w:val="1"/>
    <w:next w:val="28"/>
    <w:link w:val="69"/>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70"/>
    <w:qFormat/>
    <w:uiPriority w:val="0"/>
    <w:pPr>
      <w:spacing w:before="240" w:beforeLines="0" w:after="60" w:afterLines="0" w:line="312" w:lineRule="auto"/>
      <w:jc w:val="center"/>
      <w:outlineLvl w:val="1"/>
    </w:pPr>
    <w:rPr>
      <w:rFonts w:ascii="Cambria" w:hAnsi="Cambria"/>
      <w:b/>
      <w:bCs/>
      <w:kern w:val="28"/>
      <w:sz w:val="32"/>
      <w:szCs w:val="32"/>
      <w:lang w:bidi="ar-SA"/>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next w:val="17"/>
    <w:qFormat/>
    <w:uiPriority w:val="0"/>
    <w:pPr>
      <w:spacing w:after="120" w:afterLines="0" w:line="480" w:lineRule="auto"/>
    </w:pPr>
  </w:style>
  <w:style w:type="paragraph" w:styleId="38">
    <w:name w:val="Normal (Web)"/>
    <w:basedOn w:val="1"/>
    <w:qFormat/>
    <w:uiPriority w:val="0"/>
    <w:pPr>
      <w:widowControl/>
      <w:spacing w:before="100" w:beforeLines="0" w:after="100" w:afterLines="0"/>
      <w:jc w:val="left"/>
    </w:pPr>
    <w:rPr>
      <w:rFonts w:ascii="宋体" w:hAnsi="宋体"/>
      <w:kern w:val="0"/>
      <w:sz w:val="24"/>
      <w:szCs w:val="20"/>
    </w:rPr>
  </w:style>
  <w:style w:type="paragraph" w:styleId="39">
    <w:name w:val="Title"/>
    <w:basedOn w:val="1"/>
    <w:next w:val="1"/>
    <w:link w:val="71"/>
    <w:qFormat/>
    <w:uiPriority w:val="0"/>
    <w:pPr>
      <w:spacing w:before="240" w:beforeLines="0" w:after="60" w:afterLines="0"/>
      <w:jc w:val="center"/>
      <w:outlineLvl w:val="0"/>
    </w:pPr>
    <w:rPr>
      <w:rFonts w:ascii="Cambria" w:hAnsi="Cambria"/>
      <w:b/>
      <w:bCs/>
      <w:kern w:val="2"/>
      <w:sz w:val="32"/>
      <w:szCs w:val="32"/>
      <w:lang w:bidi="ar-SA"/>
    </w:rPr>
  </w:style>
  <w:style w:type="paragraph" w:styleId="40">
    <w:name w:val="annotation subject"/>
    <w:basedOn w:val="15"/>
    <w:next w:val="15"/>
    <w:link w:val="72"/>
    <w:qFormat/>
    <w:uiPriority w:val="0"/>
    <w:rPr>
      <w:rFonts w:ascii="宋体"/>
      <w:b/>
      <w:bCs/>
      <w:sz w:val="28"/>
      <w:lang w:bidi="ar-SA"/>
    </w:rPr>
  </w:style>
  <w:style w:type="paragraph" w:styleId="41">
    <w:name w:val="Body Text First Indent"/>
    <w:basedOn w:val="17"/>
    <w:next w:val="1"/>
    <w:qFormat/>
    <w:uiPriority w:val="0"/>
    <w:pPr>
      <w:ind w:firstLine="420"/>
    </w:pPr>
  </w:style>
  <w:style w:type="paragraph" w:styleId="42">
    <w:name w:val="Body Text First Indent 2"/>
    <w:basedOn w:val="18"/>
    <w:next w:val="41"/>
    <w:qFormat/>
    <w:uiPriority w:val="0"/>
    <w:pPr>
      <w:spacing w:after="120"/>
      <w:ind w:left="420" w:leftChars="200" w:firstLine="420" w:firstLineChars="200"/>
    </w:pPr>
    <w:rPr>
      <w:sz w:val="21"/>
      <w:szCs w:val="24"/>
    </w:rPr>
  </w:style>
  <w:style w:type="table" w:styleId="44">
    <w:name w:val="Table Grid"/>
    <w:basedOn w:val="4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basedOn w:val="45"/>
    <w:qFormat/>
    <w:uiPriority w:val="0"/>
    <w:rPr>
      <w:color w:val="000000"/>
      <w:u w:val="none"/>
    </w:rPr>
  </w:style>
  <w:style w:type="character" w:styleId="49">
    <w:name w:val="Emphasis"/>
    <w:basedOn w:val="45"/>
    <w:qFormat/>
    <w:uiPriority w:val="0"/>
    <w:rPr>
      <w:i/>
      <w:iCs/>
    </w:rPr>
  </w:style>
  <w:style w:type="character" w:styleId="50">
    <w:name w:val="Hyperlink"/>
    <w:basedOn w:val="45"/>
    <w:qFormat/>
    <w:uiPriority w:val="0"/>
    <w:rPr>
      <w:color w:val="000000"/>
      <w:u w:val="none"/>
    </w:rPr>
  </w:style>
  <w:style w:type="character" w:styleId="51">
    <w:name w:val="annotation reference"/>
    <w:qFormat/>
    <w:uiPriority w:val="0"/>
    <w:rPr>
      <w:rFonts w:cs="Times New Roman"/>
      <w:sz w:val="21"/>
      <w:szCs w:val="21"/>
    </w:rPr>
  </w:style>
  <w:style w:type="character" w:customStyle="1" w:styleId="52">
    <w:name w:val="批注文字 Char Char"/>
    <w:link w:val="15"/>
    <w:qFormat/>
    <w:uiPriority w:val="0"/>
    <w:rPr>
      <w:rFonts w:ascii="宋体" w:hAnsi="Times New Roman" w:eastAsia="宋体" w:cs="Times New Roman"/>
      <w:sz w:val="28"/>
      <w:szCs w:val="20"/>
    </w:rPr>
  </w:style>
  <w:style w:type="character" w:customStyle="1" w:styleId="53">
    <w:name w:val="标题 1 Char Char"/>
    <w:link w:val="2"/>
    <w:qFormat/>
    <w:uiPriority w:val="0"/>
    <w:rPr>
      <w:rFonts w:ascii="宋体" w:eastAsia="宋体"/>
      <w:b/>
      <w:kern w:val="2"/>
      <w:sz w:val="28"/>
      <w:lang w:val="en-US" w:eastAsia="zh-CN" w:bidi="ar-SA"/>
    </w:rPr>
  </w:style>
  <w:style w:type="character" w:customStyle="1" w:styleId="54">
    <w:name w:val="标题 2 Char Char"/>
    <w:link w:val="3"/>
    <w:qFormat/>
    <w:uiPriority w:val="0"/>
    <w:rPr>
      <w:rFonts w:ascii="宋体" w:eastAsia="宋体"/>
      <w:kern w:val="2"/>
      <w:sz w:val="28"/>
      <w:lang w:val="en-US" w:eastAsia="zh-CN" w:bidi="ar-SA"/>
    </w:rPr>
  </w:style>
  <w:style w:type="character" w:customStyle="1" w:styleId="55">
    <w:name w:val="标题 3 Char Char"/>
    <w:link w:val="4"/>
    <w:qFormat/>
    <w:uiPriority w:val="0"/>
    <w:rPr>
      <w:rFonts w:eastAsia="宋体"/>
      <w:b/>
      <w:bCs/>
      <w:kern w:val="2"/>
      <w:sz w:val="32"/>
      <w:szCs w:val="32"/>
      <w:lang w:val="en-US" w:eastAsia="zh-CN" w:bidi="ar-SA"/>
    </w:rPr>
  </w:style>
  <w:style w:type="character" w:customStyle="1" w:styleId="56">
    <w:name w:val="正文缩进 Char Char"/>
    <w:basedOn w:val="45"/>
    <w:link w:val="5"/>
    <w:qFormat/>
    <w:uiPriority w:val="0"/>
    <w:rPr>
      <w:rFonts w:eastAsia="宋体"/>
      <w:kern w:val="2"/>
      <w:sz w:val="21"/>
      <w:lang w:val="en-US" w:eastAsia="zh-CN" w:bidi="ar-SA"/>
    </w:rPr>
  </w:style>
  <w:style w:type="character" w:customStyle="1" w:styleId="57">
    <w:name w:val="标题 4 Char Char"/>
    <w:link w:val="6"/>
    <w:qFormat/>
    <w:uiPriority w:val="0"/>
    <w:rPr>
      <w:rFonts w:ascii="Arial" w:hAnsi="Arial" w:eastAsia="黑体"/>
      <w:b/>
      <w:bCs/>
      <w:kern w:val="2"/>
      <w:sz w:val="28"/>
      <w:szCs w:val="28"/>
      <w:lang w:val="en-US" w:eastAsia="zh-CN" w:bidi="ar-SA"/>
    </w:rPr>
  </w:style>
  <w:style w:type="character" w:customStyle="1" w:styleId="58">
    <w:name w:val="标题 5 Char Char"/>
    <w:link w:val="7"/>
    <w:qFormat/>
    <w:uiPriority w:val="0"/>
    <w:rPr>
      <w:rFonts w:eastAsia="宋体"/>
      <w:b/>
      <w:bCs/>
      <w:kern w:val="2"/>
      <w:sz w:val="28"/>
      <w:szCs w:val="28"/>
      <w:lang w:val="en-US" w:eastAsia="zh-CN" w:bidi="ar-SA"/>
    </w:rPr>
  </w:style>
  <w:style w:type="character" w:customStyle="1" w:styleId="59">
    <w:name w:val="标题 6 Char Char"/>
    <w:link w:val="8"/>
    <w:qFormat/>
    <w:uiPriority w:val="0"/>
    <w:rPr>
      <w:rFonts w:ascii="Cambria" w:hAnsi="Cambria" w:eastAsia="宋体"/>
      <w:b/>
      <w:bCs/>
      <w:kern w:val="2"/>
      <w:sz w:val="24"/>
      <w:szCs w:val="24"/>
      <w:lang w:val="en-US" w:eastAsia="zh-CN" w:bidi="ar-SA"/>
    </w:rPr>
  </w:style>
  <w:style w:type="character" w:customStyle="1" w:styleId="60">
    <w:name w:val="标题 7 Char Char"/>
    <w:link w:val="9"/>
    <w:qFormat/>
    <w:uiPriority w:val="0"/>
    <w:rPr>
      <w:rFonts w:ascii="Calibri" w:hAnsi="Calibri" w:eastAsia="宋体"/>
      <w:b/>
      <w:bCs/>
      <w:kern w:val="2"/>
      <w:sz w:val="24"/>
      <w:szCs w:val="24"/>
      <w:lang w:val="en-US" w:eastAsia="zh-CN" w:bidi="ar-SA"/>
    </w:rPr>
  </w:style>
  <w:style w:type="character" w:customStyle="1" w:styleId="61">
    <w:name w:val="标题 8 Char Char"/>
    <w:link w:val="10"/>
    <w:qFormat/>
    <w:uiPriority w:val="0"/>
    <w:rPr>
      <w:rFonts w:ascii="Cambria" w:hAnsi="Cambria" w:eastAsia="宋体"/>
      <w:kern w:val="2"/>
      <w:sz w:val="24"/>
      <w:szCs w:val="24"/>
      <w:lang w:val="en-US" w:eastAsia="zh-CN" w:bidi="ar-SA"/>
    </w:rPr>
  </w:style>
  <w:style w:type="character" w:customStyle="1" w:styleId="62">
    <w:name w:val="标题 9 Char Char"/>
    <w:link w:val="11"/>
    <w:qFormat/>
    <w:uiPriority w:val="0"/>
    <w:rPr>
      <w:rFonts w:ascii="Cambria" w:hAnsi="Cambria" w:eastAsia="宋体"/>
      <w:kern w:val="2"/>
      <w:sz w:val="21"/>
      <w:szCs w:val="21"/>
      <w:lang w:val="en-US" w:eastAsia="zh-CN" w:bidi="ar-SA"/>
    </w:rPr>
  </w:style>
  <w:style w:type="character" w:customStyle="1" w:styleId="63">
    <w:name w:val="文档结构图 Char Char"/>
    <w:link w:val="14"/>
    <w:qFormat/>
    <w:uiPriority w:val="0"/>
    <w:rPr>
      <w:szCs w:val="24"/>
      <w:shd w:val="clear" w:color="auto" w:fill="000080"/>
      <w:lang w:bidi="ar-SA"/>
    </w:rPr>
  </w:style>
  <w:style w:type="character" w:customStyle="1" w:styleId="64">
    <w:name w:val="正文文本 Char Char"/>
    <w:link w:val="17"/>
    <w:qFormat/>
    <w:uiPriority w:val="0"/>
    <w:rPr>
      <w:rFonts w:eastAsia="宋体"/>
      <w:kern w:val="2"/>
      <w:sz w:val="21"/>
      <w:szCs w:val="24"/>
      <w:lang w:val="en-US" w:eastAsia="zh-CN" w:bidi="ar-SA"/>
    </w:rPr>
  </w:style>
  <w:style w:type="character" w:customStyle="1" w:styleId="65">
    <w:name w:val="纯文本 Char Char"/>
    <w:basedOn w:val="45"/>
    <w:link w:val="22"/>
    <w:qFormat/>
    <w:uiPriority w:val="0"/>
    <w:rPr>
      <w:rFonts w:ascii="宋体" w:hAnsi="Courier New" w:eastAsia="宋体"/>
      <w:kern w:val="2"/>
      <w:sz w:val="21"/>
      <w:lang w:val="en-US" w:eastAsia="zh-CN" w:bidi="ar-SA"/>
    </w:rPr>
  </w:style>
  <w:style w:type="character" w:customStyle="1" w:styleId="66">
    <w:name w:val="日期 Char Char"/>
    <w:link w:val="25"/>
    <w:qFormat/>
    <w:uiPriority w:val="0"/>
    <w:rPr>
      <w:rFonts w:eastAsia="宋体"/>
      <w:kern w:val="2"/>
      <w:sz w:val="28"/>
      <w:lang w:val="en-US" w:eastAsia="zh-CN" w:bidi="ar-SA"/>
    </w:rPr>
  </w:style>
  <w:style w:type="character" w:customStyle="1" w:styleId="67">
    <w:name w:val="批注框文本 Char Char"/>
    <w:link w:val="27"/>
    <w:qFormat/>
    <w:uiPriority w:val="0"/>
    <w:rPr>
      <w:rFonts w:eastAsia="宋体"/>
      <w:kern w:val="2"/>
      <w:sz w:val="18"/>
      <w:szCs w:val="18"/>
      <w:lang w:val="en-US" w:eastAsia="zh-CN" w:bidi="ar-SA"/>
    </w:rPr>
  </w:style>
  <w:style w:type="character" w:customStyle="1" w:styleId="68">
    <w:name w:val="页脚 Char Char"/>
    <w:link w:val="28"/>
    <w:qFormat/>
    <w:uiPriority w:val="0"/>
    <w:rPr>
      <w:rFonts w:eastAsia="宋体"/>
      <w:kern w:val="2"/>
      <w:sz w:val="18"/>
      <w:szCs w:val="18"/>
      <w:lang w:val="en-US" w:eastAsia="zh-CN" w:bidi="ar-SA"/>
    </w:rPr>
  </w:style>
  <w:style w:type="character" w:customStyle="1" w:styleId="69">
    <w:name w:val="页眉 Char Char"/>
    <w:link w:val="29"/>
    <w:qFormat/>
    <w:uiPriority w:val="0"/>
    <w:rPr>
      <w:rFonts w:eastAsia="宋体"/>
      <w:kern w:val="2"/>
      <w:sz w:val="18"/>
      <w:szCs w:val="18"/>
      <w:lang w:val="en-US" w:eastAsia="zh-CN" w:bidi="ar-SA"/>
    </w:rPr>
  </w:style>
  <w:style w:type="character" w:customStyle="1" w:styleId="70">
    <w:name w:val="副标题 Char Char"/>
    <w:link w:val="32"/>
    <w:qFormat/>
    <w:uiPriority w:val="0"/>
    <w:rPr>
      <w:rFonts w:ascii="Cambria" w:hAnsi="Cambria"/>
      <w:b/>
      <w:bCs/>
      <w:kern w:val="28"/>
      <w:sz w:val="32"/>
      <w:szCs w:val="32"/>
      <w:lang w:bidi="ar-SA"/>
    </w:rPr>
  </w:style>
  <w:style w:type="character" w:customStyle="1" w:styleId="71">
    <w:name w:val="标题 Char Char"/>
    <w:link w:val="39"/>
    <w:qFormat/>
    <w:uiPriority w:val="0"/>
    <w:rPr>
      <w:rFonts w:ascii="Cambria" w:hAnsi="Cambria"/>
      <w:b/>
      <w:bCs/>
      <w:kern w:val="2"/>
      <w:sz w:val="32"/>
      <w:szCs w:val="32"/>
      <w:lang w:bidi="ar-SA"/>
    </w:rPr>
  </w:style>
  <w:style w:type="character" w:customStyle="1" w:styleId="72">
    <w:name w:val="批注主题 Char Char"/>
    <w:link w:val="40"/>
    <w:qFormat/>
    <w:uiPriority w:val="0"/>
    <w:rPr>
      <w:rFonts w:ascii="宋体"/>
      <w:b/>
      <w:bCs/>
      <w:sz w:val="28"/>
      <w:lang w:bidi="ar-SA"/>
    </w:rPr>
  </w:style>
  <w:style w:type="paragraph" w:customStyle="1" w:styleId="73">
    <w:name w:val="_Style 3"/>
    <w:basedOn w:val="1"/>
    <w:qFormat/>
    <w:uiPriority w:val="0"/>
    <w:pPr>
      <w:ind w:firstLine="420" w:firstLineChars="200"/>
    </w:pPr>
    <w:rPr>
      <w:kern w:val="0"/>
      <w:sz w:val="20"/>
      <w:szCs w:val="20"/>
    </w:rPr>
  </w:style>
  <w:style w:type="paragraph" w:customStyle="1" w:styleId="74">
    <w:name w:val="样式 宋体 行距: 1.5 倍行距"/>
    <w:basedOn w:val="1"/>
    <w:next w:val="1"/>
    <w:qFormat/>
    <w:uiPriority w:val="0"/>
    <w:pPr>
      <w:jc w:val="center"/>
    </w:pPr>
    <w:rPr>
      <w:rFonts w:ascii="Times New Roman" w:hAnsi="Times New Roman"/>
      <w:b/>
    </w:rPr>
  </w:style>
  <w:style w:type="character" w:customStyle="1" w:styleId="75">
    <w:name w:val="_Style 74"/>
    <w:qFormat/>
    <w:uiPriority w:val="0"/>
    <w:rPr>
      <w:b/>
      <w:bCs/>
      <w:i/>
      <w:iCs/>
      <w:color w:val="4F81BD"/>
    </w:rPr>
  </w:style>
  <w:style w:type="character" w:customStyle="1" w:styleId="76">
    <w:name w:val="正文文本 Char1"/>
    <w:qFormat/>
    <w:uiPriority w:val="0"/>
    <w:rPr>
      <w:kern w:val="2"/>
      <w:sz w:val="21"/>
      <w:szCs w:val="22"/>
    </w:rPr>
  </w:style>
  <w:style w:type="character" w:customStyle="1" w:styleId="77">
    <w:name w:val="明显引用 Char Char"/>
    <w:link w:val="78"/>
    <w:qFormat/>
    <w:uiPriority w:val="0"/>
    <w:rPr>
      <w:b/>
      <w:bCs/>
      <w:i/>
      <w:iCs/>
      <w:color w:val="4F81BD"/>
      <w:kern w:val="2"/>
      <w:sz w:val="21"/>
      <w:szCs w:val="22"/>
      <w:lang w:bidi="ar-SA"/>
    </w:rPr>
  </w:style>
  <w:style w:type="paragraph" w:styleId="78">
    <w:name w:val="Intense Quote"/>
    <w:basedOn w:val="1"/>
    <w:next w:val="1"/>
    <w:link w:val="77"/>
    <w:qFormat/>
    <w:uiPriority w:val="0"/>
    <w:pPr>
      <w:pBdr>
        <w:bottom w:val="single" w:color="4F81BD" w:sz="4" w:space="4"/>
      </w:pBdr>
      <w:spacing w:before="200" w:beforeLines="0" w:after="280" w:afterLines="0"/>
      <w:ind w:left="936" w:right="936"/>
    </w:pPr>
    <w:rPr>
      <w:b/>
      <w:bCs/>
      <w:i/>
      <w:iCs/>
      <w:color w:val="4F81BD"/>
      <w:kern w:val="2"/>
      <w:sz w:val="21"/>
      <w:szCs w:val="22"/>
      <w:lang w:bidi="ar-SA"/>
    </w:rPr>
  </w:style>
  <w:style w:type="character" w:customStyle="1" w:styleId="79">
    <w:name w:val="_Style 78"/>
    <w:qFormat/>
    <w:uiPriority w:val="0"/>
    <w:rPr>
      <w:b/>
      <w:bCs/>
      <w:smallCaps/>
      <w:color w:val="C0504D"/>
      <w:spacing w:val="5"/>
      <w:u w:val="single"/>
    </w:rPr>
  </w:style>
  <w:style w:type="character" w:customStyle="1" w:styleId="80">
    <w:name w:val="普通文字 Char Char"/>
    <w:qFormat/>
    <w:uiPriority w:val="0"/>
    <w:rPr>
      <w:rFonts w:ascii="宋体" w:hAnsi="Courier New" w:eastAsia="宋体" w:cs="Courier New"/>
      <w:szCs w:val="21"/>
    </w:rPr>
  </w:style>
  <w:style w:type="character" w:customStyle="1" w:styleId="81">
    <w:name w:val="_Style 80"/>
    <w:qFormat/>
    <w:uiPriority w:val="0"/>
    <w:rPr>
      <w:b/>
      <w:bCs/>
      <w:smallCaps/>
      <w:spacing w:val="5"/>
    </w:rPr>
  </w:style>
  <w:style w:type="character" w:customStyle="1" w:styleId="82">
    <w:name w:val="t-link44"/>
    <w:basedOn w:val="45"/>
    <w:qFormat/>
    <w:uiPriority w:val="0"/>
  </w:style>
  <w:style w:type="character" w:customStyle="1" w:styleId="83">
    <w:name w:val="标题5 Char Char"/>
    <w:link w:val="84"/>
    <w:qFormat/>
    <w:uiPriority w:val="0"/>
    <w:rPr>
      <w:rFonts w:ascii="Arial" w:hAnsi="Arial"/>
      <w:b/>
      <w:bCs/>
      <w:sz w:val="24"/>
      <w:szCs w:val="32"/>
      <w:lang w:bidi="ar-SA"/>
    </w:rPr>
  </w:style>
  <w:style w:type="paragraph" w:customStyle="1" w:styleId="84">
    <w:name w:val="标题5"/>
    <w:basedOn w:val="4"/>
    <w:link w:val="83"/>
    <w:qFormat/>
    <w:uiPriority w:val="0"/>
    <w:pPr>
      <w:spacing w:line="413" w:lineRule="auto"/>
    </w:pPr>
    <w:rPr>
      <w:rFonts w:ascii="Arial" w:hAnsi="Arial"/>
      <w:sz w:val="24"/>
      <w:szCs w:val="32"/>
      <w:lang w:bidi="ar-SA"/>
    </w:rPr>
  </w:style>
  <w:style w:type="character" w:customStyle="1" w:styleId="85">
    <w:name w:val="_Style 84"/>
    <w:qFormat/>
    <w:uiPriority w:val="0"/>
    <w:rPr>
      <w:smallCaps/>
      <w:color w:val="C0504D"/>
      <w:u w:val="single"/>
    </w:rPr>
  </w:style>
  <w:style w:type="character" w:customStyle="1" w:styleId="86">
    <w:name w:val="批注框文本 Char1"/>
    <w:qFormat/>
    <w:uiPriority w:val="0"/>
    <w:rPr>
      <w:kern w:val="2"/>
      <w:sz w:val="18"/>
      <w:szCs w:val="18"/>
    </w:rPr>
  </w:style>
  <w:style w:type="character" w:customStyle="1" w:styleId="87">
    <w:name w:val="文档结构图 Char1"/>
    <w:qFormat/>
    <w:uiPriority w:val="0"/>
    <w:rPr>
      <w:rFonts w:ascii="宋体"/>
      <w:kern w:val="2"/>
      <w:sz w:val="18"/>
      <w:szCs w:val="18"/>
    </w:rPr>
  </w:style>
  <w:style w:type="character" w:customStyle="1" w:styleId="88">
    <w:name w:val="批注主题 Char1"/>
    <w:qFormat/>
    <w:uiPriority w:val="0"/>
    <w:rPr>
      <w:b/>
      <w:bCs/>
      <w:kern w:val="2"/>
      <w:sz w:val="21"/>
      <w:szCs w:val="22"/>
    </w:rPr>
  </w:style>
  <w:style w:type="character" w:customStyle="1" w:styleId="89">
    <w:name w:val="_Style 88"/>
    <w:qFormat/>
    <w:uiPriority w:val="0"/>
    <w:rPr>
      <w:i/>
      <w:iCs/>
      <w:color w:val="808080"/>
    </w:rPr>
  </w:style>
  <w:style w:type="character" w:customStyle="1" w:styleId="90">
    <w:name w:val="t-in2"/>
    <w:basedOn w:val="45"/>
    <w:qFormat/>
    <w:uiPriority w:val="0"/>
  </w:style>
  <w:style w:type="character" w:customStyle="1" w:styleId="91">
    <w:name w:val=" Char Char9"/>
    <w:basedOn w:val="45"/>
    <w:qFormat/>
    <w:uiPriority w:val="0"/>
    <w:rPr>
      <w:rFonts w:ascii="宋体" w:hAnsi="Courier New" w:eastAsia="宋体"/>
      <w:kern w:val="2"/>
      <w:sz w:val="21"/>
      <w:lang w:val="en-US" w:eastAsia="zh-CN" w:bidi="ar-SA"/>
    </w:rPr>
  </w:style>
  <w:style w:type="character" w:customStyle="1" w:styleId="92">
    <w:name w:val="日期 Char1"/>
    <w:qFormat/>
    <w:uiPriority w:val="0"/>
    <w:rPr>
      <w:kern w:val="2"/>
      <w:sz w:val="21"/>
      <w:szCs w:val="22"/>
    </w:rPr>
  </w:style>
  <w:style w:type="character" w:customStyle="1" w:styleId="93">
    <w:name w:val="普通文字 Char"/>
    <w:basedOn w:val="45"/>
    <w:qFormat/>
    <w:uiPriority w:val="0"/>
    <w:rPr>
      <w:rFonts w:ascii="宋体" w:hAnsi="Courier New" w:eastAsia="宋体"/>
      <w:kern w:val="2"/>
      <w:sz w:val="21"/>
      <w:lang w:val="en-US" w:eastAsia="zh-CN" w:bidi="ar-SA"/>
    </w:rPr>
  </w:style>
  <w:style w:type="character" w:customStyle="1" w:styleId="94">
    <w:name w:val="标题4 Char Char"/>
    <w:qFormat/>
    <w:uiPriority w:val="0"/>
    <w:rPr>
      <w:rFonts w:ascii="Arial" w:hAnsi="Arial"/>
      <w:b/>
      <w:bCs/>
      <w:sz w:val="24"/>
      <w:szCs w:val="32"/>
      <w:lang w:bidi="ar-SA"/>
    </w:rPr>
  </w:style>
  <w:style w:type="character" w:customStyle="1" w:styleId="95">
    <w:name w:val="textcontents"/>
    <w:qFormat/>
    <w:uiPriority w:val="0"/>
    <w:rPr>
      <w:rFonts w:cs="Times New Roman"/>
    </w:rPr>
  </w:style>
  <w:style w:type="character" w:customStyle="1" w:styleId="96">
    <w:name w:val="引用 Char Char"/>
    <w:link w:val="97"/>
    <w:qFormat/>
    <w:uiPriority w:val="0"/>
    <w:rPr>
      <w:i/>
      <w:iCs/>
      <w:color w:val="000000"/>
      <w:kern w:val="2"/>
      <w:sz w:val="21"/>
      <w:szCs w:val="22"/>
      <w:lang w:bidi="ar-SA"/>
    </w:rPr>
  </w:style>
  <w:style w:type="paragraph" w:styleId="97">
    <w:name w:val="Quote"/>
    <w:basedOn w:val="1"/>
    <w:next w:val="1"/>
    <w:link w:val="96"/>
    <w:qFormat/>
    <w:uiPriority w:val="0"/>
    <w:rPr>
      <w:i/>
      <w:iCs/>
      <w:color w:val="000000"/>
      <w:kern w:val="2"/>
      <w:sz w:val="21"/>
      <w:szCs w:val="22"/>
      <w:lang w:bidi="ar-SA"/>
    </w:rPr>
  </w:style>
  <w:style w:type="paragraph" w:customStyle="1" w:styleId="98">
    <w:name w:val="_Style 5"/>
    <w:qFormat/>
    <w:uiPriority w:val="0"/>
    <w:pPr>
      <w:widowControl w:val="0"/>
      <w:ind w:firstLine="200" w:firstLineChars="200"/>
      <w:jc w:val="both"/>
    </w:pPr>
    <w:rPr>
      <w:rFonts w:ascii="Times New Roman" w:hAnsi="Times New Roman" w:eastAsia="宋体" w:cs="宋体"/>
      <w:kern w:val="2"/>
      <w:sz w:val="24"/>
      <w:szCs w:val="22"/>
      <w:lang w:val="en-US" w:eastAsia="zh-CN"/>
    </w:rPr>
  </w:style>
  <w:style w:type="paragraph" w:customStyle="1" w:styleId="99">
    <w:name w:val="默认段落字体 Para Char"/>
    <w:basedOn w:val="1"/>
    <w:qFormat/>
    <w:uiPriority w:val="0"/>
    <w:rPr>
      <w:rFonts w:ascii="Tahoma" w:hAnsi="Tahoma"/>
      <w:sz w:val="24"/>
      <w:szCs w:val="20"/>
    </w:rPr>
  </w:style>
  <w:style w:type="paragraph" w:customStyle="1" w:styleId="10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1">
    <w:name w:val="reader-word-layer"/>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02">
    <w:name w:val=" Char"/>
    <w:basedOn w:val="1"/>
    <w:qFormat/>
    <w:uiPriority w:val="0"/>
    <w:pPr>
      <w:tabs>
        <w:tab w:val="left" w:pos="360"/>
      </w:tabs>
    </w:pPr>
    <w:rPr>
      <w:sz w:val="24"/>
    </w:rPr>
  </w:style>
  <w:style w:type="paragraph" w:customStyle="1" w:styleId="103">
    <w:name w:val="正文4"/>
    <w:basedOn w:val="1"/>
    <w:qFormat/>
    <w:uiPriority w:val="0"/>
    <w:pPr>
      <w:ind w:firstLine="630"/>
    </w:pPr>
    <w:rPr>
      <w:sz w:val="28"/>
      <w:szCs w:val="20"/>
    </w:rPr>
  </w:style>
  <w:style w:type="paragraph" w:customStyle="1" w:styleId="104">
    <w:name w:val="juzhong"/>
    <w:basedOn w:val="1"/>
    <w:qFormat/>
    <w:uiPriority w:val="0"/>
    <w:pPr>
      <w:widowControl/>
      <w:jc w:val="left"/>
    </w:pPr>
    <w:rPr>
      <w:rFonts w:ascii="宋体" w:hAnsi="宋体" w:cs="宋体"/>
      <w:color w:val="000000"/>
      <w:kern w:val="0"/>
      <w:sz w:val="24"/>
    </w:rPr>
  </w:style>
  <w:style w:type="paragraph" w:customStyle="1" w:styleId="105">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styleId="10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样式 标题 2 + Times New Roman 四号 非加粗 段前: 5 磅 段后: 0 磅 行距: 固定值 20..."/>
    <w:basedOn w:val="3"/>
    <w:qFormat/>
    <w:uiPriority w:val="0"/>
    <w:pPr>
      <w:keepLines/>
      <w:numPr>
        <w:ilvl w:val="0"/>
        <w:numId w:val="0"/>
      </w:numPr>
      <w:spacing w:before="100" w:beforeLines="0" w:line="400" w:lineRule="exact"/>
    </w:pPr>
    <w:rPr>
      <w:rFonts w:ascii="Times New Roman" w:eastAsia="黑体" w:cs="宋体"/>
      <w:kern w:val="0"/>
    </w:rPr>
  </w:style>
  <w:style w:type="paragraph" w:customStyle="1" w:styleId="108">
    <w:name w:val="_Style 107"/>
    <w:basedOn w:val="2"/>
    <w:next w:val="1"/>
    <w:qFormat/>
    <w:uiPriority w:val="0"/>
    <w:pPr>
      <w:keepLines/>
      <w:numPr>
        <w:ilvl w:val="0"/>
        <w:numId w:val="0"/>
      </w:numPr>
      <w:spacing w:before="340" w:beforeLines="0" w:after="330" w:afterLines="0" w:line="576" w:lineRule="auto"/>
      <w:outlineLvl w:val="9"/>
    </w:pPr>
    <w:rPr>
      <w:rFonts w:ascii="Calibri" w:hAnsi="Calibri"/>
      <w:bCs/>
      <w:kern w:val="44"/>
      <w:sz w:val="44"/>
      <w:szCs w:val="44"/>
    </w:rPr>
  </w:style>
  <w:style w:type="paragraph" w:customStyle="1" w:styleId="109">
    <w:name w:val="_Style 108"/>
    <w:qFormat/>
    <w:uiPriority w:val="0"/>
    <w:rPr>
      <w:rFonts w:ascii="Times New Roman" w:hAnsi="Times New Roman" w:eastAsia="宋体" w:cs="Times New Roman"/>
      <w:kern w:val="2"/>
      <w:sz w:val="21"/>
      <w:szCs w:val="24"/>
      <w:lang w:val="en-US" w:eastAsia="zh-CN" w:bidi="ar-SA"/>
    </w:rPr>
  </w:style>
  <w:style w:type="paragraph" w:customStyle="1" w:styleId="11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11">
    <w:name w:val="正文2"/>
    <w:basedOn w:val="1"/>
    <w:qFormat/>
    <w:uiPriority w:val="0"/>
    <w:pPr>
      <w:ind w:firstLine="735"/>
    </w:pPr>
    <w:rPr>
      <w:b/>
      <w:sz w:val="32"/>
      <w:szCs w:val="20"/>
    </w:rPr>
  </w:style>
  <w:style w:type="paragraph" w:customStyle="1" w:styleId="112">
    <w:name w:val="Char Char Char Char Char Char"/>
    <w:basedOn w:val="1"/>
    <w:qFormat/>
    <w:uiPriority w:val="0"/>
  </w:style>
  <w:style w:type="paragraph" w:customStyle="1" w:styleId="113">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14">
    <w:name w:val="p0"/>
    <w:basedOn w:val="1"/>
    <w:qFormat/>
    <w:uiPriority w:val="0"/>
    <w:pPr>
      <w:widowControl/>
    </w:pPr>
    <w:rPr>
      <w:kern w:val="0"/>
      <w:szCs w:val="21"/>
    </w:rPr>
  </w:style>
  <w:style w:type="paragraph" w:customStyle="1" w:styleId="115">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styleId="116">
    <w:name w:val="List Paragraph"/>
    <w:basedOn w:val="1"/>
    <w:qFormat/>
    <w:uiPriority w:val="0"/>
    <w:pPr>
      <w:ind w:firstLine="420" w:firstLineChars="200"/>
    </w:pPr>
    <w:rPr>
      <w:rFonts w:ascii="Calibri" w:hAnsi="Calibri"/>
      <w:szCs w:val="22"/>
    </w:rPr>
  </w:style>
  <w:style w:type="paragraph" w:customStyle="1" w:styleId="117">
    <w:name w:val="正文文字缩进 3"/>
    <w:basedOn w:val="1"/>
    <w:qFormat/>
    <w:uiPriority w:val="0"/>
    <w:pPr>
      <w:widowControl/>
      <w:spacing w:line="606" w:lineRule="atLeast"/>
      <w:ind w:firstLine="538"/>
      <w:textAlignment w:val="baseline"/>
    </w:pPr>
    <w:rPr>
      <w:rFonts w:ascii="宋体"/>
      <w:color w:val="000000"/>
      <w:kern w:val="0"/>
      <w:sz w:val="24"/>
      <w:szCs w:val="20"/>
      <w:u w:val="none" w:color="000000"/>
    </w:rPr>
  </w:style>
  <w:style w:type="paragraph" w:customStyle="1" w:styleId="11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1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0">
    <w:name w:val="flNote"/>
    <w:basedOn w:val="1"/>
    <w:qFormat/>
    <w:uiPriority w:val="0"/>
    <w:pPr>
      <w:adjustRightInd w:val="0"/>
      <w:spacing w:before="320" w:beforeLines="0" w:after="160" w:afterLines="0" w:line="360" w:lineRule="atLeast"/>
      <w:jc w:val="center"/>
      <w:textAlignment w:val="baseline"/>
    </w:pPr>
    <w:rPr>
      <w:rFonts w:ascii="Arial" w:eastAsia="黑体"/>
      <w:kern w:val="0"/>
      <w:sz w:val="30"/>
      <w:szCs w:val="20"/>
    </w:rPr>
  </w:style>
  <w:style w:type="paragraph" w:customStyle="1" w:styleId="1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缩进 New"/>
    <w:basedOn w:val="123"/>
    <w:qFormat/>
    <w:uiPriority w:val="0"/>
    <w:pPr>
      <w:keepNext w:val="0"/>
      <w:keepLines w:val="0"/>
      <w:widowControl/>
      <w:suppressLineNumbers w:val="0"/>
      <w:spacing w:before="0" w:beforeAutospacing="0" w:after="0" w:afterAutospacing="0" w:line="360" w:lineRule="auto"/>
      <w:ind w:left="0" w:right="0" w:firstLine="420"/>
      <w:jc w:val="left"/>
    </w:pPr>
    <w:rPr>
      <w:rFonts w:hint="eastAsia" w:ascii="宋体" w:hAnsi="Times New Roman" w:eastAsia="宋体" w:cs="Times New Roman"/>
      <w:kern w:val="0"/>
      <w:sz w:val="20"/>
      <w:szCs w:val="20"/>
      <w:lang w:val="en-US" w:eastAsia="zh-CN" w:bidi="ar"/>
    </w:rPr>
  </w:style>
  <w:style w:type="paragraph" w:customStyle="1" w:styleId="123">
    <w:name w:val="正文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360" w:lineRule="auto"/>
      <w:ind w:left="0" w:right="0"/>
      <w:jc w:val="both"/>
    </w:pPr>
    <w:rPr>
      <w:rFonts w:hint="eastAsia" w:ascii="宋体" w:hAnsi="Times New Roman" w:eastAsia="宋体" w:cs="Times New Roman"/>
      <w:kern w:val="2"/>
      <w:sz w:val="24"/>
      <w:szCs w:val="24"/>
      <w:lang w:val="en-US" w:eastAsia="zh-CN" w:bidi="ar"/>
    </w:rPr>
  </w:style>
  <w:style w:type="paragraph" w:customStyle="1" w:styleId="124">
    <w:name w:val="正文文本缩进 New"/>
    <w:basedOn w:val="123"/>
    <w:qFormat/>
    <w:uiPriority w:val="0"/>
    <w:pPr>
      <w:keepNext w:val="0"/>
      <w:keepLines w:val="0"/>
      <w:widowControl w:val="0"/>
      <w:suppressLineNumbers w:val="0"/>
      <w:spacing w:before="0" w:beforeAutospacing="0" w:after="0" w:afterAutospacing="0" w:line="360" w:lineRule="auto"/>
      <w:ind w:left="0" w:right="0" w:firstLine="560" w:firstLineChars="200"/>
      <w:jc w:val="both"/>
    </w:pPr>
    <w:rPr>
      <w:rFonts w:hint="eastAsia" w:ascii="宋体" w:hAnsi="Times New Roman" w:eastAsia="宋体" w:cs="Times New Roman"/>
      <w:kern w:val="2"/>
      <w:sz w:val="24"/>
      <w:szCs w:val="24"/>
      <w:lang w:val="en-US" w:eastAsia="zh-CN" w:bidi="ar"/>
    </w:rPr>
  </w:style>
  <w:style w:type="paragraph" w:customStyle="1" w:styleId="125">
    <w:name w:val="标题 3 New New"/>
    <w:basedOn w:val="122"/>
    <w:next w:val="122"/>
    <w:qFormat/>
    <w:uiPriority w:val="0"/>
    <w:pPr>
      <w:keepNext/>
      <w:keepLines/>
      <w:widowControl/>
      <w:suppressLineNumbers w:val="0"/>
      <w:spacing w:before="120" w:beforeAutospacing="0" w:after="120" w:afterAutospacing="0" w:line="360" w:lineRule="auto"/>
      <w:ind w:left="0" w:right="0" w:firstLine="420"/>
      <w:jc w:val="center"/>
      <w:outlineLvl w:val="2"/>
    </w:pPr>
    <w:rPr>
      <w:rFonts w:hint="eastAsia" w:ascii="宋体" w:hAnsi="Times New Roman" w:eastAsia="宋体" w:cs="Times New Roman"/>
      <w:kern w:val="0"/>
      <w:sz w:val="24"/>
      <w:szCs w:val="24"/>
      <w:lang w:val="en-US" w:eastAsia="zh-CN" w:bidi="ar"/>
    </w:rPr>
  </w:style>
  <w:style w:type="character" w:customStyle="1" w:styleId="126">
    <w:name w:val="16"/>
    <w:basedOn w:val="45"/>
    <w:qFormat/>
    <w:uiPriority w:val="0"/>
    <w:rPr>
      <w:rFonts w:hint="default" w:ascii="Times New Roman" w:hAnsi="Times New Roman" w:cs="Times New Roman"/>
    </w:rPr>
  </w:style>
  <w:style w:type="paragraph" w:customStyle="1" w:styleId="127">
    <w:name w:val="正文 New New New New New New New New New New New New New New New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character" w:customStyle="1" w:styleId="128">
    <w:name w:val="15"/>
    <w:basedOn w:val="45"/>
    <w:qFormat/>
    <w:uiPriority w:val="0"/>
    <w:rPr>
      <w:rFonts w:hint="default" w:ascii="Times New Roman" w:hAnsi="Times New Roman" w:cs="Times New Roman"/>
      <w:b/>
      <w:bCs/>
    </w:rPr>
  </w:style>
  <w:style w:type="paragraph" w:customStyle="1" w:styleId="129">
    <w:name w:val="ds-markdown-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正文 New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楷体_GB2312" w:cs="Times New Roman"/>
      <w:kern w:val="2"/>
      <w:sz w:val="21"/>
      <w:szCs w:val="21"/>
      <w:lang w:val="en-US" w:eastAsia="zh-CN" w:bidi="ar"/>
    </w:rPr>
  </w:style>
  <w:style w:type="paragraph" w:customStyle="1" w:styleId="131">
    <w:name w:val="列出段落1"/>
    <w:basedOn w:val="1"/>
    <w:qFormat/>
    <w:uiPriority w:val="0"/>
    <w:pPr>
      <w:keepNext w:val="0"/>
      <w:keepLines w:val="0"/>
      <w:widowControl w:val="0"/>
      <w:suppressLineNumbers w:val="0"/>
      <w:autoSpaceDE w:val="0"/>
      <w:autoSpaceDN/>
      <w:spacing w:before="0" w:beforeAutospacing="0" w:after="0" w:afterAutospacing="0" w:line="240" w:lineRule="auto"/>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132">
    <w:name w:val="Table Paragraph"/>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default" w:ascii="Times New Roman" w:hAnsi="Times New Roman" w:eastAsia="宋体" w:cs="Times New Roman"/>
      <w:kern w:val="0"/>
      <w:sz w:val="24"/>
      <w:szCs w:val="24"/>
      <w:lang w:val="en-US" w:eastAsia="zh-CN" w:bidi="ar"/>
    </w:rPr>
  </w:style>
  <w:style w:type="paragraph" w:customStyle="1" w:styleId="133">
    <w:name w:val="正文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13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6">
    <w:name w:val="普通(网站) New"/>
    <w:basedOn w:val="137"/>
    <w:qFormat/>
    <w:uiPriority w:val="0"/>
    <w:rPr>
      <w:sz w:val="24"/>
    </w:rPr>
  </w:style>
  <w:style w:type="paragraph" w:customStyle="1" w:styleId="13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character" w:customStyle="1" w:styleId="139">
    <w:name w:val="NormalCharacter"/>
    <w:semiHidden/>
    <w:qFormat/>
    <w:uiPriority w:val="0"/>
    <w:rPr>
      <w:rFonts w:ascii="宋体"/>
      <w:kern w:val="2"/>
      <w:sz w:val="24"/>
      <w:lang w:val="en-US" w:eastAsia="zh-CN" w:bidi="ar-SA"/>
    </w:rPr>
  </w:style>
  <w:style w:type="paragraph" w:customStyle="1" w:styleId="14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4.wmf"/><Relationship Id="rId35" Type="http://schemas.openxmlformats.org/officeDocument/2006/relationships/oleObject" Target="embeddings/oleObject12.bin"/><Relationship Id="rId34" Type="http://schemas.openxmlformats.org/officeDocument/2006/relationships/image" Target="media/image13.wmf"/><Relationship Id="rId33" Type="http://schemas.openxmlformats.org/officeDocument/2006/relationships/oleObject" Target="embeddings/oleObject11.bin"/><Relationship Id="rId32" Type="http://schemas.openxmlformats.org/officeDocument/2006/relationships/image" Target="media/image12.w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93</Pages>
  <Words>12413</Words>
  <Characters>13335</Characters>
  <Lines>985</Lines>
  <Paragraphs>277</Paragraphs>
  <TotalTime>0</TotalTime>
  <ScaleCrop>false</ScaleCrop>
  <LinksUpToDate>false</LinksUpToDate>
  <CharactersWithSpaces>13532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2018-06-28T07:04:00Z</dcterms:created>
  <dc:creator>共享</dc:creator>
  <cp:lastModifiedBy>Miss Wu</cp:lastModifiedBy>
  <cp:lastPrinted>2026-02-02T00:26:00Z</cp:lastPrinted>
  <dcterms:modified xsi:type="dcterms:W3CDTF">2026-05-14T07:28:18Z</dcterms:modified>
  <dc:title>总  目  录</dc:title>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C72DDE584CBB4A098DFB983987A68EB5_13</vt:lpwstr>
  </property>
  <property fmtid="{D5CDD505-2E9C-101B-9397-08002B2CF9AE}" pid="4" name="KSOTemplateDocerSaveRecord">
    <vt:lpwstr>eyJoZGlkIjoiYTcxMDE5YWMzZmFlNjhjZjFkZDBmN2UxMjU0YjQyMjIiLCJ1c2VySWQiOiIyOTU5NDYxMTIifQ==</vt:lpwstr>
  </property>
</Properties>
</file>