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95055">
      <w:pPr>
        <w:keepNext w:val="0"/>
        <w:keepLines w:val="0"/>
        <w:pageBreakBefore w:val="0"/>
        <w:widowControl/>
        <w:shd w:val="clear" w:color="auto" w:fill="auto"/>
        <w:kinsoku w:val="0"/>
        <w:wordWrap/>
        <w:overflowPunct/>
        <w:topLinePunct w:val="0"/>
        <w:autoSpaceDE w:val="0"/>
        <w:autoSpaceDN w:val="0"/>
        <w:bidi w:val="0"/>
        <w:adjustRightInd w:val="0"/>
        <w:snapToGrid w:val="0"/>
        <w:spacing w:before="231" w:line="312" w:lineRule="auto"/>
        <w:jc w:val="center"/>
        <w:textAlignment w:val="baseline"/>
        <w:outlineLvl w:val="9"/>
        <w:rPr>
          <w:rFonts w:hint="eastAsia" w:ascii="宋体" w:hAnsi="宋体" w:eastAsia="宋体" w:cs="宋体"/>
          <w:b/>
          <w:bCs/>
          <w:color w:val="000000" w:themeColor="text1"/>
          <w:spacing w:val="-3"/>
          <w:sz w:val="52"/>
          <w:szCs w:val="52"/>
          <w:highlight w:val="non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宋体" w:hAnsi="宋体" w:eastAsia="宋体" w:cs="宋体"/>
          <w:b/>
          <w:bCs/>
          <w:color w:val="000000" w:themeColor="text1"/>
          <w:spacing w:val="-3"/>
          <w:sz w:val="52"/>
          <w:szCs w:val="52"/>
          <w:highlight w:val="non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drawing>
          <wp:anchor distT="0" distB="0" distL="114300" distR="114300" simplePos="0" relativeHeight="251664384" behindDoc="0" locked="0" layoutInCell="1" allowOverlap="1">
            <wp:simplePos x="0" y="0"/>
            <wp:positionH relativeFrom="column">
              <wp:posOffset>8255</wp:posOffset>
            </wp:positionH>
            <wp:positionV relativeFrom="paragraph">
              <wp:posOffset>146685</wp:posOffset>
            </wp:positionV>
            <wp:extent cx="6169660" cy="8724265"/>
            <wp:effectExtent l="0" t="0" r="2540" b="635"/>
            <wp:wrapNone/>
            <wp:docPr id="25" name="图片 25" descr="夸克扫描王_招标文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夸克扫描王_招标文件_01"/>
                    <pic:cNvPicPr>
                      <a:picLocks noChangeAspect="1"/>
                    </pic:cNvPicPr>
                  </pic:nvPicPr>
                  <pic:blipFill>
                    <a:blip r:embed="rId27"/>
                    <a:stretch>
                      <a:fillRect/>
                    </a:stretch>
                  </pic:blipFill>
                  <pic:spPr>
                    <a:xfrm>
                      <a:off x="0" y="0"/>
                      <a:ext cx="6169660" cy="8724265"/>
                    </a:xfrm>
                    <a:prstGeom prst="rect">
                      <a:avLst/>
                    </a:prstGeom>
                  </pic:spPr>
                </pic:pic>
              </a:graphicData>
            </a:graphic>
          </wp:anchor>
        </w:drawing>
      </w:r>
      <w:r>
        <w:rPr>
          <w:rFonts w:hint="eastAsia" w:ascii="宋体" w:hAnsi="宋体" w:eastAsia="宋体" w:cs="宋体"/>
          <w:b/>
          <w:bCs/>
          <w:color w:val="000000" w:themeColor="text1"/>
          <w:spacing w:val="-3"/>
          <w:sz w:val="52"/>
          <w:szCs w:val="52"/>
          <w:highlight w:val="none"/>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武江区城乡融合产业园兴武二路一期提升改造项目施工</w:t>
      </w:r>
    </w:p>
    <w:p w14:paraId="53CD2A29">
      <w:pPr>
        <w:pStyle w:val="7"/>
        <w:shd w:val="clear" w:color="auto" w:fill="auto"/>
        <w:spacing w:line="355" w:lineRule="auto"/>
        <w:rPr>
          <w:rFonts w:hint="eastAsia" w:ascii="宋体" w:hAnsi="宋体" w:eastAsia="宋体" w:cs="宋体"/>
          <w:color w:val="auto"/>
          <w:sz w:val="24"/>
          <w:szCs w:val="24"/>
          <w:highlight w:val="none"/>
        </w:rPr>
      </w:pPr>
    </w:p>
    <w:p w14:paraId="2846FC2F">
      <w:pPr>
        <w:pStyle w:val="7"/>
        <w:shd w:val="clear" w:color="auto" w:fill="auto"/>
        <w:spacing w:line="355" w:lineRule="auto"/>
        <w:rPr>
          <w:rFonts w:hint="eastAsia" w:ascii="宋体" w:hAnsi="宋体" w:eastAsia="宋体" w:cs="宋体"/>
          <w:color w:val="auto"/>
          <w:sz w:val="24"/>
          <w:szCs w:val="24"/>
          <w:highlight w:val="none"/>
        </w:rPr>
      </w:pPr>
    </w:p>
    <w:p w14:paraId="704A1F77">
      <w:pPr>
        <w:pStyle w:val="7"/>
        <w:shd w:val="clear" w:color="auto" w:fill="auto"/>
        <w:spacing w:line="355" w:lineRule="auto"/>
        <w:rPr>
          <w:rFonts w:hint="eastAsia" w:ascii="宋体" w:hAnsi="宋体" w:eastAsia="宋体" w:cs="宋体"/>
          <w:color w:val="auto"/>
          <w:sz w:val="24"/>
          <w:szCs w:val="24"/>
          <w:highlight w:val="none"/>
        </w:rPr>
      </w:pPr>
    </w:p>
    <w:p w14:paraId="60143967">
      <w:pPr>
        <w:pStyle w:val="7"/>
        <w:shd w:val="clear" w:color="auto" w:fill="auto"/>
        <w:spacing w:line="355" w:lineRule="auto"/>
        <w:rPr>
          <w:rFonts w:hint="eastAsia" w:ascii="宋体" w:hAnsi="宋体" w:eastAsia="宋体" w:cs="宋体"/>
          <w:color w:val="auto"/>
          <w:sz w:val="24"/>
          <w:szCs w:val="24"/>
          <w:highlight w:val="none"/>
        </w:rPr>
      </w:pPr>
    </w:p>
    <w:p w14:paraId="05428AF7">
      <w:pPr>
        <w:pStyle w:val="7"/>
        <w:shd w:val="clear" w:color="auto" w:fill="auto"/>
        <w:spacing w:line="355" w:lineRule="auto"/>
        <w:rPr>
          <w:rFonts w:hint="eastAsia" w:ascii="宋体" w:hAnsi="宋体" w:eastAsia="宋体" w:cs="宋体"/>
          <w:color w:val="auto"/>
          <w:sz w:val="24"/>
          <w:szCs w:val="24"/>
          <w:highlight w:val="none"/>
        </w:rPr>
      </w:pPr>
    </w:p>
    <w:p w14:paraId="5050D462">
      <w:pPr>
        <w:shd w:val="clear" w:color="auto" w:fill="auto"/>
        <w:spacing w:before="231" w:line="223" w:lineRule="auto"/>
        <w:jc w:val="center"/>
        <w:outlineLvl w:val="9"/>
        <w:rPr>
          <w:rFonts w:hint="eastAsia" w:ascii="宋体" w:hAnsi="宋体" w:eastAsia="宋体" w:cs="宋体"/>
          <w:color w:val="000000" w:themeColor="text1"/>
          <w:sz w:val="84"/>
          <w:szCs w:val="84"/>
          <w:highlight w:val="none"/>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bookmarkStart w:id="0" w:name="_Toc7958"/>
      <w:bookmarkStart w:id="1" w:name="_Toc15274"/>
      <w:bookmarkStart w:id="2" w:name="_Toc15837"/>
      <w:bookmarkStart w:id="3" w:name="_Toc1688"/>
      <w:r>
        <w:rPr>
          <w:rFonts w:hint="eastAsia" w:ascii="宋体" w:hAnsi="宋体" w:eastAsia="宋体" w:cs="宋体"/>
          <w:b/>
          <w:bCs/>
          <w:color w:val="000000" w:themeColor="text1"/>
          <w:spacing w:val="-3"/>
          <w:sz w:val="84"/>
          <w:szCs w:val="84"/>
          <w:highlight w:val="none"/>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招标文件</w:t>
      </w:r>
      <w:bookmarkEnd w:id="0"/>
      <w:bookmarkEnd w:id="1"/>
      <w:bookmarkEnd w:id="2"/>
      <w:bookmarkEnd w:id="3"/>
    </w:p>
    <w:p w14:paraId="66A176F9">
      <w:pPr>
        <w:pStyle w:val="7"/>
        <w:shd w:val="clear" w:color="auto" w:fill="auto"/>
        <w:spacing w:line="270" w:lineRule="auto"/>
        <w:rPr>
          <w:rFonts w:hint="eastAsia" w:ascii="宋体" w:hAnsi="宋体" w:eastAsia="宋体" w:cs="宋体"/>
          <w:color w:val="auto"/>
          <w:sz w:val="24"/>
          <w:szCs w:val="24"/>
          <w:highlight w:val="none"/>
        </w:rPr>
      </w:pPr>
    </w:p>
    <w:p w14:paraId="496D47FE">
      <w:pPr>
        <w:pStyle w:val="7"/>
        <w:shd w:val="clear" w:color="auto" w:fill="auto"/>
        <w:spacing w:line="271" w:lineRule="auto"/>
        <w:rPr>
          <w:rFonts w:hint="eastAsia" w:ascii="宋体" w:hAnsi="宋体" w:eastAsia="宋体" w:cs="宋体"/>
          <w:color w:val="auto"/>
          <w:sz w:val="24"/>
          <w:szCs w:val="24"/>
          <w:highlight w:val="none"/>
        </w:rPr>
      </w:pPr>
    </w:p>
    <w:p w14:paraId="7BB14677">
      <w:pPr>
        <w:pStyle w:val="7"/>
        <w:shd w:val="clear" w:color="auto" w:fill="auto"/>
        <w:spacing w:line="271" w:lineRule="auto"/>
        <w:rPr>
          <w:rFonts w:hint="eastAsia" w:ascii="宋体" w:hAnsi="宋体" w:eastAsia="宋体" w:cs="宋体"/>
          <w:color w:val="auto"/>
          <w:sz w:val="24"/>
          <w:szCs w:val="24"/>
          <w:highlight w:val="none"/>
        </w:rPr>
      </w:pPr>
    </w:p>
    <w:p w14:paraId="7EF40430">
      <w:pPr>
        <w:pStyle w:val="7"/>
        <w:shd w:val="clear" w:color="auto" w:fill="auto"/>
        <w:spacing w:line="271" w:lineRule="auto"/>
        <w:rPr>
          <w:rFonts w:hint="eastAsia" w:ascii="宋体" w:hAnsi="宋体" w:eastAsia="宋体" w:cs="宋体"/>
          <w:color w:val="auto"/>
          <w:sz w:val="24"/>
          <w:szCs w:val="24"/>
          <w:highlight w:val="none"/>
        </w:rPr>
      </w:pPr>
    </w:p>
    <w:p w14:paraId="3783BAE5">
      <w:pPr>
        <w:pStyle w:val="7"/>
        <w:shd w:val="clear" w:color="auto" w:fill="auto"/>
        <w:spacing w:line="271" w:lineRule="auto"/>
        <w:rPr>
          <w:rFonts w:hint="eastAsia" w:ascii="宋体" w:hAnsi="宋体" w:eastAsia="宋体" w:cs="宋体"/>
          <w:color w:val="auto"/>
          <w:sz w:val="24"/>
          <w:szCs w:val="24"/>
          <w:highlight w:val="none"/>
        </w:rPr>
      </w:pPr>
    </w:p>
    <w:p w14:paraId="0AF379EF">
      <w:pPr>
        <w:pStyle w:val="7"/>
        <w:shd w:val="clear" w:color="auto" w:fill="auto"/>
        <w:spacing w:line="271" w:lineRule="auto"/>
        <w:rPr>
          <w:rFonts w:hint="eastAsia" w:ascii="宋体" w:hAnsi="宋体" w:eastAsia="宋体" w:cs="宋体"/>
          <w:color w:val="auto"/>
          <w:sz w:val="24"/>
          <w:szCs w:val="24"/>
          <w:highlight w:val="none"/>
        </w:rPr>
      </w:pPr>
    </w:p>
    <w:tbl>
      <w:tblPr>
        <w:tblStyle w:val="17"/>
        <w:tblW w:w="9714" w:type="dxa"/>
        <w:jc w:val="center"/>
        <w:tblLayout w:type="fixed"/>
        <w:tblCellMar>
          <w:top w:w="0" w:type="dxa"/>
          <w:left w:w="0" w:type="dxa"/>
          <w:bottom w:w="0" w:type="dxa"/>
          <w:right w:w="0" w:type="dxa"/>
        </w:tblCellMar>
      </w:tblPr>
      <w:tblGrid>
        <w:gridCol w:w="5013"/>
        <w:gridCol w:w="4701"/>
      </w:tblGrid>
      <w:tr w14:paraId="6E13A22C">
        <w:tblPrEx>
          <w:tblCellMar>
            <w:top w:w="0" w:type="dxa"/>
            <w:left w:w="0" w:type="dxa"/>
            <w:bottom w:w="0" w:type="dxa"/>
            <w:right w:w="0" w:type="dxa"/>
          </w:tblCellMar>
        </w:tblPrEx>
        <w:trPr>
          <w:trHeight w:val="1030" w:hRule="atLeast"/>
          <w:jc w:val="center"/>
        </w:trPr>
        <w:tc>
          <w:tcPr>
            <w:tcW w:w="5013" w:type="dxa"/>
            <w:noWrap w:val="0"/>
            <w:vAlign w:val="center"/>
          </w:tcPr>
          <w:p w14:paraId="06BAF397">
            <w:pPr>
              <w:pStyle w:val="22"/>
              <w:shd w:val="clear" w:color="auto" w:fill="auto"/>
              <w:snapToGrid w:val="0"/>
              <w:spacing w:line="240" w:lineRule="auto"/>
              <w:jc w:val="distribute"/>
              <w:rPr>
                <w:rStyle w:val="23"/>
                <w:rFonts w:hint="eastAsia" w:ascii="宋体" w:hAnsi="宋体" w:eastAsia="宋体" w:cs="宋体"/>
                <w:color w:val="auto"/>
                <w:kern w:val="0"/>
                <w:sz w:val="28"/>
                <w:szCs w:val="28"/>
                <w:highlight w:val="none"/>
              </w:rPr>
            </w:pPr>
            <w:r>
              <w:rPr>
                <w:rStyle w:val="23"/>
                <w:rFonts w:hint="eastAsia" w:ascii="宋体" w:hAnsi="宋体" w:eastAsia="宋体" w:cs="宋体"/>
                <w:color w:val="auto"/>
                <w:kern w:val="0"/>
                <w:sz w:val="28"/>
                <w:szCs w:val="28"/>
                <w:highlight w:val="none"/>
              </w:rPr>
              <w:t xml:space="preserve"> 招  标  人（盖单位章）：</w:t>
            </w:r>
          </w:p>
        </w:tc>
        <w:tc>
          <w:tcPr>
            <w:tcW w:w="4701" w:type="dxa"/>
            <w:noWrap w:val="0"/>
            <w:vAlign w:val="center"/>
          </w:tcPr>
          <w:p w14:paraId="3A3F0EEE">
            <w:pPr>
              <w:pStyle w:val="22"/>
              <w:shd w:val="clear" w:color="auto" w:fill="auto"/>
              <w:snapToGrid w:val="0"/>
              <w:spacing w:line="240" w:lineRule="auto"/>
              <w:jc w:val="center"/>
              <w:rPr>
                <w:rStyle w:val="23"/>
                <w:rFonts w:hint="eastAsia" w:ascii="宋体" w:hAnsi="宋体" w:eastAsia="宋体" w:cs="宋体"/>
                <w:color w:val="auto"/>
                <w:kern w:val="0"/>
                <w:sz w:val="28"/>
                <w:szCs w:val="28"/>
                <w:highlight w:val="none"/>
                <w:lang w:eastAsia="zh-CN"/>
              </w:rPr>
            </w:pPr>
            <w:r>
              <w:rPr>
                <w:rStyle w:val="23"/>
                <w:rFonts w:hint="eastAsia" w:hAnsi="宋体" w:cs="宋体"/>
                <w:color w:val="auto"/>
                <w:kern w:val="0"/>
                <w:sz w:val="28"/>
                <w:szCs w:val="28"/>
                <w:highlight w:val="none"/>
                <w:lang w:eastAsia="zh-CN"/>
              </w:rPr>
              <w:t>韶关市武江区协佳市政服务有限公司</w:t>
            </w:r>
          </w:p>
        </w:tc>
      </w:tr>
      <w:tr w14:paraId="609EDC29">
        <w:tblPrEx>
          <w:tblCellMar>
            <w:top w:w="0" w:type="dxa"/>
            <w:left w:w="0" w:type="dxa"/>
            <w:bottom w:w="0" w:type="dxa"/>
            <w:right w:w="0" w:type="dxa"/>
          </w:tblCellMar>
        </w:tblPrEx>
        <w:trPr>
          <w:trHeight w:val="844" w:hRule="atLeast"/>
          <w:jc w:val="center"/>
        </w:trPr>
        <w:tc>
          <w:tcPr>
            <w:tcW w:w="5013" w:type="dxa"/>
            <w:noWrap w:val="0"/>
            <w:vAlign w:val="center"/>
          </w:tcPr>
          <w:p w14:paraId="7089DF1F">
            <w:pPr>
              <w:pStyle w:val="22"/>
              <w:shd w:val="clear" w:color="auto" w:fill="auto"/>
              <w:snapToGrid w:val="0"/>
              <w:spacing w:line="240" w:lineRule="auto"/>
              <w:jc w:val="distribute"/>
              <w:rPr>
                <w:rStyle w:val="23"/>
                <w:rFonts w:hint="eastAsia" w:ascii="宋体" w:hAnsi="宋体" w:eastAsia="宋体" w:cs="宋体"/>
                <w:color w:val="auto"/>
                <w:kern w:val="0"/>
                <w:sz w:val="28"/>
                <w:szCs w:val="28"/>
                <w:highlight w:val="none"/>
              </w:rPr>
            </w:pPr>
            <w:r>
              <w:rPr>
                <w:rStyle w:val="23"/>
                <w:rFonts w:hint="eastAsia" w:ascii="宋体" w:hAnsi="宋体" w:eastAsia="宋体" w:cs="宋体"/>
                <w:color w:val="auto"/>
                <w:kern w:val="0"/>
                <w:sz w:val="28"/>
                <w:szCs w:val="28"/>
                <w:highlight w:val="none"/>
              </w:rPr>
              <w:t xml:space="preserve"> 招标人工作领导小组负责人（签字）：</w:t>
            </w:r>
          </w:p>
        </w:tc>
        <w:tc>
          <w:tcPr>
            <w:tcW w:w="4701" w:type="dxa"/>
            <w:noWrap w:val="0"/>
            <w:vAlign w:val="center"/>
          </w:tcPr>
          <w:p w14:paraId="17A1CAD4">
            <w:pPr>
              <w:pStyle w:val="22"/>
              <w:shd w:val="clear" w:color="auto" w:fill="auto"/>
              <w:snapToGrid w:val="0"/>
              <w:spacing w:line="240" w:lineRule="auto"/>
              <w:rPr>
                <w:rStyle w:val="23"/>
                <w:rFonts w:hint="eastAsia" w:ascii="宋体" w:hAnsi="宋体" w:eastAsia="宋体" w:cs="宋体"/>
                <w:color w:val="auto"/>
                <w:kern w:val="0"/>
                <w:sz w:val="28"/>
                <w:szCs w:val="28"/>
                <w:highlight w:val="none"/>
              </w:rPr>
            </w:pPr>
          </w:p>
        </w:tc>
      </w:tr>
      <w:tr w14:paraId="78AAC5BC">
        <w:tblPrEx>
          <w:tblCellMar>
            <w:top w:w="0" w:type="dxa"/>
            <w:left w:w="0" w:type="dxa"/>
            <w:bottom w:w="0" w:type="dxa"/>
            <w:right w:w="0" w:type="dxa"/>
          </w:tblCellMar>
        </w:tblPrEx>
        <w:trPr>
          <w:trHeight w:val="840" w:hRule="atLeast"/>
          <w:jc w:val="center"/>
        </w:trPr>
        <w:tc>
          <w:tcPr>
            <w:tcW w:w="5013" w:type="dxa"/>
            <w:noWrap w:val="0"/>
            <w:vAlign w:val="center"/>
          </w:tcPr>
          <w:p w14:paraId="1735B09C">
            <w:pPr>
              <w:pStyle w:val="22"/>
              <w:shd w:val="clear" w:color="auto" w:fill="auto"/>
              <w:snapToGrid w:val="0"/>
              <w:spacing w:line="240" w:lineRule="auto"/>
              <w:jc w:val="distribute"/>
              <w:rPr>
                <w:rStyle w:val="23"/>
                <w:rFonts w:hint="eastAsia" w:ascii="宋体" w:hAnsi="宋体" w:eastAsia="宋体" w:cs="宋体"/>
                <w:color w:val="auto"/>
                <w:kern w:val="0"/>
                <w:sz w:val="28"/>
                <w:szCs w:val="28"/>
                <w:highlight w:val="none"/>
              </w:rPr>
            </w:pPr>
            <w:r>
              <w:rPr>
                <w:rStyle w:val="23"/>
                <w:rFonts w:hint="eastAsia" w:ascii="宋体" w:hAnsi="宋体" w:eastAsia="宋体" w:cs="宋体"/>
                <w:color w:val="auto"/>
                <w:kern w:val="0"/>
                <w:sz w:val="28"/>
                <w:szCs w:val="28"/>
                <w:highlight w:val="none"/>
              </w:rPr>
              <w:t xml:space="preserve"> 招 标 代 理 机 构 （盖单位章）：</w:t>
            </w:r>
          </w:p>
        </w:tc>
        <w:tc>
          <w:tcPr>
            <w:tcW w:w="4701" w:type="dxa"/>
            <w:noWrap w:val="0"/>
            <w:vAlign w:val="center"/>
          </w:tcPr>
          <w:p w14:paraId="0D7210CD">
            <w:pPr>
              <w:pStyle w:val="22"/>
              <w:shd w:val="clear" w:color="auto" w:fill="auto"/>
              <w:snapToGrid w:val="0"/>
              <w:spacing w:line="240" w:lineRule="auto"/>
              <w:jc w:val="both"/>
              <w:rPr>
                <w:rStyle w:val="23"/>
                <w:rFonts w:hint="eastAsia" w:ascii="宋体" w:hAnsi="宋体" w:eastAsia="宋体" w:cs="宋体"/>
                <w:color w:val="auto"/>
                <w:kern w:val="0"/>
                <w:sz w:val="28"/>
                <w:szCs w:val="28"/>
                <w:highlight w:val="none"/>
                <w:lang w:eastAsia="zh-CN"/>
              </w:rPr>
            </w:pPr>
            <w:r>
              <w:rPr>
                <w:rStyle w:val="23"/>
                <w:rFonts w:hint="eastAsia" w:hAnsi="宋体" w:cs="宋体"/>
                <w:color w:val="auto"/>
                <w:kern w:val="0"/>
                <w:sz w:val="28"/>
                <w:szCs w:val="28"/>
                <w:highlight w:val="none"/>
                <w:lang w:eastAsia="zh-CN"/>
              </w:rPr>
              <w:t>韶关市同立咨询有限公司</w:t>
            </w:r>
          </w:p>
        </w:tc>
      </w:tr>
      <w:tr w14:paraId="689AC24A">
        <w:tblPrEx>
          <w:tblCellMar>
            <w:top w:w="0" w:type="dxa"/>
            <w:left w:w="0" w:type="dxa"/>
            <w:bottom w:w="0" w:type="dxa"/>
            <w:right w:w="0" w:type="dxa"/>
          </w:tblCellMar>
        </w:tblPrEx>
        <w:trPr>
          <w:trHeight w:val="968" w:hRule="atLeast"/>
          <w:jc w:val="center"/>
        </w:trPr>
        <w:tc>
          <w:tcPr>
            <w:tcW w:w="5013" w:type="dxa"/>
            <w:noWrap w:val="0"/>
            <w:vAlign w:val="center"/>
          </w:tcPr>
          <w:p w14:paraId="58B9CB93">
            <w:pPr>
              <w:pStyle w:val="22"/>
              <w:shd w:val="clear" w:color="auto" w:fill="auto"/>
              <w:snapToGrid w:val="0"/>
              <w:spacing w:line="240" w:lineRule="auto"/>
              <w:jc w:val="distribute"/>
              <w:rPr>
                <w:rStyle w:val="23"/>
                <w:rFonts w:hint="eastAsia" w:ascii="宋体" w:hAnsi="宋体" w:eastAsia="宋体" w:cs="宋体"/>
                <w:color w:val="auto"/>
                <w:kern w:val="0"/>
                <w:sz w:val="28"/>
                <w:szCs w:val="28"/>
                <w:highlight w:val="none"/>
              </w:rPr>
            </w:pPr>
            <w:r>
              <w:rPr>
                <w:rStyle w:val="23"/>
                <w:rFonts w:hint="eastAsia" w:ascii="宋体" w:hAnsi="宋体" w:eastAsia="宋体" w:cs="宋体"/>
                <w:color w:val="auto"/>
                <w:kern w:val="0"/>
                <w:sz w:val="28"/>
                <w:szCs w:val="28"/>
                <w:highlight w:val="none"/>
              </w:rPr>
              <w:t xml:space="preserve"> 招标文件编制人（签字）：</w:t>
            </w:r>
          </w:p>
        </w:tc>
        <w:tc>
          <w:tcPr>
            <w:tcW w:w="4701" w:type="dxa"/>
            <w:noWrap w:val="0"/>
            <w:vAlign w:val="center"/>
          </w:tcPr>
          <w:p w14:paraId="30D56D60">
            <w:pPr>
              <w:pStyle w:val="22"/>
              <w:shd w:val="clear" w:color="auto" w:fill="auto"/>
              <w:snapToGrid w:val="0"/>
              <w:spacing w:line="240" w:lineRule="auto"/>
              <w:rPr>
                <w:rStyle w:val="23"/>
                <w:rFonts w:hint="eastAsia" w:ascii="宋体" w:hAnsi="宋体" w:eastAsia="宋体" w:cs="宋体"/>
                <w:color w:val="auto"/>
                <w:kern w:val="0"/>
                <w:sz w:val="28"/>
                <w:szCs w:val="28"/>
                <w:highlight w:val="none"/>
              </w:rPr>
            </w:pPr>
          </w:p>
        </w:tc>
      </w:tr>
      <w:tr w14:paraId="0236B905">
        <w:tblPrEx>
          <w:tblCellMar>
            <w:top w:w="0" w:type="dxa"/>
            <w:left w:w="0" w:type="dxa"/>
            <w:bottom w:w="0" w:type="dxa"/>
            <w:right w:w="0" w:type="dxa"/>
          </w:tblCellMar>
        </w:tblPrEx>
        <w:trPr>
          <w:trHeight w:val="937" w:hRule="atLeast"/>
          <w:jc w:val="center"/>
        </w:trPr>
        <w:tc>
          <w:tcPr>
            <w:tcW w:w="5013" w:type="dxa"/>
            <w:noWrap w:val="0"/>
            <w:vAlign w:val="center"/>
          </w:tcPr>
          <w:p w14:paraId="5FC61F40">
            <w:pPr>
              <w:pStyle w:val="22"/>
              <w:shd w:val="clear" w:color="auto" w:fill="auto"/>
              <w:snapToGrid w:val="0"/>
              <w:spacing w:line="240" w:lineRule="auto"/>
              <w:jc w:val="distribute"/>
              <w:rPr>
                <w:rStyle w:val="23"/>
                <w:rFonts w:hint="eastAsia" w:ascii="宋体" w:hAnsi="宋体" w:eastAsia="宋体" w:cs="宋体"/>
                <w:color w:val="auto"/>
                <w:kern w:val="0"/>
                <w:sz w:val="28"/>
                <w:szCs w:val="28"/>
                <w:highlight w:val="none"/>
              </w:rPr>
            </w:pPr>
            <w:r>
              <w:rPr>
                <w:rStyle w:val="23"/>
                <w:rFonts w:hint="eastAsia" w:ascii="宋体" w:hAnsi="宋体" w:eastAsia="宋体" w:cs="宋体"/>
                <w:color w:val="auto"/>
                <w:kern w:val="0"/>
                <w:sz w:val="28"/>
                <w:szCs w:val="28"/>
                <w:highlight w:val="none"/>
              </w:rPr>
              <w:t xml:space="preserve"> 招标代理机构项目负责人（签字）：</w:t>
            </w:r>
          </w:p>
        </w:tc>
        <w:tc>
          <w:tcPr>
            <w:tcW w:w="4701" w:type="dxa"/>
            <w:noWrap w:val="0"/>
            <w:vAlign w:val="center"/>
          </w:tcPr>
          <w:p w14:paraId="4E205FCC">
            <w:pPr>
              <w:pStyle w:val="22"/>
              <w:shd w:val="clear" w:color="auto" w:fill="auto"/>
              <w:snapToGrid w:val="0"/>
              <w:spacing w:line="240" w:lineRule="auto"/>
              <w:rPr>
                <w:rStyle w:val="23"/>
                <w:rFonts w:hint="eastAsia" w:ascii="宋体" w:hAnsi="宋体" w:eastAsia="宋体" w:cs="宋体"/>
                <w:color w:val="auto"/>
                <w:kern w:val="0"/>
                <w:sz w:val="28"/>
                <w:szCs w:val="28"/>
                <w:highlight w:val="none"/>
              </w:rPr>
            </w:pPr>
          </w:p>
        </w:tc>
      </w:tr>
      <w:tr w14:paraId="1BE883A1">
        <w:tblPrEx>
          <w:tblCellMar>
            <w:top w:w="0" w:type="dxa"/>
            <w:left w:w="0" w:type="dxa"/>
            <w:bottom w:w="0" w:type="dxa"/>
            <w:right w:w="0" w:type="dxa"/>
          </w:tblCellMar>
        </w:tblPrEx>
        <w:trPr>
          <w:trHeight w:val="832" w:hRule="atLeast"/>
          <w:jc w:val="center"/>
        </w:trPr>
        <w:tc>
          <w:tcPr>
            <w:tcW w:w="5013" w:type="dxa"/>
            <w:noWrap w:val="0"/>
            <w:vAlign w:val="center"/>
          </w:tcPr>
          <w:p w14:paraId="58894B7B">
            <w:pPr>
              <w:pStyle w:val="22"/>
              <w:shd w:val="clear" w:color="auto" w:fill="auto"/>
              <w:snapToGrid w:val="0"/>
              <w:spacing w:line="240" w:lineRule="auto"/>
              <w:jc w:val="distribute"/>
              <w:rPr>
                <w:rStyle w:val="23"/>
                <w:rFonts w:hint="eastAsia" w:ascii="宋体" w:hAnsi="宋体" w:eastAsia="宋体" w:cs="宋体"/>
                <w:color w:val="auto"/>
                <w:kern w:val="0"/>
                <w:sz w:val="28"/>
                <w:szCs w:val="28"/>
                <w:highlight w:val="none"/>
              </w:rPr>
            </w:pPr>
            <w:r>
              <w:rPr>
                <w:rStyle w:val="23"/>
                <w:rFonts w:hint="eastAsia" w:ascii="宋体" w:hAnsi="宋体" w:eastAsia="宋体" w:cs="宋体"/>
                <w:color w:val="auto"/>
                <w:kern w:val="0"/>
                <w:sz w:val="28"/>
                <w:szCs w:val="28"/>
                <w:highlight w:val="none"/>
              </w:rPr>
              <w:t xml:space="preserve"> 招标文件编制日期：</w:t>
            </w:r>
          </w:p>
        </w:tc>
        <w:tc>
          <w:tcPr>
            <w:tcW w:w="4701" w:type="dxa"/>
            <w:noWrap w:val="0"/>
            <w:vAlign w:val="center"/>
          </w:tcPr>
          <w:p w14:paraId="5937ECC6">
            <w:pPr>
              <w:pStyle w:val="22"/>
              <w:shd w:val="clear" w:color="auto" w:fill="auto"/>
              <w:snapToGrid w:val="0"/>
              <w:spacing w:line="240" w:lineRule="auto"/>
              <w:jc w:val="both"/>
              <w:rPr>
                <w:rStyle w:val="23"/>
                <w:rFonts w:hint="eastAsia" w:ascii="宋体" w:hAnsi="宋体" w:eastAsia="宋体" w:cs="宋体"/>
                <w:color w:val="auto"/>
                <w:kern w:val="0"/>
                <w:sz w:val="28"/>
                <w:szCs w:val="28"/>
                <w:highlight w:val="none"/>
              </w:rPr>
            </w:pPr>
            <w:r>
              <w:rPr>
                <w:rStyle w:val="23"/>
                <w:rFonts w:hint="eastAsia" w:hAnsi="宋体" w:cs="宋体"/>
                <w:color w:val="auto"/>
                <w:kern w:val="0"/>
                <w:sz w:val="28"/>
                <w:szCs w:val="28"/>
                <w:highlight w:val="none"/>
                <w:lang w:val="en-US" w:eastAsia="zh-CN"/>
              </w:rPr>
              <w:t>2026</w:t>
            </w:r>
            <w:r>
              <w:rPr>
                <w:rStyle w:val="23"/>
                <w:rFonts w:hint="eastAsia" w:ascii="宋体" w:hAnsi="宋体" w:eastAsia="宋体" w:cs="宋体"/>
                <w:color w:val="auto"/>
                <w:kern w:val="0"/>
                <w:sz w:val="28"/>
                <w:szCs w:val="28"/>
                <w:highlight w:val="none"/>
              </w:rPr>
              <w:t>年</w:t>
            </w:r>
            <w:r>
              <w:rPr>
                <w:rStyle w:val="23"/>
                <w:rFonts w:hint="eastAsia" w:hAnsi="宋体" w:cs="宋体"/>
                <w:color w:val="auto"/>
                <w:kern w:val="0"/>
                <w:sz w:val="28"/>
                <w:szCs w:val="28"/>
                <w:highlight w:val="none"/>
                <w:lang w:val="en-US" w:eastAsia="zh-CN"/>
              </w:rPr>
              <w:t xml:space="preserve">    </w:t>
            </w:r>
            <w:r>
              <w:rPr>
                <w:rStyle w:val="23"/>
                <w:rFonts w:hint="eastAsia" w:ascii="宋体" w:hAnsi="宋体" w:eastAsia="宋体" w:cs="宋体"/>
                <w:color w:val="auto"/>
                <w:kern w:val="0"/>
                <w:sz w:val="28"/>
                <w:szCs w:val="28"/>
                <w:highlight w:val="none"/>
              </w:rPr>
              <w:t>月</w:t>
            </w:r>
          </w:p>
        </w:tc>
      </w:tr>
    </w:tbl>
    <w:p w14:paraId="1FF9240A">
      <w:pPr>
        <w:pStyle w:val="5"/>
        <w:rPr>
          <w:rFonts w:hint="eastAsia" w:ascii="宋体" w:hAnsi="宋体" w:eastAsia="宋体" w:cs="宋体"/>
          <w:b/>
          <w:bCs/>
          <w:color w:val="auto"/>
          <w:kern w:val="2"/>
          <w:sz w:val="24"/>
          <w:szCs w:val="24"/>
          <w:highlight w:val="none"/>
          <w:u w:val="none"/>
          <w:lang w:val="en-US" w:eastAsia="zh-CN" w:bidi="ar-SA"/>
        </w:rPr>
      </w:pPr>
    </w:p>
    <w:p w14:paraId="6E29DB7F">
      <w:pPr>
        <w:rPr>
          <w:rFonts w:hint="eastAsia" w:ascii="宋体" w:hAnsi="宋体" w:eastAsia="宋体" w:cs="宋体"/>
          <w:b/>
          <w:bCs/>
          <w:color w:val="auto"/>
          <w:kern w:val="2"/>
          <w:sz w:val="24"/>
          <w:szCs w:val="24"/>
          <w:highlight w:val="none"/>
          <w:u w:val="none"/>
          <w:lang w:val="en-US" w:eastAsia="zh-CN" w:bidi="ar-SA"/>
        </w:rPr>
      </w:pPr>
    </w:p>
    <w:p w14:paraId="7A96D5DD">
      <w:pPr>
        <w:rPr>
          <w:rFonts w:hint="eastAsia" w:ascii="宋体" w:hAnsi="宋体" w:eastAsia="宋体" w:cs="宋体"/>
          <w:b/>
          <w:bCs/>
          <w:color w:val="auto"/>
          <w:kern w:val="2"/>
          <w:sz w:val="24"/>
          <w:szCs w:val="24"/>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bookmarkStart w:id="278" w:name="_GoBack"/>
      <w:bookmarkEnd w:id="278"/>
    </w:p>
    <w:p w14:paraId="6EF3391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目</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录</w:t>
      </w:r>
    </w:p>
    <w:p w14:paraId="3F0E70EA">
      <w:pPr>
        <w:pStyle w:val="12"/>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_Toc14532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w:t>
      </w:r>
      <w:r>
        <w:rPr>
          <w:sz w:val="24"/>
          <w:szCs w:val="24"/>
        </w:rPr>
        <w:tab/>
      </w:r>
      <w:r>
        <w:rPr>
          <w:sz w:val="24"/>
          <w:szCs w:val="24"/>
        </w:rPr>
        <w:fldChar w:fldCharType="begin"/>
      </w:r>
      <w:r>
        <w:rPr>
          <w:sz w:val="24"/>
          <w:szCs w:val="24"/>
        </w:rPr>
        <w:instrText xml:space="preserve"> PAGEREF _Toc14532 \h </w:instrText>
      </w:r>
      <w:r>
        <w:rPr>
          <w:sz w:val="24"/>
          <w:szCs w:val="24"/>
        </w:rPr>
        <w:fldChar w:fldCharType="separate"/>
      </w:r>
      <w:r>
        <w:rPr>
          <w:sz w:val="24"/>
          <w:szCs w:val="24"/>
        </w:rPr>
        <w:t>4</w:t>
      </w:r>
      <w:r>
        <w:rPr>
          <w:sz w:val="24"/>
          <w:szCs w:val="24"/>
        </w:rPr>
        <w:fldChar w:fldCharType="end"/>
      </w:r>
      <w:r>
        <w:rPr>
          <w:rFonts w:hint="eastAsia" w:ascii="宋体" w:hAnsi="宋体" w:eastAsia="宋体" w:cs="宋体"/>
          <w:color w:val="auto"/>
          <w:sz w:val="24"/>
          <w:szCs w:val="24"/>
          <w:highlight w:val="none"/>
        </w:rPr>
        <w:fldChar w:fldCharType="end"/>
      </w:r>
    </w:p>
    <w:p w14:paraId="71F8B591">
      <w:pPr>
        <w:pStyle w:val="13"/>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_Toc9261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投标人须知前附表</w:t>
      </w:r>
      <w:r>
        <w:rPr>
          <w:sz w:val="24"/>
          <w:szCs w:val="24"/>
        </w:rPr>
        <w:tab/>
      </w:r>
      <w:r>
        <w:rPr>
          <w:sz w:val="24"/>
          <w:szCs w:val="24"/>
        </w:rPr>
        <w:fldChar w:fldCharType="begin"/>
      </w:r>
      <w:r>
        <w:rPr>
          <w:sz w:val="24"/>
          <w:szCs w:val="24"/>
        </w:rPr>
        <w:instrText xml:space="preserve"> PAGEREF _Toc9261 \h </w:instrText>
      </w:r>
      <w:r>
        <w:rPr>
          <w:sz w:val="24"/>
          <w:szCs w:val="24"/>
        </w:rPr>
        <w:fldChar w:fldCharType="separate"/>
      </w:r>
      <w:r>
        <w:rPr>
          <w:sz w:val="24"/>
          <w:szCs w:val="24"/>
        </w:rPr>
        <w:t>4</w:t>
      </w:r>
      <w:r>
        <w:rPr>
          <w:sz w:val="24"/>
          <w:szCs w:val="24"/>
        </w:rPr>
        <w:fldChar w:fldCharType="end"/>
      </w:r>
      <w:r>
        <w:rPr>
          <w:rFonts w:hint="eastAsia" w:ascii="宋体" w:hAnsi="宋体" w:eastAsia="宋体" w:cs="宋体"/>
          <w:color w:val="auto"/>
          <w:sz w:val="24"/>
          <w:szCs w:val="24"/>
          <w:highlight w:val="none"/>
        </w:rPr>
        <w:fldChar w:fldCharType="end"/>
      </w:r>
    </w:p>
    <w:p w14:paraId="10A404BF">
      <w:pPr>
        <w:pStyle w:val="13"/>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_Toc21328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第二节 重要事项时间地点一览表</w:t>
      </w:r>
      <w:r>
        <w:rPr>
          <w:sz w:val="24"/>
          <w:szCs w:val="24"/>
        </w:rPr>
        <w:tab/>
      </w:r>
      <w:r>
        <w:rPr>
          <w:sz w:val="24"/>
          <w:szCs w:val="24"/>
        </w:rPr>
        <w:fldChar w:fldCharType="begin"/>
      </w:r>
      <w:r>
        <w:rPr>
          <w:sz w:val="24"/>
          <w:szCs w:val="24"/>
        </w:rPr>
        <w:instrText xml:space="preserve"> PAGEREF _Toc21328 \h </w:instrText>
      </w:r>
      <w:r>
        <w:rPr>
          <w:sz w:val="24"/>
          <w:szCs w:val="24"/>
        </w:rPr>
        <w:fldChar w:fldCharType="separate"/>
      </w:r>
      <w:r>
        <w:rPr>
          <w:sz w:val="24"/>
          <w:szCs w:val="24"/>
        </w:rPr>
        <w:t>12</w:t>
      </w:r>
      <w:r>
        <w:rPr>
          <w:sz w:val="24"/>
          <w:szCs w:val="24"/>
        </w:rPr>
        <w:fldChar w:fldCharType="end"/>
      </w:r>
      <w:r>
        <w:rPr>
          <w:rFonts w:hint="eastAsia" w:ascii="宋体" w:hAnsi="宋体" w:eastAsia="宋体" w:cs="宋体"/>
          <w:color w:val="auto"/>
          <w:sz w:val="24"/>
          <w:szCs w:val="24"/>
          <w:highlight w:val="none"/>
        </w:rPr>
        <w:fldChar w:fldCharType="end"/>
      </w:r>
    </w:p>
    <w:p w14:paraId="56715703">
      <w:pPr>
        <w:pStyle w:val="13"/>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_Toc11011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投标人须知正文</w:t>
      </w:r>
      <w:r>
        <w:rPr>
          <w:sz w:val="24"/>
          <w:szCs w:val="24"/>
        </w:rPr>
        <w:tab/>
      </w:r>
      <w:r>
        <w:rPr>
          <w:sz w:val="24"/>
          <w:szCs w:val="24"/>
        </w:rPr>
        <w:fldChar w:fldCharType="begin"/>
      </w:r>
      <w:r>
        <w:rPr>
          <w:sz w:val="24"/>
          <w:szCs w:val="24"/>
        </w:rPr>
        <w:instrText xml:space="preserve"> PAGEREF _Toc11011 \h </w:instrText>
      </w:r>
      <w:r>
        <w:rPr>
          <w:sz w:val="24"/>
          <w:szCs w:val="24"/>
        </w:rPr>
        <w:fldChar w:fldCharType="separate"/>
      </w:r>
      <w:r>
        <w:rPr>
          <w:sz w:val="24"/>
          <w:szCs w:val="24"/>
        </w:rPr>
        <w:t>- 13 -</w:t>
      </w:r>
      <w:r>
        <w:rPr>
          <w:sz w:val="24"/>
          <w:szCs w:val="24"/>
        </w:rPr>
        <w:fldChar w:fldCharType="end"/>
      </w:r>
      <w:r>
        <w:rPr>
          <w:rFonts w:hint="eastAsia" w:ascii="宋体" w:hAnsi="宋体" w:eastAsia="宋体" w:cs="宋体"/>
          <w:color w:val="auto"/>
          <w:sz w:val="24"/>
          <w:szCs w:val="24"/>
          <w:highlight w:val="none"/>
        </w:rPr>
        <w:fldChar w:fldCharType="end"/>
      </w:r>
    </w:p>
    <w:p w14:paraId="62F8022C">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_Toc2314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4"/>
          <w:sz w:val="24"/>
          <w:szCs w:val="24"/>
          <w:highlight w:val="none"/>
        </w:rPr>
        <w:t>．项目概况、招标范围和标段划分、投标费用等</w:t>
      </w:r>
      <w:r>
        <w:rPr>
          <w:sz w:val="24"/>
          <w:szCs w:val="24"/>
        </w:rPr>
        <w:tab/>
      </w:r>
      <w:r>
        <w:rPr>
          <w:sz w:val="24"/>
          <w:szCs w:val="24"/>
        </w:rPr>
        <w:fldChar w:fldCharType="begin"/>
      </w:r>
      <w:r>
        <w:rPr>
          <w:sz w:val="24"/>
          <w:szCs w:val="24"/>
        </w:rPr>
        <w:instrText xml:space="preserve"> PAGEREF _Toc2314 \h </w:instrText>
      </w:r>
      <w:r>
        <w:rPr>
          <w:sz w:val="24"/>
          <w:szCs w:val="24"/>
        </w:rPr>
        <w:fldChar w:fldCharType="separate"/>
      </w:r>
      <w:r>
        <w:rPr>
          <w:sz w:val="24"/>
          <w:szCs w:val="24"/>
        </w:rPr>
        <w:t>- 13 -</w:t>
      </w:r>
      <w:r>
        <w:rPr>
          <w:sz w:val="24"/>
          <w:szCs w:val="24"/>
        </w:rPr>
        <w:fldChar w:fldCharType="end"/>
      </w:r>
      <w:r>
        <w:rPr>
          <w:rFonts w:hint="eastAsia" w:ascii="宋体" w:hAnsi="宋体" w:eastAsia="宋体" w:cs="宋体"/>
          <w:color w:val="auto"/>
          <w:sz w:val="24"/>
          <w:szCs w:val="24"/>
          <w:highlight w:val="none"/>
        </w:rPr>
        <w:fldChar w:fldCharType="end"/>
      </w:r>
    </w:p>
    <w:p w14:paraId="0876B1B0">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_Toc16961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2．</w:t>
      </w:r>
      <w:r>
        <w:rPr>
          <w:rFonts w:hint="eastAsia" w:ascii="宋体" w:hAnsi="宋体" w:eastAsia="宋体" w:cs="宋体"/>
          <w:bCs/>
          <w:sz w:val="24"/>
          <w:szCs w:val="24"/>
          <w:highlight w:val="none"/>
          <w:lang w:eastAsia="zh-CN"/>
        </w:rPr>
        <w:t>投标人资格要求</w:t>
      </w:r>
      <w:r>
        <w:rPr>
          <w:sz w:val="24"/>
          <w:szCs w:val="24"/>
        </w:rPr>
        <w:tab/>
      </w:r>
      <w:r>
        <w:rPr>
          <w:sz w:val="24"/>
          <w:szCs w:val="24"/>
        </w:rPr>
        <w:fldChar w:fldCharType="begin"/>
      </w:r>
      <w:r>
        <w:rPr>
          <w:sz w:val="24"/>
          <w:szCs w:val="24"/>
        </w:rPr>
        <w:instrText xml:space="preserve"> PAGEREF _Toc16961 \h </w:instrText>
      </w:r>
      <w:r>
        <w:rPr>
          <w:sz w:val="24"/>
          <w:szCs w:val="24"/>
        </w:rPr>
        <w:fldChar w:fldCharType="separate"/>
      </w:r>
      <w:r>
        <w:rPr>
          <w:sz w:val="24"/>
          <w:szCs w:val="24"/>
        </w:rPr>
        <w:t>- 13 -</w:t>
      </w:r>
      <w:r>
        <w:rPr>
          <w:sz w:val="24"/>
          <w:szCs w:val="24"/>
        </w:rPr>
        <w:fldChar w:fldCharType="end"/>
      </w:r>
      <w:r>
        <w:rPr>
          <w:rFonts w:hint="eastAsia" w:ascii="宋体" w:hAnsi="宋体" w:eastAsia="宋体" w:cs="宋体"/>
          <w:color w:val="auto"/>
          <w:sz w:val="24"/>
          <w:szCs w:val="24"/>
          <w:highlight w:val="none"/>
        </w:rPr>
        <w:fldChar w:fldCharType="end"/>
      </w:r>
    </w:p>
    <w:p w14:paraId="029B114D">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_Toc21670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3．招标文件的获取</w:t>
      </w:r>
      <w:r>
        <w:rPr>
          <w:sz w:val="24"/>
          <w:szCs w:val="24"/>
        </w:rPr>
        <w:tab/>
      </w:r>
      <w:r>
        <w:rPr>
          <w:sz w:val="24"/>
          <w:szCs w:val="24"/>
        </w:rPr>
        <w:fldChar w:fldCharType="begin"/>
      </w:r>
      <w:r>
        <w:rPr>
          <w:sz w:val="24"/>
          <w:szCs w:val="24"/>
        </w:rPr>
        <w:instrText xml:space="preserve"> PAGEREF _Toc21670 \h </w:instrText>
      </w:r>
      <w:r>
        <w:rPr>
          <w:sz w:val="24"/>
          <w:szCs w:val="24"/>
        </w:rPr>
        <w:fldChar w:fldCharType="separate"/>
      </w:r>
      <w:r>
        <w:rPr>
          <w:sz w:val="24"/>
          <w:szCs w:val="24"/>
        </w:rPr>
        <w:t>- 16 -</w:t>
      </w:r>
      <w:r>
        <w:rPr>
          <w:sz w:val="24"/>
          <w:szCs w:val="24"/>
        </w:rPr>
        <w:fldChar w:fldCharType="end"/>
      </w:r>
      <w:r>
        <w:rPr>
          <w:rFonts w:hint="eastAsia" w:ascii="宋体" w:hAnsi="宋体" w:eastAsia="宋体" w:cs="宋体"/>
          <w:color w:val="auto"/>
          <w:sz w:val="24"/>
          <w:szCs w:val="24"/>
          <w:highlight w:val="none"/>
        </w:rPr>
        <w:fldChar w:fldCharType="end"/>
      </w:r>
    </w:p>
    <w:p w14:paraId="6824929B">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_Toc31630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8"/>
          <w:sz w:val="24"/>
          <w:szCs w:val="24"/>
          <w:highlight w:val="none"/>
          <w:lang w:val="en-US" w:eastAsia="zh-CN"/>
        </w:rPr>
        <w:t xml:space="preserve"> </w:t>
      </w:r>
      <w:r>
        <w:rPr>
          <w:rFonts w:hint="eastAsia" w:ascii="宋体" w:hAnsi="宋体" w:eastAsia="宋体" w:cs="宋体"/>
          <w:bCs/>
          <w:spacing w:val="-8"/>
          <w:sz w:val="24"/>
          <w:szCs w:val="24"/>
          <w:highlight w:val="none"/>
        </w:rPr>
        <w:t>．工期要求</w:t>
      </w:r>
      <w:r>
        <w:rPr>
          <w:sz w:val="24"/>
          <w:szCs w:val="24"/>
        </w:rPr>
        <w:tab/>
      </w:r>
      <w:r>
        <w:rPr>
          <w:sz w:val="24"/>
          <w:szCs w:val="24"/>
        </w:rPr>
        <w:fldChar w:fldCharType="begin"/>
      </w:r>
      <w:r>
        <w:rPr>
          <w:sz w:val="24"/>
          <w:szCs w:val="24"/>
        </w:rPr>
        <w:instrText xml:space="preserve"> PAGEREF _Toc31630 \h </w:instrText>
      </w:r>
      <w:r>
        <w:rPr>
          <w:sz w:val="24"/>
          <w:szCs w:val="24"/>
        </w:rPr>
        <w:fldChar w:fldCharType="separate"/>
      </w:r>
      <w:r>
        <w:rPr>
          <w:sz w:val="24"/>
          <w:szCs w:val="24"/>
        </w:rPr>
        <w:t>- 17 -</w:t>
      </w:r>
      <w:r>
        <w:rPr>
          <w:sz w:val="24"/>
          <w:szCs w:val="24"/>
        </w:rPr>
        <w:fldChar w:fldCharType="end"/>
      </w:r>
      <w:r>
        <w:rPr>
          <w:rFonts w:hint="eastAsia" w:ascii="宋体" w:hAnsi="宋体" w:eastAsia="宋体" w:cs="宋体"/>
          <w:color w:val="auto"/>
          <w:sz w:val="24"/>
          <w:szCs w:val="24"/>
          <w:highlight w:val="none"/>
        </w:rPr>
        <w:fldChar w:fldCharType="end"/>
      </w:r>
    </w:p>
    <w:p w14:paraId="696955F4">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_Toc25600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5</w:t>
      </w:r>
      <w:r>
        <w:rPr>
          <w:rFonts w:hint="eastAsia" w:ascii="宋体" w:hAnsi="宋体" w:eastAsia="宋体" w:cs="宋体"/>
          <w:bCs/>
          <w:spacing w:val="-5"/>
          <w:sz w:val="24"/>
          <w:szCs w:val="24"/>
          <w:highlight w:val="none"/>
          <w:lang w:val="en-US" w:eastAsia="zh-CN"/>
        </w:rPr>
        <w:t xml:space="preserve"> </w:t>
      </w:r>
      <w:r>
        <w:rPr>
          <w:rFonts w:hint="eastAsia" w:ascii="宋体" w:hAnsi="宋体" w:eastAsia="宋体" w:cs="宋体"/>
          <w:bCs/>
          <w:spacing w:val="-5"/>
          <w:sz w:val="24"/>
          <w:szCs w:val="24"/>
          <w:highlight w:val="none"/>
        </w:rPr>
        <w:t>．质量标准和材料、机械要求</w:t>
      </w:r>
      <w:r>
        <w:rPr>
          <w:sz w:val="24"/>
          <w:szCs w:val="24"/>
        </w:rPr>
        <w:tab/>
      </w:r>
      <w:r>
        <w:rPr>
          <w:sz w:val="24"/>
          <w:szCs w:val="24"/>
        </w:rPr>
        <w:fldChar w:fldCharType="begin"/>
      </w:r>
      <w:r>
        <w:rPr>
          <w:sz w:val="24"/>
          <w:szCs w:val="24"/>
        </w:rPr>
        <w:instrText xml:space="preserve"> PAGEREF _Toc25600 \h </w:instrText>
      </w:r>
      <w:r>
        <w:rPr>
          <w:sz w:val="24"/>
          <w:szCs w:val="24"/>
        </w:rPr>
        <w:fldChar w:fldCharType="separate"/>
      </w:r>
      <w:r>
        <w:rPr>
          <w:sz w:val="24"/>
          <w:szCs w:val="24"/>
        </w:rPr>
        <w:t>- 17 -</w:t>
      </w:r>
      <w:r>
        <w:rPr>
          <w:sz w:val="24"/>
          <w:szCs w:val="24"/>
        </w:rPr>
        <w:fldChar w:fldCharType="end"/>
      </w:r>
      <w:r>
        <w:rPr>
          <w:rFonts w:hint="eastAsia" w:ascii="宋体" w:hAnsi="宋体" w:eastAsia="宋体" w:cs="宋体"/>
          <w:color w:val="auto"/>
          <w:sz w:val="24"/>
          <w:szCs w:val="24"/>
          <w:highlight w:val="none"/>
        </w:rPr>
        <w:fldChar w:fldCharType="end"/>
      </w:r>
    </w:p>
    <w:p w14:paraId="580D7165">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_Toc27865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6</w:t>
      </w:r>
      <w:r>
        <w:rPr>
          <w:rFonts w:hint="eastAsia" w:ascii="宋体" w:hAnsi="宋体" w:eastAsia="宋体" w:cs="宋体"/>
          <w:bCs/>
          <w:spacing w:val="-20"/>
          <w:sz w:val="24"/>
          <w:szCs w:val="24"/>
          <w:highlight w:val="none"/>
        </w:rPr>
        <w:t xml:space="preserve"> </w:t>
      </w:r>
      <w:r>
        <w:rPr>
          <w:rFonts w:hint="eastAsia" w:ascii="宋体" w:hAnsi="宋体" w:eastAsia="宋体" w:cs="宋体"/>
          <w:bCs/>
          <w:spacing w:val="-6"/>
          <w:sz w:val="24"/>
          <w:szCs w:val="24"/>
          <w:highlight w:val="none"/>
        </w:rPr>
        <w:t>．施工条件及现场踏勘</w:t>
      </w:r>
      <w:r>
        <w:rPr>
          <w:sz w:val="24"/>
          <w:szCs w:val="24"/>
        </w:rPr>
        <w:tab/>
      </w:r>
      <w:r>
        <w:rPr>
          <w:sz w:val="24"/>
          <w:szCs w:val="24"/>
        </w:rPr>
        <w:fldChar w:fldCharType="begin"/>
      </w:r>
      <w:r>
        <w:rPr>
          <w:sz w:val="24"/>
          <w:szCs w:val="24"/>
        </w:rPr>
        <w:instrText xml:space="preserve"> PAGEREF _Toc27865 \h </w:instrText>
      </w:r>
      <w:r>
        <w:rPr>
          <w:sz w:val="24"/>
          <w:szCs w:val="24"/>
        </w:rPr>
        <w:fldChar w:fldCharType="separate"/>
      </w:r>
      <w:r>
        <w:rPr>
          <w:sz w:val="24"/>
          <w:szCs w:val="24"/>
        </w:rPr>
        <w:t>- 18 -</w:t>
      </w:r>
      <w:r>
        <w:rPr>
          <w:sz w:val="24"/>
          <w:szCs w:val="24"/>
        </w:rPr>
        <w:fldChar w:fldCharType="end"/>
      </w:r>
      <w:r>
        <w:rPr>
          <w:rFonts w:hint="eastAsia" w:ascii="宋体" w:hAnsi="宋体" w:eastAsia="宋体" w:cs="宋体"/>
          <w:color w:val="auto"/>
          <w:sz w:val="24"/>
          <w:szCs w:val="24"/>
          <w:highlight w:val="none"/>
        </w:rPr>
        <w:fldChar w:fldCharType="end"/>
      </w:r>
    </w:p>
    <w:p w14:paraId="7C3CC0EE">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_Toc16047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7</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5"/>
          <w:sz w:val="24"/>
          <w:szCs w:val="24"/>
          <w:highlight w:val="none"/>
        </w:rPr>
        <w:t>．招标文件的提问和答疑</w:t>
      </w:r>
      <w:r>
        <w:rPr>
          <w:sz w:val="24"/>
          <w:szCs w:val="24"/>
        </w:rPr>
        <w:tab/>
      </w:r>
      <w:r>
        <w:rPr>
          <w:sz w:val="24"/>
          <w:szCs w:val="24"/>
        </w:rPr>
        <w:fldChar w:fldCharType="begin"/>
      </w:r>
      <w:r>
        <w:rPr>
          <w:sz w:val="24"/>
          <w:szCs w:val="24"/>
        </w:rPr>
        <w:instrText xml:space="preserve"> PAGEREF _Toc16047 \h </w:instrText>
      </w:r>
      <w:r>
        <w:rPr>
          <w:sz w:val="24"/>
          <w:szCs w:val="24"/>
        </w:rPr>
        <w:fldChar w:fldCharType="separate"/>
      </w:r>
      <w:r>
        <w:rPr>
          <w:sz w:val="24"/>
          <w:szCs w:val="24"/>
        </w:rPr>
        <w:t>- 19 -</w:t>
      </w:r>
      <w:r>
        <w:rPr>
          <w:sz w:val="24"/>
          <w:szCs w:val="24"/>
        </w:rPr>
        <w:fldChar w:fldCharType="end"/>
      </w:r>
      <w:r>
        <w:rPr>
          <w:rFonts w:hint="eastAsia" w:ascii="宋体" w:hAnsi="宋体" w:eastAsia="宋体" w:cs="宋体"/>
          <w:color w:val="auto"/>
          <w:sz w:val="24"/>
          <w:szCs w:val="24"/>
          <w:highlight w:val="none"/>
        </w:rPr>
        <w:fldChar w:fldCharType="end"/>
      </w:r>
    </w:p>
    <w:p w14:paraId="19F74807">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_Toc11068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8</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5"/>
          <w:sz w:val="24"/>
          <w:szCs w:val="24"/>
          <w:highlight w:val="none"/>
        </w:rPr>
        <w:t>．</w:t>
      </w:r>
      <w:r>
        <w:rPr>
          <w:rFonts w:hint="eastAsia" w:ascii="宋体" w:hAnsi="宋体" w:eastAsia="宋体" w:cs="宋体"/>
          <w:bCs/>
          <w:spacing w:val="-1"/>
          <w:sz w:val="24"/>
          <w:szCs w:val="24"/>
          <w:highlight w:val="none"/>
          <w:lang w:eastAsia="zh-CN"/>
        </w:rPr>
        <w:t>最高投标限价</w:t>
      </w:r>
      <w:r>
        <w:rPr>
          <w:sz w:val="24"/>
          <w:szCs w:val="24"/>
        </w:rPr>
        <w:tab/>
      </w:r>
      <w:r>
        <w:rPr>
          <w:sz w:val="24"/>
          <w:szCs w:val="24"/>
        </w:rPr>
        <w:fldChar w:fldCharType="begin"/>
      </w:r>
      <w:r>
        <w:rPr>
          <w:sz w:val="24"/>
          <w:szCs w:val="24"/>
        </w:rPr>
        <w:instrText xml:space="preserve"> PAGEREF _Toc11068 \h </w:instrText>
      </w:r>
      <w:r>
        <w:rPr>
          <w:sz w:val="24"/>
          <w:szCs w:val="24"/>
        </w:rPr>
        <w:fldChar w:fldCharType="separate"/>
      </w:r>
      <w:r>
        <w:rPr>
          <w:sz w:val="24"/>
          <w:szCs w:val="24"/>
        </w:rPr>
        <w:t>- 19 -</w:t>
      </w:r>
      <w:r>
        <w:rPr>
          <w:sz w:val="24"/>
          <w:szCs w:val="24"/>
        </w:rPr>
        <w:fldChar w:fldCharType="end"/>
      </w:r>
      <w:r>
        <w:rPr>
          <w:rFonts w:hint="eastAsia" w:ascii="宋体" w:hAnsi="宋体" w:eastAsia="宋体" w:cs="宋体"/>
          <w:color w:val="auto"/>
          <w:sz w:val="24"/>
          <w:szCs w:val="24"/>
          <w:highlight w:val="none"/>
        </w:rPr>
        <w:fldChar w:fldCharType="end"/>
      </w:r>
    </w:p>
    <w:p w14:paraId="6F6EDB6D">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_Toc2517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9</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8"/>
          <w:sz w:val="24"/>
          <w:szCs w:val="24"/>
          <w:highlight w:val="none"/>
        </w:rPr>
        <w:t>．投标报价</w:t>
      </w:r>
      <w:r>
        <w:rPr>
          <w:sz w:val="24"/>
          <w:szCs w:val="24"/>
        </w:rPr>
        <w:tab/>
      </w:r>
      <w:r>
        <w:rPr>
          <w:sz w:val="24"/>
          <w:szCs w:val="24"/>
        </w:rPr>
        <w:fldChar w:fldCharType="begin"/>
      </w:r>
      <w:r>
        <w:rPr>
          <w:sz w:val="24"/>
          <w:szCs w:val="24"/>
        </w:rPr>
        <w:instrText xml:space="preserve"> PAGEREF _Toc2517 \h </w:instrText>
      </w:r>
      <w:r>
        <w:rPr>
          <w:sz w:val="24"/>
          <w:szCs w:val="24"/>
        </w:rPr>
        <w:fldChar w:fldCharType="separate"/>
      </w:r>
      <w:r>
        <w:rPr>
          <w:sz w:val="24"/>
          <w:szCs w:val="24"/>
        </w:rPr>
        <w:t>- 20 -</w:t>
      </w:r>
      <w:r>
        <w:rPr>
          <w:sz w:val="24"/>
          <w:szCs w:val="24"/>
        </w:rPr>
        <w:fldChar w:fldCharType="end"/>
      </w:r>
      <w:r>
        <w:rPr>
          <w:rFonts w:hint="eastAsia" w:ascii="宋体" w:hAnsi="宋体" w:eastAsia="宋体" w:cs="宋体"/>
          <w:color w:val="auto"/>
          <w:sz w:val="24"/>
          <w:szCs w:val="24"/>
          <w:highlight w:val="none"/>
        </w:rPr>
        <w:fldChar w:fldCharType="end"/>
      </w:r>
    </w:p>
    <w:p w14:paraId="2BCF8D1C">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_Toc25083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10</w:t>
      </w:r>
      <w:r>
        <w:rPr>
          <w:rFonts w:hint="eastAsia" w:ascii="宋体" w:hAnsi="宋体" w:eastAsia="宋体" w:cs="宋体"/>
          <w:bCs/>
          <w:spacing w:val="-21"/>
          <w:sz w:val="24"/>
          <w:szCs w:val="24"/>
          <w:highlight w:val="none"/>
        </w:rPr>
        <w:t xml:space="preserve"> </w:t>
      </w:r>
      <w:r>
        <w:rPr>
          <w:rFonts w:hint="eastAsia" w:ascii="宋体" w:hAnsi="宋体" w:eastAsia="宋体" w:cs="宋体"/>
          <w:bCs/>
          <w:spacing w:val="-6"/>
          <w:sz w:val="24"/>
          <w:szCs w:val="24"/>
          <w:highlight w:val="none"/>
        </w:rPr>
        <w:t>．投标文件的编制要求</w:t>
      </w:r>
      <w:r>
        <w:rPr>
          <w:sz w:val="24"/>
          <w:szCs w:val="24"/>
        </w:rPr>
        <w:tab/>
      </w:r>
      <w:r>
        <w:rPr>
          <w:sz w:val="24"/>
          <w:szCs w:val="24"/>
        </w:rPr>
        <w:fldChar w:fldCharType="begin"/>
      </w:r>
      <w:r>
        <w:rPr>
          <w:sz w:val="24"/>
          <w:szCs w:val="24"/>
        </w:rPr>
        <w:instrText xml:space="preserve"> PAGEREF _Toc25083 \h </w:instrText>
      </w:r>
      <w:r>
        <w:rPr>
          <w:sz w:val="24"/>
          <w:szCs w:val="24"/>
        </w:rPr>
        <w:fldChar w:fldCharType="separate"/>
      </w:r>
      <w:r>
        <w:rPr>
          <w:sz w:val="24"/>
          <w:szCs w:val="24"/>
        </w:rPr>
        <w:t>- 22 -</w:t>
      </w:r>
      <w:r>
        <w:rPr>
          <w:sz w:val="24"/>
          <w:szCs w:val="24"/>
        </w:rPr>
        <w:fldChar w:fldCharType="end"/>
      </w:r>
      <w:r>
        <w:rPr>
          <w:rFonts w:hint="eastAsia" w:ascii="宋体" w:hAnsi="宋体" w:eastAsia="宋体" w:cs="宋体"/>
          <w:color w:val="auto"/>
          <w:sz w:val="24"/>
          <w:szCs w:val="24"/>
          <w:highlight w:val="none"/>
        </w:rPr>
        <w:fldChar w:fldCharType="end"/>
      </w:r>
    </w:p>
    <w:p w14:paraId="698E1F61">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_Toc7085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11.</w:t>
      </w:r>
      <w:r>
        <w:rPr>
          <w:rFonts w:hint="eastAsia" w:ascii="宋体" w:hAnsi="宋体" w:eastAsia="宋体" w:cs="宋体"/>
          <w:bCs/>
          <w:spacing w:val="20"/>
          <w:sz w:val="24"/>
          <w:szCs w:val="24"/>
          <w:highlight w:val="none"/>
        </w:rPr>
        <w:t xml:space="preserve"> </w:t>
      </w:r>
      <w:r>
        <w:rPr>
          <w:rFonts w:hint="eastAsia" w:ascii="宋体" w:hAnsi="宋体" w:eastAsia="宋体" w:cs="宋体"/>
          <w:spacing w:val="-9"/>
          <w:sz w:val="24"/>
          <w:szCs w:val="24"/>
          <w:highlight w:val="none"/>
        </w:rPr>
        <w:t>电子投标</w:t>
      </w:r>
      <w:r>
        <w:rPr>
          <w:sz w:val="24"/>
          <w:szCs w:val="24"/>
        </w:rPr>
        <w:tab/>
      </w:r>
      <w:r>
        <w:rPr>
          <w:sz w:val="24"/>
          <w:szCs w:val="24"/>
        </w:rPr>
        <w:fldChar w:fldCharType="begin"/>
      </w:r>
      <w:r>
        <w:rPr>
          <w:sz w:val="24"/>
          <w:szCs w:val="24"/>
        </w:rPr>
        <w:instrText xml:space="preserve"> PAGEREF _Toc7085 \h </w:instrText>
      </w:r>
      <w:r>
        <w:rPr>
          <w:sz w:val="24"/>
          <w:szCs w:val="24"/>
        </w:rPr>
        <w:fldChar w:fldCharType="separate"/>
      </w:r>
      <w:r>
        <w:rPr>
          <w:sz w:val="24"/>
          <w:szCs w:val="24"/>
        </w:rPr>
        <w:t>- 25 -</w:t>
      </w:r>
      <w:r>
        <w:rPr>
          <w:sz w:val="24"/>
          <w:szCs w:val="24"/>
        </w:rPr>
        <w:fldChar w:fldCharType="end"/>
      </w:r>
      <w:r>
        <w:rPr>
          <w:rFonts w:hint="eastAsia" w:ascii="宋体" w:hAnsi="宋体" w:eastAsia="宋体" w:cs="宋体"/>
          <w:color w:val="auto"/>
          <w:sz w:val="24"/>
          <w:szCs w:val="24"/>
          <w:highlight w:val="none"/>
        </w:rPr>
        <w:fldChar w:fldCharType="end"/>
      </w:r>
    </w:p>
    <w:p w14:paraId="4580154C">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_Toc3674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lang w:val="en-US" w:eastAsia="zh-CN"/>
        </w:rPr>
        <w:t>12.</w:t>
      </w:r>
      <w:r>
        <w:rPr>
          <w:rFonts w:hint="eastAsia" w:ascii="宋体" w:hAnsi="宋体" w:eastAsia="宋体" w:cs="宋体"/>
          <w:bCs/>
          <w:spacing w:val="22"/>
          <w:w w:val="101"/>
          <w:sz w:val="24"/>
          <w:szCs w:val="24"/>
          <w:highlight w:val="none"/>
        </w:rPr>
        <w:t xml:space="preserve"> </w:t>
      </w:r>
      <w:r>
        <w:rPr>
          <w:rFonts w:hint="eastAsia" w:ascii="宋体" w:hAnsi="宋体" w:eastAsia="宋体" w:cs="宋体"/>
          <w:bCs/>
          <w:spacing w:val="-4"/>
          <w:sz w:val="24"/>
          <w:szCs w:val="24"/>
          <w:highlight w:val="none"/>
        </w:rPr>
        <w:t>电子投标及投标解密失败及突发情况的补救方案</w:t>
      </w:r>
      <w:r>
        <w:rPr>
          <w:sz w:val="24"/>
          <w:szCs w:val="24"/>
        </w:rPr>
        <w:tab/>
      </w:r>
      <w:r>
        <w:rPr>
          <w:sz w:val="24"/>
          <w:szCs w:val="24"/>
        </w:rPr>
        <w:fldChar w:fldCharType="begin"/>
      </w:r>
      <w:r>
        <w:rPr>
          <w:sz w:val="24"/>
          <w:szCs w:val="24"/>
        </w:rPr>
        <w:instrText xml:space="preserve"> PAGEREF _Toc3674 \h </w:instrText>
      </w:r>
      <w:r>
        <w:rPr>
          <w:sz w:val="24"/>
          <w:szCs w:val="24"/>
        </w:rPr>
        <w:fldChar w:fldCharType="separate"/>
      </w:r>
      <w:r>
        <w:rPr>
          <w:sz w:val="24"/>
          <w:szCs w:val="24"/>
        </w:rPr>
        <w:t>- 26 -</w:t>
      </w:r>
      <w:r>
        <w:rPr>
          <w:sz w:val="24"/>
          <w:szCs w:val="24"/>
        </w:rPr>
        <w:fldChar w:fldCharType="end"/>
      </w:r>
      <w:r>
        <w:rPr>
          <w:rFonts w:hint="eastAsia" w:ascii="宋体" w:hAnsi="宋体" w:eastAsia="宋体" w:cs="宋体"/>
          <w:color w:val="auto"/>
          <w:sz w:val="24"/>
          <w:szCs w:val="24"/>
          <w:highlight w:val="none"/>
        </w:rPr>
        <w:fldChar w:fldCharType="end"/>
      </w:r>
    </w:p>
    <w:p w14:paraId="67DF5CAE">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_Toc25717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13</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7"/>
          <w:sz w:val="24"/>
          <w:szCs w:val="24"/>
          <w:highlight w:val="none"/>
        </w:rPr>
        <w:t>．投标文件的提交</w:t>
      </w:r>
      <w:r>
        <w:rPr>
          <w:sz w:val="24"/>
          <w:szCs w:val="24"/>
        </w:rPr>
        <w:tab/>
      </w:r>
      <w:r>
        <w:rPr>
          <w:sz w:val="24"/>
          <w:szCs w:val="24"/>
        </w:rPr>
        <w:fldChar w:fldCharType="begin"/>
      </w:r>
      <w:r>
        <w:rPr>
          <w:sz w:val="24"/>
          <w:szCs w:val="24"/>
        </w:rPr>
        <w:instrText xml:space="preserve"> PAGEREF _Toc25717 \h </w:instrText>
      </w:r>
      <w:r>
        <w:rPr>
          <w:sz w:val="24"/>
          <w:szCs w:val="24"/>
        </w:rPr>
        <w:fldChar w:fldCharType="separate"/>
      </w:r>
      <w:r>
        <w:rPr>
          <w:sz w:val="24"/>
          <w:szCs w:val="24"/>
        </w:rPr>
        <w:t>- 26 -</w:t>
      </w:r>
      <w:r>
        <w:rPr>
          <w:sz w:val="24"/>
          <w:szCs w:val="24"/>
        </w:rPr>
        <w:fldChar w:fldCharType="end"/>
      </w:r>
      <w:r>
        <w:rPr>
          <w:rFonts w:hint="eastAsia" w:ascii="宋体" w:hAnsi="宋体" w:eastAsia="宋体" w:cs="宋体"/>
          <w:color w:val="auto"/>
          <w:sz w:val="24"/>
          <w:szCs w:val="24"/>
          <w:highlight w:val="none"/>
        </w:rPr>
        <w:fldChar w:fldCharType="end"/>
      </w:r>
    </w:p>
    <w:p w14:paraId="134D1605">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_Toc28525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14</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．开标</w:t>
      </w:r>
      <w:r>
        <w:rPr>
          <w:sz w:val="24"/>
          <w:szCs w:val="24"/>
        </w:rPr>
        <w:tab/>
      </w:r>
      <w:r>
        <w:rPr>
          <w:sz w:val="24"/>
          <w:szCs w:val="24"/>
        </w:rPr>
        <w:fldChar w:fldCharType="begin"/>
      </w:r>
      <w:r>
        <w:rPr>
          <w:sz w:val="24"/>
          <w:szCs w:val="24"/>
        </w:rPr>
        <w:instrText xml:space="preserve"> PAGEREF _Toc28525 \h </w:instrText>
      </w:r>
      <w:r>
        <w:rPr>
          <w:sz w:val="24"/>
          <w:szCs w:val="24"/>
        </w:rPr>
        <w:fldChar w:fldCharType="separate"/>
      </w:r>
      <w:r>
        <w:rPr>
          <w:sz w:val="24"/>
          <w:szCs w:val="24"/>
        </w:rPr>
        <w:t>- 27 -</w:t>
      </w:r>
      <w:r>
        <w:rPr>
          <w:sz w:val="24"/>
          <w:szCs w:val="24"/>
        </w:rPr>
        <w:fldChar w:fldCharType="end"/>
      </w:r>
      <w:r>
        <w:rPr>
          <w:rFonts w:hint="eastAsia" w:ascii="宋体" w:hAnsi="宋体" w:eastAsia="宋体" w:cs="宋体"/>
          <w:color w:val="auto"/>
          <w:sz w:val="24"/>
          <w:szCs w:val="24"/>
          <w:highlight w:val="none"/>
        </w:rPr>
        <w:fldChar w:fldCharType="end"/>
      </w:r>
    </w:p>
    <w:p w14:paraId="050E5351">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_Toc8091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15</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．评标</w:t>
      </w:r>
      <w:r>
        <w:rPr>
          <w:sz w:val="24"/>
          <w:szCs w:val="24"/>
        </w:rPr>
        <w:tab/>
      </w:r>
      <w:r>
        <w:rPr>
          <w:sz w:val="24"/>
          <w:szCs w:val="24"/>
        </w:rPr>
        <w:fldChar w:fldCharType="begin"/>
      </w:r>
      <w:r>
        <w:rPr>
          <w:sz w:val="24"/>
          <w:szCs w:val="24"/>
        </w:rPr>
        <w:instrText xml:space="preserve"> PAGEREF _Toc8091 \h </w:instrText>
      </w:r>
      <w:r>
        <w:rPr>
          <w:sz w:val="24"/>
          <w:szCs w:val="24"/>
        </w:rPr>
        <w:fldChar w:fldCharType="separate"/>
      </w:r>
      <w:r>
        <w:rPr>
          <w:sz w:val="24"/>
          <w:szCs w:val="24"/>
        </w:rPr>
        <w:t>- 28 -</w:t>
      </w:r>
      <w:r>
        <w:rPr>
          <w:sz w:val="24"/>
          <w:szCs w:val="24"/>
        </w:rPr>
        <w:fldChar w:fldCharType="end"/>
      </w:r>
      <w:r>
        <w:rPr>
          <w:rFonts w:hint="eastAsia" w:ascii="宋体" w:hAnsi="宋体" w:eastAsia="宋体" w:cs="宋体"/>
          <w:color w:val="auto"/>
          <w:sz w:val="24"/>
          <w:szCs w:val="24"/>
          <w:highlight w:val="none"/>
        </w:rPr>
        <w:fldChar w:fldCharType="end"/>
      </w:r>
    </w:p>
    <w:p w14:paraId="76D4EFB9">
      <w:pPr>
        <w:pStyle w:val="13"/>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_Toc28934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16 ．</w:t>
      </w:r>
      <w:r>
        <w:rPr>
          <w:rFonts w:hint="eastAsia" w:ascii="宋体" w:hAnsi="宋体" w:eastAsia="宋体" w:cs="宋体"/>
          <w:snapToGrid w:val="0"/>
          <w:sz w:val="24"/>
          <w:szCs w:val="24"/>
          <w:highlight w:val="none"/>
          <w:lang w:eastAsia="zh-CN"/>
        </w:rPr>
        <w:t>评标结果公示</w:t>
      </w:r>
      <w:r>
        <w:rPr>
          <w:sz w:val="24"/>
          <w:szCs w:val="24"/>
        </w:rPr>
        <w:tab/>
      </w:r>
      <w:r>
        <w:rPr>
          <w:sz w:val="24"/>
          <w:szCs w:val="24"/>
        </w:rPr>
        <w:fldChar w:fldCharType="begin"/>
      </w:r>
      <w:r>
        <w:rPr>
          <w:sz w:val="24"/>
          <w:szCs w:val="24"/>
        </w:rPr>
        <w:instrText xml:space="preserve"> PAGEREF _Toc28934 \h </w:instrText>
      </w:r>
      <w:r>
        <w:rPr>
          <w:sz w:val="24"/>
          <w:szCs w:val="24"/>
        </w:rPr>
        <w:fldChar w:fldCharType="separate"/>
      </w:r>
      <w:r>
        <w:rPr>
          <w:sz w:val="24"/>
          <w:szCs w:val="24"/>
        </w:rPr>
        <w:t>- 39 -</w:t>
      </w:r>
      <w:r>
        <w:rPr>
          <w:sz w:val="24"/>
          <w:szCs w:val="24"/>
        </w:rPr>
        <w:fldChar w:fldCharType="end"/>
      </w:r>
      <w:r>
        <w:rPr>
          <w:rFonts w:hint="eastAsia" w:ascii="宋体" w:hAnsi="宋体" w:eastAsia="宋体" w:cs="宋体"/>
          <w:color w:val="auto"/>
          <w:sz w:val="24"/>
          <w:szCs w:val="24"/>
          <w:highlight w:val="none"/>
        </w:rPr>
        <w:fldChar w:fldCharType="end"/>
      </w:r>
    </w:p>
    <w:p w14:paraId="5A8CC0C7">
      <w:pPr>
        <w:pStyle w:val="13"/>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_Toc5971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否决投标条件</w:t>
      </w:r>
      <w:r>
        <w:rPr>
          <w:sz w:val="24"/>
          <w:szCs w:val="24"/>
        </w:rPr>
        <w:tab/>
      </w:r>
      <w:r>
        <w:rPr>
          <w:sz w:val="24"/>
          <w:szCs w:val="24"/>
        </w:rPr>
        <w:fldChar w:fldCharType="begin"/>
      </w:r>
      <w:r>
        <w:rPr>
          <w:sz w:val="24"/>
          <w:szCs w:val="24"/>
        </w:rPr>
        <w:instrText xml:space="preserve"> PAGEREF _Toc5971 \h </w:instrText>
      </w:r>
      <w:r>
        <w:rPr>
          <w:sz w:val="24"/>
          <w:szCs w:val="24"/>
        </w:rPr>
        <w:fldChar w:fldCharType="separate"/>
      </w:r>
      <w:r>
        <w:rPr>
          <w:sz w:val="24"/>
          <w:szCs w:val="24"/>
        </w:rPr>
        <w:t>- 40 -</w:t>
      </w:r>
      <w:r>
        <w:rPr>
          <w:sz w:val="24"/>
          <w:szCs w:val="24"/>
        </w:rPr>
        <w:fldChar w:fldCharType="end"/>
      </w:r>
      <w:r>
        <w:rPr>
          <w:rFonts w:hint="eastAsia" w:ascii="宋体" w:hAnsi="宋体" w:eastAsia="宋体" w:cs="宋体"/>
          <w:color w:val="auto"/>
          <w:sz w:val="24"/>
          <w:szCs w:val="24"/>
          <w:highlight w:val="none"/>
        </w:rPr>
        <w:fldChar w:fldCharType="end"/>
      </w:r>
    </w:p>
    <w:p w14:paraId="3DB5C27C">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_Toc21357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．资格评审环节</w:t>
      </w:r>
      <w:r>
        <w:rPr>
          <w:sz w:val="24"/>
          <w:szCs w:val="24"/>
        </w:rPr>
        <w:tab/>
      </w:r>
      <w:r>
        <w:rPr>
          <w:sz w:val="24"/>
          <w:szCs w:val="24"/>
        </w:rPr>
        <w:fldChar w:fldCharType="begin"/>
      </w:r>
      <w:r>
        <w:rPr>
          <w:sz w:val="24"/>
          <w:szCs w:val="24"/>
        </w:rPr>
        <w:instrText xml:space="preserve"> PAGEREF _Toc21357 \h </w:instrText>
      </w:r>
      <w:r>
        <w:rPr>
          <w:sz w:val="24"/>
          <w:szCs w:val="24"/>
        </w:rPr>
        <w:fldChar w:fldCharType="separate"/>
      </w:r>
      <w:r>
        <w:rPr>
          <w:sz w:val="24"/>
          <w:szCs w:val="24"/>
        </w:rPr>
        <w:t>- 40 -</w:t>
      </w:r>
      <w:r>
        <w:rPr>
          <w:sz w:val="24"/>
          <w:szCs w:val="24"/>
        </w:rPr>
        <w:fldChar w:fldCharType="end"/>
      </w:r>
      <w:r>
        <w:rPr>
          <w:rFonts w:hint="eastAsia" w:ascii="宋体" w:hAnsi="宋体" w:eastAsia="宋体" w:cs="宋体"/>
          <w:color w:val="auto"/>
          <w:sz w:val="24"/>
          <w:szCs w:val="24"/>
          <w:highlight w:val="none"/>
        </w:rPr>
        <w:fldChar w:fldCharType="end"/>
      </w:r>
    </w:p>
    <w:p w14:paraId="5391BF5A">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_Toc22031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．形式评审环节</w:t>
      </w:r>
      <w:r>
        <w:rPr>
          <w:sz w:val="24"/>
          <w:szCs w:val="24"/>
        </w:rPr>
        <w:tab/>
      </w:r>
      <w:r>
        <w:rPr>
          <w:sz w:val="24"/>
          <w:szCs w:val="24"/>
        </w:rPr>
        <w:fldChar w:fldCharType="begin"/>
      </w:r>
      <w:r>
        <w:rPr>
          <w:sz w:val="24"/>
          <w:szCs w:val="24"/>
        </w:rPr>
        <w:instrText xml:space="preserve"> PAGEREF _Toc22031 \h </w:instrText>
      </w:r>
      <w:r>
        <w:rPr>
          <w:sz w:val="24"/>
          <w:szCs w:val="24"/>
        </w:rPr>
        <w:fldChar w:fldCharType="separate"/>
      </w:r>
      <w:r>
        <w:rPr>
          <w:sz w:val="24"/>
          <w:szCs w:val="24"/>
        </w:rPr>
        <w:t>- 41 -</w:t>
      </w:r>
      <w:r>
        <w:rPr>
          <w:sz w:val="24"/>
          <w:szCs w:val="24"/>
        </w:rPr>
        <w:fldChar w:fldCharType="end"/>
      </w:r>
      <w:r>
        <w:rPr>
          <w:rFonts w:hint="eastAsia" w:ascii="宋体" w:hAnsi="宋体" w:eastAsia="宋体" w:cs="宋体"/>
          <w:color w:val="auto"/>
          <w:sz w:val="24"/>
          <w:szCs w:val="24"/>
          <w:highlight w:val="none"/>
        </w:rPr>
        <w:fldChar w:fldCharType="end"/>
      </w:r>
    </w:p>
    <w:p w14:paraId="1A078A6B">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_Toc7561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3</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6"/>
          <w:sz w:val="24"/>
          <w:szCs w:val="24"/>
          <w:highlight w:val="none"/>
        </w:rPr>
        <w:t>．响应性评审环节</w:t>
      </w:r>
      <w:r>
        <w:rPr>
          <w:sz w:val="24"/>
          <w:szCs w:val="24"/>
        </w:rPr>
        <w:tab/>
      </w:r>
      <w:r>
        <w:rPr>
          <w:sz w:val="24"/>
          <w:szCs w:val="24"/>
        </w:rPr>
        <w:fldChar w:fldCharType="begin"/>
      </w:r>
      <w:r>
        <w:rPr>
          <w:sz w:val="24"/>
          <w:szCs w:val="24"/>
        </w:rPr>
        <w:instrText xml:space="preserve"> PAGEREF _Toc7561 \h </w:instrText>
      </w:r>
      <w:r>
        <w:rPr>
          <w:sz w:val="24"/>
          <w:szCs w:val="24"/>
        </w:rPr>
        <w:fldChar w:fldCharType="separate"/>
      </w:r>
      <w:r>
        <w:rPr>
          <w:sz w:val="24"/>
          <w:szCs w:val="24"/>
        </w:rPr>
        <w:t>- 41 -</w:t>
      </w:r>
      <w:r>
        <w:rPr>
          <w:sz w:val="24"/>
          <w:szCs w:val="24"/>
        </w:rPr>
        <w:fldChar w:fldCharType="end"/>
      </w:r>
      <w:r>
        <w:rPr>
          <w:rFonts w:hint="eastAsia" w:ascii="宋体" w:hAnsi="宋体" w:eastAsia="宋体" w:cs="宋体"/>
          <w:color w:val="auto"/>
          <w:sz w:val="24"/>
          <w:szCs w:val="24"/>
          <w:highlight w:val="none"/>
        </w:rPr>
        <w:fldChar w:fldCharType="end"/>
      </w:r>
    </w:p>
    <w:p w14:paraId="7093D232">
      <w:pPr>
        <w:pStyle w:val="8"/>
        <w:tabs>
          <w:tab w:val="right" w:leader="dot" w:pos="9746"/>
        </w:tabs>
        <w:spacing w:line="360" w:lineRule="auto"/>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_Toc15462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4</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11"/>
          <w:sz w:val="24"/>
          <w:szCs w:val="24"/>
          <w:highlight w:val="none"/>
        </w:rPr>
        <w:t>．其他</w:t>
      </w:r>
      <w:r>
        <w:rPr>
          <w:sz w:val="24"/>
          <w:szCs w:val="24"/>
          <w:highlight w:val="none"/>
        </w:rPr>
        <w:tab/>
      </w:r>
      <w:r>
        <w:rPr>
          <w:sz w:val="24"/>
          <w:szCs w:val="24"/>
          <w:highlight w:val="none"/>
        </w:rPr>
        <w:fldChar w:fldCharType="begin"/>
      </w:r>
      <w:r>
        <w:rPr>
          <w:sz w:val="24"/>
          <w:szCs w:val="24"/>
          <w:highlight w:val="none"/>
        </w:rPr>
        <w:instrText xml:space="preserve"> PAGEREF _Toc15462 \h </w:instrText>
      </w:r>
      <w:r>
        <w:rPr>
          <w:sz w:val="24"/>
          <w:szCs w:val="24"/>
          <w:highlight w:val="none"/>
        </w:rPr>
        <w:fldChar w:fldCharType="separate"/>
      </w:r>
      <w:r>
        <w:rPr>
          <w:sz w:val="24"/>
          <w:szCs w:val="24"/>
          <w:highlight w:val="none"/>
        </w:rPr>
        <w:t>- 42 -</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73400E9">
      <w:pPr>
        <w:pStyle w:val="13"/>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_Toc5538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 xml:space="preserve">第五节  </w:t>
      </w:r>
      <w:r>
        <w:rPr>
          <w:rFonts w:hint="eastAsia" w:ascii="宋体" w:hAnsi="宋体" w:eastAsia="宋体" w:cs="宋体"/>
          <w:bCs/>
          <w:spacing w:val="-3"/>
          <w:sz w:val="24"/>
          <w:szCs w:val="24"/>
          <w:highlight w:val="none"/>
        </w:rPr>
        <w:t>定标规定及细则（本项目采用票决数量法定标）</w:t>
      </w:r>
      <w:r>
        <w:rPr>
          <w:sz w:val="24"/>
          <w:szCs w:val="24"/>
          <w:highlight w:val="none"/>
        </w:rPr>
        <w:tab/>
      </w:r>
      <w:r>
        <w:rPr>
          <w:sz w:val="24"/>
          <w:szCs w:val="24"/>
          <w:highlight w:val="none"/>
        </w:rPr>
        <w:fldChar w:fldCharType="begin"/>
      </w:r>
      <w:r>
        <w:rPr>
          <w:sz w:val="24"/>
          <w:szCs w:val="24"/>
          <w:highlight w:val="none"/>
        </w:rPr>
        <w:instrText xml:space="preserve"> PAGEREF _Toc5538 \h </w:instrText>
      </w:r>
      <w:r>
        <w:rPr>
          <w:sz w:val="24"/>
          <w:szCs w:val="24"/>
          <w:highlight w:val="none"/>
        </w:rPr>
        <w:fldChar w:fldCharType="separate"/>
      </w:r>
      <w:r>
        <w:rPr>
          <w:sz w:val="24"/>
          <w:szCs w:val="24"/>
          <w:highlight w:val="none"/>
        </w:rPr>
        <w:t>- 43 -</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33F5F81">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_Toc26469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lang w:val="en-US" w:eastAsia="zh-CN"/>
        </w:rPr>
        <w:t>6</w:t>
      </w:r>
      <w:r>
        <w:rPr>
          <w:rFonts w:hint="eastAsia" w:ascii="宋体" w:hAnsi="宋体" w:eastAsia="宋体" w:cs="宋体"/>
          <w:bCs/>
          <w:spacing w:val="-11"/>
          <w:sz w:val="24"/>
          <w:szCs w:val="24"/>
          <w:highlight w:val="none"/>
        </w:rPr>
        <w:t>．</w:t>
      </w:r>
      <w:r>
        <w:rPr>
          <w:rFonts w:hint="eastAsia" w:ascii="宋体" w:hAnsi="宋体" w:eastAsia="宋体" w:cs="宋体"/>
          <w:bCs/>
          <w:spacing w:val="-11"/>
          <w:sz w:val="24"/>
          <w:szCs w:val="24"/>
          <w:highlight w:val="none"/>
          <w:lang w:val="en-US" w:eastAsia="zh-CN"/>
        </w:rPr>
        <w:t>定</w:t>
      </w:r>
      <w:r>
        <w:rPr>
          <w:rFonts w:hint="eastAsia" w:ascii="宋体" w:hAnsi="宋体" w:eastAsia="宋体" w:cs="宋体"/>
          <w:bCs/>
          <w:spacing w:val="-11"/>
          <w:sz w:val="24"/>
          <w:szCs w:val="24"/>
          <w:highlight w:val="none"/>
        </w:rPr>
        <w:t>标</w:t>
      </w:r>
      <w:r>
        <w:rPr>
          <w:rFonts w:hint="eastAsia" w:ascii="宋体" w:hAnsi="宋体" w:eastAsia="宋体" w:cs="宋体"/>
          <w:bCs/>
          <w:spacing w:val="-11"/>
          <w:sz w:val="24"/>
          <w:szCs w:val="24"/>
          <w:highlight w:val="none"/>
          <w:lang w:val="en-US" w:eastAsia="zh-CN"/>
        </w:rPr>
        <w:t>结果</w:t>
      </w:r>
      <w:r>
        <w:rPr>
          <w:rFonts w:hint="eastAsia" w:ascii="宋体" w:hAnsi="宋体" w:eastAsia="宋体" w:cs="宋体"/>
          <w:bCs/>
          <w:spacing w:val="-11"/>
          <w:sz w:val="24"/>
          <w:szCs w:val="24"/>
          <w:highlight w:val="none"/>
        </w:rPr>
        <w:t>公示</w:t>
      </w:r>
      <w:r>
        <w:rPr>
          <w:sz w:val="24"/>
          <w:szCs w:val="24"/>
        </w:rPr>
        <w:tab/>
      </w:r>
      <w:r>
        <w:rPr>
          <w:sz w:val="24"/>
          <w:szCs w:val="24"/>
        </w:rPr>
        <w:fldChar w:fldCharType="begin"/>
      </w:r>
      <w:r>
        <w:rPr>
          <w:sz w:val="24"/>
          <w:szCs w:val="24"/>
        </w:rPr>
        <w:instrText xml:space="preserve"> PAGEREF _Toc26469 \h </w:instrText>
      </w:r>
      <w:r>
        <w:rPr>
          <w:sz w:val="24"/>
          <w:szCs w:val="24"/>
        </w:rPr>
        <w:fldChar w:fldCharType="separate"/>
      </w:r>
      <w:r>
        <w:rPr>
          <w:sz w:val="24"/>
          <w:szCs w:val="24"/>
        </w:rPr>
        <w:t>- 45 -</w:t>
      </w:r>
      <w:r>
        <w:rPr>
          <w:sz w:val="24"/>
          <w:szCs w:val="24"/>
        </w:rPr>
        <w:fldChar w:fldCharType="end"/>
      </w:r>
      <w:r>
        <w:rPr>
          <w:rFonts w:hint="eastAsia" w:ascii="宋体" w:hAnsi="宋体" w:eastAsia="宋体" w:cs="宋体"/>
          <w:color w:val="auto"/>
          <w:sz w:val="24"/>
          <w:szCs w:val="24"/>
          <w:highlight w:val="none"/>
        </w:rPr>
        <w:fldChar w:fldCharType="end"/>
      </w:r>
    </w:p>
    <w:p w14:paraId="5AC2618A">
      <w:pPr>
        <w:pStyle w:val="13"/>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_Toc7399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w:t>
      </w:r>
      <w:r>
        <w:rPr>
          <w:rFonts w:hint="eastAsia" w:ascii="宋体" w:hAnsi="宋体" w:eastAsia="宋体" w:cs="宋体"/>
          <w:bCs/>
          <w:spacing w:val="-3"/>
          <w:sz w:val="24"/>
          <w:szCs w:val="24"/>
          <w:highlight w:val="none"/>
          <w:lang w:val="en-US" w:eastAsia="zh-CN"/>
        </w:rPr>
        <w:t>六</w:t>
      </w:r>
      <w:r>
        <w:rPr>
          <w:rFonts w:hint="eastAsia" w:ascii="宋体" w:hAnsi="宋体" w:eastAsia="宋体" w:cs="宋体"/>
          <w:bCs/>
          <w:spacing w:val="-3"/>
          <w:sz w:val="24"/>
          <w:szCs w:val="24"/>
          <w:highlight w:val="none"/>
        </w:rPr>
        <w:t>节 中标确认</w:t>
      </w:r>
      <w:r>
        <w:rPr>
          <w:sz w:val="24"/>
          <w:szCs w:val="24"/>
        </w:rPr>
        <w:tab/>
      </w:r>
      <w:r>
        <w:rPr>
          <w:sz w:val="24"/>
          <w:szCs w:val="24"/>
        </w:rPr>
        <w:fldChar w:fldCharType="begin"/>
      </w:r>
      <w:r>
        <w:rPr>
          <w:sz w:val="24"/>
          <w:szCs w:val="24"/>
        </w:rPr>
        <w:instrText xml:space="preserve"> PAGEREF _Toc7399 \h </w:instrText>
      </w:r>
      <w:r>
        <w:rPr>
          <w:sz w:val="24"/>
          <w:szCs w:val="24"/>
        </w:rPr>
        <w:fldChar w:fldCharType="separate"/>
      </w:r>
      <w:r>
        <w:rPr>
          <w:sz w:val="24"/>
          <w:szCs w:val="24"/>
        </w:rPr>
        <w:t>46</w:t>
      </w:r>
      <w:r>
        <w:rPr>
          <w:sz w:val="24"/>
          <w:szCs w:val="24"/>
        </w:rPr>
        <w:fldChar w:fldCharType="end"/>
      </w:r>
      <w:r>
        <w:rPr>
          <w:rFonts w:hint="eastAsia" w:ascii="宋体" w:hAnsi="宋体" w:eastAsia="宋体" w:cs="宋体"/>
          <w:color w:val="auto"/>
          <w:sz w:val="24"/>
          <w:szCs w:val="24"/>
          <w:highlight w:val="none"/>
        </w:rPr>
        <w:fldChar w:fldCharType="end"/>
      </w:r>
    </w:p>
    <w:p w14:paraId="30DA8306">
      <w:pPr>
        <w:pStyle w:val="12"/>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_Toc29297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第二章</w:t>
      </w:r>
      <w:r>
        <w:rPr>
          <w:rFonts w:hint="eastAsia" w:ascii="宋体" w:hAnsi="宋体" w:eastAsia="宋体" w:cs="宋体"/>
          <w:spacing w:val="32"/>
          <w:sz w:val="24"/>
          <w:szCs w:val="24"/>
          <w:highlight w:val="none"/>
        </w:rPr>
        <w:t xml:space="preserve"> </w:t>
      </w:r>
      <w:r>
        <w:rPr>
          <w:rFonts w:hint="eastAsia" w:ascii="宋体" w:hAnsi="宋体" w:eastAsia="宋体" w:cs="宋体"/>
          <w:bCs/>
          <w:spacing w:val="-7"/>
          <w:sz w:val="24"/>
          <w:szCs w:val="24"/>
          <w:highlight w:val="none"/>
        </w:rPr>
        <w:t>中标人须知</w:t>
      </w:r>
      <w:r>
        <w:rPr>
          <w:sz w:val="24"/>
          <w:szCs w:val="24"/>
        </w:rPr>
        <w:tab/>
      </w:r>
      <w:r>
        <w:rPr>
          <w:sz w:val="24"/>
          <w:szCs w:val="24"/>
        </w:rPr>
        <w:fldChar w:fldCharType="begin"/>
      </w:r>
      <w:r>
        <w:rPr>
          <w:sz w:val="24"/>
          <w:szCs w:val="24"/>
        </w:rPr>
        <w:instrText xml:space="preserve"> PAGEREF _Toc29297 \h </w:instrText>
      </w:r>
      <w:r>
        <w:rPr>
          <w:sz w:val="24"/>
          <w:szCs w:val="24"/>
        </w:rPr>
        <w:fldChar w:fldCharType="separate"/>
      </w:r>
      <w:r>
        <w:rPr>
          <w:sz w:val="24"/>
          <w:szCs w:val="24"/>
        </w:rPr>
        <w:t>48</w:t>
      </w:r>
      <w:r>
        <w:rPr>
          <w:sz w:val="24"/>
          <w:szCs w:val="24"/>
        </w:rPr>
        <w:fldChar w:fldCharType="end"/>
      </w:r>
      <w:r>
        <w:rPr>
          <w:rFonts w:hint="eastAsia" w:ascii="宋体" w:hAnsi="宋体" w:eastAsia="宋体" w:cs="宋体"/>
          <w:color w:val="auto"/>
          <w:sz w:val="24"/>
          <w:szCs w:val="24"/>
          <w:highlight w:val="none"/>
        </w:rPr>
        <w:fldChar w:fldCharType="end"/>
      </w:r>
    </w:p>
    <w:p w14:paraId="7675D25A">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_Toc27731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9"/>
          <w:sz w:val="24"/>
          <w:szCs w:val="24"/>
          <w:highlight w:val="none"/>
        </w:rPr>
        <w:t>．中标通知书</w:t>
      </w:r>
      <w:r>
        <w:rPr>
          <w:sz w:val="24"/>
          <w:szCs w:val="24"/>
        </w:rPr>
        <w:tab/>
      </w:r>
      <w:r>
        <w:rPr>
          <w:sz w:val="24"/>
          <w:szCs w:val="24"/>
        </w:rPr>
        <w:fldChar w:fldCharType="begin"/>
      </w:r>
      <w:r>
        <w:rPr>
          <w:sz w:val="24"/>
          <w:szCs w:val="24"/>
        </w:rPr>
        <w:instrText xml:space="preserve"> PAGEREF _Toc27731 \h </w:instrText>
      </w:r>
      <w:r>
        <w:rPr>
          <w:sz w:val="24"/>
          <w:szCs w:val="24"/>
        </w:rPr>
        <w:fldChar w:fldCharType="separate"/>
      </w:r>
      <w:r>
        <w:rPr>
          <w:sz w:val="24"/>
          <w:szCs w:val="24"/>
        </w:rPr>
        <w:t>48</w:t>
      </w:r>
      <w:r>
        <w:rPr>
          <w:sz w:val="24"/>
          <w:szCs w:val="24"/>
        </w:rPr>
        <w:fldChar w:fldCharType="end"/>
      </w:r>
      <w:r>
        <w:rPr>
          <w:rFonts w:hint="eastAsia" w:ascii="宋体" w:hAnsi="宋体" w:eastAsia="宋体" w:cs="宋体"/>
          <w:color w:val="auto"/>
          <w:sz w:val="24"/>
          <w:szCs w:val="24"/>
          <w:highlight w:val="none"/>
        </w:rPr>
        <w:fldChar w:fldCharType="end"/>
      </w:r>
    </w:p>
    <w:p w14:paraId="05EB4793">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_Toc14618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．中标结果公示</w:t>
      </w:r>
      <w:r>
        <w:rPr>
          <w:sz w:val="24"/>
          <w:szCs w:val="24"/>
        </w:rPr>
        <w:tab/>
      </w:r>
      <w:r>
        <w:rPr>
          <w:sz w:val="24"/>
          <w:szCs w:val="24"/>
        </w:rPr>
        <w:fldChar w:fldCharType="begin"/>
      </w:r>
      <w:r>
        <w:rPr>
          <w:sz w:val="24"/>
          <w:szCs w:val="24"/>
        </w:rPr>
        <w:instrText xml:space="preserve"> PAGEREF _Toc14618 \h </w:instrText>
      </w:r>
      <w:r>
        <w:rPr>
          <w:sz w:val="24"/>
          <w:szCs w:val="24"/>
        </w:rPr>
        <w:fldChar w:fldCharType="separate"/>
      </w:r>
      <w:r>
        <w:rPr>
          <w:sz w:val="24"/>
          <w:szCs w:val="24"/>
        </w:rPr>
        <w:t>48</w:t>
      </w:r>
      <w:r>
        <w:rPr>
          <w:sz w:val="24"/>
          <w:szCs w:val="24"/>
        </w:rPr>
        <w:fldChar w:fldCharType="end"/>
      </w:r>
      <w:r>
        <w:rPr>
          <w:rFonts w:hint="eastAsia" w:ascii="宋体" w:hAnsi="宋体" w:eastAsia="宋体" w:cs="宋体"/>
          <w:color w:val="auto"/>
          <w:sz w:val="24"/>
          <w:szCs w:val="24"/>
          <w:highlight w:val="none"/>
        </w:rPr>
        <w:fldChar w:fldCharType="end"/>
      </w:r>
    </w:p>
    <w:p w14:paraId="526CA5F6">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_Toc26036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．履约保证</w:t>
      </w:r>
      <w:r>
        <w:rPr>
          <w:sz w:val="24"/>
          <w:szCs w:val="24"/>
        </w:rPr>
        <w:tab/>
      </w:r>
      <w:r>
        <w:rPr>
          <w:sz w:val="24"/>
          <w:szCs w:val="24"/>
        </w:rPr>
        <w:fldChar w:fldCharType="begin"/>
      </w:r>
      <w:r>
        <w:rPr>
          <w:sz w:val="24"/>
          <w:szCs w:val="24"/>
        </w:rPr>
        <w:instrText xml:space="preserve"> PAGEREF _Toc26036 \h </w:instrText>
      </w:r>
      <w:r>
        <w:rPr>
          <w:sz w:val="24"/>
          <w:szCs w:val="24"/>
        </w:rPr>
        <w:fldChar w:fldCharType="separate"/>
      </w:r>
      <w:r>
        <w:rPr>
          <w:sz w:val="24"/>
          <w:szCs w:val="24"/>
        </w:rPr>
        <w:t>48</w:t>
      </w:r>
      <w:r>
        <w:rPr>
          <w:sz w:val="24"/>
          <w:szCs w:val="24"/>
        </w:rPr>
        <w:fldChar w:fldCharType="end"/>
      </w:r>
      <w:r>
        <w:rPr>
          <w:rFonts w:hint="eastAsia" w:ascii="宋体" w:hAnsi="宋体" w:eastAsia="宋体" w:cs="宋体"/>
          <w:color w:val="auto"/>
          <w:sz w:val="24"/>
          <w:szCs w:val="24"/>
          <w:highlight w:val="none"/>
        </w:rPr>
        <w:fldChar w:fldCharType="end"/>
      </w:r>
    </w:p>
    <w:p w14:paraId="712889A9">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_Toc8328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8"/>
          <w:sz w:val="24"/>
          <w:szCs w:val="24"/>
          <w:highlight w:val="none"/>
        </w:rPr>
        <w:t>．合同订立</w:t>
      </w:r>
      <w:r>
        <w:rPr>
          <w:sz w:val="24"/>
          <w:szCs w:val="24"/>
        </w:rPr>
        <w:tab/>
      </w:r>
      <w:r>
        <w:rPr>
          <w:sz w:val="24"/>
          <w:szCs w:val="24"/>
        </w:rPr>
        <w:fldChar w:fldCharType="begin"/>
      </w:r>
      <w:r>
        <w:rPr>
          <w:sz w:val="24"/>
          <w:szCs w:val="24"/>
        </w:rPr>
        <w:instrText xml:space="preserve"> PAGEREF _Toc8328 \h </w:instrText>
      </w:r>
      <w:r>
        <w:rPr>
          <w:sz w:val="24"/>
          <w:szCs w:val="24"/>
        </w:rPr>
        <w:fldChar w:fldCharType="separate"/>
      </w:r>
      <w:r>
        <w:rPr>
          <w:sz w:val="24"/>
          <w:szCs w:val="24"/>
        </w:rPr>
        <w:t>48</w:t>
      </w:r>
      <w:r>
        <w:rPr>
          <w:sz w:val="24"/>
          <w:szCs w:val="24"/>
        </w:rPr>
        <w:fldChar w:fldCharType="end"/>
      </w:r>
      <w:r>
        <w:rPr>
          <w:rFonts w:hint="eastAsia" w:ascii="宋体" w:hAnsi="宋体" w:eastAsia="宋体" w:cs="宋体"/>
          <w:color w:val="auto"/>
          <w:sz w:val="24"/>
          <w:szCs w:val="24"/>
          <w:highlight w:val="none"/>
        </w:rPr>
        <w:fldChar w:fldCharType="end"/>
      </w:r>
    </w:p>
    <w:p w14:paraId="08B1D9D1">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5 ．放弃中标的处理</w:t>
      </w:r>
      <w:r>
        <w:rPr>
          <w:sz w:val="24"/>
          <w:szCs w:val="24"/>
        </w:rPr>
        <w:tab/>
      </w:r>
      <w:r>
        <w:rPr>
          <w:sz w:val="24"/>
          <w:szCs w:val="24"/>
        </w:rPr>
        <w:fldChar w:fldCharType="begin"/>
      </w:r>
      <w:r>
        <w:rPr>
          <w:sz w:val="24"/>
          <w:szCs w:val="24"/>
        </w:rPr>
        <w:instrText xml:space="preserve"> PAGEREF _Toc471 \h </w:instrText>
      </w:r>
      <w:r>
        <w:rPr>
          <w:sz w:val="24"/>
          <w:szCs w:val="24"/>
        </w:rPr>
        <w:fldChar w:fldCharType="separate"/>
      </w:r>
      <w:r>
        <w:rPr>
          <w:sz w:val="24"/>
          <w:szCs w:val="24"/>
        </w:rPr>
        <w:t>50</w:t>
      </w:r>
      <w:r>
        <w:rPr>
          <w:sz w:val="24"/>
          <w:szCs w:val="24"/>
        </w:rPr>
        <w:fldChar w:fldCharType="end"/>
      </w:r>
      <w:r>
        <w:rPr>
          <w:rFonts w:hint="eastAsia" w:ascii="宋体" w:hAnsi="宋体" w:eastAsia="宋体" w:cs="宋体"/>
          <w:color w:val="auto"/>
          <w:sz w:val="24"/>
          <w:szCs w:val="24"/>
          <w:highlight w:val="none"/>
        </w:rPr>
        <w:fldChar w:fldCharType="end"/>
      </w:r>
    </w:p>
    <w:p w14:paraId="270C0788">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_Toc28022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6．专业工程分包</w:t>
      </w:r>
      <w:r>
        <w:rPr>
          <w:sz w:val="24"/>
          <w:szCs w:val="24"/>
        </w:rPr>
        <w:tab/>
      </w:r>
      <w:r>
        <w:rPr>
          <w:sz w:val="24"/>
          <w:szCs w:val="24"/>
        </w:rPr>
        <w:fldChar w:fldCharType="begin"/>
      </w:r>
      <w:r>
        <w:rPr>
          <w:sz w:val="24"/>
          <w:szCs w:val="24"/>
        </w:rPr>
        <w:instrText xml:space="preserve"> PAGEREF _Toc28022 \h </w:instrText>
      </w:r>
      <w:r>
        <w:rPr>
          <w:sz w:val="24"/>
          <w:szCs w:val="24"/>
        </w:rPr>
        <w:fldChar w:fldCharType="separate"/>
      </w:r>
      <w:r>
        <w:rPr>
          <w:sz w:val="24"/>
          <w:szCs w:val="24"/>
        </w:rPr>
        <w:t>50</w:t>
      </w:r>
      <w:r>
        <w:rPr>
          <w:sz w:val="24"/>
          <w:szCs w:val="24"/>
        </w:rPr>
        <w:fldChar w:fldCharType="end"/>
      </w:r>
      <w:r>
        <w:rPr>
          <w:rFonts w:hint="eastAsia" w:ascii="宋体" w:hAnsi="宋体" w:eastAsia="宋体" w:cs="宋体"/>
          <w:color w:val="auto"/>
          <w:sz w:val="24"/>
          <w:szCs w:val="24"/>
          <w:highlight w:val="none"/>
        </w:rPr>
        <w:fldChar w:fldCharType="end"/>
      </w:r>
    </w:p>
    <w:p w14:paraId="5FFD8B53">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_Toc27944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7．工人工资支付专用账户</w:t>
      </w:r>
      <w:r>
        <w:rPr>
          <w:sz w:val="24"/>
          <w:szCs w:val="24"/>
        </w:rPr>
        <w:tab/>
      </w:r>
      <w:r>
        <w:rPr>
          <w:sz w:val="24"/>
          <w:szCs w:val="24"/>
        </w:rPr>
        <w:fldChar w:fldCharType="begin"/>
      </w:r>
      <w:r>
        <w:rPr>
          <w:sz w:val="24"/>
          <w:szCs w:val="24"/>
        </w:rPr>
        <w:instrText xml:space="preserve"> PAGEREF _Toc27944 \h </w:instrText>
      </w:r>
      <w:r>
        <w:rPr>
          <w:sz w:val="24"/>
          <w:szCs w:val="24"/>
        </w:rPr>
        <w:fldChar w:fldCharType="separate"/>
      </w:r>
      <w:r>
        <w:rPr>
          <w:sz w:val="24"/>
          <w:szCs w:val="24"/>
        </w:rPr>
        <w:t>50</w:t>
      </w:r>
      <w:r>
        <w:rPr>
          <w:sz w:val="24"/>
          <w:szCs w:val="24"/>
        </w:rPr>
        <w:fldChar w:fldCharType="end"/>
      </w:r>
      <w:r>
        <w:rPr>
          <w:rFonts w:hint="eastAsia" w:ascii="宋体" w:hAnsi="宋体" w:eastAsia="宋体" w:cs="宋体"/>
          <w:color w:val="auto"/>
          <w:sz w:val="24"/>
          <w:szCs w:val="24"/>
          <w:highlight w:val="none"/>
        </w:rPr>
        <w:fldChar w:fldCharType="end"/>
      </w:r>
    </w:p>
    <w:p w14:paraId="282C94C9">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_Toc4816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lang w:val="en-US" w:eastAsia="zh-CN"/>
        </w:rPr>
        <w:t>8</w:t>
      </w:r>
      <w:r>
        <w:rPr>
          <w:rFonts w:hint="eastAsia" w:ascii="宋体" w:hAnsi="宋体" w:eastAsia="宋体" w:cs="宋体"/>
          <w:bCs/>
          <w:spacing w:val="-8"/>
          <w:sz w:val="24"/>
          <w:szCs w:val="24"/>
          <w:highlight w:val="none"/>
        </w:rPr>
        <w:t>．工期进度</w:t>
      </w:r>
      <w:r>
        <w:rPr>
          <w:sz w:val="24"/>
          <w:szCs w:val="24"/>
        </w:rPr>
        <w:tab/>
      </w:r>
      <w:r>
        <w:rPr>
          <w:sz w:val="24"/>
          <w:szCs w:val="24"/>
        </w:rPr>
        <w:fldChar w:fldCharType="begin"/>
      </w:r>
      <w:r>
        <w:rPr>
          <w:sz w:val="24"/>
          <w:szCs w:val="24"/>
        </w:rPr>
        <w:instrText xml:space="preserve"> PAGEREF _Toc4816 \h </w:instrText>
      </w:r>
      <w:r>
        <w:rPr>
          <w:sz w:val="24"/>
          <w:szCs w:val="24"/>
        </w:rPr>
        <w:fldChar w:fldCharType="separate"/>
      </w:r>
      <w:r>
        <w:rPr>
          <w:sz w:val="24"/>
          <w:szCs w:val="24"/>
        </w:rPr>
        <w:t>50</w:t>
      </w:r>
      <w:r>
        <w:rPr>
          <w:sz w:val="24"/>
          <w:szCs w:val="24"/>
        </w:rPr>
        <w:fldChar w:fldCharType="end"/>
      </w:r>
      <w:r>
        <w:rPr>
          <w:rFonts w:hint="eastAsia" w:ascii="宋体" w:hAnsi="宋体" w:eastAsia="宋体" w:cs="宋体"/>
          <w:color w:val="auto"/>
          <w:sz w:val="24"/>
          <w:szCs w:val="24"/>
          <w:highlight w:val="none"/>
        </w:rPr>
        <w:fldChar w:fldCharType="end"/>
      </w:r>
    </w:p>
    <w:p w14:paraId="3DA1C1B9">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_Toc11852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lang w:val="en-US" w:eastAsia="zh-CN"/>
        </w:rPr>
        <w:t>9．项目管理机构</w:t>
      </w:r>
      <w:r>
        <w:rPr>
          <w:sz w:val="24"/>
          <w:szCs w:val="24"/>
        </w:rPr>
        <w:tab/>
      </w:r>
      <w:r>
        <w:rPr>
          <w:sz w:val="24"/>
          <w:szCs w:val="24"/>
        </w:rPr>
        <w:fldChar w:fldCharType="begin"/>
      </w:r>
      <w:r>
        <w:rPr>
          <w:sz w:val="24"/>
          <w:szCs w:val="24"/>
        </w:rPr>
        <w:instrText xml:space="preserve"> PAGEREF _Toc11852 \h </w:instrText>
      </w:r>
      <w:r>
        <w:rPr>
          <w:sz w:val="24"/>
          <w:szCs w:val="24"/>
        </w:rPr>
        <w:fldChar w:fldCharType="separate"/>
      </w:r>
      <w:r>
        <w:rPr>
          <w:sz w:val="24"/>
          <w:szCs w:val="24"/>
        </w:rPr>
        <w:t>51</w:t>
      </w:r>
      <w:r>
        <w:rPr>
          <w:sz w:val="24"/>
          <w:szCs w:val="24"/>
        </w:rPr>
        <w:fldChar w:fldCharType="end"/>
      </w:r>
      <w:r>
        <w:rPr>
          <w:rFonts w:hint="eastAsia" w:ascii="宋体" w:hAnsi="宋体" w:eastAsia="宋体" w:cs="宋体"/>
          <w:color w:val="auto"/>
          <w:sz w:val="24"/>
          <w:szCs w:val="24"/>
          <w:highlight w:val="none"/>
        </w:rPr>
        <w:fldChar w:fldCharType="end"/>
      </w:r>
    </w:p>
    <w:p w14:paraId="2632835F">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_Toc1646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lang w:val="en-US" w:eastAsia="zh-CN"/>
        </w:rPr>
        <w:t>10．现场管理</w:t>
      </w:r>
      <w:r>
        <w:rPr>
          <w:sz w:val="24"/>
          <w:szCs w:val="24"/>
        </w:rPr>
        <w:tab/>
      </w:r>
      <w:r>
        <w:rPr>
          <w:sz w:val="24"/>
          <w:szCs w:val="24"/>
        </w:rPr>
        <w:fldChar w:fldCharType="begin"/>
      </w:r>
      <w:r>
        <w:rPr>
          <w:sz w:val="24"/>
          <w:szCs w:val="24"/>
        </w:rPr>
        <w:instrText xml:space="preserve"> PAGEREF _Toc1646 \h </w:instrText>
      </w:r>
      <w:r>
        <w:rPr>
          <w:sz w:val="24"/>
          <w:szCs w:val="24"/>
        </w:rPr>
        <w:fldChar w:fldCharType="separate"/>
      </w:r>
      <w:r>
        <w:rPr>
          <w:sz w:val="24"/>
          <w:szCs w:val="24"/>
        </w:rPr>
        <w:t>51</w:t>
      </w:r>
      <w:r>
        <w:rPr>
          <w:sz w:val="24"/>
          <w:szCs w:val="24"/>
        </w:rPr>
        <w:fldChar w:fldCharType="end"/>
      </w:r>
      <w:r>
        <w:rPr>
          <w:rFonts w:hint="eastAsia" w:ascii="宋体" w:hAnsi="宋体" w:eastAsia="宋体" w:cs="宋体"/>
          <w:color w:val="auto"/>
          <w:sz w:val="24"/>
          <w:szCs w:val="24"/>
          <w:highlight w:val="none"/>
        </w:rPr>
        <w:fldChar w:fldCharType="end"/>
      </w:r>
    </w:p>
    <w:p w14:paraId="2217C294">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_Toc20086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lang w:val="en-US" w:eastAsia="zh-CN"/>
        </w:rPr>
        <w:t>11．监督实施</w:t>
      </w:r>
      <w:r>
        <w:rPr>
          <w:sz w:val="24"/>
          <w:szCs w:val="24"/>
        </w:rPr>
        <w:tab/>
      </w:r>
      <w:r>
        <w:rPr>
          <w:sz w:val="24"/>
          <w:szCs w:val="24"/>
        </w:rPr>
        <w:fldChar w:fldCharType="begin"/>
      </w:r>
      <w:r>
        <w:rPr>
          <w:sz w:val="24"/>
          <w:szCs w:val="24"/>
        </w:rPr>
        <w:instrText xml:space="preserve"> PAGEREF _Toc20086 \h </w:instrText>
      </w:r>
      <w:r>
        <w:rPr>
          <w:sz w:val="24"/>
          <w:szCs w:val="24"/>
        </w:rPr>
        <w:fldChar w:fldCharType="separate"/>
      </w:r>
      <w:r>
        <w:rPr>
          <w:sz w:val="24"/>
          <w:szCs w:val="24"/>
        </w:rPr>
        <w:t>51</w:t>
      </w:r>
      <w:r>
        <w:rPr>
          <w:sz w:val="24"/>
          <w:szCs w:val="24"/>
        </w:rPr>
        <w:fldChar w:fldCharType="end"/>
      </w:r>
      <w:r>
        <w:rPr>
          <w:rFonts w:hint="eastAsia" w:ascii="宋体" w:hAnsi="宋体" w:eastAsia="宋体" w:cs="宋体"/>
          <w:color w:val="auto"/>
          <w:sz w:val="24"/>
          <w:szCs w:val="24"/>
          <w:highlight w:val="none"/>
        </w:rPr>
        <w:fldChar w:fldCharType="end"/>
      </w:r>
    </w:p>
    <w:p w14:paraId="2C8A7746">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lang w:val="en-US" w:eastAsia="zh-CN"/>
        </w:rPr>
        <w:t>12．主材的采购和使用</w:t>
      </w:r>
      <w:r>
        <w:rPr>
          <w:sz w:val="24"/>
          <w:szCs w:val="24"/>
        </w:rPr>
        <w:tab/>
      </w:r>
      <w:r>
        <w:rPr>
          <w:sz w:val="24"/>
          <w:szCs w:val="24"/>
        </w:rPr>
        <w:fldChar w:fldCharType="begin"/>
      </w:r>
      <w:r>
        <w:rPr>
          <w:sz w:val="24"/>
          <w:szCs w:val="24"/>
        </w:rPr>
        <w:instrText xml:space="preserve"> PAGEREF _Toc21638 \h </w:instrText>
      </w:r>
      <w:r>
        <w:rPr>
          <w:sz w:val="24"/>
          <w:szCs w:val="24"/>
        </w:rPr>
        <w:fldChar w:fldCharType="separate"/>
      </w:r>
      <w:r>
        <w:rPr>
          <w:sz w:val="24"/>
          <w:szCs w:val="24"/>
        </w:rPr>
        <w:t>51</w:t>
      </w:r>
      <w:r>
        <w:rPr>
          <w:sz w:val="24"/>
          <w:szCs w:val="24"/>
        </w:rPr>
        <w:fldChar w:fldCharType="end"/>
      </w:r>
      <w:r>
        <w:rPr>
          <w:rFonts w:hint="eastAsia" w:ascii="宋体" w:hAnsi="宋体" w:eastAsia="宋体" w:cs="宋体"/>
          <w:color w:val="auto"/>
          <w:sz w:val="24"/>
          <w:szCs w:val="24"/>
          <w:highlight w:val="none"/>
        </w:rPr>
        <w:fldChar w:fldCharType="end"/>
      </w:r>
    </w:p>
    <w:p w14:paraId="10A12DDE">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_Toc31116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lang w:val="en-US" w:eastAsia="zh-CN"/>
        </w:rPr>
        <w:t>13．竣工资料移交</w:t>
      </w:r>
      <w:r>
        <w:rPr>
          <w:sz w:val="24"/>
          <w:szCs w:val="24"/>
        </w:rPr>
        <w:tab/>
      </w:r>
      <w:r>
        <w:rPr>
          <w:sz w:val="24"/>
          <w:szCs w:val="24"/>
        </w:rPr>
        <w:fldChar w:fldCharType="begin"/>
      </w:r>
      <w:r>
        <w:rPr>
          <w:sz w:val="24"/>
          <w:szCs w:val="24"/>
        </w:rPr>
        <w:instrText xml:space="preserve"> PAGEREF _Toc31116 \h </w:instrText>
      </w:r>
      <w:r>
        <w:rPr>
          <w:sz w:val="24"/>
          <w:szCs w:val="24"/>
        </w:rPr>
        <w:fldChar w:fldCharType="separate"/>
      </w:r>
      <w:r>
        <w:rPr>
          <w:sz w:val="24"/>
          <w:szCs w:val="24"/>
        </w:rPr>
        <w:t>52</w:t>
      </w:r>
      <w:r>
        <w:rPr>
          <w:sz w:val="24"/>
          <w:szCs w:val="24"/>
        </w:rPr>
        <w:fldChar w:fldCharType="end"/>
      </w:r>
      <w:r>
        <w:rPr>
          <w:rFonts w:hint="eastAsia" w:ascii="宋体" w:hAnsi="宋体" w:eastAsia="宋体" w:cs="宋体"/>
          <w:color w:val="auto"/>
          <w:sz w:val="24"/>
          <w:szCs w:val="24"/>
          <w:highlight w:val="none"/>
        </w:rPr>
        <w:fldChar w:fldCharType="end"/>
      </w:r>
    </w:p>
    <w:p w14:paraId="556497AF">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_Toc12232 </w:instrText>
      </w:r>
      <w:r>
        <w:rPr>
          <w:rFonts w:hint="eastAsia" w:ascii="宋体" w:hAnsi="宋体" w:eastAsia="宋体" w:cs="宋体"/>
          <w:sz w:val="24"/>
          <w:szCs w:val="24"/>
          <w:highlight w:val="none"/>
        </w:rPr>
        <w:fldChar w:fldCharType="separate"/>
      </w:r>
      <w:r>
        <w:rPr>
          <w:rFonts w:hint="eastAsia" w:ascii="宋体" w:hAnsi="宋体" w:eastAsia="宋体" w:cs="宋体"/>
          <w:snapToGrid w:val="0"/>
          <w:kern w:val="0"/>
          <w:sz w:val="24"/>
          <w:szCs w:val="24"/>
          <w:highlight w:val="none"/>
        </w:rPr>
        <w:t>1</w:t>
      </w:r>
      <w:r>
        <w:rPr>
          <w:rFonts w:hint="eastAsia" w:ascii="宋体" w:hAnsi="宋体" w:eastAsia="宋体" w:cs="宋体"/>
          <w:snapToGrid w:val="0"/>
          <w:kern w:val="0"/>
          <w:sz w:val="24"/>
          <w:szCs w:val="24"/>
          <w:highlight w:val="none"/>
          <w:lang w:val="en-US" w:eastAsia="zh-CN"/>
        </w:rPr>
        <w:t>4</w:t>
      </w:r>
      <w:r>
        <w:rPr>
          <w:rFonts w:hint="eastAsia" w:ascii="宋体" w:hAnsi="宋体" w:eastAsia="宋体" w:cs="宋体"/>
          <w:snapToGrid w:val="0"/>
          <w:kern w:val="0"/>
          <w:sz w:val="24"/>
          <w:szCs w:val="24"/>
          <w:highlight w:val="none"/>
        </w:rPr>
        <w:t>．质量保证</w:t>
      </w:r>
      <w:r>
        <w:rPr>
          <w:sz w:val="24"/>
          <w:szCs w:val="24"/>
        </w:rPr>
        <w:tab/>
      </w:r>
      <w:r>
        <w:rPr>
          <w:sz w:val="24"/>
          <w:szCs w:val="24"/>
        </w:rPr>
        <w:fldChar w:fldCharType="begin"/>
      </w:r>
      <w:r>
        <w:rPr>
          <w:sz w:val="24"/>
          <w:szCs w:val="24"/>
        </w:rPr>
        <w:instrText xml:space="preserve"> PAGEREF _Toc12232 \h </w:instrText>
      </w:r>
      <w:r>
        <w:rPr>
          <w:sz w:val="24"/>
          <w:szCs w:val="24"/>
        </w:rPr>
        <w:fldChar w:fldCharType="separate"/>
      </w:r>
      <w:r>
        <w:rPr>
          <w:sz w:val="24"/>
          <w:szCs w:val="24"/>
        </w:rPr>
        <w:t>52</w:t>
      </w:r>
      <w:r>
        <w:rPr>
          <w:sz w:val="24"/>
          <w:szCs w:val="24"/>
        </w:rPr>
        <w:fldChar w:fldCharType="end"/>
      </w:r>
      <w:r>
        <w:rPr>
          <w:rFonts w:hint="eastAsia" w:ascii="宋体" w:hAnsi="宋体" w:eastAsia="宋体" w:cs="宋体"/>
          <w:color w:val="auto"/>
          <w:sz w:val="24"/>
          <w:szCs w:val="24"/>
          <w:highlight w:val="none"/>
        </w:rPr>
        <w:fldChar w:fldCharType="end"/>
      </w:r>
    </w:p>
    <w:p w14:paraId="3D0F6D50">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_Toc31834 </w:instrText>
      </w:r>
      <w:r>
        <w:rPr>
          <w:rFonts w:hint="eastAsia" w:ascii="宋体" w:hAnsi="宋体" w:eastAsia="宋体" w:cs="宋体"/>
          <w:sz w:val="24"/>
          <w:szCs w:val="24"/>
          <w:highlight w:val="none"/>
        </w:rPr>
        <w:fldChar w:fldCharType="separate"/>
      </w:r>
      <w:r>
        <w:rPr>
          <w:rFonts w:hint="eastAsia" w:ascii="宋体" w:hAnsi="宋体" w:eastAsia="宋体" w:cs="宋体"/>
          <w:snapToGrid w:val="0"/>
          <w:kern w:val="0"/>
          <w:sz w:val="24"/>
          <w:szCs w:val="24"/>
          <w:highlight w:val="none"/>
        </w:rPr>
        <w:t>1</w:t>
      </w:r>
      <w:r>
        <w:rPr>
          <w:rFonts w:hint="eastAsia" w:ascii="宋体" w:hAnsi="宋体" w:eastAsia="宋体" w:cs="宋体"/>
          <w:snapToGrid w:val="0"/>
          <w:kern w:val="0"/>
          <w:sz w:val="24"/>
          <w:szCs w:val="24"/>
          <w:highlight w:val="none"/>
          <w:lang w:val="en-US" w:eastAsia="zh-CN"/>
        </w:rPr>
        <w:t>5</w:t>
      </w:r>
      <w:r>
        <w:rPr>
          <w:rFonts w:hint="eastAsia" w:ascii="宋体" w:hAnsi="宋体" w:eastAsia="宋体" w:cs="宋体"/>
          <w:snapToGrid w:val="0"/>
          <w:kern w:val="0"/>
          <w:sz w:val="24"/>
          <w:szCs w:val="24"/>
          <w:highlight w:val="none"/>
        </w:rPr>
        <w:t>．不良行为处理</w:t>
      </w:r>
      <w:r>
        <w:rPr>
          <w:sz w:val="24"/>
          <w:szCs w:val="24"/>
        </w:rPr>
        <w:tab/>
      </w:r>
      <w:r>
        <w:rPr>
          <w:sz w:val="24"/>
          <w:szCs w:val="24"/>
        </w:rPr>
        <w:fldChar w:fldCharType="begin"/>
      </w:r>
      <w:r>
        <w:rPr>
          <w:sz w:val="24"/>
          <w:szCs w:val="24"/>
        </w:rPr>
        <w:instrText xml:space="preserve"> PAGEREF _Toc31834 \h </w:instrText>
      </w:r>
      <w:r>
        <w:rPr>
          <w:sz w:val="24"/>
          <w:szCs w:val="24"/>
        </w:rPr>
        <w:fldChar w:fldCharType="separate"/>
      </w:r>
      <w:r>
        <w:rPr>
          <w:sz w:val="24"/>
          <w:szCs w:val="24"/>
        </w:rPr>
        <w:t>52</w:t>
      </w:r>
      <w:r>
        <w:rPr>
          <w:sz w:val="24"/>
          <w:szCs w:val="24"/>
        </w:rPr>
        <w:fldChar w:fldCharType="end"/>
      </w:r>
      <w:r>
        <w:rPr>
          <w:rFonts w:hint="eastAsia" w:ascii="宋体" w:hAnsi="宋体" w:eastAsia="宋体" w:cs="宋体"/>
          <w:color w:val="auto"/>
          <w:sz w:val="24"/>
          <w:szCs w:val="24"/>
          <w:highlight w:val="none"/>
        </w:rPr>
        <w:fldChar w:fldCharType="end"/>
      </w:r>
    </w:p>
    <w:p w14:paraId="5FF4CA97">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_Toc27459 </w:instrText>
      </w:r>
      <w:r>
        <w:rPr>
          <w:rFonts w:hint="eastAsia" w:ascii="宋体" w:hAnsi="宋体" w:eastAsia="宋体" w:cs="宋体"/>
          <w:sz w:val="24"/>
          <w:szCs w:val="24"/>
          <w:highlight w:val="none"/>
        </w:rPr>
        <w:fldChar w:fldCharType="separate"/>
      </w:r>
      <w:r>
        <w:rPr>
          <w:rFonts w:hint="eastAsia" w:ascii="宋体" w:hAnsi="宋体" w:eastAsia="宋体" w:cs="宋体"/>
          <w:snapToGrid w:val="0"/>
          <w:kern w:val="0"/>
          <w:sz w:val="24"/>
          <w:szCs w:val="24"/>
          <w:highlight w:val="none"/>
        </w:rPr>
        <w:t>1</w:t>
      </w:r>
      <w:r>
        <w:rPr>
          <w:rFonts w:hint="eastAsia" w:ascii="宋体" w:hAnsi="宋体" w:eastAsia="宋体" w:cs="宋体"/>
          <w:snapToGrid w:val="0"/>
          <w:kern w:val="0"/>
          <w:sz w:val="24"/>
          <w:szCs w:val="24"/>
          <w:highlight w:val="none"/>
          <w:lang w:val="en-US" w:eastAsia="zh-CN"/>
        </w:rPr>
        <w:t>6</w:t>
      </w:r>
      <w:r>
        <w:rPr>
          <w:rFonts w:hint="eastAsia" w:ascii="宋体" w:hAnsi="宋体" w:eastAsia="宋体" w:cs="宋体"/>
          <w:snapToGrid w:val="0"/>
          <w:kern w:val="0"/>
          <w:sz w:val="24"/>
          <w:szCs w:val="24"/>
          <w:highlight w:val="none"/>
        </w:rPr>
        <w:t>．信用评价条款内容</w:t>
      </w:r>
      <w:r>
        <w:rPr>
          <w:sz w:val="24"/>
          <w:szCs w:val="24"/>
        </w:rPr>
        <w:tab/>
      </w:r>
      <w:r>
        <w:rPr>
          <w:sz w:val="24"/>
          <w:szCs w:val="24"/>
        </w:rPr>
        <w:fldChar w:fldCharType="begin"/>
      </w:r>
      <w:r>
        <w:rPr>
          <w:sz w:val="24"/>
          <w:szCs w:val="24"/>
        </w:rPr>
        <w:instrText xml:space="preserve"> PAGEREF _Toc27459 \h </w:instrText>
      </w:r>
      <w:r>
        <w:rPr>
          <w:sz w:val="24"/>
          <w:szCs w:val="24"/>
        </w:rPr>
        <w:fldChar w:fldCharType="separate"/>
      </w:r>
      <w:r>
        <w:rPr>
          <w:sz w:val="24"/>
          <w:szCs w:val="24"/>
        </w:rPr>
        <w:t>52</w:t>
      </w:r>
      <w:r>
        <w:rPr>
          <w:sz w:val="24"/>
          <w:szCs w:val="24"/>
        </w:rPr>
        <w:fldChar w:fldCharType="end"/>
      </w:r>
      <w:r>
        <w:rPr>
          <w:rFonts w:hint="eastAsia" w:ascii="宋体" w:hAnsi="宋体" w:eastAsia="宋体" w:cs="宋体"/>
          <w:color w:val="auto"/>
          <w:sz w:val="24"/>
          <w:szCs w:val="24"/>
          <w:highlight w:val="none"/>
        </w:rPr>
        <w:fldChar w:fldCharType="end"/>
      </w:r>
    </w:p>
    <w:p w14:paraId="1E177466">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_Toc31069 </w:instrText>
      </w:r>
      <w:r>
        <w:rPr>
          <w:rFonts w:hint="eastAsia" w:ascii="宋体" w:hAnsi="宋体" w:eastAsia="宋体" w:cs="宋体"/>
          <w:sz w:val="24"/>
          <w:szCs w:val="24"/>
          <w:highlight w:val="none"/>
        </w:rPr>
        <w:fldChar w:fldCharType="separate"/>
      </w:r>
      <w:r>
        <w:rPr>
          <w:rFonts w:hint="eastAsia" w:ascii="宋体" w:hAnsi="宋体" w:eastAsia="宋体" w:cs="宋体"/>
          <w:snapToGrid w:val="0"/>
          <w:kern w:val="0"/>
          <w:sz w:val="24"/>
          <w:szCs w:val="24"/>
          <w:highlight w:val="none"/>
        </w:rPr>
        <w:t>1</w:t>
      </w:r>
      <w:r>
        <w:rPr>
          <w:rFonts w:hint="eastAsia" w:ascii="宋体" w:hAnsi="宋体" w:eastAsia="宋体" w:cs="宋体"/>
          <w:snapToGrid w:val="0"/>
          <w:kern w:val="0"/>
          <w:sz w:val="24"/>
          <w:szCs w:val="24"/>
          <w:highlight w:val="none"/>
          <w:lang w:val="en-US" w:eastAsia="zh-CN"/>
        </w:rPr>
        <w:t>7</w:t>
      </w:r>
      <w:r>
        <w:rPr>
          <w:rFonts w:hint="eastAsia" w:ascii="宋体" w:hAnsi="宋体" w:eastAsia="宋体" w:cs="宋体"/>
          <w:snapToGrid w:val="0"/>
          <w:kern w:val="0"/>
          <w:sz w:val="24"/>
          <w:szCs w:val="24"/>
          <w:highlight w:val="none"/>
        </w:rPr>
        <w:t>.</w:t>
      </w:r>
      <w:r>
        <w:rPr>
          <w:rFonts w:hint="eastAsia" w:ascii="宋体" w:hAnsi="宋体" w:eastAsia="宋体" w:cs="宋体"/>
          <w:snapToGrid w:val="0"/>
          <w:kern w:val="0"/>
          <w:sz w:val="24"/>
          <w:szCs w:val="24"/>
          <w:highlight w:val="none"/>
          <w:lang w:val="en-US" w:eastAsia="zh-CN"/>
        </w:rPr>
        <w:t>其他事项</w:t>
      </w:r>
      <w:r>
        <w:rPr>
          <w:sz w:val="24"/>
          <w:szCs w:val="24"/>
        </w:rPr>
        <w:tab/>
      </w:r>
      <w:r>
        <w:rPr>
          <w:sz w:val="24"/>
          <w:szCs w:val="24"/>
        </w:rPr>
        <w:fldChar w:fldCharType="begin"/>
      </w:r>
      <w:r>
        <w:rPr>
          <w:sz w:val="24"/>
          <w:szCs w:val="24"/>
        </w:rPr>
        <w:instrText xml:space="preserve"> PAGEREF _Toc31069 \h </w:instrText>
      </w:r>
      <w:r>
        <w:rPr>
          <w:sz w:val="24"/>
          <w:szCs w:val="24"/>
        </w:rPr>
        <w:fldChar w:fldCharType="separate"/>
      </w:r>
      <w:r>
        <w:rPr>
          <w:sz w:val="24"/>
          <w:szCs w:val="24"/>
        </w:rPr>
        <w:t>53</w:t>
      </w:r>
      <w:r>
        <w:rPr>
          <w:sz w:val="24"/>
          <w:szCs w:val="24"/>
        </w:rPr>
        <w:fldChar w:fldCharType="end"/>
      </w:r>
      <w:r>
        <w:rPr>
          <w:rFonts w:hint="eastAsia" w:ascii="宋体" w:hAnsi="宋体" w:eastAsia="宋体" w:cs="宋体"/>
          <w:color w:val="auto"/>
          <w:sz w:val="24"/>
          <w:szCs w:val="24"/>
          <w:highlight w:val="none"/>
        </w:rPr>
        <w:fldChar w:fldCharType="end"/>
      </w:r>
    </w:p>
    <w:p w14:paraId="62D0ABFB">
      <w:pPr>
        <w:pStyle w:val="12"/>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_Toc29824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拟签订合同的主要条款</w:t>
      </w:r>
      <w:r>
        <w:rPr>
          <w:sz w:val="24"/>
          <w:szCs w:val="24"/>
        </w:rPr>
        <w:tab/>
      </w:r>
      <w:r>
        <w:rPr>
          <w:sz w:val="24"/>
          <w:szCs w:val="24"/>
        </w:rPr>
        <w:fldChar w:fldCharType="begin"/>
      </w:r>
      <w:r>
        <w:rPr>
          <w:sz w:val="24"/>
          <w:szCs w:val="24"/>
        </w:rPr>
        <w:instrText xml:space="preserve"> PAGEREF _Toc29824 \h </w:instrText>
      </w:r>
      <w:r>
        <w:rPr>
          <w:sz w:val="24"/>
          <w:szCs w:val="24"/>
        </w:rPr>
        <w:fldChar w:fldCharType="separate"/>
      </w:r>
      <w:r>
        <w:rPr>
          <w:sz w:val="24"/>
          <w:szCs w:val="24"/>
        </w:rPr>
        <w:t>58</w:t>
      </w:r>
      <w:r>
        <w:rPr>
          <w:sz w:val="24"/>
          <w:szCs w:val="24"/>
        </w:rPr>
        <w:fldChar w:fldCharType="end"/>
      </w:r>
      <w:r>
        <w:rPr>
          <w:rFonts w:hint="eastAsia" w:ascii="宋体" w:hAnsi="宋体" w:eastAsia="宋体" w:cs="宋体"/>
          <w:color w:val="auto"/>
          <w:sz w:val="24"/>
          <w:szCs w:val="24"/>
          <w:highlight w:val="none"/>
        </w:rPr>
        <w:fldChar w:fldCharType="end"/>
      </w:r>
    </w:p>
    <w:p w14:paraId="69F5142F">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_Toc12529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．工程承包方式</w:t>
      </w:r>
      <w:r>
        <w:rPr>
          <w:sz w:val="24"/>
          <w:szCs w:val="24"/>
        </w:rPr>
        <w:tab/>
      </w:r>
      <w:r>
        <w:rPr>
          <w:sz w:val="24"/>
          <w:szCs w:val="24"/>
        </w:rPr>
        <w:fldChar w:fldCharType="begin"/>
      </w:r>
      <w:r>
        <w:rPr>
          <w:sz w:val="24"/>
          <w:szCs w:val="24"/>
        </w:rPr>
        <w:instrText xml:space="preserve"> PAGEREF _Toc12529 \h </w:instrText>
      </w:r>
      <w:r>
        <w:rPr>
          <w:sz w:val="24"/>
          <w:szCs w:val="24"/>
        </w:rPr>
        <w:fldChar w:fldCharType="separate"/>
      </w:r>
      <w:r>
        <w:rPr>
          <w:sz w:val="24"/>
          <w:szCs w:val="24"/>
        </w:rPr>
        <w:t>58</w:t>
      </w:r>
      <w:r>
        <w:rPr>
          <w:sz w:val="24"/>
          <w:szCs w:val="24"/>
        </w:rPr>
        <w:fldChar w:fldCharType="end"/>
      </w:r>
      <w:r>
        <w:rPr>
          <w:rFonts w:hint="eastAsia" w:ascii="宋体" w:hAnsi="宋体" w:eastAsia="宋体" w:cs="宋体"/>
          <w:color w:val="auto"/>
          <w:sz w:val="24"/>
          <w:szCs w:val="24"/>
          <w:highlight w:val="none"/>
        </w:rPr>
        <w:fldChar w:fldCharType="end"/>
      </w:r>
    </w:p>
    <w:p w14:paraId="76ED6BB5">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_Toc22398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．工程结算原则</w:t>
      </w:r>
      <w:r>
        <w:rPr>
          <w:sz w:val="24"/>
          <w:szCs w:val="24"/>
        </w:rPr>
        <w:tab/>
      </w:r>
      <w:r>
        <w:rPr>
          <w:sz w:val="24"/>
          <w:szCs w:val="24"/>
        </w:rPr>
        <w:fldChar w:fldCharType="begin"/>
      </w:r>
      <w:r>
        <w:rPr>
          <w:sz w:val="24"/>
          <w:szCs w:val="24"/>
        </w:rPr>
        <w:instrText xml:space="preserve"> PAGEREF _Toc22398 \h </w:instrText>
      </w:r>
      <w:r>
        <w:rPr>
          <w:sz w:val="24"/>
          <w:szCs w:val="24"/>
        </w:rPr>
        <w:fldChar w:fldCharType="separate"/>
      </w:r>
      <w:r>
        <w:rPr>
          <w:sz w:val="24"/>
          <w:szCs w:val="24"/>
        </w:rPr>
        <w:t>58</w:t>
      </w:r>
      <w:r>
        <w:rPr>
          <w:sz w:val="24"/>
          <w:szCs w:val="24"/>
        </w:rPr>
        <w:fldChar w:fldCharType="end"/>
      </w:r>
      <w:r>
        <w:rPr>
          <w:rFonts w:hint="eastAsia" w:ascii="宋体" w:hAnsi="宋体" w:eastAsia="宋体" w:cs="宋体"/>
          <w:color w:val="auto"/>
          <w:sz w:val="24"/>
          <w:szCs w:val="24"/>
          <w:highlight w:val="none"/>
        </w:rPr>
        <w:fldChar w:fldCharType="end"/>
      </w:r>
    </w:p>
    <w:p w14:paraId="58121E72">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_Toc24552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3. 工程付款办法</w:t>
      </w:r>
      <w:r>
        <w:rPr>
          <w:sz w:val="24"/>
          <w:szCs w:val="24"/>
        </w:rPr>
        <w:tab/>
      </w:r>
      <w:r>
        <w:rPr>
          <w:sz w:val="24"/>
          <w:szCs w:val="24"/>
        </w:rPr>
        <w:fldChar w:fldCharType="begin"/>
      </w:r>
      <w:r>
        <w:rPr>
          <w:sz w:val="24"/>
          <w:szCs w:val="24"/>
        </w:rPr>
        <w:instrText xml:space="preserve"> PAGEREF _Toc24552 \h </w:instrText>
      </w:r>
      <w:r>
        <w:rPr>
          <w:sz w:val="24"/>
          <w:szCs w:val="24"/>
        </w:rPr>
        <w:fldChar w:fldCharType="separate"/>
      </w:r>
      <w:r>
        <w:rPr>
          <w:sz w:val="24"/>
          <w:szCs w:val="24"/>
        </w:rPr>
        <w:t>64</w:t>
      </w:r>
      <w:r>
        <w:rPr>
          <w:sz w:val="24"/>
          <w:szCs w:val="24"/>
        </w:rPr>
        <w:fldChar w:fldCharType="end"/>
      </w:r>
      <w:r>
        <w:rPr>
          <w:rFonts w:hint="eastAsia" w:ascii="宋体" w:hAnsi="宋体" w:eastAsia="宋体" w:cs="宋体"/>
          <w:color w:val="auto"/>
          <w:sz w:val="24"/>
          <w:szCs w:val="24"/>
          <w:highlight w:val="none"/>
        </w:rPr>
        <w:fldChar w:fldCharType="end"/>
      </w:r>
    </w:p>
    <w:p w14:paraId="243126A2">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_Toc25451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4</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7"/>
          <w:sz w:val="24"/>
          <w:szCs w:val="24"/>
          <w:highlight w:val="none"/>
        </w:rPr>
        <w:t>．其他专用合同条款</w:t>
      </w:r>
      <w:r>
        <w:rPr>
          <w:sz w:val="24"/>
          <w:szCs w:val="24"/>
        </w:rPr>
        <w:tab/>
      </w:r>
      <w:r>
        <w:rPr>
          <w:sz w:val="24"/>
          <w:szCs w:val="24"/>
        </w:rPr>
        <w:fldChar w:fldCharType="begin"/>
      </w:r>
      <w:r>
        <w:rPr>
          <w:sz w:val="24"/>
          <w:szCs w:val="24"/>
        </w:rPr>
        <w:instrText xml:space="preserve"> PAGEREF _Toc25451 \h </w:instrText>
      </w:r>
      <w:r>
        <w:rPr>
          <w:sz w:val="24"/>
          <w:szCs w:val="24"/>
        </w:rPr>
        <w:fldChar w:fldCharType="separate"/>
      </w:r>
      <w:r>
        <w:rPr>
          <w:sz w:val="24"/>
          <w:szCs w:val="24"/>
        </w:rPr>
        <w:t>65</w:t>
      </w:r>
      <w:r>
        <w:rPr>
          <w:sz w:val="24"/>
          <w:szCs w:val="24"/>
        </w:rPr>
        <w:fldChar w:fldCharType="end"/>
      </w:r>
      <w:r>
        <w:rPr>
          <w:rFonts w:hint="eastAsia" w:ascii="宋体" w:hAnsi="宋体" w:eastAsia="宋体" w:cs="宋体"/>
          <w:color w:val="auto"/>
          <w:sz w:val="24"/>
          <w:szCs w:val="24"/>
          <w:highlight w:val="none"/>
        </w:rPr>
        <w:fldChar w:fldCharType="end"/>
      </w:r>
    </w:p>
    <w:p w14:paraId="5A73CDB1">
      <w:pPr>
        <w:pStyle w:val="12"/>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_Toc4046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技术要求</w:t>
      </w:r>
      <w:r>
        <w:rPr>
          <w:sz w:val="24"/>
          <w:szCs w:val="24"/>
        </w:rPr>
        <w:tab/>
      </w:r>
      <w:r>
        <w:rPr>
          <w:sz w:val="24"/>
          <w:szCs w:val="24"/>
        </w:rPr>
        <w:fldChar w:fldCharType="begin"/>
      </w:r>
      <w:r>
        <w:rPr>
          <w:sz w:val="24"/>
          <w:szCs w:val="24"/>
        </w:rPr>
        <w:instrText xml:space="preserve"> PAGEREF _Toc4046 \h </w:instrText>
      </w:r>
      <w:r>
        <w:rPr>
          <w:sz w:val="24"/>
          <w:szCs w:val="24"/>
        </w:rPr>
        <w:fldChar w:fldCharType="separate"/>
      </w:r>
      <w:r>
        <w:rPr>
          <w:sz w:val="24"/>
          <w:szCs w:val="24"/>
        </w:rPr>
        <w:t>67</w:t>
      </w:r>
      <w:r>
        <w:rPr>
          <w:sz w:val="24"/>
          <w:szCs w:val="24"/>
        </w:rPr>
        <w:fldChar w:fldCharType="end"/>
      </w:r>
      <w:r>
        <w:rPr>
          <w:rFonts w:hint="eastAsia" w:ascii="宋体" w:hAnsi="宋体" w:eastAsia="宋体" w:cs="宋体"/>
          <w:color w:val="auto"/>
          <w:sz w:val="24"/>
          <w:szCs w:val="24"/>
          <w:highlight w:val="none"/>
        </w:rPr>
        <w:fldChar w:fldCharType="end"/>
      </w:r>
    </w:p>
    <w:p w14:paraId="6E56416A">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_Toc32338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6"/>
          <w:sz w:val="24"/>
          <w:szCs w:val="24"/>
          <w:highlight w:val="none"/>
        </w:rPr>
        <w:t>．</w:t>
      </w:r>
      <w:r>
        <w:rPr>
          <w:rFonts w:hint="eastAsia" w:ascii="宋体" w:hAnsi="宋体" w:eastAsia="宋体" w:cs="宋体"/>
          <w:bCs/>
          <w:spacing w:val="-1"/>
          <w:sz w:val="24"/>
          <w:szCs w:val="24"/>
          <w:highlight w:val="none"/>
        </w:rPr>
        <w:t>房屋建筑工程建设项目</w:t>
      </w:r>
      <w:r>
        <w:rPr>
          <w:sz w:val="24"/>
          <w:szCs w:val="24"/>
        </w:rPr>
        <w:tab/>
      </w:r>
      <w:r>
        <w:rPr>
          <w:sz w:val="24"/>
          <w:szCs w:val="24"/>
        </w:rPr>
        <w:fldChar w:fldCharType="begin"/>
      </w:r>
      <w:r>
        <w:rPr>
          <w:sz w:val="24"/>
          <w:szCs w:val="24"/>
        </w:rPr>
        <w:instrText xml:space="preserve"> PAGEREF _Toc32338 \h </w:instrText>
      </w:r>
      <w:r>
        <w:rPr>
          <w:sz w:val="24"/>
          <w:szCs w:val="24"/>
        </w:rPr>
        <w:fldChar w:fldCharType="separate"/>
      </w:r>
      <w:r>
        <w:rPr>
          <w:sz w:val="24"/>
          <w:szCs w:val="24"/>
        </w:rPr>
        <w:t>67</w:t>
      </w:r>
      <w:r>
        <w:rPr>
          <w:sz w:val="24"/>
          <w:szCs w:val="24"/>
        </w:rPr>
        <w:fldChar w:fldCharType="end"/>
      </w:r>
      <w:r>
        <w:rPr>
          <w:rFonts w:hint="eastAsia" w:ascii="宋体" w:hAnsi="宋体" w:eastAsia="宋体" w:cs="宋体"/>
          <w:color w:val="auto"/>
          <w:sz w:val="24"/>
          <w:szCs w:val="24"/>
          <w:highlight w:val="none"/>
        </w:rPr>
        <w:fldChar w:fldCharType="end"/>
      </w:r>
    </w:p>
    <w:p w14:paraId="15031AEA">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_Toc20077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2</w:t>
      </w:r>
      <w:r>
        <w:rPr>
          <w:rFonts w:hint="eastAsia" w:ascii="宋体" w:hAnsi="宋体" w:eastAsia="宋体" w:cs="宋体"/>
          <w:bCs/>
          <w:spacing w:val="-18"/>
          <w:sz w:val="24"/>
          <w:szCs w:val="24"/>
          <w:highlight w:val="none"/>
        </w:rPr>
        <w:t xml:space="preserve"> </w:t>
      </w:r>
      <w:r>
        <w:rPr>
          <w:rFonts w:hint="eastAsia" w:ascii="宋体" w:hAnsi="宋体" w:eastAsia="宋体" w:cs="宋体"/>
          <w:bCs/>
          <w:spacing w:val="-5"/>
          <w:sz w:val="24"/>
          <w:szCs w:val="24"/>
          <w:highlight w:val="none"/>
        </w:rPr>
        <w:t>．市政基础设施工程建设项目</w:t>
      </w:r>
      <w:r>
        <w:rPr>
          <w:sz w:val="24"/>
          <w:szCs w:val="24"/>
        </w:rPr>
        <w:tab/>
      </w:r>
      <w:r>
        <w:rPr>
          <w:sz w:val="24"/>
          <w:szCs w:val="24"/>
        </w:rPr>
        <w:fldChar w:fldCharType="begin"/>
      </w:r>
      <w:r>
        <w:rPr>
          <w:sz w:val="24"/>
          <w:szCs w:val="24"/>
        </w:rPr>
        <w:instrText xml:space="preserve"> PAGEREF _Toc20077 \h </w:instrText>
      </w:r>
      <w:r>
        <w:rPr>
          <w:sz w:val="24"/>
          <w:szCs w:val="24"/>
        </w:rPr>
        <w:fldChar w:fldCharType="separate"/>
      </w:r>
      <w:r>
        <w:rPr>
          <w:sz w:val="24"/>
          <w:szCs w:val="24"/>
        </w:rPr>
        <w:t>67</w:t>
      </w:r>
      <w:r>
        <w:rPr>
          <w:sz w:val="24"/>
          <w:szCs w:val="24"/>
        </w:rPr>
        <w:fldChar w:fldCharType="end"/>
      </w:r>
      <w:r>
        <w:rPr>
          <w:rFonts w:hint="eastAsia" w:ascii="宋体" w:hAnsi="宋体" w:eastAsia="宋体" w:cs="宋体"/>
          <w:color w:val="auto"/>
          <w:sz w:val="24"/>
          <w:szCs w:val="24"/>
          <w:highlight w:val="none"/>
        </w:rPr>
        <w:fldChar w:fldCharType="end"/>
      </w:r>
    </w:p>
    <w:p w14:paraId="4340AE97">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_Toc26394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．备查要求</w:t>
      </w:r>
      <w:r>
        <w:rPr>
          <w:sz w:val="24"/>
          <w:szCs w:val="24"/>
        </w:rPr>
        <w:tab/>
      </w:r>
      <w:r>
        <w:rPr>
          <w:sz w:val="24"/>
          <w:szCs w:val="24"/>
        </w:rPr>
        <w:fldChar w:fldCharType="begin"/>
      </w:r>
      <w:r>
        <w:rPr>
          <w:sz w:val="24"/>
          <w:szCs w:val="24"/>
        </w:rPr>
        <w:instrText xml:space="preserve"> PAGEREF _Toc26394 \h </w:instrText>
      </w:r>
      <w:r>
        <w:rPr>
          <w:sz w:val="24"/>
          <w:szCs w:val="24"/>
        </w:rPr>
        <w:fldChar w:fldCharType="separate"/>
      </w:r>
      <w:r>
        <w:rPr>
          <w:sz w:val="24"/>
          <w:szCs w:val="24"/>
        </w:rPr>
        <w:t>68</w:t>
      </w:r>
      <w:r>
        <w:rPr>
          <w:sz w:val="24"/>
          <w:szCs w:val="24"/>
        </w:rPr>
        <w:fldChar w:fldCharType="end"/>
      </w:r>
      <w:r>
        <w:rPr>
          <w:rFonts w:hint="eastAsia" w:ascii="宋体" w:hAnsi="宋体" w:eastAsia="宋体" w:cs="宋体"/>
          <w:color w:val="auto"/>
          <w:sz w:val="24"/>
          <w:szCs w:val="24"/>
          <w:highlight w:val="none"/>
        </w:rPr>
        <w:fldChar w:fldCharType="end"/>
      </w:r>
    </w:p>
    <w:p w14:paraId="209CAC97">
      <w:pPr>
        <w:pStyle w:val="12"/>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_Toc11850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第五章</w:t>
      </w:r>
      <w:r>
        <w:rPr>
          <w:rFonts w:hint="eastAsia" w:ascii="宋体" w:hAnsi="宋体" w:eastAsia="宋体" w:cs="宋体"/>
          <w:spacing w:val="33"/>
          <w:sz w:val="24"/>
          <w:szCs w:val="24"/>
          <w:highlight w:val="none"/>
        </w:rPr>
        <w:t xml:space="preserve"> </w:t>
      </w:r>
      <w:r>
        <w:rPr>
          <w:rFonts w:hint="eastAsia" w:ascii="宋体" w:hAnsi="宋体" w:eastAsia="宋体" w:cs="宋体"/>
          <w:bCs/>
          <w:spacing w:val="-5"/>
          <w:sz w:val="24"/>
          <w:szCs w:val="24"/>
          <w:highlight w:val="none"/>
        </w:rPr>
        <w:t>图纸和招标工程量清单</w:t>
      </w:r>
      <w:r>
        <w:rPr>
          <w:sz w:val="24"/>
          <w:szCs w:val="24"/>
        </w:rPr>
        <w:tab/>
      </w:r>
      <w:r>
        <w:rPr>
          <w:sz w:val="24"/>
          <w:szCs w:val="24"/>
        </w:rPr>
        <w:fldChar w:fldCharType="begin"/>
      </w:r>
      <w:r>
        <w:rPr>
          <w:sz w:val="24"/>
          <w:szCs w:val="24"/>
        </w:rPr>
        <w:instrText xml:space="preserve"> PAGEREF _Toc11850 \h </w:instrText>
      </w:r>
      <w:r>
        <w:rPr>
          <w:sz w:val="24"/>
          <w:szCs w:val="24"/>
        </w:rPr>
        <w:fldChar w:fldCharType="separate"/>
      </w:r>
      <w:r>
        <w:rPr>
          <w:sz w:val="24"/>
          <w:szCs w:val="24"/>
        </w:rPr>
        <w:t>69</w:t>
      </w:r>
      <w:r>
        <w:rPr>
          <w:sz w:val="24"/>
          <w:szCs w:val="24"/>
        </w:rPr>
        <w:fldChar w:fldCharType="end"/>
      </w:r>
      <w:r>
        <w:rPr>
          <w:rFonts w:hint="eastAsia" w:ascii="宋体" w:hAnsi="宋体" w:eastAsia="宋体" w:cs="宋体"/>
          <w:color w:val="auto"/>
          <w:sz w:val="24"/>
          <w:szCs w:val="24"/>
          <w:highlight w:val="none"/>
        </w:rPr>
        <w:fldChar w:fldCharType="end"/>
      </w:r>
    </w:p>
    <w:p w14:paraId="475256FC">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_Toc24705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4"/>
          <w:sz w:val="24"/>
          <w:szCs w:val="24"/>
          <w:highlight w:val="none"/>
        </w:rPr>
        <w:t>1</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14"/>
          <w:sz w:val="24"/>
          <w:szCs w:val="24"/>
          <w:highlight w:val="none"/>
        </w:rPr>
        <w:t>．图纸</w:t>
      </w:r>
      <w:r>
        <w:rPr>
          <w:sz w:val="24"/>
          <w:szCs w:val="24"/>
        </w:rPr>
        <w:tab/>
      </w:r>
      <w:r>
        <w:rPr>
          <w:sz w:val="24"/>
          <w:szCs w:val="24"/>
        </w:rPr>
        <w:fldChar w:fldCharType="begin"/>
      </w:r>
      <w:r>
        <w:rPr>
          <w:sz w:val="24"/>
          <w:szCs w:val="24"/>
        </w:rPr>
        <w:instrText xml:space="preserve"> PAGEREF _Toc24705 \h </w:instrText>
      </w:r>
      <w:r>
        <w:rPr>
          <w:sz w:val="24"/>
          <w:szCs w:val="24"/>
        </w:rPr>
        <w:fldChar w:fldCharType="separate"/>
      </w:r>
      <w:r>
        <w:rPr>
          <w:sz w:val="24"/>
          <w:szCs w:val="24"/>
        </w:rPr>
        <w:t>69</w:t>
      </w:r>
      <w:r>
        <w:rPr>
          <w:sz w:val="24"/>
          <w:szCs w:val="24"/>
        </w:rPr>
        <w:fldChar w:fldCharType="end"/>
      </w:r>
      <w:r>
        <w:rPr>
          <w:rFonts w:hint="eastAsia" w:ascii="宋体" w:hAnsi="宋体" w:eastAsia="宋体" w:cs="宋体"/>
          <w:color w:val="auto"/>
          <w:sz w:val="24"/>
          <w:szCs w:val="24"/>
          <w:highlight w:val="none"/>
        </w:rPr>
        <w:fldChar w:fldCharType="end"/>
      </w:r>
    </w:p>
    <w:p w14:paraId="4A7577CA">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_Toc16436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2</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6"/>
          <w:sz w:val="24"/>
          <w:szCs w:val="24"/>
          <w:highlight w:val="none"/>
        </w:rPr>
        <w:t>．招标工程量清单</w:t>
      </w:r>
      <w:r>
        <w:rPr>
          <w:sz w:val="24"/>
          <w:szCs w:val="24"/>
        </w:rPr>
        <w:tab/>
      </w:r>
      <w:r>
        <w:rPr>
          <w:sz w:val="24"/>
          <w:szCs w:val="24"/>
        </w:rPr>
        <w:fldChar w:fldCharType="begin"/>
      </w:r>
      <w:r>
        <w:rPr>
          <w:sz w:val="24"/>
          <w:szCs w:val="24"/>
        </w:rPr>
        <w:instrText xml:space="preserve"> PAGEREF _Toc16436 \h </w:instrText>
      </w:r>
      <w:r>
        <w:rPr>
          <w:sz w:val="24"/>
          <w:szCs w:val="24"/>
        </w:rPr>
        <w:fldChar w:fldCharType="separate"/>
      </w:r>
      <w:r>
        <w:rPr>
          <w:sz w:val="24"/>
          <w:szCs w:val="24"/>
        </w:rPr>
        <w:t>69</w:t>
      </w:r>
      <w:r>
        <w:rPr>
          <w:sz w:val="24"/>
          <w:szCs w:val="24"/>
        </w:rPr>
        <w:fldChar w:fldCharType="end"/>
      </w:r>
      <w:r>
        <w:rPr>
          <w:rFonts w:hint="eastAsia" w:ascii="宋体" w:hAnsi="宋体" w:eastAsia="宋体" w:cs="宋体"/>
          <w:color w:val="auto"/>
          <w:sz w:val="24"/>
          <w:szCs w:val="24"/>
          <w:highlight w:val="none"/>
        </w:rPr>
        <w:fldChar w:fldCharType="end"/>
      </w:r>
    </w:p>
    <w:p w14:paraId="5764516D">
      <w:pPr>
        <w:pStyle w:val="12"/>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_Toc21761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第六章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投标文件格式</w:t>
      </w:r>
      <w:r>
        <w:rPr>
          <w:sz w:val="24"/>
          <w:szCs w:val="24"/>
        </w:rPr>
        <w:tab/>
      </w:r>
      <w:r>
        <w:rPr>
          <w:sz w:val="24"/>
          <w:szCs w:val="24"/>
        </w:rPr>
        <w:fldChar w:fldCharType="begin"/>
      </w:r>
      <w:r>
        <w:rPr>
          <w:sz w:val="24"/>
          <w:szCs w:val="24"/>
        </w:rPr>
        <w:instrText xml:space="preserve"> PAGEREF _Toc21761 \h </w:instrText>
      </w:r>
      <w:r>
        <w:rPr>
          <w:sz w:val="24"/>
          <w:szCs w:val="24"/>
        </w:rPr>
        <w:fldChar w:fldCharType="separate"/>
      </w:r>
      <w:r>
        <w:rPr>
          <w:sz w:val="24"/>
          <w:szCs w:val="24"/>
        </w:rPr>
        <w:t>70</w:t>
      </w:r>
      <w:r>
        <w:rPr>
          <w:sz w:val="24"/>
          <w:szCs w:val="24"/>
        </w:rPr>
        <w:fldChar w:fldCharType="end"/>
      </w:r>
      <w:r>
        <w:rPr>
          <w:rFonts w:hint="eastAsia" w:ascii="宋体" w:hAnsi="宋体" w:eastAsia="宋体" w:cs="宋体"/>
          <w:color w:val="auto"/>
          <w:sz w:val="24"/>
          <w:szCs w:val="24"/>
          <w:highlight w:val="none"/>
        </w:rPr>
        <w:fldChar w:fldCharType="end"/>
      </w:r>
    </w:p>
    <w:p w14:paraId="68608E05">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_Toc30235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格式一</w:t>
      </w:r>
      <w:r>
        <w:rPr>
          <w:rFonts w:hint="eastAsia" w:ascii="宋体" w:hAnsi="宋体" w:eastAsia="宋体" w:cs="宋体"/>
          <w:spacing w:val="-4"/>
          <w:sz w:val="24"/>
          <w:szCs w:val="24"/>
          <w:highlight w:val="none"/>
        </w:rPr>
        <w:t xml:space="preserve"> </w:t>
      </w:r>
      <w:r>
        <w:rPr>
          <w:rFonts w:hint="eastAsia" w:ascii="宋体" w:hAnsi="宋体" w:eastAsia="宋体" w:cs="宋体"/>
          <w:bCs/>
          <w:spacing w:val="-4"/>
          <w:sz w:val="24"/>
          <w:szCs w:val="24"/>
          <w:highlight w:val="none"/>
        </w:rPr>
        <w:t>封面</w:t>
      </w:r>
      <w:r>
        <w:rPr>
          <w:sz w:val="24"/>
          <w:szCs w:val="24"/>
        </w:rPr>
        <w:tab/>
      </w:r>
      <w:r>
        <w:rPr>
          <w:sz w:val="24"/>
          <w:szCs w:val="24"/>
        </w:rPr>
        <w:fldChar w:fldCharType="begin"/>
      </w:r>
      <w:r>
        <w:rPr>
          <w:sz w:val="24"/>
          <w:szCs w:val="24"/>
        </w:rPr>
        <w:instrText xml:space="preserve"> PAGEREF _Toc30235 \h </w:instrText>
      </w:r>
      <w:r>
        <w:rPr>
          <w:sz w:val="24"/>
          <w:szCs w:val="24"/>
        </w:rPr>
        <w:fldChar w:fldCharType="separate"/>
      </w:r>
      <w:r>
        <w:rPr>
          <w:sz w:val="24"/>
          <w:szCs w:val="24"/>
        </w:rPr>
        <w:t>70</w:t>
      </w:r>
      <w:r>
        <w:rPr>
          <w:sz w:val="24"/>
          <w:szCs w:val="24"/>
        </w:rPr>
        <w:fldChar w:fldCharType="end"/>
      </w:r>
      <w:r>
        <w:rPr>
          <w:rFonts w:hint="eastAsia" w:ascii="宋体" w:hAnsi="宋体" w:eastAsia="宋体" w:cs="宋体"/>
          <w:color w:val="auto"/>
          <w:sz w:val="24"/>
          <w:szCs w:val="24"/>
          <w:highlight w:val="none"/>
        </w:rPr>
        <w:fldChar w:fldCharType="end"/>
      </w:r>
    </w:p>
    <w:p w14:paraId="65C53B1D">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_Toc17082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格式二 投标函</w:t>
      </w:r>
      <w:r>
        <w:rPr>
          <w:sz w:val="24"/>
          <w:szCs w:val="24"/>
        </w:rPr>
        <w:tab/>
      </w:r>
      <w:r>
        <w:rPr>
          <w:sz w:val="24"/>
          <w:szCs w:val="24"/>
        </w:rPr>
        <w:fldChar w:fldCharType="begin"/>
      </w:r>
      <w:r>
        <w:rPr>
          <w:sz w:val="24"/>
          <w:szCs w:val="24"/>
        </w:rPr>
        <w:instrText xml:space="preserve"> PAGEREF _Toc17082 \h </w:instrText>
      </w:r>
      <w:r>
        <w:rPr>
          <w:sz w:val="24"/>
          <w:szCs w:val="24"/>
        </w:rPr>
        <w:fldChar w:fldCharType="separate"/>
      </w:r>
      <w:r>
        <w:rPr>
          <w:sz w:val="24"/>
          <w:szCs w:val="24"/>
        </w:rPr>
        <w:t>71</w:t>
      </w:r>
      <w:r>
        <w:rPr>
          <w:sz w:val="24"/>
          <w:szCs w:val="24"/>
        </w:rPr>
        <w:fldChar w:fldCharType="end"/>
      </w:r>
      <w:r>
        <w:rPr>
          <w:rFonts w:hint="eastAsia" w:ascii="宋体" w:hAnsi="宋体" w:eastAsia="宋体" w:cs="宋体"/>
          <w:color w:val="auto"/>
          <w:sz w:val="24"/>
          <w:szCs w:val="24"/>
          <w:highlight w:val="none"/>
        </w:rPr>
        <w:fldChar w:fldCharType="end"/>
      </w:r>
    </w:p>
    <w:p w14:paraId="1B092BA8">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_Toc8647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格式三 各项承诺一览表</w:t>
      </w:r>
      <w:r>
        <w:rPr>
          <w:sz w:val="24"/>
          <w:szCs w:val="24"/>
        </w:rPr>
        <w:tab/>
      </w:r>
      <w:r>
        <w:rPr>
          <w:sz w:val="24"/>
          <w:szCs w:val="24"/>
        </w:rPr>
        <w:fldChar w:fldCharType="begin"/>
      </w:r>
      <w:r>
        <w:rPr>
          <w:sz w:val="24"/>
          <w:szCs w:val="24"/>
        </w:rPr>
        <w:instrText xml:space="preserve"> PAGEREF _Toc8647 \h </w:instrText>
      </w:r>
      <w:r>
        <w:rPr>
          <w:sz w:val="24"/>
          <w:szCs w:val="24"/>
        </w:rPr>
        <w:fldChar w:fldCharType="separate"/>
      </w:r>
      <w:r>
        <w:rPr>
          <w:sz w:val="24"/>
          <w:szCs w:val="24"/>
        </w:rPr>
        <w:t>72</w:t>
      </w:r>
      <w:r>
        <w:rPr>
          <w:sz w:val="24"/>
          <w:szCs w:val="24"/>
        </w:rPr>
        <w:fldChar w:fldCharType="end"/>
      </w:r>
      <w:r>
        <w:rPr>
          <w:rFonts w:hint="eastAsia" w:ascii="宋体" w:hAnsi="宋体" w:eastAsia="宋体" w:cs="宋体"/>
          <w:color w:val="auto"/>
          <w:sz w:val="24"/>
          <w:szCs w:val="24"/>
          <w:highlight w:val="none"/>
        </w:rPr>
        <w:fldChar w:fldCharType="end"/>
      </w:r>
    </w:p>
    <w:p w14:paraId="75603C18">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_Toc30680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格式四 授权委托书</w:t>
      </w:r>
      <w:r>
        <w:rPr>
          <w:sz w:val="24"/>
          <w:szCs w:val="24"/>
        </w:rPr>
        <w:tab/>
      </w:r>
      <w:r>
        <w:rPr>
          <w:sz w:val="24"/>
          <w:szCs w:val="24"/>
        </w:rPr>
        <w:fldChar w:fldCharType="begin"/>
      </w:r>
      <w:r>
        <w:rPr>
          <w:sz w:val="24"/>
          <w:szCs w:val="24"/>
        </w:rPr>
        <w:instrText xml:space="preserve"> PAGEREF _Toc30680 \h </w:instrText>
      </w:r>
      <w:r>
        <w:rPr>
          <w:sz w:val="24"/>
          <w:szCs w:val="24"/>
        </w:rPr>
        <w:fldChar w:fldCharType="separate"/>
      </w:r>
      <w:r>
        <w:rPr>
          <w:sz w:val="24"/>
          <w:szCs w:val="24"/>
        </w:rPr>
        <w:t>74</w:t>
      </w:r>
      <w:r>
        <w:rPr>
          <w:sz w:val="24"/>
          <w:szCs w:val="24"/>
        </w:rPr>
        <w:fldChar w:fldCharType="end"/>
      </w:r>
      <w:r>
        <w:rPr>
          <w:rFonts w:hint="eastAsia" w:ascii="宋体" w:hAnsi="宋体" w:eastAsia="宋体" w:cs="宋体"/>
          <w:color w:val="auto"/>
          <w:sz w:val="24"/>
          <w:szCs w:val="24"/>
          <w:highlight w:val="none"/>
        </w:rPr>
        <w:fldChar w:fldCharType="end"/>
      </w:r>
    </w:p>
    <w:p w14:paraId="660799DC">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_Toc5673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格式五 法定代表人身份证明</w:t>
      </w:r>
      <w:r>
        <w:rPr>
          <w:sz w:val="24"/>
          <w:szCs w:val="24"/>
        </w:rPr>
        <w:tab/>
      </w:r>
      <w:r>
        <w:rPr>
          <w:sz w:val="24"/>
          <w:szCs w:val="24"/>
        </w:rPr>
        <w:fldChar w:fldCharType="begin"/>
      </w:r>
      <w:r>
        <w:rPr>
          <w:sz w:val="24"/>
          <w:szCs w:val="24"/>
        </w:rPr>
        <w:instrText xml:space="preserve"> PAGEREF _Toc5673 \h </w:instrText>
      </w:r>
      <w:r>
        <w:rPr>
          <w:sz w:val="24"/>
          <w:szCs w:val="24"/>
        </w:rPr>
        <w:fldChar w:fldCharType="separate"/>
      </w:r>
      <w:r>
        <w:rPr>
          <w:sz w:val="24"/>
          <w:szCs w:val="24"/>
        </w:rPr>
        <w:t>75</w:t>
      </w:r>
      <w:r>
        <w:rPr>
          <w:sz w:val="24"/>
          <w:szCs w:val="24"/>
        </w:rPr>
        <w:fldChar w:fldCharType="end"/>
      </w:r>
      <w:r>
        <w:rPr>
          <w:rFonts w:hint="eastAsia" w:ascii="宋体" w:hAnsi="宋体" w:eastAsia="宋体" w:cs="宋体"/>
          <w:color w:val="auto"/>
          <w:sz w:val="24"/>
          <w:szCs w:val="24"/>
          <w:highlight w:val="none"/>
        </w:rPr>
        <w:fldChar w:fldCharType="end"/>
      </w:r>
    </w:p>
    <w:p w14:paraId="12971E51">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_Toc11031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格式六 联合体协议书</w:t>
      </w:r>
      <w:r>
        <w:rPr>
          <w:sz w:val="24"/>
          <w:szCs w:val="24"/>
        </w:rPr>
        <w:tab/>
      </w:r>
      <w:r>
        <w:rPr>
          <w:sz w:val="24"/>
          <w:szCs w:val="24"/>
        </w:rPr>
        <w:fldChar w:fldCharType="begin"/>
      </w:r>
      <w:r>
        <w:rPr>
          <w:sz w:val="24"/>
          <w:szCs w:val="24"/>
        </w:rPr>
        <w:instrText xml:space="preserve"> PAGEREF _Toc11031 \h </w:instrText>
      </w:r>
      <w:r>
        <w:rPr>
          <w:sz w:val="24"/>
          <w:szCs w:val="24"/>
        </w:rPr>
        <w:fldChar w:fldCharType="separate"/>
      </w:r>
      <w:r>
        <w:rPr>
          <w:sz w:val="24"/>
          <w:szCs w:val="24"/>
        </w:rPr>
        <w:t>76</w:t>
      </w:r>
      <w:r>
        <w:rPr>
          <w:sz w:val="24"/>
          <w:szCs w:val="24"/>
        </w:rPr>
        <w:fldChar w:fldCharType="end"/>
      </w:r>
      <w:r>
        <w:rPr>
          <w:rFonts w:hint="eastAsia" w:ascii="宋体" w:hAnsi="宋体" w:eastAsia="宋体" w:cs="宋体"/>
          <w:color w:val="auto"/>
          <w:sz w:val="24"/>
          <w:szCs w:val="24"/>
          <w:highlight w:val="none"/>
        </w:rPr>
        <w:fldChar w:fldCharType="end"/>
      </w:r>
    </w:p>
    <w:p w14:paraId="28FBE264">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_Toc26718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格式七 投标人基本情况表</w:t>
      </w:r>
      <w:r>
        <w:rPr>
          <w:sz w:val="24"/>
          <w:szCs w:val="24"/>
        </w:rPr>
        <w:tab/>
      </w:r>
      <w:r>
        <w:rPr>
          <w:sz w:val="24"/>
          <w:szCs w:val="24"/>
        </w:rPr>
        <w:fldChar w:fldCharType="begin"/>
      </w:r>
      <w:r>
        <w:rPr>
          <w:sz w:val="24"/>
          <w:szCs w:val="24"/>
        </w:rPr>
        <w:instrText xml:space="preserve"> PAGEREF _Toc26718 \h </w:instrText>
      </w:r>
      <w:r>
        <w:rPr>
          <w:sz w:val="24"/>
          <w:szCs w:val="24"/>
        </w:rPr>
        <w:fldChar w:fldCharType="separate"/>
      </w:r>
      <w:r>
        <w:rPr>
          <w:sz w:val="24"/>
          <w:szCs w:val="24"/>
        </w:rPr>
        <w:t>78</w:t>
      </w:r>
      <w:r>
        <w:rPr>
          <w:sz w:val="24"/>
          <w:szCs w:val="24"/>
        </w:rPr>
        <w:fldChar w:fldCharType="end"/>
      </w:r>
      <w:r>
        <w:rPr>
          <w:rFonts w:hint="eastAsia" w:ascii="宋体" w:hAnsi="宋体" w:eastAsia="宋体" w:cs="宋体"/>
          <w:color w:val="auto"/>
          <w:sz w:val="24"/>
          <w:szCs w:val="24"/>
          <w:highlight w:val="none"/>
        </w:rPr>
        <w:fldChar w:fldCharType="end"/>
      </w:r>
    </w:p>
    <w:p w14:paraId="3C898C07">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_Toc6466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格式八 项目经理简历表</w:t>
      </w:r>
      <w:r>
        <w:rPr>
          <w:sz w:val="24"/>
          <w:szCs w:val="24"/>
        </w:rPr>
        <w:tab/>
      </w:r>
      <w:r>
        <w:rPr>
          <w:sz w:val="24"/>
          <w:szCs w:val="24"/>
        </w:rPr>
        <w:fldChar w:fldCharType="begin"/>
      </w:r>
      <w:r>
        <w:rPr>
          <w:sz w:val="24"/>
          <w:szCs w:val="24"/>
        </w:rPr>
        <w:instrText xml:space="preserve"> PAGEREF _Toc6466 \h </w:instrText>
      </w:r>
      <w:r>
        <w:rPr>
          <w:sz w:val="24"/>
          <w:szCs w:val="24"/>
        </w:rPr>
        <w:fldChar w:fldCharType="separate"/>
      </w:r>
      <w:r>
        <w:rPr>
          <w:sz w:val="24"/>
          <w:szCs w:val="24"/>
        </w:rPr>
        <w:t>79</w:t>
      </w:r>
      <w:r>
        <w:rPr>
          <w:sz w:val="24"/>
          <w:szCs w:val="24"/>
        </w:rPr>
        <w:fldChar w:fldCharType="end"/>
      </w:r>
      <w:r>
        <w:rPr>
          <w:rFonts w:hint="eastAsia" w:ascii="宋体" w:hAnsi="宋体" w:eastAsia="宋体" w:cs="宋体"/>
          <w:color w:val="auto"/>
          <w:sz w:val="24"/>
          <w:szCs w:val="24"/>
          <w:highlight w:val="none"/>
        </w:rPr>
        <w:fldChar w:fldCharType="end"/>
      </w:r>
    </w:p>
    <w:p w14:paraId="60C7A06B">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_Toc30109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格式九 项目经理任职声明</w:t>
      </w:r>
      <w:r>
        <w:rPr>
          <w:sz w:val="24"/>
          <w:szCs w:val="24"/>
        </w:rPr>
        <w:tab/>
      </w:r>
      <w:r>
        <w:rPr>
          <w:sz w:val="24"/>
          <w:szCs w:val="24"/>
        </w:rPr>
        <w:fldChar w:fldCharType="begin"/>
      </w:r>
      <w:r>
        <w:rPr>
          <w:sz w:val="24"/>
          <w:szCs w:val="24"/>
        </w:rPr>
        <w:instrText xml:space="preserve"> PAGEREF _Toc30109 \h </w:instrText>
      </w:r>
      <w:r>
        <w:rPr>
          <w:sz w:val="24"/>
          <w:szCs w:val="24"/>
        </w:rPr>
        <w:fldChar w:fldCharType="separate"/>
      </w:r>
      <w:r>
        <w:rPr>
          <w:sz w:val="24"/>
          <w:szCs w:val="24"/>
        </w:rPr>
        <w:t>80</w:t>
      </w:r>
      <w:r>
        <w:rPr>
          <w:sz w:val="24"/>
          <w:szCs w:val="24"/>
        </w:rPr>
        <w:fldChar w:fldCharType="end"/>
      </w:r>
      <w:r>
        <w:rPr>
          <w:rFonts w:hint="eastAsia" w:ascii="宋体" w:hAnsi="宋体" w:eastAsia="宋体" w:cs="宋体"/>
          <w:color w:val="auto"/>
          <w:sz w:val="24"/>
          <w:szCs w:val="24"/>
          <w:highlight w:val="none"/>
        </w:rPr>
        <w:fldChar w:fldCharType="end"/>
      </w:r>
    </w:p>
    <w:p w14:paraId="02CC25DB">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_Toc22506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 项目技术负责人简历表</w:t>
      </w:r>
      <w:r>
        <w:rPr>
          <w:sz w:val="24"/>
          <w:szCs w:val="24"/>
        </w:rPr>
        <w:tab/>
      </w:r>
      <w:r>
        <w:rPr>
          <w:sz w:val="24"/>
          <w:szCs w:val="24"/>
        </w:rPr>
        <w:fldChar w:fldCharType="begin"/>
      </w:r>
      <w:r>
        <w:rPr>
          <w:sz w:val="24"/>
          <w:szCs w:val="24"/>
        </w:rPr>
        <w:instrText xml:space="preserve"> PAGEREF _Toc22506 \h </w:instrText>
      </w:r>
      <w:r>
        <w:rPr>
          <w:sz w:val="24"/>
          <w:szCs w:val="24"/>
        </w:rPr>
        <w:fldChar w:fldCharType="separate"/>
      </w:r>
      <w:r>
        <w:rPr>
          <w:sz w:val="24"/>
          <w:szCs w:val="24"/>
        </w:rPr>
        <w:t>81</w:t>
      </w:r>
      <w:r>
        <w:rPr>
          <w:sz w:val="24"/>
          <w:szCs w:val="24"/>
        </w:rPr>
        <w:fldChar w:fldCharType="end"/>
      </w:r>
      <w:r>
        <w:rPr>
          <w:rFonts w:hint="eastAsia" w:ascii="宋体" w:hAnsi="宋体" w:eastAsia="宋体" w:cs="宋体"/>
          <w:color w:val="auto"/>
          <w:sz w:val="24"/>
          <w:szCs w:val="24"/>
          <w:highlight w:val="none"/>
        </w:rPr>
        <w:fldChar w:fldCharType="end"/>
      </w:r>
    </w:p>
    <w:p w14:paraId="43920546">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_Toc15771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格式十一 项目管理机构组成表</w:t>
      </w:r>
      <w:r>
        <w:rPr>
          <w:sz w:val="24"/>
          <w:szCs w:val="24"/>
        </w:rPr>
        <w:tab/>
      </w:r>
      <w:r>
        <w:rPr>
          <w:sz w:val="24"/>
          <w:szCs w:val="24"/>
        </w:rPr>
        <w:fldChar w:fldCharType="begin"/>
      </w:r>
      <w:r>
        <w:rPr>
          <w:sz w:val="24"/>
          <w:szCs w:val="24"/>
        </w:rPr>
        <w:instrText xml:space="preserve"> PAGEREF _Toc15771 \h </w:instrText>
      </w:r>
      <w:r>
        <w:rPr>
          <w:sz w:val="24"/>
          <w:szCs w:val="24"/>
        </w:rPr>
        <w:fldChar w:fldCharType="separate"/>
      </w:r>
      <w:r>
        <w:rPr>
          <w:sz w:val="24"/>
          <w:szCs w:val="24"/>
        </w:rPr>
        <w:t>82</w:t>
      </w:r>
      <w:r>
        <w:rPr>
          <w:sz w:val="24"/>
          <w:szCs w:val="24"/>
        </w:rPr>
        <w:fldChar w:fldCharType="end"/>
      </w:r>
      <w:r>
        <w:rPr>
          <w:rFonts w:hint="eastAsia" w:ascii="宋体" w:hAnsi="宋体" w:eastAsia="宋体" w:cs="宋体"/>
          <w:color w:val="auto"/>
          <w:sz w:val="24"/>
          <w:szCs w:val="24"/>
          <w:highlight w:val="none"/>
        </w:rPr>
        <w:fldChar w:fldCharType="end"/>
      </w:r>
    </w:p>
    <w:p w14:paraId="6ACD2A7B">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_Toc20141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格式十二 建造师查询页（有效期+建造师签字）</w:t>
      </w:r>
      <w:r>
        <w:rPr>
          <w:sz w:val="24"/>
          <w:szCs w:val="24"/>
        </w:rPr>
        <w:tab/>
      </w:r>
      <w:r>
        <w:rPr>
          <w:sz w:val="24"/>
          <w:szCs w:val="24"/>
        </w:rPr>
        <w:fldChar w:fldCharType="begin"/>
      </w:r>
      <w:r>
        <w:rPr>
          <w:sz w:val="24"/>
          <w:szCs w:val="24"/>
        </w:rPr>
        <w:instrText xml:space="preserve"> PAGEREF _Toc20141 \h </w:instrText>
      </w:r>
      <w:r>
        <w:rPr>
          <w:sz w:val="24"/>
          <w:szCs w:val="24"/>
        </w:rPr>
        <w:fldChar w:fldCharType="separate"/>
      </w:r>
      <w:r>
        <w:rPr>
          <w:sz w:val="24"/>
          <w:szCs w:val="24"/>
        </w:rPr>
        <w:t>83</w:t>
      </w:r>
      <w:r>
        <w:rPr>
          <w:sz w:val="24"/>
          <w:szCs w:val="24"/>
        </w:rPr>
        <w:fldChar w:fldCharType="end"/>
      </w:r>
      <w:r>
        <w:rPr>
          <w:rFonts w:hint="eastAsia" w:ascii="宋体" w:hAnsi="宋体" w:eastAsia="宋体" w:cs="宋体"/>
          <w:color w:val="auto"/>
          <w:sz w:val="24"/>
          <w:szCs w:val="24"/>
          <w:highlight w:val="none"/>
        </w:rPr>
        <w:fldChar w:fldCharType="end"/>
      </w:r>
    </w:p>
    <w:p w14:paraId="2EA58227">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_Toc23866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格式十三</w:t>
      </w:r>
      <w:r>
        <w:rPr>
          <w:rFonts w:hint="eastAsia" w:ascii="宋体" w:hAnsi="宋体" w:eastAsia="宋体" w:cs="宋体"/>
          <w:bCs/>
          <w:spacing w:val="-4"/>
          <w:sz w:val="24"/>
          <w:szCs w:val="24"/>
          <w:highlight w:val="none"/>
          <w:lang w:val="en-US" w:eastAsia="zh-CN"/>
        </w:rPr>
        <w:t xml:space="preserve"> </w:t>
      </w:r>
      <w:r>
        <w:rPr>
          <w:rFonts w:hint="eastAsia" w:ascii="宋体" w:hAnsi="宋体" w:eastAsia="宋体" w:cs="宋体"/>
          <w:bCs/>
          <w:spacing w:val="-4"/>
          <w:sz w:val="24"/>
          <w:szCs w:val="24"/>
          <w:highlight w:val="none"/>
        </w:rPr>
        <w:t>危险性较大的分部分项工程清单及超过一定规模的危险性较大的分部分项工程清单</w:t>
      </w:r>
      <w:r>
        <w:rPr>
          <w:rFonts w:hint="eastAsia" w:ascii="宋体" w:hAnsi="宋体" w:eastAsia="宋体" w:cs="宋体"/>
          <w:bCs/>
          <w:spacing w:val="-4"/>
          <w:sz w:val="24"/>
          <w:szCs w:val="24"/>
          <w:highlight w:val="none"/>
          <w:lang w:eastAsia="zh-CN"/>
        </w:rPr>
        <w:t>（</w:t>
      </w:r>
      <w:r>
        <w:rPr>
          <w:rFonts w:hint="eastAsia" w:ascii="宋体" w:hAnsi="宋体" w:eastAsia="宋体" w:cs="宋体"/>
          <w:bCs/>
          <w:spacing w:val="-4"/>
          <w:sz w:val="24"/>
          <w:szCs w:val="24"/>
          <w:highlight w:val="none"/>
          <w:lang w:val="en-US" w:eastAsia="zh-CN"/>
        </w:rPr>
        <w:t>若有</w:t>
      </w:r>
      <w:r>
        <w:rPr>
          <w:rFonts w:hint="eastAsia" w:ascii="宋体" w:hAnsi="宋体" w:eastAsia="宋体" w:cs="宋体"/>
          <w:bCs/>
          <w:spacing w:val="-4"/>
          <w:sz w:val="24"/>
          <w:szCs w:val="24"/>
          <w:highlight w:val="none"/>
          <w:lang w:eastAsia="zh-CN"/>
        </w:rPr>
        <w:t>）</w:t>
      </w:r>
      <w:r>
        <w:rPr>
          <w:sz w:val="24"/>
          <w:szCs w:val="24"/>
        </w:rPr>
        <w:tab/>
      </w:r>
      <w:r>
        <w:rPr>
          <w:sz w:val="24"/>
          <w:szCs w:val="24"/>
        </w:rPr>
        <w:fldChar w:fldCharType="begin"/>
      </w:r>
      <w:r>
        <w:rPr>
          <w:sz w:val="24"/>
          <w:szCs w:val="24"/>
        </w:rPr>
        <w:instrText xml:space="preserve"> PAGEREF _Toc23866 \h </w:instrText>
      </w:r>
      <w:r>
        <w:rPr>
          <w:sz w:val="24"/>
          <w:szCs w:val="24"/>
        </w:rPr>
        <w:fldChar w:fldCharType="separate"/>
      </w:r>
      <w:r>
        <w:rPr>
          <w:sz w:val="24"/>
          <w:szCs w:val="24"/>
        </w:rPr>
        <w:t>85</w:t>
      </w:r>
      <w:r>
        <w:rPr>
          <w:sz w:val="24"/>
          <w:szCs w:val="24"/>
        </w:rPr>
        <w:fldChar w:fldCharType="end"/>
      </w:r>
      <w:r>
        <w:rPr>
          <w:rFonts w:hint="eastAsia" w:ascii="宋体" w:hAnsi="宋体" w:eastAsia="宋体" w:cs="宋体"/>
          <w:color w:val="auto"/>
          <w:sz w:val="24"/>
          <w:szCs w:val="24"/>
          <w:highlight w:val="none"/>
        </w:rPr>
        <w:fldChar w:fldCharType="end"/>
      </w:r>
    </w:p>
    <w:p w14:paraId="1B092FAA">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_Toc5049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格式十四</w:t>
      </w:r>
      <w:r>
        <w:rPr>
          <w:rFonts w:hint="eastAsia" w:ascii="宋体" w:hAnsi="宋体" w:eastAsia="宋体" w:cs="宋体"/>
          <w:bCs/>
          <w:spacing w:val="-4"/>
          <w:sz w:val="24"/>
          <w:szCs w:val="24"/>
          <w:highlight w:val="none"/>
          <w:lang w:val="en-US" w:eastAsia="zh-CN"/>
        </w:rPr>
        <w:t xml:space="preserve">  </w:t>
      </w:r>
      <w:r>
        <w:rPr>
          <w:rFonts w:hint="eastAsia" w:ascii="宋体" w:hAnsi="宋体" w:eastAsia="宋体" w:cs="宋体"/>
          <w:bCs/>
          <w:spacing w:val="4"/>
          <w:position w:val="3"/>
          <w:sz w:val="24"/>
          <w:szCs w:val="24"/>
          <w:highlight w:val="none"/>
        </w:rPr>
        <w:t>投标保证金信用承诺函</w:t>
      </w:r>
      <w:r>
        <w:rPr>
          <w:sz w:val="24"/>
          <w:szCs w:val="24"/>
        </w:rPr>
        <w:tab/>
      </w:r>
      <w:r>
        <w:rPr>
          <w:sz w:val="24"/>
          <w:szCs w:val="24"/>
        </w:rPr>
        <w:fldChar w:fldCharType="begin"/>
      </w:r>
      <w:r>
        <w:rPr>
          <w:sz w:val="24"/>
          <w:szCs w:val="24"/>
        </w:rPr>
        <w:instrText xml:space="preserve"> PAGEREF _Toc5049 \h </w:instrText>
      </w:r>
      <w:r>
        <w:rPr>
          <w:sz w:val="24"/>
          <w:szCs w:val="24"/>
        </w:rPr>
        <w:fldChar w:fldCharType="separate"/>
      </w:r>
      <w:r>
        <w:rPr>
          <w:sz w:val="24"/>
          <w:szCs w:val="24"/>
        </w:rPr>
        <w:t>89</w:t>
      </w:r>
      <w:r>
        <w:rPr>
          <w:sz w:val="24"/>
          <w:szCs w:val="24"/>
        </w:rPr>
        <w:fldChar w:fldCharType="end"/>
      </w:r>
      <w:r>
        <w:rPr>
          <w:rFonts w:hint="eastAsia" w:ascii="宋体" w:hAnsi="宋体" w:eastAsia="宋体" w:cs="宋体"/>
          <w:color w:val="auto"/>
          <w:sz w:val="24"/>
          <w:szCs w:val="24"/>
          <w:highlight w:val="none"/>
        </w:rPr>
        <w:fldChar w:fldCharType="end"/>
      </w:r>
    </w:p>
    <w:p w14:paraId="03D9D724">
      <w:pPr>
        <w:pStyle w:val="8"/>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_Toc4983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w:t>
      </w:r>
      <w:r>
        <w:rPr>
          <w:rFonts w:hint="eastAsia" w:ascii="宋体" w:hAnsi="宋体" w:eastAsia="宋体" w:cs="宋体"/>
          <w:bCs/>
          <w:spacing w:val="-4"/>
          <w:sz w:val="24"/>
          <w:szCs w:val="24"/>
          <w:highlight w:val="none"/>
          <w:lang w:eastAsia="zh-CN"/>
        </w:rPr>
        <w:t>五</w:t>
      </w:r>
      <w:r>
        <w:rPr>
          <w:rFonts w:hint="eastAsia" w:ascii="宋体" w:hAnsi="宋体" w:eastAsia="宋体" w:cs="宋体"/>
          <w:bCs/>
          <w:spacing w:val="-4"/>
          <w:sz w:val="24"/>
          <w:szCs w:val="24"/>
          <w:highlight w:val="none"/>
        </w:rPr>
        <w:t xml:space="preserve">  原件一览表</w:t>
      </w:r>
      <w:r>
        <w:rPr>
          <w:sz w:val="24"/>
          <w:szCs w:val="24"/>
        </w:rPr>
        <w:tab/>
      </w:r>
      <w:r>
        <w:rPr>
          <w:sz w:val="24"/>
          <w:szCs w:val="24"/>
        </w:rPr>
        <w:fldChar w:fldCharType="begin"/>
      </w:r>
      <w:r>
        <w:rPr>
          <w:sz w:val="24"/>
          <w:szCs w:val="24"/>
        </w:rPr>
        <w:instrText xml:space="preserve"> PAGEREF _Toc4983 \h </w:instrText>
      </w:r>
      <w:r>
        <w:rPr>
          <w:sz w:val="24"/>
          <w:szCs w:val="24"/>
        </w:rPr>
        <w:fldChar w:fldCharType="separate"/>
      </w:r>
      <w:r>
        <w:rPr>
          <w:sz w:val="24"/>
          <w:szCs w:val="24"/>
        </w:rPr>
        <w:t>90</w:t>
      </w:r>
      <w:r>
        <w:rPr>
          <w:sz w:val="24"/>
          <w:szCs w:val="24"/>
        </w:rPr>
        <w:fldChar w:fldCharType="end"/>
      </w:r>
      <w:r>
        <w:rPr>
          <w:rFonts w:hint="eastAsia" w:ascii="宋体" w:hAnsi="宋体" w:eastAsia="宋体" w:cs="宋体"/>
          <w:color w:val="auto"/>
          <w:sz w:val="24"/>
          <w:szCs w:val="24"/>
          <w:highlight w:val="none"/>
        </w:rPr>
        <w:fldChar w:fldCharType="end"/>
      </w:r>
    </w:p>
    <w:p w14:paraId="7E5F6D1A">
      <w:pPr>
        <w:pStyle w:val="13"/>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_Toc3449 </w:instrText>
      </w:r>
      <w:r>
        <w:rPr>
          <w:rFonts w:hint="eastAsia" w:ascii="宋体" w:hAnsi="宋体" w:eastAsia="宋体" w:cs="宋体"/>
          <w:sz w:val="24"/>
          <w:szCs w:val="24"/>
          <w:highlight w:val="none"/>
        </w:rPr>
        <w:fldChar w:fldCharType="separate"/>
      </w:r>
      <w:r>
        <w:rPr>
          <w:rFonts w:hint="eastAsia" w:ascii="Times New Roman" w:hAnsi="宋体" w:eastAsia="宋体" w:cs="Times New Roman"/>
          <w:bCs/>
          <w:kern w:val="0"/>
          <w:sz w:val="24"/>
          <w:szCs w:val="24"/>
          <w:highlight w:val="none"/>
          <w:lang w:val="en-US" w:eastAsia="zh-CN" w:bidi="ar-SA"/>
        </w:rPr>
        <w:t>格式十六 定标文件封面</w:t>
      </w:r>
      <w:r>
        <w:rPr>
          <w:sz w:val="24"/>
          <w:szCs w:val="24"/>
        </w:rPr>
        <w:tab/>
      </w:r>
      <w:r>
        <w:rPr>
          <w:sz w:val="24"/>
          <w:szCs w:val="24"/>
        </w:rPr>
        <w:fldChar w:fldCharType="begin"/>
      </w:r>
      <w:r>
        <w:rPr>
          <w:sz w:val="24"/>
          <w:szCs w:val="24"/>
        </w:rPr>
        <w:instrText xml:space="preserve"> PAGEREF _Toc3449 \h </w:instrText>
      </w:r>
      <w:r>
        <w:rPr>
          <w:sz w:val="24"/>
          <w:szCs w:val="24"/>
        </w:rPr>
        <w:fldChar w:fldCharType="separate"/>
      </w:r>
      <w:r>
        <w:rPr>
          <w:sz w:val="24"/>
          <w:szCs w:val="24"/>
        </w:rPr>
        <w:t>91</w:t>
      </w:r>
      <w:r>
        <w:rPr>
          <w:sz w:val="24"/>
          <w:szCs w:val="24"/>
        </w:rPr>
        <w:fldChar w:fldCharType="end"/>
      </w:r>
      <w:r>
        <w:rPr>
          <w:rFonts w:hint="eastAsia" w:ascii="宋体" w:hAnsi="宋体" w:eastAsia="宋体" w:cs="宋体"/>
          <w:color w:val="auto"/>
          <w:sz w:val="24"/>
          <w:szCs w:val="24"/>
          <w:highlight w:val="none"/>
        </w:rPr>
        <w:fldChar w:fldCharType="end"/>
      </w:r>
    </w:p>
    <w:p w14:paraId="4042AF68">
      <w:pPr>
        <w:pStyle w:val="13"/>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_Toc19184 </w:instrText>
      </w:r>
      <w:r>
        <w:rPr>
          <w:rFonts w:hint="eastAsia" w:ascii="宋体" w:hAnsi="宋体" w:eastAsia="宋体" w:cs="宋体"/>
          <w:sz w:val="24"/>
          <w:szCs w:val="24"/>
          <w:highlight w:val="none"/>
        </w:rPr>
        <w:fldChar w:fldCharType="separate"/>
      </w:r>
      <w:r>
        <w:rPr>
          <w:rFonts w:hint="eastAsia" w:ascii="Times New Roman" w:hAnsi="宋体" w:eastAsia="宋体" w:cs="Times New Roman"/>
          <w:bCs/>
          <w:sz w:val="24"/>
          <w:szCs w:val="24"/>
          <w:highlight w:val="none"/>
          <w:lang w:eastAsia="zh-CN"/>
        </w:rPr>
        <w:t>格式十</w:t>
      </w:r>
      <w:r>
        <w:rPr>
          <w:rFonts w:hint="eastAsia" w:ascii="Times New Roman" w:hAnsi="宋体" w:cs="Times New Roman"/>
          <w:bCs/>
          <w:sz w:val="24"/>
          <w:szCs w:val="24"/>
          <w:highlight w:val="none"/>
          <w:lang w:val="en-US" w:eastAsia="zh-CN"/>
        </w:rPr>
        <w:t xml:space="preserve">七  </w:t>
      </w:r>
      <w:r>
        <w:rPr>
          <w:rFonts w:hint="eastAsia" w:ascii="Times New Roman" w:hAnsi="宋体" w:eastAsia="宋体" w:cs="Times New Roman"/>
          <w:bCs/>
          <w:sz w:val="24"/>
          <w:szCs w:val="24"/>
          <w:highlight w:val="none"/>
          <w:lang w:val="en-US" w:eastAsia="zh-CN"/>
        </w:rPr>
        <w:t>定标因素评审资料</w:t>
      </w:r>
      <w:r>
        <w:rPr>
          <w:sz w:val="24"/>
          <w:szCs w:val="24"/>
        </w:rPr>
        <w:tab/>
      </w:r>
      <w:r>
        <w:rPr>
          <w:sz w:val="24"/>
          <w:szCs w:val="24"/>
        </w:rPr>
        <w:fldChar w:fldCharType="begin"/>
      </w:r>
      <w:r>
        <w:rPr>
          <w:sz w:val="24"/>
          <w:szCs w:val="24"/>
        </w:rPr>
        <w:instrText xml:space="preserve"> PAGEREF _Toc19184 \h </w:instrText>
      </w:r>
      <w:r>
        <w:rPr>
          <w:sz w:val="24"/>
          <w:szCs w:val="24"/>
        </w:rPr>
        <w:fldChar w:fldCharType="separate"/>
      </w:r>
      <w:r>
        <w:rPr>
          <w:sz w:val="24"/>
          <w:szCs w:val="24"/>
        </w:rPr>
        <w:t>92</w:t>
      </w:r>
      <w:r>
        <w:rPr>
          <w:sz w:val="24"/>
          <w:szCs w:val="24"/>
        </w:rPr>
        <w:fldChar w:fldCharType="end"/>
      </w:r>
      <w:r>
        <w:rPr>
          <w:rFonts w:hint="eastAsia" w:ascii="宋体" w:hAnsi="宋体" w:eastAsia="宋体" w:cs="宋体"/>
          <w:color w:val="auto"/>
          <w:sz w:val="24"/>
          <w:szCs w:val="24"/>
          <w:highlight w:val="none"/>
        </w:rPr>
        <w:fldChar w:fldCharType="end"/>
      </w:r>
    </w:p>
    <w:p w14:paraId="052AB15A">
      <w:pPr>
        <w:pStyle w:val="13"/>
        <w:tabs>
          <w:tab w:val="right" w:leader="dot" w:pos="9746"/>
        </w:tabs>
        <w:spacing w:line="360" w:lineRule="auto"/>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_Toc2695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第七章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建设工程施工合同</w:t>
      </w:r>
      <w:r>
        <w:rPr>
          <w:sz w:val="24"/>
          <w:szCs w:val="24"/>
        </w:rPr>
        <w:tab/>
      </w:r>
      <w:r>
        <w:rPr>
          <w:sz w:val="24"/>
          <w:szCs w:val="24"/>
        </w:rPr>
        <w:fldChar w:fldCharType="begin"/>
      </w:r>
      <w:r>
        <w:rPr>
          <w:sz w:val="24"/>
          <w:szCs w:val="24"/>
        </w:rPr>
        <w:instrText xml:space="preserve"> PAGEREF _Toc2695 \h </w:instrText>
      </w:r>
      <w:r>
        <w:rPr>
          <w:sz w:val="24"/>
          <w:szCs w:val="24"/>
        </w:rPr>
        <w:fldChar w:fldCharType="separate"/>
      </w:r>
      <w:r>
        <w:rPr>
          <w:sz w:val="24"/>
          <w:szCs w:val="24"/>
        </w:rPr>
        <w:t>93</w:t>
      </w:r>
      <w:r>
        <w:rPr>
          <w:sz w:val="24"/>
          <w:szCs w:val="24"/>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41787C92">
      <w:pPr>
        <w:keepNext w:val="0"/>
        <w:keepLines w:val="0"/>
        <w:pageBreakBefore w:val="0"/>
        <w:widowControl/>
        <w:kinsoku w:val="0"/>
        <w:wordWrap/>
        <w:overflowPunct/>
        <w:topLinePunct w:val="0"/>
        <w:autoSpaceDE w:val="0"/>
        <w:autoSpaceDN w:val="0"/>
        <w:bidi w:val="0"/>
        <w:adjustRightInd w:val="0"/>
        <w:snapToGrid w:val="0"/>
        <w:spacing w:before="78" w:line="219" w:lineRule="auto"/>
        <w:ind w:left="0"/>
        <w:jc w:val="center"/>
        <w:textAlignment w:val="baseline"/>
        <w:outlineLvl w:val="0"/>
        <w:rPr>
          <w:rFonts w:hint="eastAsia" w:ascii="宋体" w:hAnsi="宋体" w:eastAsia="宋体" w:cs="宋体"/>
          <w:color w:val="auto"/>
          <w:sz w:val="28"/>
          <w:szCs w:val="28"/>
          <w:highlight w:val="none"/>
        </w:rPr>
      </w:pPr>
      <w:bookmarkStart w:id="4" w:name="bookmark1"/>
      <w:bookmarkEnd w:id="4"/>
      <w:bookmarkStart w:id="5" w:name="_Toc14532"/>
      <w:r>
        <w:rPr>
          <w:rFonts w:hint="eastAsia" w:ascii="宋体" w:hAnsi="宋体" w:eastAsia="宋体" w:cs="宋体"/>
          <w:b/>
          <w:bCs/>
          <w:color w:val="auto"/>
          <w:spacing w:val="-3"/>
          <w:sz w:val="28"/>
          <w:szCs w:val="28"/>
          <w:highlight w:val="none"/>
        </w:rPr>
        <w:t>第一章</w:t>
      </w:r>
      <w:r>
        <w:rPr>
          <w:rFonts w:hint="eastAsia" w:ascii="宋体" w:hAnsi="宋体" w:eastAsia="宋体" w:cs="宋体"/>
          <w:color w:val="auto"/>
          <w:spacing w:val="-3"/>
          <w:sz w:val="28"/>
          <w:szCs w:val="28"/>
          <w:highlight w:val="none"/>
        </w:rPr>
        <w:t xml:space="preserve"> </w:t>
      </w:r>
      <w:r>
        <w:rPr>
          <w:rFonts w:hint="eastAsia" w:ascii="宋体" w:hAnsi="宋体" w:eastAsia="宋体" w:cs="宋体"/>
          <w:b/>
          <w:bCs/>
          <w:color w:val="auto"/>
          <w:spacing w:val="-3"/>
          <w:sz w:val="28"/>
          <w:szCs w:val="28"/>
          <w:highlight w:val="none"/>
        </w:rPr>
        <w:t>投标人须知</w:t>
      </w:r>
      <w:bookmarkEnd w:id="5"/>
    </w:p>
    <w:p w14:paraId="225EA8A0">
      <w:pPr>
        <w:spacing w:before="156" w:line="219" w:lineRule="auto"/>
        <w:ind w:left="17"/>
        <w:outlineLvl w:val="1"/>
        <w:rPr>
          <w:rFonts w:hint="eastAsia" w:ascii="宋体" w:hAnsi="宋体" w:eastAsia="宋体" w:cs="宋体"/>
          <w:color w:val="auto"/>
          <w:sz w:val="24"/>
          <w:szCs w:val="24"/>
          <w:highlight w:val="none"/>
        </w:rPr>
      </w:pPr>
      <w:bookmarkStart w:id="6" w:name="bookmark3"/>
      <w:bookmarkEnd w:id="6"/>
      <w:bookmarkStart w:id="7" w:name="_Toc9261"/>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7"/>
    </w:p>
    <w:p w14:paraId="7D4C9041">
      <w:pPr>
        <w:spacing w:before="25"/>
        <w:rPr>
          <w:rFonts w:hint="eastAsia" w:ascii="宋体" w:hAnsi="宋体" w:eastAsia="宋体" w:cs="宋体"/>
          <w:color w:val="auto"/>
          <w:sz w:val="24"/>
          <w:szCs w:val="24"/>
          <w:highlight w:val="none"/>
        </w:rPr>
      </w:pPr>
    </w:p>
    <w:tbl>
      <w:tblPr>
        <w:tblStyle w:val="17"/>
        <w:tblW w:w="100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749"/>
        <w:gridCol w:w="7700"/>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8" w:hRule="atLeast"/>
        </w:trPr>
        <w:tc>
          <w:tcPr>
            <w:tcW w:w="582" w:type="dxa"/>
            <w:vAlign w:val="top"/>
          </w:tcPr>
          <w:p w14:paraId="6E71DC35">
            <w:pPr>
              <w:spacing w:before="203" w:line="209" w:lineRule="auto"/>
              <w:ind w:left="0" w:lef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749"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内容</w:t>
            </w:r>
          </w:p>
        </w:tc>
        <w:tc>
          <w:tcPr>
            <w:tcW w:w="7700"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3743D7C8">
            <w:pPr>
              <w:numPr>
                <w:ilvl w:val="0"/>
                <w:numId w:val="0"/>
              </w:numPr>
              <w:spacing w:before="223" w:line="195" w:lineRule="auto"/>
              <w:ind w:left="425" w:leftChars="0" w:hanging="425" w:firstLineChars="0"/>
              <w:jc w:val="center"/>
              <w:rPr>
                <w:rFonts w:hint="eastAsia" w:ascii="宋体" w:hAnsi="宋体" w:eastAsia="宋体" w:cs="宋体"/>
                <w:color w:val="auto"/>
                <w:sz w:val="24"/>
                <w:szCs w:val="24"/>
                <w:highlight w:val="none"/>
              </w:rPr>
            </w:pPr>
            <w:bookmarkStart w:id="8" w:name="OLE_LINK2" w:colFirst="2" w:colLast="2"/>
            <w:r>
              <w:rPr>
                <w:rFonts w:hint="eastAsia" w:ascii="宋体" w:hAnsi="宋体" w:eastAsia="宋体" w:cs="宋体"/>
                <w:snapToGrid w:val="0"/>
                <w:color w:val="auto"/>
                <w:sz w:val="24"/>
                <w:szCs w:val="24"/>
                <w:lang w:val="en-US" w:eastAsia="en-US" w:bidi="ar-SA"/>
              </w:rPr>
              <w:t>1</w:t>
            </w:r>
          </w:p>
        </w:tc>
        <w:tc>
          <w:tcPr>
            <w:tcW w:w="1749"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项目名称</w:t>
            </w:r>
          </w:p>
        </w:tc>
        <w:tc>
          <w:tcPr>
            <w:tcW w:w="7700" w:type="dxa"/>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武江区城乡融合产业园兴武二路一期提升改造项目施工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numPr>
                <w:ilvl w:val="0"/>
                <w:numId w:val="0"/>
              </w:numPr>
              <w:spacing w:before="222"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2</w:t>
            </w:r>
          </w:p>
        </w:tc>
        <w:tc>
          <w:tcPr>
            <w:tcW w:w="1749" w:type="dxa"/>
            <w:vAlign w:val="center"/>
          </w:tcPr>
          <w:p w14:paraId="0FE0F82E">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建设单位</w:t>
            </w:r>
          </w:p>
          <w:p w14:paraId="7F7DEE74">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（项目业主）</w:t>
            </w:r>
          </w:p>
        </w:tc>
        <w:tc>
          <w:tcPr>
            <w:tcW w:w="7700"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韶关市武江区国有投资集团有限公司</w:t>
            </w:r>
          </w:p>
        </w:tc>
      </w:tr>
      <w:tr w14:paraId="473C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4AB94EF9">
            <w:pPr>
              <w:numPr>
                <w:ilvl w:val="0"/>
                <w:numId w:val="0"/>
              </w:numPr>
              <w:spacing w:before="222" w:line="195" w:lineRule="auto"/>
              <w:ind w:left="425" w:leftChars="0" w:hanging="425"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sz w:val="24"/>
                <w:szCs w:val="24"/>
                <w:lang w:val="en-US" w:eastAsia="zh-CN" w:bidi="ar-SA"/>
              </w:rPr>
              <w:t>3</w:t>
            </w:r>
          </w:p>
        </w:tc>
        <w:tc>
          <w:tcPr>
            <w:tcW w:w="1749" w:type="dxa"/>
            <w:vAlign w:val="center"/>
          </w:tcPr>
          <w:p w14:paraId="187CFEC6">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招标人</w:t>
            </w:r>
          </w:p>
          <w:p w14:paraId="2F7E0C8E">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（代建单位）</w:t>
            </w:r>
          </w:p>
        </w:tc>
        <w:tc>
          <w:tcPr>
            <w:tcW w:w="7700" w:type="dxa"/>
            <w:vAlign w:val="center"/>
          </w:tcPr>
          <w:p w14:paraId="4AEA2800">
            <w:pPr>
              <w:pageBreakBefore w:val="0"/>
              <w:widowControl w:val="0"/>
              <w:kinsoku/>
              <w:wordWrap w:val="0"/>
              <w:overflowPunct/>
              <w:topLinePunct w:val="0"/>
              <w:autoSpaceDE/>
              <w:autoSpaceDN/>
              <w:bidi w:val="0"/>
              <w:adjustRightInd w:val="0"/>
              <w:snapToGrid w:val="0"/>
              <w:spacing w:line="400" w:lineRule="exact"/>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韶关市武江区协佳市政服务有限公司</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numPr>
                <w:ilvl w:val="0"/>
                <w:numId w:val="0"/>
              </w:numPr>
              <w:spacing w:before="58"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4</w:t>
            </w:r>
          </w:p>
        </w:tc>
        <w:tc>
          <w:tcPr>
            <w:tcW w:w="1749"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项目批准部门及项目批准文号</w:t>
            </w:r>
          </w:p>
        </w:tc>
        <w:tc>
          <w:tcPr>
            <w:tcW w:w="7700" w:type="dxa"/>
            <w:vAlign w:val="center"/>
          </w:tcPr>
          <w:p w14:paraId="667F29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韶关市武江区发展和改革局（韶武发改投审[2026]29号）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7E34B725">
            <w:pPr>
              <w:numPr>
                <w:ilvl w:val="0"/>
                <w:numId w:val="0"/>
              </w:numPr>
              <w:spacing w:before="225"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5</w:t>
            </w:r>
          </w:p>
        </w:tc>
        <w:tc>
          <w:tcPr>
            <w:tcW w:w="1749"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建设地点</w:t>
            </w:r>
          </w:p>
        </w:tc>
        <w:tc>
          <w:tcPr>
            <w:tcW w:w="7700"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韶关市武江区城乡融合产业园内</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trPr>
        <w:tc>
          <w:tcPr>
            <w:tcW w:w="582" w:type="dxa"/>
            <w:vAlign w:val="center"/>
          </w:tcPr>
          <w:p w14:paraId="318E89F5">
            <w:pPr>
              <w:numPr>
                <w:ilvl w:val="0"/>
                <w:numId w:val="0"/>
              </w:numPr>
              <w:spacing w:before="226" w:line="192"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6</w:t>
            </w:r>
          </w:p>
        </w:tc>
        <w:tc>
          <w:tcPr>
            <w:tcW w:w="1749"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项目代码</w:t>
            </w:r>
          </w:p>
        </w:tc>
        <w:tc>
          <w:tcPr>
            <w:tcW w:w="7700"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Cs/>
                <w:color w:val="auto"/>
                <w:sz w:val="24"/>
                <w:szCs w:val="24"/>
                <w:highlight w:val="none"/>
                <w:lang w:eastAsia="zh-CN"/>
              </w:rPr>
              <w:t>2602-440203-18-01-329823</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numPr>
                <w:ilvl w:val="0"/>
                <w:numId w:val="0"/>
              </w:numPr>
              <w:spacing w:before="58"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7</w:t>
            </w:r>
          </w:p>
        </w:tc>
        <w:tc>
          <w:tcPr>
            <w:tcW w:w="1749"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资金来源及落实情况</w:t>
            </w:r>
          </w:p>
        </w:tc>
        <w:tc>
          <w:tcPr>
            <w:tcW w:w="7700"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新宋体" w:hAnsi="新宋体" w:eastAsia="新宋体" w:cs="新宋体"/>
                <w:bCs/>
                <w:snapToGrid w:val="0"/>
                <w:color w:val="auto"/>
                <w:kern w:val="0"/>
                <w:sz w:val="24"/>
                <w:szCs w:val="24"/>
                <w:highlight w:val="none"/>
                <w:lang w:val="en-US" w:eastAsia="zh-CN" w:bidi="ar-SA"/>
              </w:rPr>
              <w:t>专项债和企业自筹资金</w:t>
            </w:r>
            <w:r>
              <w:rPr>
                <w:rFonts w:hint="eastAsia" w:ascii="宋体" w:hAnsi="宋体" w:eastAsia="宋体" w:cs="宋体"/>
                <w:snapToGrid w:val="0"/>
                <w:color w:val="auto"/>
                <w:kern w:val="0"/>
                <w:sz w:val="24"/>
                <w:szCs w:val="24"/>
                <w:highlight w:val="none"/>
                <w:lang w:val="en-US" w:eastAsia="zh-CN"/>
              </w:rPr>
              <w:t>，100%。</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atLeast"/>
        </w:trPr>
        <w:tc>
          <w:tcPr>
            <w:tcW w:w="582" w:type="dxa"/>
            <w:vAlign w:val="center"/>
          </w:tcPr>
          <w:p w14:paraId="44304D14">
            <w:pPr>
              <w:numPr>
                <w:ilvl w:val="0"/>
                <w:numId w:val="0"/>
              </w:numPr>
              <w:spacing w:before="224"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8</w:t>
            </w:r>
          </w:p>
        </w:tc>
        <w:tc>
          <w:tcPr>
            <w:tcW w:w="1749"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招标代理机构</w:t>
            </w:r>
          </w:p>
        </w:tc>
        <w:tc>
          <w:tcPr>
            <w:tcW w:w="7700"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韶关市同立咨询有限公司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82" w:type="dxa"/>
            <w:vAlign w:val="center"/>
          </w:tcPr>
          <w:p w14:paraId="5A5AC857">
            <w:pPr>
              <w:numPr>
                <w:ilvl w:val="0"/>
                <w:numId w:val="0"/>
              </w:numPr>
              <w:spacing w:before="225"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9</w:t>
            </w:r>
          </w:p>
        </w:tc>
        <w:tc>
          <w:tcPr>
            <w:tcW w:w="1749"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设计单位</w:t>
            </w:r>
          </w:p>
        </w:tc>
        <w:tc>
          <w:tcPr>
            <w:tcW w:w="7700"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韶关市规划市政设计研究院有限公司</w:t>
            </w:r>
          </w:p>
        </w:tc>
      </w:tr>
      <w:bookmarkEnd w:id="8"/>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582" w:type="dxa"/>
            <w:vAlign w:val="center"/>
          </w:tcPr>
          <w:p w14:paraId="1D58DA3A">
            <w:pPr>
              <w:numPr>
                <w:ilvl w:val="0"/>
                <w:numId w:val="0"/>
              </w:numPr>
              <w:spacing w:before="245"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10</w:t>
            </w:r>
          </w:p>
        </w:tc>
        <w:tc>
          <w:tcPr>
            <w:tcW w:w="1749"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造价咨询单位</w:t>
            </w:r>
          </w:p>
        </w:tc>
        <w:tc>
          <w:tcPr>
            <w:tcW w:w="7700"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□非全过程造价咨询</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☑全过程造价咨询</w:t>
            </w:r>
            <w:r>
              <w:rPr>
                <w:rFonts w:hint="eastAsia" w:ascii="宋体" w:hAnsi="宋体" w:eastAsia="宋体" w:cs="宋体"/>
                <w:snapToGrid w:val="0"/>
                <w:color w:val="auto"/>
                <w:kern w:val="0"/>
                <w:sz w:val="24"/>
                <w:szCs w:val="24"/>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numPr>
                <w:ilvl w:val="0"/>
                <w:numId w:val="0"/>
              </w:numPr>
              <w:spacing w:before="242"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11</w:t>
            </w:r>
          </w:p>
        </w:tc>
        <w:tc>
          <w:tcPr>
            <w:tcW w:w="1749"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监理单位</w:t>
            </w:r>
          </w:p>
        </w:tc>
        <w:tc>
          <w:tcPr>
            <w:tcW w:w="7700"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☑已确定监理单位</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numPr>
                <w:ilvl w:val="0"/>
                <w:numId w:val="0"/>
              </w:numPr>
              <w:spacing w:before="58"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12</w:t>
            </w:r>
          </w:p>
        </w:tc>
        <w:tc>
          <w:tcPr>
            <w:tcW w:w="1749"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建设内容和规模</w:t>
            </w:r>
          </w:p>
        </w:tc>
        <w:tc>
          <w:tcPr>
            <w:tcW w:w="7700"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□建设规模：</w:t>
            </w:r>
            <w:r>
              <w:rPr>
                <w:rFonts w:hint="eastAsia" w:ascii="宋体" w:hAnsi="宋体" w:eastAsia="宋体" w:cs="宋体"/>
                <w:snapToGrid w:val="0"/>
                <w:color w:val="auto"/>
                <w:kern w:val="0"/>
                <w:sz w:val="24"/>
                <w:szCs w:val="24"/>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☑建设内容：</w:t>
            </w:r>
            <w:r>
              <w:rPr>
                <w:rFonts w:hint="eastAsia" w:ascii="宋体" w:hAnsi="宋体" w:eastAsia="宋体" w:cs="宋体"/>
                <w:b w:val="0"/>
                <w:bCs w:val="0"/>
                <w:snapToGrid w:val="0"/>
                <w:color w:val="auto"/>
                <w:kern w:val="0"/>
                <w:sz w:val="24"/>
                <w:szCs w:val="24"/>
                <w:highlight w:val="none"/>
                <w:lang w:eastAsia="zh-CN"/>
              </w:rPr>
              <w:t>兴武二路改造工程涉及道路全长约710m，平面交叉口1处。将道路西侧车行道拓宽2米，同步改造人行道，并完善相关配套市政管线工程。其中道路工程新建车行道1420m² ,新建人行道 2382.6m² ,新建路缘石 960m，新建交通标牌3个，迁改交通标牌5个，更换交通标牌（利用现状标志杆）61个，交通标线168.1m；综合管线工程拆除新建 9 孔Φ110 通信管沟675m，拆除修复雨水口18座；配套建设管网、绿化等工程。</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trPr>
        <w:tc>
          <w:tcPr>
            <w:tcW w:w="582" w:type="dxa"/>
            <w:vAlign w:val="center"/>
          </w:tcPr>
          <w:p w14:paraId="5D9D5ABA">
            <w:pPr>
              <w:numPr>
                <w:ilvl w:val="0"/>
                <w:numId w:val="0"/>
              </w:numPr>
              <w:spacing w:before="57"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13</w:t>
            </w:r>
          </w:p>
        </w:tc>
        <w:tc>
          <w:tcPr>
            <w:tcW w:w="1749"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项目总投资</w:t>
            </w:r>
          </w:p>
        </w:tc>
        <w:tc>
          <w:tcPr>
            <w:tcW w:w="7700"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项目总投资概算约393.54万元，其中工程费约252.62万元。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numPr>
                <w:ilvl w:val="0"/>
                <w:numId w:val="0"/>
              </w:numPr>
              <w:spacing w:before="58"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14</w:t>
            </w:r>
          </w:p>
        </w:tc>
        <w:tc>
          <w:tcPr>
            <w:tcW w:w="1749"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招标范围</w:t>
            </w:r>
          </w:p>
        </w:tc>
        <w:tc>
          <w:tcPr>
            <w:tcW w:w="7700"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按审查合格的施工图纸及工程量清单内容施工</w:t>
            </w:r>
            <w:r>
              <w:rPr>
                <w:rFonts w:hint="eastAsia" w:ascii="宋体" w:hAnsi="宋体" w:eastAsia="宋体" w:cs="宋体"/>
                <w:snapToGrid w:val="0"/>
                <w:color w:val="auto"/>
                <w:kern w:val="0"/>
                <w:sz w:val="24"/>
                <w:szCs w:val="24"/>
                <w:highlight w:val="none"/>
                <w:lang w:val="en-US" w:eastAsia="zh-CN"/>
              </w:rPr>
              <w:t>。</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numPr>
                <w:ilvl w:val="0"/>
                <w:numId w:val="0"/>
              </w:numPr>
              <w:spacing w:before="58"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15</w:t>
            </w:r>
          </w:p>
        </w:tc>
        <w:tc>
          <w:tcPr>
            <w:tcW w:w="1749"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标段划分</w:t>
            </w:r>
          </w:p>
        </w:tc>
        <w:tc>
          <w:tcPr>
            <w:tcW w:w="7700"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5" w:hRule="atLeast"/>
        </w:trPr>
        <w:tc>
          <w:tcPr>
            <w:tcW w:w="582" w:type="dxa"/>
            <w:vAlign w:val="center"/>
          </w:tcPr>
          <w:p w14:paraId="650937A5">
            <w:pPr>
              <w:numPr>
                <w:ilvl w:val="0"/>
                <w:numId w:val="0"/>
              </w:numPr>
              <w:spacing w:before="57" w:line="195" w:lineRule="auto"/>
              <w:ind w:left="425" w:leftChars="0" w:hanging="425" w:firstLineChars="0"/>
              <w:jc w:val="center"/>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sz w:val="24"/>
                <w:szCs w:val="24"/>
                <w:lang w:val="en-US" w:eastAsia="zh-CN" w:bidi="ar-SA"/>
              </w:rPr>
              <w:t>16</w:t>
            </w:r>
          </w:p>
        </w:tc>
        <w:tc>
          <w:tcPr>
            <w:tcW w:w="1749"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工期</w:t>
            </w:r>
          </w:p>
        </w:tc>
        <w:tc>
          <w:tcPr>
            <w:tcW w:w="7700"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本招标项目招标工期为</w:t>
            </w:r>
            <w:r>
              <w:rPr>
                <w:rFonts w:hint="eastAsia" w:ascii="宋体" w:hAnsi="宋体" w:eastAsia="宋体" w:cs="宋体"/>
                <w:snapToGrid w:val="0"/>
                <w:color w:val="auto"/>
                <w:kern w:val="0"/>
                <w:sz w:val="24"/>
                <w:szCs w:val="24"/>
                <w:highlight w:val="none"/>
                <w:u w:val="single"/>
                <w:lang w:val="en-US" w:eastAsia="zh-CN"/>
              </w:rPr>
              <w:t>90个</w:t>
            </w:r>
            <w:r>
              <w:rPr>
                <w:rFonts w:hint="eastAsia" w:ascii="宋体" w:hAnsi="宋体" w:eastAsia="宋体" w:cs="宋体"/>
                <w:snapToGrid w:val="0"/>
                <w:color w:val="auto"/>
                <w:kern w:val="0"/>
                <w:sz w:val="24"/>
                <w:szCs w:val="24"/>
                <w:highlight w:val="none"/>
                <w:lang w:val="en-US" w:eastAsia="zh-CN"/>
              </w:rPr>
              <w:t>日历天</w:t>
            </w:r>
            <w:r>
              <w:rPr>
                <w:rFonts w:hint="eastAsia" w:ascii="宋体" w:hAnsi="宋体" w:eastAsia="宋体" w:cs="宋体"/>
                <w:snapToGrid w:val="0"/>
                <w:color w:val="auto"/>
                <w:kern w:val="0"/>
                <w:sz w:val="24"/>
                <w:szCs w:val="24"/>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☑总工期：</w:t>
            </w:r>
            <w:r>
              <w:rPr>
                <w:rFonts w:hint="eastAsia" w:ascii="宋体" w:hAnsi="宋体" w:eastAsia="宋体" w:cs="宋体"/>
                <w:snapToGrid w:val="0"/>
                <w:color w:val="auto"/>
                <w:kern w:val="0"/>
                <w:sz w:val="24"/>
                <w:szCs w:val="24"/>
                <w:highlight w:val="none"/>
                <w:u w:val="single"/>
                <w:lang w:val="en-US" w:eastAsia="zh-CN"/>
              </w:rPr>
              <w:t>90个</w:t>
            </w:r>
            <w:r>
              <w:rPr>
                <w:rFonts w:hint="eastAsia" w:ascii="宋体" w:hAnsi="宋体" w:eastAsia="宋体" w:cs="宋体"/>
                <w:snapToGrid w:val="0"/>
                <w:color w:val="auto"/>
                <w:kern w:val="0"/>
                <w:sz w:val="24"/>
                <w:szCs w:val="24"/>
                <w:highlight w:val="none"/>
                <w:lang w:val="en-US" w:eastAsia="zh-CN"/>
              </w:rPr>
              <w:t>（日历天）</w:t>
            </w:r>
            <w:r>
              <w:rPr>
                <w:rFonts w:hint="eastAsia" w:ascii="宋体" w:hAnsi="宋体" w:eastAsia="宋体" w:cs="宋体"/>
                <w:snapToGrid w:val="0"/>
                <w:color w:val="auto"/>
                <w:kern w:val="0"/>
                <w:sz w:val="24"/>
                <w:szCs w:val="24"/>
                <w:highlight w:val="none"/>
                <w:lang w:eastAsia="zh-CN"/>
              </w:rPr>
              <w:t>。</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□计划开工日期：</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年</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月</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□计划竣工日期：</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年</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月</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7B272B4">
            <w:pPr>
              <w:numPr>
                <w:ilvl w:val="0"/>
                <w:numId w:val="0"/>
              </w:numPr>
              <w:spacing w:before="57"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17</w:t>
            </w:r>
          </w:p>
        </w:tc>
        <w:tc>
          <w:tcPr>
            <w:tcW w:w="1749"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质量标准</w:t>
            </w:r>
          </w:p>
        </w:tc>
        <w:tc>
          <w:tcPr>
            <w:tcW w:w="7700" w:type="dxa"/>
            <w:vAlign w:val="top"/>
          </w:tcPr>
          <w:p w14:paraId="5B397B7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☑质量标准</w:t>
            </w:r>
            <w:r>
              <w:rPr>
                <w:rFonts w:hint="eastAsia" w:ascii="宋体" w:hAnsi="宋体" w:eastAsia="宋体" w:cs="宋体"/>
                <w:snapToGrid w:val="0"/>
                <w:color w:val="auto"/>
                <w:spacing w:val="0"/>
                <w:kern w:val="0"/>
                <w:sz w:val="24"/>
                <w:szCs w:val="24"/>
                <w:highlight w:val="none"/>
                <w:lang w:val="en-US" w:eastAsia="zh-CN"/>
              </w:rPr>
              <w:t>与质量目标</w:t>
            </w:r>
            <w:r>
              <w:rPr>
                <w:rFonts w:hint="eastAsia" w:ascii="宋体" w:hAnsi="宋体" w:eastAsia="宋体" w:cs="宋体"/>
                <w:snapToGrid w:val="0"/>
                <w:color w:val="auto"/>
                <w:spacing w:val="0"/>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达到《建筑工程施工质量验收统一标准》(GB50300-2013)并且合格。</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□优质工程要求：</w:t>
            </w:r>
            <w:r>
              <w:rPr>
                <w:rFonts w:hint="eastAsia" w:ascii="宋体" w:hAnsi="宋体" w:eastAsia="宋体" w:cs="宋体"/>
                <w:snapToGrid w:val="0"/>
                <w:color w:val="auto"/>
                <w:kern w:val="0"/>
                <w:sz w:val="24"/>
                <w:szCs w:val="24"/>
                <w:highlight w:val="none"/>
                <w:u w:val="single"/>
                <w:lang w:eastAsia="zh-CN"/>
              </w:rPr>
              <w:t>无</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工程优质费：☑无</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□有：</w:t>
            </w:r>
            <w:r>
              <w:rPr>
                <w:rFonts w:hint="eastAsia" w:ascii="宋体" w:hAnsi="宋体" w:eastAsia="宋体" w:cs="宋体"/>
                <w:snapToGrid w:val="0"/>
                <w:color w:val="auto"/>
                <w:kern w:val="0"/>
                <w:sz w:val="24"/>
                <w:szCs w:val="24"/>
                <w:highlight w:val="none"/>
                <w:u w:val="singl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6" w:hRule="atLeast"/>
        </w:trPr>
        <w:tc>
          <w:tcPr>
            <w:tcW w:w="582" w:type="dxa"/>
            <w:vMerge w:val="restart"/>
            <w:vAlign w:val="center"/>
          </w:tcPr>
          <w:p w14:paraId="4BC67C17">
            <w:pPr>
              <w:numPr>
                <w:ilvl w:val="0"/>
                <w:numId w:val="0"/>
              </w:numPr>
              <w:spacing w:before="57" w:line="195"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18</w:t>
            </w:r>
          </w:p>
        </w:tc>
        <w:tc>
          <w:tcPr>
            <w:tcW w:w="1749"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合同类型</w:t>
            </w:r>
          </w:p>
        </w:tc>
        <w:tc>
          <w:tcPr>
            <w:tcW w:w="7700"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ind w:firstLineChars="0"/>
              <w:jc w:val="center"/>
              <w:rPr>
                <w:rFonts w:hint="eastAsia" w:ascii="宋体" w:hAnsi="宋体" w:eastAsia="宋体" w:cs="宋体"/>
                <w:color w:val="auto"/>
                <w:spacing w:val="-8"/>
                <w:sz w:val="24"/>
                <w:szCs w:val="24"/>
                <w:highlight w:val="none"/>
              </w:rPr>
            </w:pPr>
          </w:p>
        </w:tc>
        <w:tc>
          <w:tcPr>
            <w:tcW w:w="1749"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p>
        </w:tc>
        <w:tc>
          <w:tcPr>
            <w:tcW w:w="7700"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7" w:hRule="atLeast"/>
        </w:trPr>
        <w:tc>
          <w:tcPr>
            <w:tcW w:w="582" w:type="dxa"/>
            <w:vAlign w:val="center"/>
          </w:tcPr>
          <w:p w14:paraId="5972A2CD">
            <w:pPr>
              <w:numPr>
                <w:ilvl w:val="0"/>
                <w:numId w:val="0"/>
              </w:numPr>
              <w:spacing w:before="19"/>
              <w:ind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1749"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房屋建筑工程绿色建筑标准</w:t>
            </w:r>
          </w:p>
        </w:tc>
        <w:tc>
          <w:tcPr>
            <w:tcW w:w="7700"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eastAsia="zh-CN"/>
              </w:rPr>
              <w:t>本招标项目</w:t>
            </w:r>
            <w:r>
              <w:rPr>
                <w:rFonts w:hint="eastAsia" w:ascii="宋体" w:hAnsi="宋体" w:eastAsia="宋体" w:cs="宋体"/>
                <w:b/>
                <w:bCs/>
                <w:snapToGrid w:val="0"/>
                <w:color w:val="auto"/>
                <w:spacing w:val="0"/>
                <w:kern w:val="0"/>
                <w:sz w:val="24"/>
                <w:szCs w:val="24"/>
                <w:highlight w:val="none"/>
                <w:u w:val="single"/>
                <w:lang w:val="en-US" w:eastAsia="zh-CN"/>
              </w:rPr>
              <w:t>不</w:t>
            </w:r>
            <w:r>
              <w:rPr>
                <w:rFonts w:hint="eastAsia" w:ascii="宋体" w:hAnsi="宋体" w:eastAsia="宋体" w:cs="宋体"/>
                <w:b/>
                <w:bCs/>
                <w:snapToGrid w:val="0"/>
                <w:color w:val="auto"/>
                <w:spacing w:val="0"/>
                <w:kern w:val="0"/>
                <w:sz w:val="24"/>
                <w:szCs w:val="24"/>
                <w:highlight w:val="none"/>
                <w:u w:val="single"/>
                <w:lang w:eastAsia="zh-CN"/>
              </w:rPr>
              <w:t>纳入</w:t>
            </w:r>
            <w:r>
              <w:rPr>
                <w:rFonts w:hint="eastAsia" w:ascii="宋体" w:hAnsi="宋体" w:eastAsia="宋体" w:cs="宋体"/>
                <w:b w:val="0"/>
                <w:bCs w:val="0"/>
                <w:snapToGrid w:val="0"/>
                <w:color w:val="auto"/>
                <w:spacing w:val="0"/>
                <w:kern w:val="0"/>
                <w:sz w:val="24"/>
                <w:szCs w:val="24"/>
                <w:highlight w:val="none"/>
                <w:u w:val="none"/>
                <w:lang w:val="en-US" w:eastAsia="zh-CN"/>
              </w:rPr>
              <w:t>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宋体" w:hAnsi="宋体" w:eastAsia="宋体" w:cs="宋体"/>
                <w:color w:val="auto"/>
                <w:sz w:val="24"/>
                <w:szCs w:val="24"/>
                <w:highlight w:val="none"/>
                <w:lang w:val="en-US"/>
              </w:rPr>
            </w:pPr>
            <w:r>
              <w:rPr>
                <w:rFonts w:hint="eastAsia" w:ascii="宋体" w:hAnsi="宋体" w:eastAsia="宋体" w:cs="宋体"/>
                <w:color w:val="auto"/>
                <w:spacing w:val="-3"/>
                <w:sz w:val="24"/>
                <w:szCs w:val="24"/>
                <w:highlight w:val="none"/>
                <w:lang w:val="en-US" w:eastAsia="zh-CN"/>
              </w:rPr>
              <w:t>19.1</w:t>
            </w:r>
          </w:p>
        </w:tc>
        <w:tc>
          <w:tcPr>
            <w:tcW w:w="1749"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装配式建筑标准</w:t>
            </w:r>
          </w:p>
        </w:tc>
        <w:tc>
          <w:tcPr>
            <w:tcW w:w="7700"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本招标项目</w:t>
            </w:r>
            <w:r>
              <w:rPr>
                <w:rFonts w:hint="eastAsia" w:ascii="宋体" w:hAnsi="宋体" w:eastAsia="宋体" w:cs="宋体"/>
                <w:b/>
                <w:bCs/>
                <w:snapToGrid w:val="0"/>
                <w:color w:val="auto"/>
                <w:spacing w:val="0"/>
                <w:kern w:val="0"/>
                <w:sz w:val="24"/>
                <w:szCs w:val="24"/>
                <w:highlight w:val="none"/>
                <w:u w:val="single"/>
                <w:lang w:val="en-US" w:eastAsia="zh-CN"/>
              </w:rPr>
              <w:t>不</w:t>
            </w:r>
            <w:r>
              <w:rPr>
                <w:rFonts w:hint="eastAsia" w:ascii="宋体" w:hAnsi="宋体" w:eastAsia="宋体" w:cs="宋体"/>
                <w:b/>
                <w:bCs/>
                <w:snapToGrid w:val="0"/>
                <w:color w:val="auto"/>
                <w:spacing w:val="0"/>
                <w:kern w:val="0"/>
                <w:sz w:val="24"/>
                <w:szCs w:val="24"/>
                <w:highlight w:val="none"/>
                <w:u w:val="single"/>
                <w:lang w:eastAsia="zh-CN"/>
              </w:rPr>
              <w:t>纳入</w:t>
            </w:r>
            <w:r>
              <w:rPr>
                <w:rFonts w:hint="eastAsia" w:ascii="宋体" w:hAnsi="宋体" w:eastAsia="宋体" w:cs="宋体"/>
                <w:snapToGrid w:val="0"/>
                <w:color w:val="auto"/>
                <w:spacing w:val="0"/>
                <w:kern w:val="0"/>
                <w:sz w:val="24"/>
                <w:szCs w:val="24"/>
                <w:highlight w:val="none"/>
                <w:lang w:eastAsia="zh-CN"/>
              </w:rPr>
              <w:t>装配式建造建设实施范围</w:t>
            </w:r>
            <w:r>
              <w:rPr>
                <w:rFonts w:hint="eastAsia" w:ascii="宋体" w:hAnsi="宋体" w:eastAsia="宋体" w:cs="宋体"/>
                <w:snapToGrid w:val="0"/>
                <w:color w:val="auto"/>
                <w:kern w:val="0"/>
                <w:sz w:val="24"/>
                <w:szCs w:val="24"/>
                <w:highlight w:val="none"/>
                <w:lang w:eastAsia="zh-CN"/>
              </w:rPr>
              <w:t>。</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numPr>
                <w:ilvl w:val="0"/>
                <w:numId w:val="0"/>
              </w:numPr>
              <w:spacing w:before="69" w:line="188" w:lineRule="auto"/>
              <w:ind w:left="425" w:leftChars="0" w:hanging="425"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sz w:val="24"/>
                <w:szCs w:val="24"/>
                <w:lang w:val="en-US" w:eastAsia="zh-CN" w:bidi="ar-SA"/>
              </w:rPr>
              <w:t>20</w:t>
            </w:r>
          </w:p>
        </w:tc>
        <w:tc>
          <w:tcPr>
            <w:tcW w:w="1749"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发包人提供材料和工程设备</w:t>
            </w:r>
          </w:p>
        </w:tc>
        <w:tc>
          <w:tcPr>
            <w:tcW w:w="7700"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numPr>
                <w:ilvl w:val="0"/>
                <w:numId w:val="0"/>
              </w:numPr>
              <w:spacing w:before="69" w:line="188"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21</w:t>
            </w:r>
          </w:p>
        </w:tc>
        <w:tc>
          <w:tcPr>
            <w:tcW w:w="1749"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承包人提供材料和工程设备</w:t>
            </w:r>
          </w:p>
        </w:tc>
        <w:tc>
          <w:tcPr>
            <w:tcW w:w="7700"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已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numPr>
                <w:ilvl w:val="0"/>
                <w:numId w:val="0"/>
              </w:numPr>
              <w:spacing w:before="69" w:line="188"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22</w:t>
            </w:r>
          </w:p>
        </w:tc>
        <w:tc>
          <w:tcPr>
            <w:tcW w:w="1749"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最高投标限价</w:t>
            </w:r>
          </w:p>
        </w:tc>
        <w:tc>
          <w:tcPr>
            <w:tcW w:w="7700" w:type="dxa"/>
            <w:vAlign w:val="center"/>
          </w:tcPr>
          <w:p w14:paraId="6C507856">
            <w:pPr>
              <w:pageBreakBefore w:val="0"/>
              <w:widowControl w:val="0"/>
              <w:kinsoku/>
              <w:wordWrap w:val="0"/>
              <w:overflowPunct/>
              <w:topLinePunct w:val="0"/>
              <w:autoSpaceDE/>
              <w:autoSpaceDN/>
              <w:bidi w:val="0"/>
              <w:adjustRightInd w:val="0"/>
              <w:snapToGrid w:val="0"/>
              <w:spacing w:line="400" w:lineRule="exact"/>
              <w:ind w:left="0" w:leftChars="0" w:firstLine="458" w:firstLineChars="1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本招标项目最高投标限价为</w:t>
            </w:r>
            <w:r>
              <w:rPr>
                <w:rFonts w:hint="eastAsia" w:ascii="宋体" w:hAnsi="宋体" w:eastAsia="宋体" w:cs="宋体"/>
                <w:snapToGrid w:val="0"/>
                <w:color w:val="auto"/>
                <w:kern w:val="0"/>
                <w:sz w:val="24"/>
                <w:szCs w:val="24"/>
                <w:highlight w:val="none"/>
                <w:u w:val="single"/>
                <w:lang w:val="en-US" w:eastAsia="zh-CN"/>
              </w:rPr>
              <w:t>人民币（大写）：贰佰伍拾贰万陆仟贰佰零陆元贰角叁分（¥2,526,206.23元），其中安全生产措施费（不得低于）为：¥52,096.42元；暂列金额为：¥195,792.73元；暂估价为：¥26,249.12元（统一报价）。</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2" w:hRule="atLeast"/>
        </w:trPr>
        <w:tc>
          <w:tcPr>
            <w:tcW w:w="582" w:type="dxa"/>
            <w:vAlign w:val="center"/>
          </w:tcPr>
          <w:p w14:paraId="3E0E6845">
            <w:pPr>
              <w:numPr>
                <w:ilvl w:val="0"/>
                <w:numId w:val="0"/>
              </w:numPr>
              <w:spacing w:before="69" w:line="188"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23</w:t>
            </w:r>
          </w:p>
        </w:tc>
        <w:tc>
          <w:tcPr>
            <w:tcW w:w="1749"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投标人的投标报价</w:t>
            </w:r>
          </w:p>
        </w:tc>
        <w:tc>
          <w:tcPr>
            <w:tcW w:w="7700"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投标报价方式： ☑工程量清单报价  ☑其他：</w:t>
            </w:r>
          </w:p>
          <w:p w14:paraId="44321856">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最高投标限价</w:t>
            </w:r>
            <w:r>
              <w:rPr>
                <w:rFonts w:hint="eastAsia" w:ascii="宋体" w:hAnsi="宋体" w:eastAsia="宋体" w:cs="宋体"/>
                <w:color w:val="0000FF"/>
                <w:sz w:val="24"/>
                <w:szCs w:val="24"/>
                <w:highlight w:val="none"/>
                <w:lang w:val="en-US" w:eastAsia="zh-CN"/>
              </w:rPr>
              <w:t>：</w:t>
            </w:r>
            <w:r>
              <w:rPr>
                <w:rFonts w:hint="eastAsia" w:ascii="宋体" w:hAnsi="宋体" w:eastAsia="宋体" w:cs="宋体"/>
                <w:color w:val="auto"/>
                <w:sz w:val="24"/>
                <w:szCs w:val="24"/>
                <w:highlight w:val="none"/>
                <w:u w:val="single"/>
                <w:lang w:val="en-US" w:eastAsia="zh-CN"/>
              </w:rPr>
              <w:t>人民币（大写）：贰佰伍拾贰万陆仟贰佰零陆元贰角叁分（¥2,526,206.23元），其中安全生产措施费（不得低于）为：¥52,096.42元；暂列金额为：¥195,792.73元；暂估价为：¥26,249.12元（统一报价）。</w:t>
            </w:r>
          </w:p>
          <w:p w14:paraId="343D986D">
            <w:pPr>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投标报价时，应按《建设工程工程量清单计价标准》（GB/T50500-2024）》规定的费率报价，若招标工程量清单明确说明不计算预算包干费或另外确定预算包干费费率的，则按招标工程量清单报价。</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numPr>
                <w:ilvl w:val="0"/>
                <w:numId w:val="0"/>
              </w:numPr>
              <w:spacing w:before="69" w:line="188" w:lineRule="auto"/>
              <w:ind w:left="425" w:leftChars="0" w:hanging="425"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24</w:t>
            </w:r>
          </w:p>
        </w:tc>
        <w:tc>
          <w:tcPr>
            <w:tcW w:w="1749"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投标报价风险</w:t>
            </w:r>
          </w:p>
        </w:tc>
        <w:tc>
          <w:tcPr>
            <w:tcW w:w="7700"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☑人工费、材料费、机具费、管理费、利润、措施项目费（不含</w:t>
            </w:r>
            <w:r>
              <w:rPr>
                <w:rFonts w:hint="eastAsia" w:ascii="宋体" w:hAnsi="宋体" w:eastAsia="宋体" w:cs="宋体"/>
                <w:snapToGrid w:val="0"/>
                <w:color w:val="auto"/>
                <w:kern w:val="0"/>
                <w:sz w:val="24"/>
                <w:szCs w:val="24"/>
                <w:highlight w:val="none"/>
                <w:lang w:val="en-US" w:eastAsia="zh-CN"/>
              </w:rPr>
              <w:t>安全生产措施费</w:t>
            </w:r>
            <w:r>
              <w:rPr>
                <w:rFonts w:hint="eastAsia" w:ascii="宋体" w:hAnsi="宋体" w:eastAsia="宋体" w:cs="宋体"/>
                <w:snapToGrid w:val="0"/>
                <w:color w:val="auto"/>
                <w:kern w:val="0"/>
                <w:sz w:val="24"/>
                <w:szCs w:val="24"/>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b/>
                <w:bCs/>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☑措施项目中的安全生产措施费，必须按国家、省级、市级（即工程所在地）行业建设主管部门的规定计算，不得作为竞争性费用</w:t>
            </w:r>
            <w:r>
              <w:rPr>
                <w:rFonts w:hint="eastAsia" w:ascii="宋体" w:hAnsi="宋体" w:eastAsia="宋体" w:cs="宋体"/>
                <w:b w:val="0"/>
                <w:bCs w:val="0"/>
                <w:snapToGrid w:val="0"/>
                <w:color w:val="auto"/>
                <w:kern w:val="0"/>
                <w:sz w:val="24"/>
                <w:szCs w:val="24"/>
                <w:highlight w:val="none"/>
                <w:lang w:eastAsia="zh-CN"/>
              </w:rPr>
              <w:t>。</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4D5D4E6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414FDC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188" w:lineRule="auto"/>
              <w:ind w:left="425" w:leftChars="0" w:hanging="425"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lang w:val="en-US" w:eastAsia="en-US" w:bidi="ar-SA"/>
              </w:rPr>
              <w:t>25</w:t>
            </w:r>
          </w:p>
        </w:tc>
        <w:tc>
          <w:tcPr>
            <w:tcW w:w="1749"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投标费用</w:t>
            </w:r>
          </w:p>
        </w:tc>
        <w:tc>
          <w:tcPr>
            <w:tcW w:w="7700"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投标人自行承担编制与递交投标文件的一切费用。</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582" w:type="dxa"/>
            <w:vAlign w:val="center"/>
          </w:tcPr>
          <w:p w14:paraId="7A4811E9">
            <w:pPr>
              <w:keepNext w:val="0"/>
              <w:keepLines w:val="0"/>
              <w:pageBreakBefore w:val="0"/>
              <w:numPr>
                <w:ilvl w:val="0"/>
                <w:numId w:val="0"/>
              </w:numPr>
              <w:overflowPunct/>
              <w:topLinePunct w:val="0"/>
              <w:bidi w:val="0"/>
              <w:adjustRightInd w:val="0"/>
              <w:snapToGrid w:val="0"/>
              <w:spacing w:before="69" w:line="440" w:lineRule="exact"/>
              <w:ind w:left="425" w:leftChars="0" w:hanging="425" w:firstLineChars="0"/>
              <w:jc w:val="center"/>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sz w:val="24"/>
                <w:szCs w:val="24"/>
                <w:lang w:val="en-US" w:eastAsia="zh-CN" w:bidi="ar-SA"/>
              </w:rPr>
              <w:t>26</w:t>
            </w:r>
          </w:p>
        </w:tc>
        <w:tc>
          <w:tcPr>
            <w:tcW w:w="1749" w:type="dxa"/>
            <w:vAlign w:val="center"/>
          </w:tcPr>
          <w:p w14:paraId="0786E8B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投标人资格要求</w:t>
            </w:r>
          </w:p>
        </w:tc>
        <w:tc>
          <w:tcPr>
            <w:tcW w:w="7700" w:type="dxa"/>
            <w:vAlign w:val="center"/>
          </w:tcPr>
          <w:p w14:paraId="53338478">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1.本次招标</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lang w:val="en-US" w:eastAsia="zh-CN"/>
              </w:rPr>
              <w:t xml:space="preserve">接受 </w:t>
            </w:r>
            <w:r>
              <w:rPr>
                <w:rFonts w:hint="eastAsia" w:ascii="宋体" w:hAnsi="宋体" w:eastAsia="宋体" w:cs="宋体"/>
                <w:color w:val="auto"/>
                <w:sz w:val="24"/>
                <w:szCs w:val="24"/>
                <w:highlight w:val="none"/>
                <w:lang w:val="en-US" w:eastAsia="zh-CN"/>
              </w:rPr>
              <w:t>联合体投标，联合体以一个投标人的身份共同投标。</w:t>
            </w:r>
          </w:p>
          <w:p w14:paraId="39DBFCD4">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 联合体成员数量不超过</w:t>
            </w:r>
            <w:r>
              <w:rPr>
                <w:rFonts w:hint="eastAsia" w:ascii="宋体" w:hAnsi="宋体" w:eastAsia="宋体" w:cs="宋体"/>
                <w:b/>
                <w:bCs/>
                <w:color w:val="auto"/>
                <w:sz w:val="24"/>
                <w:szCs w:val="24"/>
                <w:highlight w:val="none"/>
                <w:u w:val="single"/>
                <w:lang w:val="en-US" w:eastAsia="zh-CN"/>
              </w:rPr>
              <w:t>2个</w:t>
            </w:r>
            <w:r>
              <w:rPr>
                <w:rFonts w:hint="eastAsia" w:ascii="宋体" w:hAnsi="宋体" w:eastAsia="宋体" w:cs="宋体"/>
                <w:color w:val="auto"/>
                <w:sz w:val="24"/>
                <w:szCs w:val="24"/>
                <w:highlight w:val="none"/>
                <w:lang w:val="en-US" w:eastAsia="zh-CN"/>
              </w:rPr>
              <w:t>。</w:t>
            </w:r>
          </w:p>
          <w:p w14:paraId="7F05B662">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 联合体各方应按招标文件提供的格式签订联合体协议书，明确联合体牵头人和各方权利义务，并承诺就中标项目向招标人承担连带责任。《联合体协议书》作为投标文件的组成部分向招标人提交。</w:t>
            </w:r>
          </w:p>
          <w:p w14:paraId="03197AEC">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558EDB82">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 联合体各方不得再以自己名义单独或参加其他联合体在本招标项目中投标，否则各相关投标均无效。</w:t>
            </w:r>
          </w:p>
          <w:p w14:paraId="00B5F517">
            <w:pPr>
              <w:pStyle w:val="6"/>
              <w:keepNext w:val="0"/>
              <w:keepLines w:val="0"/>
              <w:pageBreakBefore w:val="0"/>
              <w:overflowPunct/>
              <w:topLinePunct w:val="0"/>
              <w:bidi w:val="0"/>
              <w:adjustRightInd w:val="0"/>
              <w:snapToGrid w:val="0"/>
              <w:spacing w:line="40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2．资质要求</w:t>
            </w:r>
          </w:p>
          <w:p w14:paraId="4A1E3C19">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 投标人须具备独立法人资格，按国家法律经营。</w:t>
            </w:r>
          </w:p>
          <w:p w14:paraId="23F10E1C">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 投标人须持有</w:t>
            </w:r>
            <w:r>
              <w:rPr>
                <w:rFonts w:hint="eastAsia" w:ascii="宋体" w:hAnsi="宋体" w:eastAsia="宋体" w:cs="宋体"/>
                <w:b/>
                <w:bCs/>
                <w:color w:val="auto"/>
                <w:sz w:val="24"/>
                <w:szCs w:val="24"/>
                <w:highlight w:val="none"/>
                <w:u w:val="single"/>
                <w:lang w:val="en-US" w:eastAsia="zh-CN"/>
              </w:rPr>
              <w:t>建设行政主管部门颁发的企业资质证书及安全生产许可证</w:t>
            </w:r>
            <w:r>
              <w:rPr>
                <w:rFonts w:hint="eastAsia" w:ascii="宋体" w:hAnsi="宋体" w:eastAsia="宋体" w:cs="宋体"/>
                <w:color w:val="auto"/>
                <w:sz w:val="24"/>
                <w:szCs w:val="24"/>
                <w:highlight w:val="none"/>
                <w:lang w:val="en-US" w:eastAsia="zh-CN"/>
              </w:rPr>
              <w:t>。</w:t>
            </w:r>
          </w:p>
          <w:p w14:paraId="06CD3877">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 参加投标的投标人可以是单一独立法人或由不超过两家独立法人组成的联合体</w:t>
            </w:r>
            <w:r>
              <w:rPr>
                <w:rFonts w:hint="eastAsia" w:ascii="宋体" w:hAnsi="宋体" w:eastAsia="宋体" w:cs="宋体"/>
                <w:b/>
                <w:bCs/>
                <w:color w:val="auto"/>
                <w:sz w:val="24"/>
                <w:szCs w:val="24"/>
                <w:highlight w:val="none"/>
                <w:lang w:val="en-US" w:eastAsia="zh-CN"/>
              </w:rPr>
              <w:t>（必须注明其中一家为牵头人）</w:t>
            </w:r>
            <w:r>
              <w:rPr>
                <w:rFonts w:hint="eastAsia" w:ascii="宋体" w:hAnsi="宋体" w:eastAsia="宋体" w:cs="宋体"/>
                <w:color w:val="auto"/>
                <w:sz w:val="24"/>
                <w:szCs w:val="24"/>
                <w:highlight w:val="none"/>
                <w:lang w:val="en-US" w:eastAsia="zh-CN"/>
              </w:rPr>
              <w:t>，联合体双方不得再以自己的名义单独申请，也不得同时参加两个或两个以上的联合体进行本项目的投标。单一独立法人或组成联合体投标的，须具备以下资质：</w:t>
            </w:r>
          </w:p>
          <w:p w14:paraId="6DB68362">
            <w:pPr>
              <w:pStyle w:val="6"/>
              <w:keepNext w:val="0"/>
              <w:keepLines w:val="0"/>
              <w:pageBreakBefore w:val="0"/>
              <w:overflowPunct/>
              <w:topLinePunct w:val="0"/>
              <w:bidi w:val="0"/>
              <w:adjustRightInd w:val="0"/>
              <w:snapToGrid w:val="0"/>
              <w:spacing w:line="400" w:lineRule="exact"/>
              <w:ind w:firstLine="240" w:firstLineChars="100"/>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①投标人须具有</w:t>
            </w:r>
            <w:r>
              <w:rPr>
                <w:rFonts w:hint="eastAsia" w:ascii="宋体" w:hAnsi="宋体" w:eastAsia="宋体" w:cs="宋体"/>
                <w:b/>
                <w:bCs/>
                <w:color w:val="auto"/>
                <w:sz w:val="24"/>
                <w:szCs w:val="24"/>
                <w:highlight w:val="none"/>
                <w:u w:val="single"/>
                <w:lang w:val="en-US" w:eastAsia="zh-CN"/>
              </w:rPr>
              <w:t>建设行政主管部门颁发的市政公用工程施工总承包三级以上（含三级）资质。</w:t>
            </w:r>
          </w:p>
          <w:p w14:paraId="210222F1">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 根据有关文件精神，投标人的企业相关证书到期的，均按该证书的发证机构相关行业主管部门最新文件执行（如自动顺延或推迟办理延期业务的通知），投标人必须将相关文件附在该证书后面，证明在开标日继续有效。</w:t>
            </w:r>
          </w:p>
          <w:p w14:paraId="7159C5F4">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3.相关人员要求</w:t>
            </w:r>
          </w:p>
          <w:p w14:paraId="13C2465C">
            <w:pPr>
              <w:pStyle w:val="6"/>
              <w:keepNext w:val="0"/>
              <w:keepLines w:val="0"/>
              <w:pageBreakBefore w:val="0"/>
              <w:overflowPunct/>
              <w:topLinePunct w:val="0"/>
              <w:bidi w:val="0"/>
              <w:adjustRightInd w:val="0"/>
              <w:snapToGrid w:val="0"/>
              <w:spacing w:line="400" w:lineRule="exac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3.1拟派项目经理为</w:t>
            </w:r>
            <w:r>
              <w:rPr>
                <w:rFonts w:hint="eastAsia" w:ascii="宋体" w:hAnsi="宋体" w:eastAsia="宋体" w:cs="宋体"/>
                <w:b/>
                <w:bCs/>
                <w:color w:val="auto"/>
                <w:sz w:val="24"/>
                <w:szCs w:val="24"/>
                <w:highlight w:val="none"/>
                <w:u w:val="single"/>
                <w:lang w:val="en-US" w:eastAsia="zh-CN"/>
              </w:rPr>
              <w:t>市政公用工程</w:t>
            </w:r>
            <w:r>
              <w:rPr>
                <w:rFonts w:hint="eastAsia" w:ascii="宋体" w:hAnsi="宋体" w:eastAsia="宋体" w:cs="宋体"/>
                <w:b w:val="0"/>
                <w:bCs w:val="0"/>
                <w:color w:val="auto"/>
                <w:sz w:val="24"/>
                <w:szCs w:val="24"/>
                <w:highlight w:val="none"/>
                <w:u w:val="none"/>
                <w:lang w:val="en-US" w:eastAsia="zh-CN"/>
              </w:rPr>
              <w:t>专业一级或二级注</w:t>
            </w:r>
            <w:r>
              <w:rPr>
                <w:rFonts w:hint="eastAsia" w:ascii="宋体" w:hAnsi="宋体" w:eastAsia="宋体" w:cs="宋体"/>
                <w:color w:val="auto"/>
                <w:sz w:val="24"/>
                <w:szCs w:val="24"/>
                <w:highlight w:val="none"/>
                <w:lang w:val="en-US" w:eastAsia="zh-CN"/>
              </w:rPr>
              <w:t>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05798C39">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 拟派项目技术负责人须具备</w:t>
            </w:r>
            <w:r>
              <w:rPr>
                <w:rFonts w:hint="eastAsia" w:ascii="宋体" w:hAnsi="宋体" w:eastAsia="宋体" w:cs="宋体"/>
                <w:b/>
                <w:bCs/>
                <w:color w:val="auto"/>
                <w:sz w:val="24"/>
                <w:szCs w:val="24"/>
                <w:highlight w:val="none"/>
                <w:u w:val="single"/>
                <w:lang w:val="en-US" w:eastAsia="zh-CN"/>
              </w:rPr>
              <w:t>市政类</w:t>
            </w:r>
            <w:r>
              <w:rPr>
                <w:rFonts w:hint="eastAsia" w:ascii="宋体" w:hAnsi="宋体" w:eastAsia="宋体" w:cs="宋体"/>
                <w:b w:val="0"/>
                <w:bCs w:val="0"/>
                <w:color w:val="auto"/>
                <w:sz w:val="24"/>
                <w:szCs w:val="24"/>
                <w:highlight w:val="none"/>
                <w:u w:val="none"/>
                <w:lang w:val="en-US" w:eastAsia="zh-CN"/>
              </w:rPr>
              <w:t>相关专业</w:t>
            </w:r>
            <w:r>
              <w:rPr>
                <w:rFonts w:hint="eastAsia" w:ascii="宋体" w:hAnsi="宋体" w:eastAsia="宋体" w:cs="宋体"/>
                <w:b/>
                <w:bCs/>
                <w:color w:val="auto"/>
                <w:sz w:val="24"/>
                <w:szCs w:val="24"/>
                <w:highlight w:val="none"/>
                <w:u w:val="single"/>
                <w:lang w:val="en-US" w:eastAsia="zh-CN"/>
              </w:rPr>
              <w:t>中级或以上（含中级）</w:t>
            </w:r>
            <w:r>
              <w:rPr>
                <w:rFonts w:hint="eastAsia" w:ascii="宋体" w:hAnsi="宋体" w:eastAsia="宋体" w:cs="宋体"/>
                <w:color w:val="auto"/>
                <w:sz w:val="24"/>
                <w:szCs w:val="24"/>
                <w:highlight w:val="none"/>
                <w:lang w:val="en-US" w:eastAsia="zh-CN"/>
              </w:rPr>
              <w:t>技术职称。</w:t>
            </w:r>
          </w:p>
          <w:p w14:paraId="341C0199">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3.3拟派专职安全生产管理人员须具备</w:t>
            </w:r>
            <w:r>
              <w:rPr>
                <w:rFonts w:hint="eastAsia" w:ascii="宋体" w:hAnsi="宋体" w:eastAsia="宋体" w:cs="宋体"/>
                <w:b w:val="0"/>
                <w:bCs w:val="0"/>
                <w:color w:val="auto"/>
                <w:sz w:val="24"/>
                <w:szCs w:val="24"/>
                <w:highlight w:val="none"/>
                <w:u w:val="none"/>
                <w:lang w:val="en-US" w:eastAsia="zh-CN"/>
              </w:rPr>
              <w:t>有效安全生产考核合格证明（C证</w:t>
            </w:r>
            <w:r>
              <w:rPr>
                <w:rFonts w:hint="eastAsia" w:ascii="宋体" w:hAnsi="宋体" w:eastAsia="宋体" w:cs="宋体"/>
                <w:color w:val="auto"/>
                <w:sz w:val="24"/>
                <w:szCs w:val="24"/>
                <w:highlight w:val="none"/>
                <w:u w:val="none"/>
                <w:lang w:val="en-US" w:eastAsia="zh-CN"/>
              </w:rPr>
              <w:t>，安全生产考核合格证书或“广东省建筑施工企业管理人员安全生产考核信息系统”考核合格信息打印页）</w:t>
            </w:r>
            <w:r>
              <w:rPr>
                <w:rFonts w:hint="eastAsia" w:ascii="宋体" w:hAnsi="宋体" w:eastAsia="宋体" w:cs="宋体"/>
                <w:color w:val="auto"/>
                <w:sz w:val="24"/>
                <w:szCs w:val="24"/>
                <w:highlight w:val="none"/>
                <w:lang w:val="en-US" w:eastAsia="zh-CN"/>
              </w:rPr>
              <w:t>，且不少于1人。</w:t>
            </w:r>
          </w:p>
          <w:p w14:paraId="32AB1C05">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3.4投标人（</w:t>
            </w:r>
            <w:r>
              <w:rPr>
                <w:rFonts w:hint="eastAsia" w:ascii="宋体" w:hAnsi="宋体" w:eastAsia="宋体" w:cs="宋体"/>
                <w:b/>
                <w:bCs/>
                <w:color w:val="auto"/>
                <w:sz w:val="24"/>
                <w:szCs w:val="24"/>
                <w:highlight w:val="none"/>
                <w:lang w:val="en-US" w:eastAsia="zh-CN"/>
              </w:rPr>
              <w:t>包括组成联合体的所有成员单位</w:t>
            </w:r>
            <w:r>
              <w:rPr>
                <w:rFonts w:hint="eastAsia" w:ascii="宋体" w:hAnsi="宋体" w:eastAsia="宋体" w:cs="宋体"/>
                <w:color w:val="auto"/>
                <w:sz w:val="24"/>
                <w:szCs w:val="24"/>
                <w:highlight w:val="none"/>
                <w:lang w:val="en-US" w:eastAsia="zh-CN"/>
              </w:rPr>
              <w:t>）与其拟派往本项目管理机构的所有人员之间必须具备合法、唯一的劳动聘用关系。拟派人员中具备注册执业资格的，其注册单位须与投标人保持一致（提供社保缴纳证明或劳动合同）。</w:t>
            </w:r>
          </w:p>
          <w:p w14:paraId="17E75D4F">
            <w:pPr>
              <w:pStyle w:val="6"/>
              <w:keepNext w:val="0"/>
              <w:keepLines w:val="0"/>
              <w:pageBreakBefore w:val="0"/>
              <w:overflowPunct/>
              <w:topLinePunct w:val="0"/>
              <w:bidi w:val="0"/>
              <w:adjustRightInd w:val="0"/>
              <w:snapToGrid w:val="0"/>
              <w:spacing w:line="40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 ．禁止投标条款：</w:t>
            </w:r>
          </w:p>
          <w:p w14:paraId="39CA3160">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  投标人不得存在下列情形之一：</w:t>
            </w:r>
          </w:p>
          <w:p w14:paraId="1EEB6997">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（1）为招标人不具有独立法人资格的附属机构（单位）；</w:t>
            </w:r>
          </w:p>
          <w:p w14:paraId="2B88BFAE">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（2）为本招标项目前期准备提供设计或咨询服务的；</w:t>
            </w:r>
          </w:p>
          <w:p w14:paraId="236D873D">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（3）与本招标项目的其他投标人为同一个单位负责人；</w:t>
            </w:r>
          </w:p>
          <w:p w14:paraId="134A1EC5">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（4）与本招标项目的其他投标人存在控股、管理关系；</w:t>
            </w:r>
          </w:p>
          <w:p w14:paraId="02C03D68">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（5）为本招标项目的监理人；</w:t>
            </w:r>
          </w:p>
          <w:p w14:paraId="2ABFCC48">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（6）为本招标项目的代建人；</w:t>
            </w:r>
          </w:p>
          <w:p w14:paraId="4A3E2C5E">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（7）为本招标项目的招标代理机构；</w:t>
            </w:r>
          </w:p>
          <w:p w14:paraId="4CA0D904">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（8）与本招标项目的监理人或代建人或招标代理机构同为一个法定代表人；</w:t>
            </w:r>
          </w:p>
          <w:p w14:paraId="42F6AC7C">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（9）与本招标项目的监理人或代建人或招标代理机构存在控股或参股关系；</w:t>
            </w:r>
          </w:p>
          <w:p w14:paraId="1AD2FEDE">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（10）与本招标项目的监理人或代建人或招标代理机构存在相互任职或工作关系；</w:t>
            </w:r>
          </w:p>
          <w:p w14:paraId="1244A3FF">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（11）被依法暂停或者取消投标资格；</w:t>
            </w:r>
          </w:p>
          <w:p w14:paraId="1472CAB8">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（12）被责令停产停业、暂扣或者吊销许可证、暂扣或者吊销执照；</w:t>
            </w:r>
          </w:p>
          <w:p w14:paraId="095077B0">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（13）进入清算程序，或被宣告破产，或其他丧失履约能力的情形；</w:t>
            </w:r>
          </w:p>
          <w:p w14:paraId="4AA1B596">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（14）在最近三年内发生重大工程质量或安全问题（以相关行业 主管部门的行政处罚决定或司法机关出具的有关法律文书为准）；</w:t>
            </w:r>
          </w:p>
          <w:p w14:paraId="359DC0B0">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（15）被“信用中国 ”网站（https://www.creditchina.gov.cn）发布的《法人和非法人组织公共信用信息报告》列为严重失信主体名单的。</w:t>
            </w:r>
          </w:p>
          <w:p w14:paraId="416645FA">
            <w:pPr>
              <w:pStyle w:val="6"/>
              <w:keepNext w:val="0"/>
              <w:keepLines w:val="0"/>
              <w:pageBreakBefore w:val="0"/>
              <w:overflowPunct/>
              <w:topLinePunct w:val="0"/>
              <w:bidi w:val="0"/>
              <w:adjustRightInd w:val="0"/>
              <w:snapToGrid w:val="0"/>
              <w:spacing w:line="40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  招标人拒绝以下名单中的单位参加本次投标：</w:t>
            </w:r>
          </w:p>
          <w:tbl>
            <w:tblPr>
              <w:tblStyle w:val="17"/>
              <w:tblW w:w="7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3597"/>
              <w:gridCol w:w="3220"/>
            </w:tblGrid>
            <w:tr w14:paraId="4934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723" w:type="dxa"/>
                  <w:noWrap w:val="0"/>
                  <w:vAlign w:val="center"/>
                </w:tcPr>
                <w:p w14:paraId="392525E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序号</w:t>
                  </w:r>
                </w:p>
              </w:tc>
              <w:tc>
                <w:tcPr>
                  <w:tcW w:w="3597" w:type="dxa"/>
                  <w:noWrap w:val="0"/>
                  <w:vAlign w:val="center"/>
                </w:tcPr>
                <w:p w14:paraId="54D9AB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w:t>
                  </w:r>
                </w:p>
              </w:tc>
              <w:tc>
                <w:tcPr>
                  <w:tcW w:w="3220" w:type="dxa"/>
                  <w:noWrap w:val="0"/>
                  <w:vAlign w:val="center"/>
                </w:tcPr>
                <w:p w14:paraId="0776D79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拒绝原因</w:t>
                  </w:r>
                </w:p>
              </w:tc>
            </w:tr>
            <w:tr w14:paraId="4C34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23" w:type="dxa"/>
                  <w:noWrap w:val="0"/>
                  <w:vAlign w:val="center"/>
                </w:tcPr>
                <w:p w14:paraId="650CB93B">
                  <w:pPr>
                    <w:keepNext w:val="0"/>
                    <w:keepLines w:val="0"/>
                    <w:pageBreakBefore w:val="0"/>
                    <w:widowControl w:val="0"/>
                    <w:kinsoku/>
                    <w:overflowPunct/>
                    <w:topLinePunct w:val="0"/>
                    <w:autoSpaceDE/>
                    <w:autoSpaceDN/>
                    <w:bidi w:val="0"/>
                    <w:adjustRightInd w:val="0"/>
                    <w:snapToGrid w:val="0"/>
                    <w:spacing w:line="4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3597" w:type="dxa"/>
                  <w:noWrap w:val="0"/>
                  <w:vAlign w:val="center"/>
                </w:tcPr>
                <w:p w14:paraId="53B3269A">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韶关市武江区国有投资集团有限公司</w:t>
                  </w:r>
                </w:p>
              </w:tc>
              <w:tc>
                <w:tcPr>
                  <w:tcW w:w="3220" w:type="dxa"/>
                  <w:noWrap w:val="0"/>
                  <w:vAlign w:val="center"/>
                </w:tcPr>
                <w:p w14:paraId="19A19C4A">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项目业主</w:t>
                  </w:r>
                </w:p>
              </w:tc>
            </w:tr>
            <w:tr w14:paraId="35AA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723" w:type="dxa"/>
                  <w:noWrap w:val="0"/>
                  <w:vAlign w:val="center"/>
                </w:tcPr>
                <w:p w14:paraId="4538341F">
                  <w:pPr>
                    <w:keepNext w:val="0"/>
                    <w:keepLines w:val="0"/>
                    <w:pageBreakBefore w:val="0"/>
                    <w:widowControl w:val="0"/>
                    <w:kinsoku/>
                    <w:overflowPunct/>
                    <w:topLinePunct w:val="0"/>
                    <w:autoSpaceDE/>
                    <w:autoSpaceDN/>
                    <w:bidi w:val="0"/>
                    <w:adjustRightInd w:val="0"/>
                    <w:snapToGrid w:val="0"/>
                    <w:spacing w:line="400" w:lineRule="exact"/>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2</w:t>
                  </w:r>
                </w:p>
              </w:tc>
              <w:tc>
                <w:tcPr>
                  <w:tcW w:w="3597" w:type="dxa"/>
                  <w:noWrap w:val="0"/>
                  <w:vAlign w:val="center"/>
                </w:tcPr>
                <w:p w14:paraId="42AD209F">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韶关市武江区协佳市政服务有限公司</w:t>
                  </w:r>
                </w:p>
              </w:tc>
              <w:tc>
                <w:tcPr>
                  <w:tcW w:w="3220" w:type="dxa"/>
                  <w:noWrap w:val="0"/>
                  <w:vAlign w:val="center"/>
                </w:tcPr>
                <w:p w14:paraId="01851703">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为本招标项目的招标人</w:t>
                  </w:r>
                  <w:r>
                    <w:rPr>
                      <w:rFonts w:hint="eastAsia" w:ascii="宋体" w:hAnsi="宋体" w:eastAsia="宋体" w:cs="宋体"/>
                      <w:snapToGrid w:val="0"/>
                      <w:color w:val="auto"/>
                      <w:kern w:val="0"/>
                      <w:sz w:val="24"/>
                      <w:szCs w:val="24"/>
                      <w:highlight w:val="none"/>
                      <w:lang w:val="en-US" w:eastAsia="zh-CN"/>
                    </w:rPr>
                    <w:t>（代建单位）</w:t>
                  </w:r>
                </w:p>
              </w:tc>
            </w:tr>
            <w:tr w14:paraId="3A76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23" w:type="dxa"/>
                  <w:noWrap w:val="0"/>
                  <w:vAlign w:val="center"/>
                </w:tcPr>
                <w:p w14:paraId="2A13EE6A">
                  <w:pPr>
                    <w:keepNext w:val="0"/>
                    <w:keepLines w:val="0"/>
                    <w:pageBreakBefore w:val="0"/>
                    <w:widowControl w:val="0"/>
                    <w:kinsoku/>
                    <w:overflowPunct/>
                    <w:topLinePunct w:val="0"/>
                    <w:autoSpaceDE/>
                    <w:autoSpaceDN/>
                    <w:bidi w:val="0"/>
                    <w:adjustRightInd w:val="0"/>
                    <w:snapToGrid w:val="0"/>
                    <w:spacing w:line="400" w:lineRule="exact"/>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3597" w:type="dxa"/>
                  <w:noWrap w:val="0"/>
                  <w:vAlign w:val="center"/>
                </w:tcPr>
                <w:p w14:paraId="01E41E68">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爱建信达工程咨询有限公司</w:t>
                  </w:r>
                </w:p>
              </w:tc>
              <w:tc>
                <w:tcPr>
                  <w:tcW w:w="3220" w:type="dxa"/>
                  <w:noWrap w:val="0"/>
                  <w:vAlign w:val="center"/>
                </w:tcPr>
                <w:p w14:paraId="4ECF0260">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snapToGrid w:val="0"/>
                      <w:color w:val="000000"/>
                      <w:kern w:val="0"/>
                      <w:sz w:val="24"/>
                      <w:szCs w:val="24"/>
                      <w:highlight w:val="none"/>
                    </w:rPr>
                    <w:t>为本招标项目的可研编制单位</w:t>
                  </w:r>
                </w:p>
              </w:tc>
            </w:tr>
            <w:tr w14:paraId="4F9E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23" w:type="dxa"/>
                  <w:noWrap w:val="0"/>
                  <w:vAlign w:val="center"/>
                </w:tcPr>
                <w:p w14:paraId="7F8256D1">
                  <w:pPr>
                    <w:pStyle w:val="25"/>
                    <w:keepNext w:val="0"/>
                    <w:keepLines w:val="0"/>
                    <w:pageBreakBefore w:val="0"/>
                    <w:widowControl w:val="0"/>
                    <w:kinsoku/>
                    <w:wordWrap w:val="0"/>
                    <w:overflowPunct/>
                    <w:topLinePunct w:val="0"/>
                    <w:autoSpaceDE/>
                    <w:autoSpaceDN/>
                    <w:bidi w:val="0"/>
                    <w:adjustRightInd w:val="0"/>
                    <w:snapToGrid w:val="0"/>
                    <w:spacing w:line="400" w:lineRule="exact"/>
                    <w:ind w:left="0" w:leftChars="0" w:right="0" w:right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w:t>
                  </w:r>
                </w:p>
              </w:tc>
              <w:tc>
                <w:tcPr>
                  <w:tcW w:w="3597" w:type="dxa"/>
                  <w:noWrap w:val="0"/>
                  <w:vAlign w:val="center"/>
                </w:tcPr>
                <w:p w14:paraId="307A2806">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z w:val="24"/>
                      <w:szCs w:val="24"/>
                      <w:highlight w:val="none"/>
                      <w:lang w:val="en-US" w:eastAsia="zh-CN"/>
                    </w:rPr>
                    <w:t>韶关市规划市政设计研究院有限公司</w:t>
                  </w:r>
                </w:p>
              </w:tc>
              <w:tc>
                <w:tcPr>
                  <w:tcW w:w="3220" w:type="dxa"/>
                  <w:noWrap w:val="0"/>
                  <w:vAlign w:val="center"/>
                </w:tcPr>
                <w:p w14:paraId="7839720D">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为本招标项目的</w:t>
                  </w:r>
                  <w:r>
                    <w:rPr>
                      <w:rFonts w:hint="eastAsia" w:ascii="宋体" w:hAnsi="宋体" w:eastAsia="宋体" w:cs="宋体"/>
                      <w:snapToGrid w:val="0"/>
                      <w:color w:val="000000"/>
                      <w:kern w:val="0"/>
                      <w:sz w:val="24"/>
                      <w:szCs w:val="24"/>
                      <w:highlight w:val="none"/>
                      <w:lang w:val="en-US" w:eastAsia="zh-CN"/>
                    </w:rPr>
                    <w:t>设计单位</w:t>
                  </w:r>
                </w:p>
              </w:tc>
            </w:tr>
            <w:tr w14:paraId="375B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23" w:type="dxa"/>
                  <w:noWrap w:val="0"/>
                  <w:vAlign w:val="center"/>
                </w:tcPr>
                <w:p w14:paraId="4F1FB0DC">
                  <w:pPr>
                    <w:pStyle w:val="25"/>
                    <w:keepNext w:val="0"/>
                    <w:keepLines w:val="0"/>
                    <w:pageBreakBefore w:val="0"/>
                    <w:widowControl w:val="0"/>
                    <w:kinsoku/>
                    <w:wordWrap w:val="0"/>
                    <w:overflowPunct/>
                    <w:topLinePunct w:val="0"/>
                    <w:autoSpaceDE/>
                    <w:autoSpaceDN/>
                    <w:bidi w:val="0"/>
                    <w:adjustRightInd w:val="0"/>
                    <w:snapToGrid w:val="0"/>
                    <w:spacing w:line="400" w:lineRule="exact"/>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w:t>
                  </w:r>
                </w:p>
              </w:tc>
              <w:tc>
                <w:tcPr>
                  <w:tcW w:w="3597" w:type="dxa"/>
                  <w:noWrap w:val="0"/>
                  <w:vAlign w:val="center"/>
                </w:tcPr>
                <w:p w14:paraId="0A6B027E">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广东粤湾施工图审查有限公司</w:t>
                  </w:r>
                </w:p>
              </w:tc>
              <w:tc>
                <w:tcPr>
                  <w:tcW w:w="3220" w:type="dxa"/>
                  <w:noWrap w:val="0"/>
                  <w:vAlign w:val="center"/>
                </w:tcPr>
                <w:p w14:paraId="04267BA3">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snapToGrid w:val="0"/>
                      <w:color w:val="000000"/>
                      <w:kern w:val="0"/>
                      <w:sz w:val="24"/>
                      <w:szCs w:val="24"/>
                      <w:highlight w:val="none"/>
                    </w:rPr>
                  </w:pPr>
                  <w:r>
                    <w:rPr>
                      <w:rFonts w:hint="eastAsia" w:ascii="宋体" w:hAnsi="宋体" w:eastAsia="宋体" w:cs="宋体"/>
                      <w:color w:val="000000"/>
                      <w:sz w:val="24"/>
                      <w:szCs w:val="24"/>
                      <w:highlight w:val="none"/>
                      <w:lang w:val="en-US" w:eastAsia="zh-CN"/>
                    </w:rPr>
                    <w:t>为本招标项目的施工图审查单位</w:t>
                  </w:r>
                </w:p>
              </w:tc>
            </w:tr>
            <w:tr w14:paraId="47E0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723" w:type="dxa"/>
                  <w:noWrap w:val="0"/>
                  <w:vAlign w:val="center"/>
                </w:tcPr>
                <w:p w14:paraId="7771CD1C">
                  <w:pPr>
                    <w:pStyle w:val="25"/>
                    <w:keepNext w:val="0"/>
                    <w:keepLines w:val="0"/>
                    <w:pageBreakBefore w:val="0"/>
                    <w:widowControl w:val="0"/>
                    <w:kinsoku/>
                    <w:wordWrap w:val="0"/>
                    <w:overflowPunct/>
                    <w:topLinePunct w:val="0"/>
                    <w:autoSpaceDE/>
                    <w:autoSpaceDN/>
                    <w:bidi w:val="0"/>
                    <w:adjustRightInd w:val="0"/>
                    <w:snapToGrid w:val="0"/>
                    <w:spacing w:line="400" w:lineRule="exact"/>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rPr>
                    <w:t>6</w:t>
                  </w:r>
                </w:p>
              </w:tc>
              <w:tc>
                <w:tcPr>
                  <w:tcW w:w="3597" w:type="dxa"/>
                  <w:noWrap w:val="0"/>
                  <w:vAlign w:val="center"/>
                </w:tcPr>
                <w:p w14:paraId="084C3F9F">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韶关市星跃工程管理有限公司</w:t>
                  </w:r>
                </w:p>
              </w:tc>
              <w:tc>
                <w:tcPr>
                  <w:tcW w:w="3220" w:type="dxa"/>
                  <w:noWrap w:val="0"/>
                  <w:vAlign w:val="center"/>
                </w:tcPr>
                <w:p w14:paraId="07C7216E">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为本招标项目的造价咨询单位</w:t>
                  </w:r>
                </w:p>
              </w:tc>
            </w:tr>
            <w:tr w14:paraId="1588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3" w:type="dxa"/>
                  <w:noWrap w:val="0"/>
                  <w:vAlign w:val="center"/>
                </w:tcPr>
                <w:p w14:paraId="0D37A809">
                  <w:pPr>
                    <w:pStyle w:val="25"/>
                    <w:keepNext w:val="0"/>
                    <w:keepLines w:val="0"/>
                    <w:pageBreakBefore w:val="0"/>
                    <w:widowControl w:val="0"/>
                    <w:kinsoku/>
                    <w:wordWrap w:val="0"/>
                    <w:overflowPunct/>
                    <w:topLinePunct w:val="0"/>
                    <w:autoSpaceDE/>
                    <w:autoSpaceDN/>
                    <w:bidi w:val="0"/>
                    <w:adjustRightInd w:val="0"/>
                    <w:snapToGrid w:val="0"/>
                    <w:spacing w:line="400" w:lineRule="exact"/>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7</w:t>
                  </w:r>
                </w:p>
              </w:tc>
              <w:tc>
                <w:tcPr>
                  <w:tcW w:w="3597" w:type="dxa"/>
                  <w:noWrap w:val="0"/>
                  <w:vAlign w:val="center"/>
                </w:tcPr>
                <w:p w14:paraId="06BB352A">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信智达咨询集团有限公司</w:t>
                  </w:r>
                </w:p>
              </w:tc>
              <w:tc>
                <w:tcPr>
                  <w:tcW w:w="3220" w:type="dxa"/>
                  <w:noWrap w:val="0"/>
                  <w:vAlign w:val="center"/>
                </w:tcPr>
                <w:p w14:paraId="3E99CEB6">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为本招标项目的监理单位</w:t>
                  </w:r>
                </w:p>
              </w:tc>
            </w:tr>
            <w:tr w14:paraId="370A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3" w:type="dxa"/>
                  <w:noWrap w:val="0"/>
                  <w:vAlign w:val="center"/>
                </w:tcPr>
                <w:p w14:paraId="4D13EDC2">
                  <w:pPr>
                    <w:keepNext w:val="0"/>
                    <w:keepLines w:val="0"/>
                    <w:pageBreakBefore w:val="0"/>
                    <w:widowControl w:val="0"/>
                    <w:kinsoku/>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z w:val="24"/>
                      <w:szCs w:val="24"/>
                      <w:highlight w:val="none"/>
                      <w:lang w:val="en-US" w:eastAsia="zh-CN"/>
                    </w:rPr>
                    <w:t>8</w:t>
                  </w:r>
                </w:p>
              </w:tc>
              <w:tc>
                <w:tcPr>
                  <w:tcW w:w="3597" w:type="dxa"/>
                  <w:noWrap w:val="0"/>
                  <w:vAlign w:val="center"/>
                </w:tcPr>
                <w:p w14:paraId="3A1D4896">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auto"/>
                      <w:sz w:val="24"/>
                      <w:szCs w:val="24"/>
                      <w:highlight w:val="none"/>
                      <w:lang w:val="en-US" w:eastAsia="zh-CN"/>
                    </w:rPr>
                    <w:t>韶关市同立咨询有限公司</w:t>
                  </w:r>
                </w:p>
              </w:tc>
              <w:tc>
                <w:tcPr>
                  <w:tcW w:w="3220" w:type="dxa"/>
                  <w:noWrap w:val="0"/>
                  <w:vAlign w:val="center"/>
                </w:tcPr>
                <w:p w14:paraId="74A48147">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为本招标项目的招标代理机构</w:t>
                  </w:r>
                </w:p>
              </w:tc>
            </w:tr>
          </w:tbl>
          <w:p w14:paraId="0E8E0578">
            <w:pPr>
              <w:keepNext w:val="0"/>
              <w:keepLines w:val="0"/>
              <w:pageBreakBefore w:val="0"/>
              <w:widowControl/>
              <w:suppressLineNumbers w:val="0"/>
              <w:shd w:val="clear" w:color="auto" w:fill="auto"/>
              <w:overflowPunct/>
              <w:topLinePunct w:val="0"/>
              <w:bidi w:val="0"/>
              <w:adjustRightInd w:val="0"/>
              <w:snapToGrid w:val="0"/>
              <w:spacing w:line="400" w:lineRule="exact"/>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5.其他要求：</w:t>
            </w:r>
          </w:p>
          <w:p w14:paraId="575BCB86">
            <w:pPr>
              <w:keepNext w:val="0"/>
              <w:keepLines w:val="0"/>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val="en-US" w:eastAsia="zh-CN"/>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582" w:type="dxa"/>
            <w:vAlign w:val="center"/>
          </w:tcPr>
          <w:p w14:paraId="6C795553">
            <w:pPr>
              <w:numPr>
                <w:ilvl w:val="0"/>
                <w:numId w:val="0"/>
              </w:numPr>
              <w:spacing w:before="19"/>
              <w:ind w:left="425" w:leftChars="0" w:hanging="425" w:firstLineChars="0"/>
              <w:jc w:val="center"/>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sz w:val="24"/>
                <w:szCs w:val="24"/>
                <w:lang w:val="en-US" w:eastAsia="zh-CN" w:bidi="ar-SA"/>
              </w:rPr>
              <w:t>27</w:t>
            </w:r>
          </w:p>
        </w:tc>
        <w:tc>
          <w:tcPr>
            <w:tcW w:w="1749"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投标有效期</w:t>
            </w:r>
          </w:p>
        </w:tc>
        <w:tc>
          <w:tcPr>
            <w:tcW w:w="7700"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本次招标的投标有效期为</w:t>
            </w:r>
            <w:r>
              <w:rPr>
                <w:rFonts w:hint="eastAsia" w:ascii="宋体" w:hAnsi="宋体" w:eastAsia="宋体" w:cs="宋体"/>
                <w:snapToGrid w:val="0"/>
                <w:color w:val="auto"/>
                <w:kern w:val="0"/>
                <w:sz w:val="24"/>
                <w:szCs w:val="24"/>
                <w:highlight w:val="none"/>
                <w:u w:val="single"/>
                <w:lang w:eastAsia="zh-CN"/>
              </w:rPr>
              <w:t>90</w:t>
            </w:r>
            <w:r>
              <w:rPr>
                <w:rFonts w:hint="eastAsia" w:ascii="宋体" w:hAnsi="宋体" w:eastAsia="宋体" w:cs="宋体"/>
                <w:snapToGrid w:val="0"/>
                <w:color w:val="auto"/>
                <w:kern w:val="0"/>
                <w:sz w:val="24"/>
                <w:szCs w:val="24"/>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trPr>
        <w:tc>
          <w:tcPr>
            <w:tcW w:w="582" w:type="dxa"/>
            <w:vAlign w:val="center"/>
          </w:tcPr>
          <w:p w14:paraId="7E0149C9">
            <w:pPr>
              <w:numPr>
                <w:ilvl w:val="0"/>
                <w:numId w:val="0"/>
              </w:numPr>
              <w:spacing w:before="69" w:line="188" w:lineRule="auto"/>
              <w:ind w:left="425" w:leftChars="0" w:hanging="425"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sz w:val="24"/>
                <w:szCs w:val="24"/>
                <w:lang w:val="en-US" w:eastAsia="zh-CN" w:bidi="ar-SA"/>
              </w:rPr>
              <w:t>28</w:t>
            </w:r>
          </w:p>
        </w:tc>
        <w:tc>
          <w:tcPr>
            <w:tcW w:w="1749"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投标文件组成</w:t>
            </w:r>
          </w:p>
        </w:tc>
        <w:tc>
          <w:tcPr>
            <w:tcW w:w="7700"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投标文件包括商务标书、经济标书、施工组织设计</w:t>
            </w:r>
            <w:r>
              <w:rPr>
                <w:rFonts w:hint="eastAsia" w:ascii="宋体" w:hAnsi="宋体" w:eastAsia="宋体" w:cs="宋体"/>
                <w:snapToGrid w:val="0"/>
                <w:color w:val="auto"/>
                <w:kern w:val="0"/>
                <w:sz w:val="24"/>
                <w:szCs w:val="24"/>
                <w:highlight w:val="none"/>
                <w:lang w:val="en-US" w:eastAsia="zh-CN"/>
              </w:rPr>
              <w:t>和</w:t>
            </w:r>
            <w:r>
              <w:rPr>
                <w:rFonts w:hint="eastAsia" w:ascii="宋体" w:hAnsi="宋体" w:eastAsia="宋体" w:cs="宋体"/>
                <w:snapToGrid w:val="0"/>
                <w:color w:val="auto"/>
                <w:kern w:val="0"/>
                <w:sz w:val="24"/>
                <w:szCs w:val="24"/>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80D10B9">
            <w:pPr>
              <w:numPr>
                <w:ilvl w:val="0"/>
                <w:numId w:val="0"/>
              </w:numPr>
              <w:spacing w:before="69" w:line="188" w:lineRule="auto"/>
              <w:ind w:left="425" w:leftChars="0" w:hanging="425"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sz w:val="24"/>
                <w:szCs w:val="24"/>
                <w:lang w:val="en-US" w:eastAsia="zh-CN" w:bidi="ar-SA"/>
              </w:rPr>
              <w:t>29</w:t>
            </w:r>
          </w:p>
        </w:tc>
        <w:tc>
          <w:tcPr>
            <w:tcW w:w="1749" w:type="dxa"/>
            <w:vAlign w:val="center"/>
          </w:tcPr>
          <w:p w14:paraId="60E20252">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施工组织设计评审方式</w:t>
            </w:r>
          </w:p>
        </w:tc>
        <w:tc>
          <w:tcPr>
            <w:tcW w:w="7700"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本次招标施工组织设计</w:t>
            </w:r>
            <w:r>
              <w:rPr>
                <w:rFonts w:hint="eastAsia" w:ascii="宋体" w:hAnsi="宋体" w:eastAsia="宋体" w:cs="宋体"/>
                <w:snapToGrid w:val="0"/>
                <w:color w:val="auto"/>
                <w:kern w:val="0"/>
                <w:sz w:val="24"/>
                <w:szCs w:val="24"/>
                <w:highlight w:val="none"/>
                <w:u w:val="single"/>
                <w:lang w:eastAsia="zh-CN"/>
              </w:rPr>
              <w:t>不采用</w:t>
            </w:r>
            <w:r>
              <w:rPr>
                <w:rFonts w:hint="eastAsia" w:ascii="宋体" w:hAnsi="宋体" w:eastAsia="宋体" w:cs="宋体"/>
                <w:snapToGrid w:val="0"/>
                <w:color w:val="auto"/>
                <w:kern w:val="0"/>
                <w:sz w:val="24"/>
                <w:szCs w:val="24"/>
                <w:highlight w:val="none"/>
                <w:lang w:eastAsia="zh-CN"/>
              </w:rPr>
              <w:t>“暗标”方式进行评审。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numPr>
                <w:ilvl w:val="0"/>
                <w:numId w:val="0"/>
              </w:numPr>
              <w:spacing w:before="69" w:line="188" w:lineRule="auto"/>
              <w:ind w:left="425" w:leftChars="0" w:hanging="425" w:firstLineChars="0"/>
              <w:jc w:val="center"/>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sz w:val="24"/>
                <w:szCs w:val="24"/>
                <w:lang w:val="en-US" w:eastAsia="zh-CN" w:bidi="ar-SA"/>
              </w:rPr>
              <w:t>30</w:t>
            </w:r>
          </w:p>
        </w:tc>
        <w:tc>
          <w:tcPr>
            <w:tcW w:w="1749"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评标委员会</w:t>
            </w:r>
          </w:p>
        </w:tc>
        <w:tc>
          <w:tcPr>
            <w:tcW w:w="7700"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评标委员会由5人组成，其中招标人代表0人，专家5人。专家从广东省综合评标评审专家库（韶关区域）中随机抽取，其中技术类专家3人，经济类专家2人。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atLeast"/>
        </w:trPr>
        <w:tc>
          <w:tcPr>
            <w:tcW w:w="582" w:type="dxa"/>
            <w:vAlign w:val="center"/>
          </w:tcPr>
          <w:p w14:paraId="2AD4F28B">
            <w:pPr>
              <w:numPr>
                <w:ilvl w:val="0"/>
                <w:numId w:val="0"/>
              </w:numPr>
              <w:spacing w:before="69" w:line="188" w:lineRule="auto"/>
              <w:ind w:left="425" w:leftChars="0" w:hanging="425" w:firstLineChars="0"/>
              <w:jc w:val="center"/>
              <w:rPr>
                <w:rFonts w:hint="eastAsia" w:ascii="宋体" w:hAnsi="宋体" w:eastAsia="宋体" w:cs="宋体"/>
                <w:color w:val="auto"/>
                <w:spacing w:val="-5"/>
                <w:sz w:val="24"/>
                <w:szCs w:val="24"/>
                <w:highlight w:val="none"/>
                <w:lang w:val="en-US" w:eastAsia="zh-CN"/>
              </w:rPr>
            </w:pPr>
            <w:r>
              <w:rPr>
                <w:rFonts w:hint="eastAsia" w:ascii="宋体" w:hAnsi="宋体" w:eastAsia="宋体" w:cs="宋体"/>
                <w:snapToGrid w:val="0"/>
                <w:color w:val="auto"/>
                <w:spacing w:val="-5"/>
                <w:sz w:val="24"/>
                <w:szCs w:val="24"/>
                <w:lang w:val="en-US" w:eastAsia="zh-CN" w:bidi="ar-SA"/>
              </w:rPr>
              <w:t>31</w:t>
            </w:r>
          </w:p>
        </w:tc>
        <w:tc>
          <w:tcPr>
            <w:tcW w:w="1749"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7700"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Fonts w:hint="eastAsia" w:ascii="宋体" w:hAnsi="宋体" w:eastAsia="宋体" w:cs="宋体"/>
                <w:color w:val="auto"/>
                <w:sz w:val="24"/>
                <w:szCs w:val="24"/>
                <w:highlight w:val="none"/>
                <w:u w:val="none"/>
              </w:rPr>
              <w:t>定标委员会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582" w:type="dxa"/>
            <w:vAlign w:val="center"/>
          </w:tcPr>
          <w:p w14:paraId="58D68E0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188" w:lineRule="auto"/>
              <w:ind w:left="425" w:leftChars="0" w:hanging="425" w:firstLineChars="0"/>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sz w:val="24"/>
                <w:szCs w:val="24"/>
                <w:lang w:val="en-US" w:eastAsia="zh-CN" w:bidi="ar-SA"/>
              </w:rPr>
              <w:t>32</w:t>
            </w:r>
          </w:p>
        </w:tc>
        <w:tc>
          <w:tcPr>
            <w:tcW w:w="1749"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评标方法</w:t>
            </w:r>
          </w:p>
        </w:tc>
        <w:tc>
          <w:tcPr>
            <w:tcW w:w="7700"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 A＋B 值评标法  □经评审的最低投标价法   ☑综合评估法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numPr>
                <w:ilvl w:val="0"/>
                <w:numId w:val="0"/>
              </w:numPr>
              <w:spacing w:before="258" w:line="188" w:lineRule="auto"/>
              <w:ind w:left="425" w:leftChars="0" w:hanging="425" w:firstLineChars="0"/>
              <w:jc w:val="center"/>
              <w:rPr>
                <w:rFonts w:hint="eastAsia" w:ascii="宋体" w:hAnsi="宋体" w:eastAsia="宋体" w:cs="宋体"/>
                <w:color w:val="auto"/>
                <w:spacing w:val="-5"/>
                <w:sz w:val="24"/>
                <w:szCs w:val="24"/>
                <w:highlight w:val="none"/>
                <w:lang w:val="en-US" w:eastAsia="zh-CN"/>
              </w:rPr>
            </w:pPr>
            <w:r>
              <w:rPr>
                <w:rFonts w:hint="eastAsia" w:ascii="宋体" w:hAnsi="宋体" w:eastAsia="宋体" w:cs="宋体"/>
                <w:snapToGrid w:val="0"/>
                <w:color w:val="auto"/>
                <w:spacing w:val="-5"/>
                <w:sz w:val="24"/>
                <w:szCs w:val="24"/>
                <w:lang w:val="en-US" w:eastAsia="zh-CN" w:bidi="ar-SA"/>
              </w:rPr>
              <w:t>33</w:t>
            </w:r>
          </w:p>
        </w:tc>
        <w:tc>
          <w:tcPr>
            <w:tcW w:w="1749"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投标文件编制</w:t>
            </w:r>
            <w:r>
              <w:rPr>
                <w:rFonts w:hint="eastAsia" w:ascii="宋体" w:hAnsi="宋体" w:eastAsia="宋体" w:cs="宋体"/>
                <w:snapToGrid w:val="0"/>
                <w:color w:val="auto"/>
                <w:kern w:val="0"/>
                <w:sz w:val="24"/>
                <w:szCs w:val="24"/>
                <w:highlight w:val="none"/>
                <w:lang w:eastAsia="zh-CN"/>
              </w:rPr>
              <w:t>及</w:t>
            </w:r>
            <w:r>
              <w:rPr>
                <w:rFonts w:hint="eastAsia" w:ascii="宋体" w:hAnsi="宋体" w:eastAsia="宋体" w:cs="宋体"/>
                <w:snapToGrid w:val="0"/>
                <w:color w:val="auto"/>
                <w:kern w:val="0"/>
                <w:sz w:val="24"/>
                <w:szCs w:val="24"/>
                <w:highlight w:val="none"/>
              </w:rPr>
              <w:t>份数要求</w:t>
            </w:r>
          </w:p>
        </w:tc>
        <w:tc>
          <w:tcPr>
            <w:tcW w:w="7700"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2、对应评审要求的分项响应文件（如有）。</w:t>
            </w:r>
          </w:p>
          <w:p w14:paraId="2F569048">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6" w:hRule="atLeast"/>
        </w:trPr>
        <w:tc>
          <w:tcPr>
            <w:tcW w:w="582" w:type="dxa"/>
            <w:vAlign w:val="center"/>
          </w:tcPr>
          <w:p w14:paraId="2168BB35">
            <w:pPr>
              <w:numPr>
                <w:ilvl w:val="0"/>
                <w:numId w:val="0"/>
              </w:numPr>
              <w:spacing w:before="258" w:line="188" w:lineRule="auto"/>
              <w:ind w:left="425" w:leftChars="0" w:hanging="425" w:firstLineChars="0"/>
              <w:jc w:val="center"/>
              <w:rPr>
                <w:rFonts w:hint="eastAsia" w:ascii="宋体" w:hAnsi="宋体" w:eastAsia="宋体" w:cs="宋体"/>
                <w:color w:val="auto"/>
                <w:spacing w:val="-5"/>
                <w:sz w:val="24"/>
                <w:szCs w:val="24"/>
                <w:highlight w:val="none"/>
                <w:lang w:val="en-US" w:eastAsia="zh-CN"/>
              </w:rPr>
            </w:pPr>
            <w:r>
              <w:rPr>
                <w:rFonts w:hint="eastAsia" w:ascii="宋体" w:hAnsi="宋体" w:eastAsia="宋体" w:cs="宋体"/>
                <w:snapToGrid w:val="0"/>
                <w:color w:val="auto"/>
                <w:spacing w:val="-5"/>
                <w:sz w:val="24"/>
                <w:szCs w:val="24"/>
                <w:lang w:val="en-US" w:eastAsia="zh-CN" w:bidi="ar-SA"/>
              </w:rPr>
              <w:t>34</w:t>
            </w:r>
          </w:p>
        </w:tc>
        <w:tc>
          <w:tcPr>
            <w:tcW w:w="1749"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定标办法</w:t>
            </w:r>
          </w:p>
        </w:tc>
        <w:tc>
          <w:tcPr>
            <w:tcW w:w="7700"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□其他方法：</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numPr>
                <w:ilvl w:val="0"/>
                <w:numId w:val="0"/>
              </w:numPr>
              <w:spacing w:before="57" w:line="195" w:lineRule="auto"/>
              <w:ind w:left="425" w:leftChars="0" w:hanging="425"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sz w:val="24"/>
                <w:szCs w:val="24"/>
                <w:lang w:val="en-US" w:eastAsia="zh-CN" w:bidi="ar-SA"/>
              </w:rPr>
              <w:t>35</w:t>
            </w:r>
          </w:p>
        </w:tc>
        <w:tc>
          <w:tcPr>
            <w:tcW w:w="1749"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招标文件要求提交的用于评审的证书、证件、证明原件</w:t>
            </w:r>
          </w:p>
        </w:tc>
        <w:tc>
          <w:tcPr>
            <w:tcW w:w="7700"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投标人如提交用于评审的证书、证件、证明原件的，投标人应自行将所需原件密封于文件袋（箱）中，并自行准备两张“原件一览表”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扫描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14" w:hRule="atLeast"/>
        </w:trPr>
        <w:tc>
          <w:tcPr>
            <w:tcW w:w="582" w:type="dxa"/>
            <w:vAlign w:val="center"/>
          </w:tcPr>
          <w:p w14:paraId="6E15237F">
            <w:pPr>
              <w:numPr>
                <w:ilvl w:val="0"/>
                <w:numId w:val="0"/>
              </w:numPr>
              <w:spacing w:before="69" w:line="188" w:lineRule="auto"/>
              <w:ind w:left="425" w:leftChars="0" w:hanging="425" w:firstLineChars="0"/>
              <w:jc w:val="center"/>
              <w:rPr>
                <w:rFonts w:hint="eastAsia" w:ascii="宋体" w:hAnsi="宋体" w:eastAsia="宋体" w:cs="宋体"/>
                <w:color w:val="auto"/>
                <w:spacing w:val="-5"/>
                <w:sz w:val="24"/>
                <w:szCs w:val="24"/>
                <w:highlight w:val="none"/>
                <w:lang w:eastAsia="zh-CN"/>
              </w:rPr>
            </w:pPr>
            <w:r>
              <w:rPr>
                <w:rFonts w:hint="eastAsia" w:ascii="宋体" w:hAnsi="宋体" w:eastAsia="宋体" w:cs="宋体"/>
                <w:snapToGrid w:val="0"/>
                <w:color w:val="auto"/>
                <w:spacing w:val="-5"/>
                <w:sz w:val="24"/>
                <w:szCs w:val="24"/>
                <w:lang w:val="en-US" w:eastAsia="zh-CN" w:bidi="ar-SA"/>
              </w:rPr>
              <w:t>36</w:t>
            </w:r>
          </w:p>
        </w:tc>
        <w:tc>
          <w:tcPr>
            <w:tcW w:w="1749"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招标代理费和评标专家酬劳</w:t>
            </w:r>
          </w:p>
        </w:tc>
        <w:tc>
          <w:tcPr>
            <w:tcW w:w="7700"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本工程的招标代理费和评标专家酬劳由中标人支付，该费用不再另行报价，由投标人在投标报价时综合考虑在内。中标人须向招标代理机构一次性支付（招标代理服务费：根据《招标代理服务收费管理暂行办法》（计价格[2002]1980号）计算服务费用金额，并以工程中标价来计算服务费用，下浮30%收取。</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numPr>
                <w:ilvl w:val="0"/>
                <w:numId w:val="0"/>
              </w:numPr>
              <w:spacing w:before="69" w:line="188" w:lineRule="auto"/>
              <w:ind w:left="425" w:leftChars="0" w:hanging="425" w:firstLineChars="0"/>
              <w:jc w:val="center"/>
              <w:rPr>
                <w:rFonts w:hint="eastAsia" w:ascii="宋体" w:hAnsi="宋体" w:eastAsia="宋体" w:cs="宋体"/>
                <w:color w:val="auto"/>
                <w:sz w:val="24"/>
                <w:szCs w:val="24"/>
                <w:highlight w:val="none"/>
                <w:lang w:eastAsia="zh-CN"/>
              </w:rPr>
            </w:pPr>
            <w:r>
              <w:rPr>
                <w:rFonts w:hint="eastAsia" w:ascii="宋体" w:hAnsi="宋体" w:eastAsia="宋体" w:cs="宋体"/>
                <w:snapToGrid w:val="0"/>
                <w:color w:val="auto"/>
                <w:sz w:val="24"/>
                <w:szCs w:val="24"/>
                <w:lang w:val="en-US" w:eastAsia="zh-CN" w:bidi="ar-SA"/>
              </w:rPr>
              <w:t>37</w:t>
            </w:r>
          </w:p>
        </w:tc>
        <w:tc>
          <w:tcPr>
            <w:tcW w:w="1749"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联系方式</w:t>
            </w:r>
          </w:p>
        </w:tc>
        <w:tc>
          <w:tcPr>
            <w:tcW w:w="7700" w:type="dxa"/>
            <w:vAlign w:val="center"/>
          </w:tcPr>
          <w:p w14:paraId="294DCE90">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单位名称：韶关市武江区协佳市政服务有限公司</w:t>
            </w:r>
          </w:p>
          <w:p w14:paraId="45B2C2F5">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办公地址：韶关市武江区科创园青创中心7楼</w:t>
            </w:r>
          </w:p>
          <w:p w14:paraId="5B16EB9D">
            <w:pPr>
              <w:pageBreakBefore w:val="0"/>
              <w:widowControl w:val="0"/>
              <w:kinsoku/>
              <w:wordWrap w:val="0"/>
              <w:overflowPunct/>
              <w:topLinePunct w:val="0"/>
              <w:autoSpaceDE/>
              <w:autoSpaceDN/>
              <w:bidi w:val="0"/>
              <w:adjustRightInd w:val="0"/>
              <w:snapToGrid w:val="0"/>
              <w:spacing w:line="400" w:lineRule="exact"/>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联系人（部门）</w:t>
            </w:r>
            <w:r>
              <w:rPr>
                <w:rFonts w:hint="eastAsia" w:ascii="宋体" w:hAnsi="宋体" w:eastAsia="宋体" w:cs="宋体"/>
                <w:snapToGrid w:val="0"/>
                <w:color w:val="auto"/>
                <w:kern w:val="0"/>
                <w:sz w:val="24"/>
                <w:szCs w:val="24"/>
                <w:highlight w:val="none"/>
                <w:lang w:val="en-US" w:eastAsia="zh-CN"/>
              </w:rPr>
              <w:t>:司徒小姐</w:t>
            </w:r>
          </w:p>
          <w:p w14:paraId="01E5EFA9">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联系电话：0751-6916328</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582" w:type="dxa"/>
            <w:vAlign w:val="center"/>
          </w:tcPr>
          <w:p w14:paraId="7AB56B55">
            <w:pPr>
              <w:numPr>
                <w:ilvl w:val="0"/>
                <w:numId w:val="0"/>
              </w:numPr>
              <w:spacing w:before="69" w:line="188" w:lineRule="auto"/>
              <w:ind w:left="425" w:leftChars="0" w:hanging="425" w:firstLineChars="0"/>
              <w:jc w:val="center"/>
              <w:rPr>
                <w:rFonts w:hint="eastAsia" w:ascii="宋体" w:hAnsi="宋体" w:eastAsia="宋体" w:cs="宋体"/>
                <w:color w:val="auto"/>
                <w:spacing w:val="-5"/>
                <w:sz w:val="24"/>
                <w:szCs w:val="24"/>
                <w:highlight w:val="none"/>
                <w:lang w:val="en-US" w:eastAsia="zh-CN"/>
              </w:rPr>
            </w:pPr>
            <w:r>
              <w:rPr>
                <w:rFonts w:hint="eastAsia" w:ascii="宋体" w:hAnsi="宋体" w:eastAsia="宋体" w:cs="宋体"/>
                <w:snapToGrid w:val="0"/>
                <w:color w:val="auto"/>
                <w:spacing w:val="-5"/>
                <w:sz w:val="24"/>
                <w:szCs w:val="24"/>
                <w:lang w:val="en-US" w:eastAsia="zh-CN" w:bidi="ar-SA"/>
              </w:rPr>
              <w:t>38</w:t>
            </w:r>
          </w:p>
        </w:tc>
        <w:tc>
          <w:tcPr>
            <w:tcW w:w="1749"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联系方式</w:t>
            </w:r>
          </w:p>
        </w:tc>
        <w:tc>
          <w:tcPr>
            <w:tcW w:w="7700" w:type="dxa"/>
            <w:vAlign w:val="center"/>
          </w:tcPr>
          <w:p w14:paraId="49523478">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单位名称：韶关市同立咨询有限公司</w:t>
            </w:r>
          </w:p>
          <w:p w14:paraId="27E20652">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办公地址：韶关市武江区建设路29号武江科创园青创中心D栋418室</w:t>
            </w:r>
          </w:p>
          <w:p w14:paraId="302859BB">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联 系 人：谭工、</w:t>
            </w:r>
            <w:r>
              <w:rPr>
                <w:rFonts w:hint="eastAsia" w:ascii="宋体" w:hAnsi="宋体" w:eastAsia="宋体" w:cs="宋体"/>
                <w:snapToGrid w:val="0"/>
                <w:color w:val="auto"/>
                <w:kern w:val="0"/>
                <w:sz w:val="24"/>
                <w:szCs w:val="24"/>
                <w:highlight w:val="none"/>
                <w:lang w:val="en-US" w:eastAsia="zh-CN"/>
              </w:rPr>
              <w:t>刁</w:t>
            </w:r>
            <w:r>
              <w:rPr>
                <w:rFonts w:hint="eastAsia" w:ascii="宋体" w:hAnsi="宋体" w:eastAsia="宋体" w:cs="宋体"/>
                <w:snapToGrid w:val="0"/>
                <w:color w:val="auto"/>
                <w:kern w:val="0"/>
                <w:sz w:val="24"/>
                <w:szCs w:val="24"/>
                <w:highlight w:val="none"/>
                <w:lang w:eastAsia="zh-CN"/>
              </w:rPr>
              <w:t>工</w:t>
            </w:r>
          </w:p>
          <w:p w14:paraId="245C4B76">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电    话：0751-8896816</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numPr>
                <w:ilvl w:val="0"/>
                <w:numId w:val="0"/>
              </w:numPr>
              <w:spacing w:before="69" w:line="188" w:lineRule="auto"/>
              <w:ind w:left="425" w:leftChars="0" w:hanging="425" w:firstLineChars="0"/>
              <w:jc w:val="center"/>
              <w:rPr>
                <w:rFonts w:hint="eastAsia" w:ascii="宋体" w:hAnsi="宋体" w:eastAsia="宋体" w:cs="宋体"/>
                <w:color w:val="auto"/>
                <w:spacing w:val="-5"/>
                <w:sz w:val="24"/>
                <w:szCs w:val="24"/>
                <w:highlight w:val="none"/>
                <w:lang w:val="en-US" w:eastAsia="zh-CN"/>
              </w:rPr>
            </w:pPr>
            <w:r>
              <w:rPr>
                <w:rFonts w:hint="eastAsia" w:ascii="宋体" w:hAnsi="宋体" w:eastAsia="宋体" w:cs="宋体"/>
                <w:snapToGrid w:val="0"/>
                <w:color w:val="auto"/>
                <w:spacing w:val="-5"/>
                <w:sz w:val="24"/>
                <w:szCs w:val="24"/>
                <w:lang w:val="en-US" w:eastAsia="zh-CN" w:bidi="ar-SA"/>
              </w:rPr>
              <w:t>39</w:t>
            </w:r>
          </w:p>
        </w:tc>
        <w:tc>
          <w:tcPr>
            <w:tcW w:w="1749"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交易场所联系方式</w:t>
            </w:r>
          </w:p>
        </w:tc>
        <w:tc>
          <w:tcPr>
            <w:tcW w:w="7700" w:type="dxa"/>
            <w:vAlign w:val="center"/>
          </w:tcPr>
          <w:p w14:paraId="48075B41">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单位名称：韶关市公共资源交易中心</w:t>
            </w:r>
          </w:p>
          <w:p w14:paraId="533E5EA8">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办公地址：广东省韶关市武江区西联镇</w:t>
            </w:r>
          </w:p>
          <w:p w14:paraId="1EFAF941">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联系人（部门）：工程交易部</w:t>
            </w:r>
          </w:p>
          <w:p w14:paraId="3F289E33">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联系电话：0751-8633211</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numPr>
                <w:ilvl w:val="0"/>
                <w:numId w:val="0"/>
              </w:numPr>
              <w:spacing w:before="69" w:line="188" w:lineRule="auto"/>
              <w:ind w:leftChars="0"/>
              <w:jc w:val="center"/>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40</w:t>
            </w:r>
          </w:p>
        </w:tc>
        <w:tc>
          <w:tcPr>
            <w:tcW w:w="1749"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门联系方式</w:t>
            </w:r>
          </w:p>
        </w:tc>
        <w:tc>
          <w:tcPr>
            <w:tcW w:w="7700" w:type="dxa"/>
            <w:vAlign w:val="center"/>
          </w:tcPr>
          <w:p w14:paraId="4218D4D8">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单位名称：韶关市住房和城乡建设管理局</w:t>
            </w:r>
          </w:p>
          <w:p w14:paraId="71E2053D">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办公地址：广东省韶关市武江区芙蓉东路5号</w:t>
            </w:r>
          </w:p>
          <w:p w14:paraId="1BDB5F20">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联系人（部门）：建筑业市场管理科</w:t>
            </w:r>
          </w:p>
          <w:p w14:paraId="60273198">
            <w:pPr>
              <w:pageBreakBefore w:val="0"/>
              <w:widowControl w:val="0"/>
              <w:kinsoku/>
              <w:wordWrap w:val="0"/>
              <w:overflowPunct/>
              <w:topLinePunct w:val="0"/>
              <w:autoSpaceDE/>
              <w:autoSpaceDN/>
              <w:bidi w:val="0"/>
              <w:adjustRightInd w:val="0"/>
              <w:snapToGrid w:val="0"/>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联系电话：0751-8892601</w:t>
            </w:r>
          </w:p>
        </w:tc>
      </w:tr>
    </w:tbl>
    <w:p w14:paraId="2196EE89">
      <w:pPr>
        <w:rPr>
          <w:rFonts w:hint="eastAsia" w:ascii="宋体" w:hAnsi="宋体" w:eastAsia="宋体" w:cs="宋体"/>
          <w:b/>
          <w:bCs/>
          <w:color w:val="auto"/>
          <w:spacing w:val="-3"/>
          <w:sz w:val="24"/>
          <w:szCs w:val="24"/>
          <w:highlight w:val="none"/>
        </w:rPr>
      </w:pPr>
      <w:bookmarkStart w:id="9" w:name="bookmark115"/>
      <w:bookmarkEnd w:id="9"/>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sz w:val="24"/>
          <w:szCs w:val="24"/>
          <w:highlight w:val="none"/>
        </w:rPr>
      </w:pPr>
      <w:bookmarkStart w:id="10" w:name="_Toc21328"/>
      <w:r>
        <w:rPr>
          <w:rFonts w:hint="eastAsia" w:ascii="宋体" w:hAnsi="宋体" w:eastAsia="宋体" w:cs="宋体"/>
          <w:b/>
          <w:bCs/>
          <w:color w:val="auto"/>
          <w:spacing w:val="-3"/>
          <w:sz w:val="24"/>
          <w:szCs w:val="24"/>
          <w:highlight w:val="none"/>
        </w:rPr>
        <w:t>第二节 重要事项时间地点一览表</w:t>
      </w:r>
      <w:bookmarkEnd w:id="10"/>
    </w:p>
    <w:p w14:paraId="69A179A8">
      <w:pPr>
        <w:pStyle w:val="7"/>
        <w:rPr>
          <w:rFonts w:hint="eastAsia" w:ascii="宋体" w:hAnsi="宋体" w:eastAsia="宋体" w:cs="宋体"/>
          <w:color w:val="auto"/>
          <w:sz w:val="24"/>
          <w:szCs w:val="24"/>
          <w:highlight w:val="none"/>
        </w:rPr>
      </w:pPr>
    </w:p>
    <w:tbl>
      <w:tblPr>
        <w:tblStyle w:val="17"/>
        <w:tblW w:w="5008"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9"/>
        <w:gridCol w:w="1406"/>
        <w:gridCol w:w="7917"/>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招标公告</w:t>
            </w:r>
          </w:p>
          <w:p w14:paraId="6CF9F9BC">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5"/>
              <w:widowControl/>
              <w:snapToGrid w:val="0"/>
              <w:jc w:val="left"/>
              <w:rPr>
                <w:rFonts w:hint="eastAsia" w:ascii="宋体" w:hAnsi="宋体" w:eastAsia="宋体" w:cs="宋体"/>
                <w:snapToGrid w:val="0"/>
                <w:color w:val="auto"/>
                <w:kern w:val="0"/>
                <w:sz w:val="24"/>
                <w:szCs w:val="24"/>
                <w:highlight w:val="none"/>
                <w:lang w:eastAsia="zh-CN"/>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03 </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 xml:space="preserve"> 18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rPr>
              <w:t>分</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5"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13B17BC0">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获取招标文件</w:t>
            </w:r>
            <w:r>
              <w:rPr>
                <w:rFonts w:hint="eastAsia" w:ascii="宋体" w:hAnsi="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5"/>
              <w:widowControl/>
              <w:snapToGrid w:val="0"/>
              <w:jc w:val="left"/>
              <w:rPr>
                <w:rFonts w:hint="eastAsia" w:ascii="宋体" w:hAnsi="宋体" w:cs="宋体"/>
                <w:snapToGrid w:val="0"/>
                <w:color w:val="auto"/>
                <w:kern w:val="0"/>
                <w:sz w:val="24"/>
                <w:szCs w:val="24"/>
                <w:highlight w:val="none"/>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24 </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网上提问</w:t>
            </w:r>
          </w:p>
          <w:p w14:paraId="2BE90DC1">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5"/>
              <w:wordWrap w:val="0"/>
              <w:adjustRightInd w:val="0"/>
              <w:snapToGrid w:val="0"/>
              <w:spacing w:line="400" w:lineRule="exact"/>
              <w:jc w:val="left"/>
              <w:rPr>
                <w:rFonts w:hint="eastAsia" w:ascii="宋体" w:hAnsi="宋体" w:cs="宋体"/>
                <w:snapToGrid w:val="0"/>
                <w:color w:val="auto"/>
                <w:kern w:val="0"/>
                <w:sz w:val="24"/>
                <w:szCs w:val="24"/>
                <w:highlight w:val="none"/>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14 </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 xml:space="preserve">  16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网上答疑</w:t>
            </w:r>
          </w:p>
          <w:p w14:paraId="70A9C70E">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5"/>
              <w:widowControl/>
              <w:snapToGrid w:val="0"/>
              <w:jc w:val="left"/>
              <w:rPr>
                <w:rFonts w:hint="eastAsia" w:ascii="宋体" w:hAnsi="宋体" w:cs="宋体"/>
                <w:snapToGrid w:val="0"/>
                <w:color w:val="auto"/>
                <w:kern w:val="0"/>
                <w:sz w:val="24"/>
                <w:szCs w:val="24"/>
                <w:highlight w:val="none"/>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14 </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16</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rPr>
              <w:t>至</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17 </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16</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cs="宋体"/>
                <w:color w:val="auto"/>
                <w:kern w:val="0"/>
                <w:sz w:val="24"/>
                <w:szCs w:val="24"/>
                <w:highlight w:val="none"/>
              </w:rPr>
              <w:t>分</w:t>
            </w:r>
            <w:r>
              <w:rPr>
                <w:rFonts w:hint="eastAsia" w:ascii="宋体" w:hAnsi="宋体" w:cs="宋体"/>
                <w:color w:val="auto"/>
                <w:kern w:val="0"/>
                <w:sz w:val="24"/>
                <w:szCs w:val="24"/>
                <w:highlight w:val="none"/>
                <w:lang w:val="en-US" w:eastAsia="zh-CN"/>
              </w:rPr>
              <w:t xml:space="preserve"> </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投标保证缴</w:t>
            </w:r>
          </w:p>
          <w:p w14:paraId="249647CA">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5"/>
              <w:widowControl/>
              <w:snapToGrid w:val="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投标保证金到账截止时间：</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23</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p>
          <w:p w14:paraId="534D20EF">
            <w:pPr>
              <w:pStyle w:val="25"/>
              <w:widowControl/>
              <w:snapToGrid w:val="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投标保证担保上传截止时间：</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23</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p>
          <w:p w14:paraId="086C2F12">
            <w:pPr>
              <w:pStyle w:val="25"/>
              <w:widowControl/>
              <w:snapToGrid w:val="0"/>
              <w:jc w:val="left"/>
              <w:rPr>
                <w:rFonts w:hint="eastAsia" w:ascii="宋体" w:hAnsi="宋体" w:cs="宋体"/>
                <w:snapToGrid w:val="0"/>
                <w:color w:val="auto"/>
                <w:kern w:val="0"/>
                <w:sz w:val="24"/>
                <w:szCs w:val="24"/>
                <w:highlight w:val="none"/>
              </w:rPr>
            </w:pPr>
            <w:r>
              <w:rPr>
                <w:rFonts w:hint="eastAsia" w:ascii="宋体" w:hAnsi="宋体" w:cs="宋体"/>
                <w:color w:val="auto"/>
                <w:kern w:val="0"/>
                <w:sz w:val="24"/>
                <w:szCs w:val="24"/>
                <w:highlight w:val="none"/>
              </w:rPr>
              <w:t>投标保证保险投保截止时间：</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23</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电子投标</w:t>
            </w:r>
          </w:p>
          <w:p w14:paraId="3E473E72">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5"/>
              <w:widowControl/>
              <w:snapToGrid w:val="0"/>
              <w:jc w:val="left"/>
              <w:rPr>
                <w:rFonts w:hint="eastAsia" w:ascii="宋体" w:hAnsi="宋体" w:cs="宋体"/>
                <w:snapToGrid w:val="0"/>
                <w:color w:val="auto"/>
                <w:kern w:val="0"/>
                <w:sz w:val="24"/>
                <w:szCs w:val="24"/>
                <w:highlight w:val="none"/>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24 </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5"/>
              <w:wordWrap w:val="0"/>
              <w:adjustRightInd w:val="0"/>
              <w:snapToGrid w:val="0"/>
              <w:spacing w:line="360" w:lineRule="exact"/>
              <w:jc w:val="center"/>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投标评审原件（如有）</w:t>
            </w:r>
          </w:p>
          <w:p w14:paraId="7F77CCDF">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5"/>
              <w:widowControl/>
              <w:snapToGrid w:val="0"/>
              <w:jc w:val="left"/>
              <w:rPr>
                <w:rFonts w:hint="eastAsia" w:ascii="宋体" w:hAnsi="宋体" w:cs="宋体"/>
                <w:snapToGrid w:val="0"/>
                <w:color w:val="auto"/>
                <w:kern w:val="0"/>
                <w:sz w:val="24"/>
                <w:szCs w:val="24"/>
                <w:highlight w:val="none"/>
              </w:rPr>
            </w:pP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24 </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 xml:space="preserve"> 00 </w:t>
            </w:r>
            <w:r>
              <w:rPr>
                <w:rFonts w:hint="eastAsia" w:ascii="宋体" w:hAnsi="宋体" w:cs="宋体"/>
                <w:color w:val="auto"/>
                <w:kern w:val="0"/>
                <w:sz w:val="24"/>
                <w:szCs w:val="24"/>
                <w:highlight w:val="none"/>
              </w:rPr>
              <w:t>分至</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24 </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 xml:space="preserve"> 30 </w:t>
            </w:r>
            <w:r>
              <w:rPr>
                <w:rFonts w:hint="eastAsia" w:ascii="宋体" w:hAnsi="宋体" w:cs="宋体"/>
                <w:color w:val="auto"/>
                <w:kern w:val="0"/>
                <w:sz w:val="24"/>
                <w:szCs w:val="24"/>
                <w:highlight w:val="none"/>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5"/>
              <w:wordWrap w:val="0"/>
              <w:adjustRightInd w:val="0"/>
              <w:snapToGrid w:val="0"/>
              <w:spacing w:line="360" w:lineRule="exact"/>
              <w:jc w:val="center"/>
              <w:rPr>
                <w:rFonts w:hint="eastAsia" w:ascii="宋体" w:hAnsi="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投标评审原件（如有）</w:t>
            </w:r>
          </w:p>
          <w:p w14:paraId="3261A94D">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19EFF54">
            <w:pPr>
              <w:pStyle w:val="25"/>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rPr>
              <w:t>递交场所：韶关市公共资源交易中心</w:t>
            </w:r>
          </w:p>
          <w:p w14:paraId="54D0F656">
            <w:pPr>
              <w:pStyle w:val="25"/>
              <w:wordWrap w:val="0"/>
              <w:adjustRightInd w:val="0"/>
              <w:snapToGrid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地址：广东省韶关市武江区西联镇，</w:t>
            </w:r>
            <w:r>
              <w:rPr>
                <w:rFonts w:hint="eastAsia" w:ascii="宋体" w:hAnsi="宋体" w:cs="宋体"/>
                <w:snapToGrid w:val="0"/>
                <w:color w:val="auto"/>
                <w:kern w:val="0"/>
                <w:sz w:val="24"/>
                <w:szCs w:val="24"/>
                <w:highlight w:val="none"/>
                <w:lang w:eastAsia="zh-CN"/>
              </w:rPr>
              <w:t>具体房间号以当日现场通知为准</w:t>
            </w:r>
            <w:r>
              <w:rPr>
                <w:rFonts w:hint="eastAsia" w:ascii="宋体" w:hAnsi="宋体" w:cs="宋体"/>
                <w:snapToGrid w:val="0"/>
                <w:color w:val="auto"/>
                <w:kern w:val="0"/>
                <w:sz w:val="24"/>
                <w:szCs w:val="24"/>
                <w:highlight w:val="none"/>
              </w:rPr>
              <w:t>。</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9</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5"/>
              <w:wordWrap w:val="0"/>
              <w:adjustRightInd w:val="0"/>
              <w:snapToGrid w:val="0"/>
              <w:spacing w:line="400" w:lineRule="exact"/>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r>
              <w:rPr>
                <w:rFonts w:hint="eastAsia" w:ascii="宋体" w:hAnsi="宋体" w:cs="宋体"/>
                <w:color w:val="auto"/>
                <w:kern w:val="0"/>
                <w:sz w:val="24"/>
                <w:szCs w:val="24"/>
                <w:highlight w:val="none"/>
                <w:u w:val="single"/>
              </w:rPr>
              <w:t>202</w:t>
            </w:r>
            <w:r>
              <w:rPr>
                <w:rFonts w:hint="eastAsia" w:ascii="宋体" w:hAnsi="宋体" w:cs="宋体"/>
                <w:color w:val="auto"/>
                <w:kern w:val="0"/>
                <w:sz w:val="24"/>
                <w:szCs w:val="24"/>
                <w:highlight w:val="none"/>
                <w:u w:val="singl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u w:val="none"/>
                <w:lang w:val="en-US" w:eastAsia="zh-CN"/>
              </w:rPr>
              <w:t>月</w:t>
            </w:r>
            <w:r>
              <w:rPr>
                <w:rFonts w:hint="eastAsia" w:ascii="宋体" w:hAnsi="宋体" w:cs="宋体"/>
                <w:color w:val="auto"/>
                <w:kern w:val="0"/>
                <w:sz w:val="24"/>
                <w:szCs w:val="24"/>
                <w:highlight w:val="none"/>
                <w:u w:val="single"/>
                <w:lang w:val="en-US" w:eastAsia="zh-CN"/>
              </w:rPr>
              <w:t xml:space="preserve"> 24 </w:t>
            </w:r>
            <w:r>
              <w:rPr>
                <w:rFonts w:hint="eastAsia" w:ascii="宋体" w:hAnsi="宋体" w:cs="宋体"/>
                <w:color w:val="auto"/>
                <w:kern w:val="0"/>
                <w:sz w:val="24"/>
                <w:szCs w:val="24"/>
                <w:highlight w:val="none"/>
                <w:u w:val="none"/>
                <w:lang w:val="en-US" w:eastAsia="zh-CN"/>
              </w:rPr>
              <w:t>日</w:t>
            </w:r>
            <w:r>
              <w:rPr>
                <w:rFonts w:hint="eastAsia" w:ascii="宋体" w:hAnsi="宋体" w:cs="宋体"/>
                <w:color w:val="auto"/>
                <w:kern w:val="0"/>
                <w:sz w:val="24"/>
                <w:szCs w:val="24"/>
                <w:highlight w:val="none"/>
                <w:u w:val="single"/>
                <w:lang w:val="en-US" w:eastAsia="zh-CN"/>
              </w:rPr>
              <w:t xml:space="preserve"> 09 </w:t>
            </w:r>
            <w:r>
              <w:rPr>
                <w:rFonts w:hint="eastAsia" w:ascii="宋体" w:hAnsi="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10</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C3C51B8">
            <w:pPr>
              <w:pStyle w:val="25"/>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rPr>
              <w:t>开标场所：</w:t>
            </w:r>
            <w:r>
              <w:rPr>
                <w:rFonts w:hint="eastAsia" w:ascii="宋体" w:hAnsi="宋体" w:cs="宋体"/>
                <w:snapToGrid w:val="0"/>
                <w:color w:val="auto"/>
                <w:kern w:val="0"/>
                <w:sz w:val="24"/>
                <w:szCs w:val="24"/>
                <w:highlight w:val="none"/>
                <w:lang w:eastAsia="zh-CN"/>
              </w:rPr>
              <w:t>韶关市公共资源交易中心</w:t>
            </w:r>
          </w:p>
          <w:p w14:paraId="0A73ED51">
            <w:pPr>
              <w:pStyle w:val="25"/>
              <w:wordWrap w:val="0"/>
              <w:adjustRightInd w:val="0"/>
              <w:snapToGrid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地址：</w:t>
            </w:r>
            <w:r>
              <w:rPr>
                <w:rFonts w:hint="eastAsia" w:ascii="宋体" w:hAnsi="宋体" w:cs="宋体"/>
                <w:snapToGrid w:val="0"/>
                <w:color w:val="auto"/>
                <w:kern w:val="0"/>
                <w:sz w:val="24"/>
                <w:szCs w:val="24"/>
                <w:highlight w:val="none"/>
                <w:lang w:eastAsia="zh-CN"/>
              </w:rPr>
              <w:t>广东省韶关市武江区西联镇，具体房间号以当日现场通知为准</w:t>
            </w:r>
            <w:r>
              <w:rPr>
                <w:rFonts w:hint="eastAsia" w:ascii="宋体" w:hAnsi="宋体" w:cs="宋体"/>
                <w:snapToGrid w:val="0"/>
                <w:color w:val="auto"/>
                <w:kern w:val="0"/>
                <w:sz w:val="24"/>
                <w:szCs w:val="24"/>
                <w:highlight w:val="none"/>
              </w:rPr>
              <w:t>。</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5"/>
              <w:wordWrap w:val="0"/>
              <w:adjustRightInd w:val="0"/>
              <w:snapToGrid w:val="0"/>
              <w:spacing w:line="360" w:lineRule="exact"/>
              <w:jc w:val="center"/>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5"/>
              <w:wordWrap w:val="0"/>
              <w:adjustRightInd w:val="0"/>
              <w:snapToGrid w:val="0"/>
              <w:spacing w:line="400" w:lineRule="exact"/>
              <w:ind w:firstLine="240" w:firstLineChars="1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应按有关计划时间安排办理企业CA认证、企业入库等，获取招标文件后自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11" w:name="_Toc11011"/>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11"/>
    </w:p>
    <w:p w14:paraId="6017DF82">
      <w:pPr>
        <w:pStyle w:val="7"/>
        <w:spacing w:line="257" w:lineRule="auto"/>
        <w:rPr>
          <w:rFonts w:hint="eastAsia" w:ascii="宋体" w:hAnsi="宋体" w:eastAsia="宋体" w:cs="宋体"/>
          <w:color w:val="auto"/>
          <w:sz w:val="24"/>
          <w:szCs w:val="24"/>
          <w:highlight w:val="none"/>
        </w:rPr>
      </w:pPr>
    </w:p>
    <w:p w14:paraId="2BD22834">
      <w:pPr>
        <w:keepNext w:val="0"/>
        <w:keepLines w:val="0"/>
        <w:widowControl/>
        <w:suppressLineNumbers w:val="0"/>
        <w:spacing w:line="360" w:lineRule="auto"/>
        <w:ind w:left="239" w:leftChars="114" w:right="-258" w:rightChars="-123" w:firstLine="240" w:firstLineChars="10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single"/>
          <w:lang w:eastAsia="zh-CN"/>
        </w:rPr>
        <w:t>武江区城乡融合产业园兴武二路一期提升改造项目</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none"/>
          <w:lang w:eastAsia="zh-CN"/>
        </w:rPr>
        <w:t>经</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lang w:eastAsia="zh-CN"/>
        </w:rPr>
        <w:t>韶关市武江区发展和改革局以《</w:t>
      </w:r>
      <w:r>
        <w:rPr>
          <w:rFonts w:hint="eastAsia" w:ascii="宋体" w:hAnsi="宋体" w:eastAsia="宋体" w:cs="宋体"/>
          <w:snapToGrid w:val="0"/>
          <w:color w:val="auto"/>
          <w:kern w:val="0"/>
          <w:sz w:val="24"/>
          <w:szCs w:val="24"/>
          <w:highlight w:val="none"/>
          <w:u w:val="single"/>
          <w:lang w:val="en-US" w:eastAsia="zh-CN"/>
        </w:rPr>
        <w:t>关于武江区城乡融合产业园兴武二路一期提升改造项目初步设计概算的批复</w:t>
      </w:r>
      <w:r>
        <w:rPr>
          <w:rFonts w:hint="eastAsia" w:ascii="宋体" w:hAnsi="宋体" w:eastAsia="宋体" w:cs="宋体"/>
          <w:snapToGrid w:val="0"/>
          <w:color w:val="auto"/>
          <w:kern w:val="0"/>
          <w:sz w:val="24"/>
          <w:szCs w:val="24"/>
          <w:highlight w:val="none"/>
          <w:u w:val="single"/>
          <w:lang w:eastAsia="zh-CN"/>
        </w:rPr>
        <w:t>》（韶武发改投审〔2026〕29号）</w:t>
      </w:r>
      <w:r>
        <w:rPr>
          <w:rFonts w:hint="eastAsia" w:ascii="宋体" w:hAnsi="宋体" w:eastAsia="宋体" w:cs="宋体"/>
          <w:snapToGrid w:val="0"/>
          <w:color w:val="auto"/>
          <w:kern w:val="0"/>
          <w:sz w:val="24"/>
          <w:szCs w:val="24"/>
          <w:highlight w:val="none"/>
        </w:rPr>
        <w:t>批准建设，项目代码为</w:t>
      </w:r>
      <w:r>
        <w:rPr>
          <w:rFonts w:hint="eastAsia" w:ascii="宋体" w:hAnsi="宋体" w:eastAsia="宋体" w:cs="宋体"/>
          <w:snapToGrid w:val="0"/>
          <w:color w:val="auto"/>
          <w:kern w:val="0"/>
          <w:sz w:val="24"/>
          <w:szCs w:val="24"/>
          <w:highlight w:val="none"/>
          <w:u w:val="single"/>
          <w:lang w:eastAsia="zh-CN"/>
        </w:rPr>
        <w:t>2602-440203-18-01-329823</w:t>
      </w:r>
      <w:r>
        <w:rPr>
          <w:rFonts w:hint="eastAsia" w:ascii="宋体" w:hAnsi="宋体" w:eastAsia="宋体" w:cs="宋体"/>
          <w:snapToGrid w:val="0"/>
          <w:color w:val="auto"/>
          <w:kern w:val="0"/>
          <w:sz w:val="24"/>
          <w:szCs w:val="24"/>
          <w:highlight w:val="none"/>
        </w:rPr>
        <w:t>。项目业主为</w:t>
      </w:r>
      <w:r>
        <w:rPr>
          <w:rFonts w:hint="eastAsia" w:ascii="宋体" w:hAnsi="宋体" w:eastAsia="宋体" w:cs="宋体"/>
          <w:snapToGrid w:val="0"/>
          <w:color w:val="auto"/>
          <w:kern w:val="0"/>
          <w:sz w:val="24"/>
          <w:szCs w:val="24"/>
          <w:highlight w:val="none"/>
          <w:u w:val="single"/>
        </w:rPr>
        <w:t>韶关市武江区国有投资集团有限公司</w:t>
      </w:r>
      <w:r>
        <w:rPr>
          <w:rFonts w:hint="eastAsia" w:ascii="宋体" w:hAnsi="宋体" w:eastAsia="宋体" w:cs="宋体"/>
          <w:snapToGrid w:val="0"/>
          <w:color w:val="auto"/>
          <w:kern w:val="0"/>
          <w:sz w:val="24"/>
          <w:szCs w:val="24"/>
          <w:highlight w:val="none"/>
        </w:rPr>
        <w:t>，建设资金来自</w:t>
      </w:r>
      <w:r>
        <w:rPr>
          <w:rFonts w:hint="eastAsia" w:ascii="新宋体" w:hAnsi="新宋体" w:eastAsia="新宋体" w:cs="新宋体"/>
          <w:bCs/>
          <w:snapToGrid w:val="0"/>
          <w:color w:val="auto"/>
          <w:kern w:val="0"/>
          <w:sz w:val="24"/>
          <w:szCs w:val="24"/>
          <w:highlight w:val="none"/>
          <w:u w:val="single"/>
          <w:lang w:val="en-US" w:eastAsia="zh-CN" w:bidi="ar-SA"/>
        </w:rPr>
        <w:t>专项债和企业自筹资金</w:t>
      </w:r>
      <w:r>
        <w:rPr>
          <w:rFonts w:hint="eastAsia" w:ascii="宋体" w:hAnsi="宋体" w:eastAsia="宋体" w:cs="宋体"/>
          <w:snapToGrid w:val="0"/>
          <w:color w:val="auto"/>
          <w:kern w:val="0"/>
          <w:sz w:val="24"/>
          <w:szCs w:val="24"/>
          <w:highlight w:val="none"/>
        </w:rPr>
        <w:t>，出资比例</w:t>
      </w:r>
      <w:r>
        <w:rPr>
          <w:rFonts w:hint="eastAsia" w:ascii="宋体" w:hAnsi="宋体" w:eastAsia="宋体" w:cs="宋体"/>
          <w:snapToGrid w:val="0"/>
          <w:color w:val="auto"/>
          <w:kern w:val="0"/>
          <w:sz w:val="24"/>
          <w:szCs w:val="24"/>
          <w:highlight w:val="none"/>
          <w:u w:val="single"/>
        </w:rPr>
        <w:t>100%</w:t>
      </w:r>
      <w:r>
        <w:rPr>
          <w:rFonts w:hint="eastAsia" w:ascii="宋体" w:hAnsi="宋体" w:eastAsia="宋体" w:cs="宋体"/>
          <w:snapToGrid w:val="0"/>
          <w:color w:val="auto"/>
          <w:kern w:val="0"/>
          <w:sz w:val="24"/>
          <w:szCs w:val="24"/>
          <w:highlight w:val="none"/>
        </w:rPr>
        <w:t>，招标人</w:t>
      </w:r>
      <w:r>
        <w:rPr>
          <w:rFonts w:hint="eastAsia" w:ascii="宋体" w:hAnsi="宋体" w:eastAsia="宋体" w:cs="宋体"/>
          <w:snapToGrid w:val="0"/>
          <w:color w:val="auto"/>
          <w:kern w:val="0"/>
          <w:sz w:val="24"/>
          <w:szCs w:val="24"/>
          <w:highlight w:val="none"/>
          <w:lang w:val="en-US" w:eastAsia="zh-CN"/>
        </w:rPr>
        <w:t>（代建单位）</w:t>
      </w:r>
      <w:r>
        <w:rPr>
          <w:rFonts w:hint="eastAsia" w:ascii="宋体" w:hAnsi="宋体" w:eastAsia="宋体" w:cs="宋体"/>
          <w:snapToGrid w:val="0"/>
          <w:color w:val="auto"/>
          <w:kern w:val="0"/>
          <w:sz w:val="24"/>
          <w:szCs w:val="24"/>
          <w:highlight w:val="none"/>
        </w:rPr>
        <w:t>为</w:t>
      </w:r>
      <w:r>
        <w:rPr>
          <w:rFonts w:hint="eastAsia" w:ascii="宋体" w:hAnsi="宋体" w:eastAsia="宋体" w:cs="宋体"/>
          <w:snapToGrid w:val="0"/>
          <w:color w:val="auto"/>
          <w:kern w:val="0"/>
          <w:sz w:val="24"/>
          <w:szCs w:val="24"/>
          <w:highlight w:val="none"/>
          <w:u w:val="single"/>
          <w:lang w:eastAsia="zh-CN"/>
        </w:rPr>
        <w:t>韶关市武江区协佳市政服务有限公司</w:t>
      </w:r>
      <w:r>
        <w:rPr>
          <w:rFonts w:hint="eastAsia" w:ascii="宋体" w:hAnsi="宋体" w:eastAsia="宋体" w:cs="宋体"/>
          <w:snapToGrid w:val="0"/>
          <w:color w:val="auto"/>
          <w:kern w:val="0"/>
          <w:sz w:val="24"/>
          <w:szCs w:val="24"/>
          <w:highlight w:val="none"/>
        </w:rPr>
        <w:t>，招标代理机构为</w:t>
      </w:r>
      <w:r>
        <w:rPr>
          <w:rFonts w:hint="eastAsia" w:ascii="宋体" w:hAnsi="宋体" w:eastAsia="宋体" w:cs="宋体"/>
          <w:color w:val="auto"/>
          <w:kern w:val="0"/>
          <w:sz w:val="24"/>
          <w:szCs w:val="24"/>
          <w:highlight w:val="none"/>
          <w:u w:val="single"/>
          <w:lang w:eastAsia="zh-CN"/>
        </w:rPr>
        <w:t>韶关市同立咨询有限公司</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b/>
          <w:bCs/>
          <w:snapToGrid w:val="0"/>
          <w:color w:val="auto"/>
          <w:kern w:val="0"/>
          <w:sz w:val="24"/>
          <w:szCs w:val="24"/>
          <w:highlight w:val="none"/>
          <w:u w:val="single"/>
          <w:lang w:val="en-US" w:eastAsia="zh-CN"/>
        </w:rPr>
        <w:t>施工</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12" w:name="bookmark73"/>
      <w:bookmarkEnd w:id="12"/>
      <w:bookmarkStart w:id="13" w:name="bookmark59"/>
      <w:bookmarkEnd w:id="13"/>
      <w:bookmarkStart w:id="14" w:name="bookmark52"/>
      <w:bookmarkEnd w:id="14"/>
      <w:bookmarkStart w:id="15" w:name="_Toc2314"/>
      <w:bookmarkStart w:id="16" w:name="_Toc15993"/>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5"/>
      <w:bookmarkEnd w:id="16"/>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pacing w:val="-2"/>
          <w:sz w:val="24"/>
          <w:szCs w:val="24"/>
          <w:highlight w:val="none"/>
          <w:u w:val="single"/>
          <w:lang w:val="en-US" w:eastAsia="zh-CN"/>
        </w:rPr>
        <w:t>韶关市武江区城乡融合产业园内。</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b w:val="0"/>
          <w:bCs w:val="0"/>
          <w:snapToGrid w:val="0"/>
          <w:color w:val="auto"/>
          <w:kern w:val="0"/>
          <w:sz w:val="24"/>
          <w:szCs w:val="24"/>
          <w:highlight w:val="none"/>
          <w:u w:val="single"/>
          <w:lang w:eastAsia="zh-CN"/>
        </w:rPr>
        <w:t>兴武二路改造工程涉及道路全长约710m，平面交叉口1处。将道路西侧车行道拓宽2米，同步改造人行道，并完善相关配套市政管线工程。其中道路工程新建车行道1420m² ,新建人行道 2382.6m² ,新建路缘石 960m，新建交通标牌3个，迁改交通标牌5个，更换交通标牌（利用现状标志杆）61个，交通标线168.1m；综合管线工程拆除新建 9 孔Φ110 通信管沟675m，拆除修复雨水口18座；配套建设管网、绿化等工程</w:t>
      </w:r>
      <w:r>
        <w:rPr>
          <w:rFonts w:hint="eastAsia" w:ascii="宋体" w:hAnsi="宋体" w:eastAsia="宋体" w:cs="宋体"/>
          <w:color w:val="auto"/>
          <w:sz w:val="24"/>
          <w:szCs w:val="24"/>
          <w:highlight w:val="none"/>
          <w:u w:val="single"/>
          <w:lang w:val="en-US" w:eastAsia="zh-CN"/>
        </w:rPr>
        <w:t>。</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3"/>
          <w:rFonts w:hint="eastAsia" w:ascii="宋体" w:hAnsi="宋体" w:eastAsia="宋体" w:cs="宋体"/>
          <w:color w:val="auto"/>
          <w:kern w:val="0"/>
          <w:sz w:val="24"/>
          <w:szCs w:val="24"/>
          <w:highlight w:val="none"/>
        </w:rPr>
        <w:t>：</w:t>
      </w:r>
      <w:r>
        <w:rPr>
          <w:rStyle w:val="23"/>
          <w:rFonts w:hint="eastAsia" w:ascii="宋体" w:hAnsi="宋体" w:eastAsia="宋体" w:cs="宋体"/>
          <w:color w:val="auto"/>
          <w:kern w:val="0"/>
          <w:sz w:val="24"/>
          <w:szCs w:val="24"/>
          <w:highlight w:val="none"/>
          <w:u w:val="single"/>
          <w:lang w:val="en-US" w:eastAsia="zh-CN"/>
        </w:rPr>
        <w:t>项目总投资概算约393.54万元</w:t>
      </w:r>
      <w:r>
        <w:rPr>
          <w:rFonts w:hint="eastAsia" w:ascii="宋体" w:hAnsi="宋体" w:eastAsia="宋体" w:cs="宋体"/>
          <w:snapToGrid w:val="0"/>
          <w:color w:val="auto"/>
          <w:kern w:val="0"/>
          <w:sz w:val="24"/>
          <w:szCs w:val="24"/>
          <w:highlight w:val="none"/>
          <w:u w:val="single"/>
          <w:lang w:val="en-US" w:eastAsia="zh-CN"/>
        </w:rPr>
        <w:t>，其中工程费约252.62万元</w:t>
      </w:r>
      <w:r>
        <w:rPr>
          <w:rStyle w:val="23"/>
          <w:rFonts w:hint="eastAsia" w:ascii="宋体" w:hAnsi="宋体" w:eastAsia="宋体" w:cs="宋体"/>
          <w:color w:val="auto"/>
          <w:kern w:val="0"/>
          <w:sz w:val="24"/>
          <w:szCs w:val="24"/>
          <w:highlight w:val="none"/>
          <w:u w:val="single"/>
          <w:lang w:val="en-US" w:eastAsia="zh-CN"/>
        </w:rPr>
        <w:t>。</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non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7" w:name="_Toc20855"/>
      <w:bookmarkStart w:id="18" w:name="_Toc28202"/>
      <w:bookmarkStart w:id="19" w:name="_Toc14190"/>
      <w:bookmarkStart w:id="20" w:name="_Toc24593"/>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7"/>
      <w:bookmarkEnd w:id="18"/>
      <w:bookmarkEnd w:id="19"/>
      <w:bookmarkEnd w:id="20"/>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bCs/>
          <w:color w:val="auto"/>
          <w:sz w:val="24"/>
          <w:szCs w:val="24"/>
          <w:highlight w:val="none"/>
        </w:rPr>
      </w:pPr>
      <w:bookmarkStart w:id="21" w:name="_Toc16961"/>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eastAsia="zh-CN"/>
        </w:rPr>
        <w:t>投标人资格要求</w:t>
      </w:r>
      <w:bookmarkEnd w:id="21"/>
    </w:p>
    <w:p w14:paraId="3256B267">
      <w:pPr>
        <w:pStyle w:val="6"/>
        <w:keepNext w:val="0"/>
        <w:keepLines w:val="0"/>
        <w:pageBreakBefore w:val="0"/>
        <w:overflowPunct/>
        <w:topLinePunct w:val="0"/>
        <w:bidi w:val="0"/>
        <w:adjustRightInd w:val="0"/>
        <w:snapToGrid w:val="0"/>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2.1、本次招标</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lang w:val="en-US" w:eastAsia="zh-CN"/>
        </w:rPr>
        <w:t xml:space="preserve">接受 </w:t>
      </w:r>
      <w:r>
        <w:rPr>
          <w:rFonts w:hint="eastAsia" w:ascii="宋体" w:hAnsi="宋体" w:eastAsia="宋体" w:cs="宋体"/>
          <w:color w:val="auto"/>
          <w:sz w:val="24"/>
          <w:szCs w:val="24"/>
          <w:highlight w:val="none"/>
          <w:lang w:val="en-US" w:eastAsia="zh-CN"/>
        </w:rPr>
        <w:t>联合体投标，联合体以一个投标人的身份共同投标。</w:t>
      </w:r>
    </w:p>
    <w:p w14:paraId="17090B8A">
      <w:pPr>
        <w:pStyle w:val="6"/>
        <w:keepNext w:val="0"/>
        <w:keepLines w:val="0"/>
        <w:pageBreakBefore w:val="0"/>
        <w:overflowPunct/>
        <w:topLinePunct w:val="0"/>
        <w:bidi w:val="0"/>
        <w:adjustRightInd w:val="0"/>
        <w:snapToGrid w:val="0"/>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2.1.1 联合体成员数量不超过</w:t>
      </w:r>
      <w:r>
        <w:rPr>
          <w:rFonts w:hint="eastAsia" w:ascii="宋体" w:hAnsi="宋体" w:eastAsia="宋体" w:cs="宋体"/>
          <w:b/>
          <w:bCs/>
          <w:color w:val="auto"/>
          <w:sz w:val="24"/>
          <w:szCs w:val="24"/>
          <w:highlight w:val="none"/>
          <w:u w:val="single"/>
          <w:lang w:val="en-US" w:eastAsia="zh-CN"/>
        </w:rPr>
        <w:t>2个</w:t>
      </w:r>
      <w:r>
        <w:rPr>
          <w:rFonts w:hint="eastAsia" w:ascii="宋体" w:hAnsi="宋体" w:eastAsia="宋体" w:cs="宋体"/>
          <w:color w:val="auto"/>
          <w:sz w:val="24"/>
          <w:szCs w:val="24"/>
          <w:highlight w:val="none"/>
          <w:lang w:val="en-US" w:eastAsia="zh-CN"/>
        </w:rPr>
        <w:t>。</w:t>
      </w:r>
    </w:p>
    <w:p w14:paraId="474C78AB">
      <w:pPr>
        <w:pStyle w:val="6"/>
        <w:keepNext w:val="0"/>
        <w:keepLines w:val="0"/>
        <w:pageBreakBefore w:val="0"/>
        <w:overflowPunct/>
        <w:topLinePunct w:val="0"/>
        <w:bidi w:val="0"/>
        <w:adjustRightInd w:val="0"/>
        <w:snapToGrid w:val="0"/>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2.1.2 联合体各方应按招标文件提供的格式签订联合体协议书，明确联合体牵头人和各方权利义务，并承诺就中标项目向招标人承担连带责任。《联合体协议书》作为投标文件的组成部分向招标人提交。</w:t>
      </w:r>
    </w:p>
    <w:p w14:paraId="14EAD9F2">
      <w:pPr>
        <w:pStyle w:val="6"/>
        <w:keepNext w:val="0"/>
        <w:keepLines w:val="0"/>
        <w:pageBreakBefore w:val="0"/>
        <w:overflowPunct/>
        <w:topLinePunct w:val="0"/>
        <w:bidi w:val="0"/>
        <w:adjustRightInd w:val="0"/>
        <w:snapToGrid w:val="0"/>
        <w:spacing w:line="44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28681DCF">
      <w:pPr>
        <w:pStyle w:val="6"/>
        <w:keepNext w:val="0"/>
        <w:keepLines w:val="0"/>
        <w:pageBreakBefore w:val="0"/>
        <w:overflowPunct/>
        <w:topLinePunct w:val="0"/>
        <w:bidi w:val="0"/>
        <w:adjustRightInd w:val="0"/>
        <w:snapToGrid w:val="0"/>
        <w:spacing w:line="44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2.1.4 联合体各方不得再以自己名义单独或参加其他联合体在本招标项目中投标，否则各相关投标均无效。</w:t>
      </w:r>
    </w:p>
    <w:p w14:paraId="6D2C3D60">
      <w:pPr>
        <w:pStyle w:val="6"/>
        <w:keepNext w:val="0"/>
        <w:keepLines w:val="0"/>
        <w:pageBreakBefore w:val="0"/>
        <w:overflowPunct/>
        <w:topLinePunct w:val="0"/>
        <w:bidi w:val="0"/>
        <w:adjustRightInd w:val="0"/>
        <w:snapToGrid w:val="0"/>
        <w:spacing w:line="440" w:lineRule="exact"/>
        <w:ind w:firstLine="241" w:firstLineChars="1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2.2 资质要求</w:t>
      </w:r>
    </w:p>
    <w:p w14:paraId="18CE7A69">
      <w:pPr>
        <w:pStyle w:val="6"/>
        <w:keepNext w:val="0"/>
        <w:keepLines w:val="0"/>
        <w:pageBreakBefore w:val="0"/>
        <w:overflowPunct/>
        <w:topLinePunct w:val="0"/>
        <w:bidi w:val="0"/>
        <w:adjustRightInd w:val="0"/>
        <w:snapToGrid w:val="0"/>
        <w:spacing w:line="44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2.2.1 投标人须具备独立法人资格，按国家法律经营。</w:t>
      </w:r>
    </w:p>
    <w:p w14:paraId="416FA4FF">
      <w:pPr>
        <w:pStyle w:val="6"/>
        <w:keepNext w:val="0"/>
        <w:keepLines w:val="0"/>
        <w:pageBreakBefore w:val="0"/>
        <w:overflowPunct/>
        <w:topLinePunct w:val="0"/>
        <w:bidi w:val="0"/>
        <w:adjustRightInd w:val="0"/>
        <w:snapToGrid w:val="0"/>
        <w:spacing w:line="44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2.2.2 投标人须持有</w:t>
      </w:r>
      <w:r>
        <w:rPr>
          <w:rFonts w:hint="eastAsia" w:ascii="宋体" w:hAnsi="宋体" w:eastAsia="宋体" w:cs="宋体"/>
          <w:b/>
          <w:bCs/>
          <w:color w:val="auto"/>
          <w:sz w:val="24"/>
          <w:szCs w:val="24"/>
          <w:highlight w:val="none"/>
          <w:u w:val="single"/>
          <w:lang w:val="en-US" w:eastAsia="zh-CN"/>
        </w:rPr>
        <w:t>建设行政主管部门颁发的企业资质证书及安全生产许可证</w:t>
      </w:r>
      <w:r>
        <w:rPr>
          <w:rFonts w:hint="eastAsia" w:ascii="宋体" w:hAnsi="宋体" w:eastAsia="宋体" w:cs="宋体"/>
          <w:color w:val="auto"/>
          <w:sz w:val="24"/>
          <w:szCs w:val="24"/>
          <w:highlight w:val="none"/>
          <w:lang w:val="en-US" w:eastAsia="zh-CN"/>
        </w:rPr>
        <w:t>。</w:t>
      </w:r>
    </w:p>
    <w:p w14:paraId="7E18E0B1">
      <w:pPr>
        <w:pStyle w:val="6"/>
        <w:keepNext w:val="0"/>
        <w:keepLines w:val="0"/>
        <w:pageBreakBefore w:val="0"/>
        <w:overflowPunct/>
        <w:topLinePunct w:val="0"/>
        <w:bidi w:val="0"/>
        <w:adjustRightInd w:val="0"/>
        <w:snapToGrid w:val="0"/>
        <w:spacing w:line="44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2.2.3 参加投标的投标人可以是单一独立法人或由不超过两家独立法人组成的联合体</w:t>
      </w:r>
      <w:r>
        <w:rPr>
          <w:rFonts w:hint="eastAsia" w:ascii="宋体" w:hAnsi="宋体" w:eastAsia="宋体" w:cs="宋体"/>
          <w:b/>
          <w:bCs/>
          <w:color w:val="auto"/>
          <w:sz w:val="24"/>
          <w:szCs w:val="24"/>
          <w:highlight w:val="none"/>
          <w:lang w:val="en-US" w:eastAsia="zh-CN"/>
        </w:rPr>
        <w:t>（必须注明其中一家为牵头人）</w:t>
      </w:r>
      <w:r>
        <w:rPr>
          <w:rFonts w:hint="eastAsia" w:ascii="宋体" w:hAnsi="宋体" w:eastAsia="宋体" w:cs="宋体"/>
          <w:color w:val="auto"/>
          <w:sz w:val="24"/>
          <w:szCs w:val="24"/>
          <w:highlight w:val="none"/>
          <w:lang w:val="en-US" w:eastAsia="zh-CN"/>
        </w:rPr>
        <w:t>，联合体双方不得再以自己的名义单独申请，也不得同时参加两个或两个以上的联合体进行本项目的投标。单一独立法人或组成联合体投标的，须具备以下资质：</w:t>
      </w:r>
    </w:p>
    <w:p w14:paraId="2BE433FA">
      <w:pPr>
        <w:pStyle w:val="6"/>
        <w:keepNext w:val="0"/>
        <w:keepLines w:val="0"/>
        <w:pageBreakBefore w:val="0"/>
        <w:overflowPunct/>
        <w:topLinePunct w:val="0"/>
        <w:bidi w:val="0"/>
        <w:adjustRightInd w:val="0"/>
        <w:snapToGrid w:val="0"/>
        <w:spacing w:line="440" w:lineRule="exact"/>
        <w:ind w:firstLine="240" w:firstLineChars="100"/>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①投标人须具有</w:t>
      </w:r>
      <w:r>
        <w:rPr>
          <w:rFonts w:hint="eastAsia" w:ascii="宋体" w:hAnsi="宋体" w:eastAsia="宋体" w:cs="宋体"/>
          <w:b/>
          <w:bCs/>
          <w:color w:val="auto"/>
          <w:sz w:val="24"/>
          <w:szCs w:val="24"/>
          <w:highlight w:val="none"/>
          <w:u w:val="single"/>
          <w:lang w:val="en-US" w:eastAsia="zh-CN"/>
        </w:rPr>
        <w:t>建设行政主管部门颁发的市政公用工程施工总承包三级以上（含三级）资质。</w:t>
      </w:r>
    </w:p>
    <w:p w14:paraId="2F674AFC">
      <w:pPr>
        <w:pStyle w:val="6"/>
        <w:keepNext w:val="0"/>
        <w:keepLines w:val="0"/>
        <w:pageBreakBefore w:val="0"/>
        <w:overflowPunct/>
        <w:topLinePunct w:val="0"/>
        <w:bidi w:val="0"/>
        <w:adjustRightInd w:val="0"/>
        <w:snapToGrid w:val="0"/>
        <w:spacing w:line="44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2.2.4 根据有关文件精神，投标人的企业相关证书到期的，均按该证书的发证机构相关行业主管部门最新文件执行（如自动顺延或推迟办理延期业务的通知），投标人必须将相关文件附在该证书后面，证明在开标日继续有效。</w:t>
      </w:r>
    </w:p>
    <w:p w14:paraId="6AEB33A6">
      <w:pPr>
        <w:pStyle w:val="6"/>
        <w:keepNext w:val="0"/>
        <w:keepLines w:val="0"/>
        <w:pageBreakBefore w:val="0"/>
        <w:overflowPunct/>
        <w:topLinePunct w:val="0"/>
        <w:bidi w:val="0"/>
        <w:adjustRightInd w:val="0"/>
        <w:snapToGrid w:val="0"/>
        <w:spacing w:line="440" w:lineRule="exact"/>
        <w:ind w:firstLine="241" w:firstLineChars="1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2.3.相关人员要求</w:t>
      </w:r>
    </w:p>
    <w:p w14:paraId="27DD5DE3">
      <w:pPr>
        <w:pStyle w:val="6"/>
        <w:keepNext w:val="0"/>
        <w:keepLines w:val="0"/>
        <w:pageBreakBefore w:val="0"/>
        <w:overflowPunct/>
        <w:topLinePunct w:val="0"/>
        <w:bidi w:val="0"/>
        <w:adjustRightInd w:val="0"/>
        <w:snapToGrid w:val="0"/>
        <w:spacing w:line="440" w:lineRule="exact"/>
        <w:ind w:firstLine="240" w:firstLineChars="1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2.3.1拟派项目经理为</w:t>
      </w:r>
      <w:r>
        <w:rPr>
          <w:rFonts w:hint="eastAsia" w:ascii="宋体" w:hAnsi="宋体" w:eastAsia="宋体" w:cs="宋体"/>
          <w:b/>
          <w:bCs/>
          <w:color w:val="auto"/>
          <w:sz w:val="24"/>
          <w:szCs w:val="24"/>
          <w:highlight w:val="none"/>
          <w:u w:val="single"/>
          <w:lang w:val="en-US" w:eastAsia="zh-CN"/>
        </w:rPr>
        <w:t>市政公用工程</w:t>
      </w:r>
      <w:r>
        <w:rPr>
          <w:rFonts w:hint="eastAsia" w:ascii="宋体" w:hAnsi="宋体" w:eastAsia="宋体" w:cs="宋体"/>
          <w:b w:val="0"/>
          <w:bCs w:val="0"/>
          <w:color w:val="auto"/>
          <w:sz w:val="24"/>
          <w:szCs w:val="24"/>
          <w:highlight w:val="none"/>
          <w:u w:val="none"/>
          <w:lang w:val="en-US" w:eastAsia="zh-CN"/>
        </w:rPr>
        <w:t>专业一级或二级</w:t>
      </w:r>
      <w:r>
        <w:rPr>
          <w:rFonts w:hint="eastAsia" w:ascii="宋体" w:hAnsi="宋体" w:eastAsia="宋体" w:cs="宋体"/>
          <w:color w:val="auto"/>
          <w:sz w:val="24"/>
          <w:szCs w:val="24"/>
          <w:highlight w:val="none"/>
          <w:lang w:val="en-US" w:eastAsia="zh-CN"/>
        </w:rPr>
        <w:t>注册建造师，应持有住建部门印发的在使用有效期内的有效电子注册证书（根据广东省住房和城乡建设厅（粤建市函〔2023〕469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7218A98C">
      <w:pPr>
        <w:pStyle w:val="6"/>
        <w:keepNext w:val="0"/>
        <w:keepLines w:val="0"/>
        <w:pageBreakBefore w:val="0"/>
        <w:overflowPunct/>
        <w:topLinePunct w:val="0"/>
        <w:bidi w:val="0"/>
        <w:adjustRightInd w:val="0"/>
        <w:snapToGrid w:val="0"/>
        <w:spacing w:line="44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2.3.2 拟派项目技术负责人须具备</w:t>
      </w:r>
      <w:r>
        <w:rPr>
          <w:rFonts w:hint="eastAsia" w:ascii="宋体" w:hAnsi="宋体" w:eastAsia="宋体" w:cs="宋体"/>
          <w:b/>
          <w:bCs/>
          <w:color w:val="auto"/>
          <w:sz w:val="24"/>
          <w:szCs w:val="24"/>
          <w:highlight w:val="none"/>
          <w:u w:val="single"/>
          <w:lang w:val="en-US" w:eastAsia="zh-CN"/>
        </w:rPr>
        <w:t xml:space="preserve">市政类 </w:t>
      </w:r>
      <w:r>
        <w:rPr>
          <w:rFonts w:hint="eastAsia" w:ascii="宋体" w:hAnsi="宋体" w:eastAsia="宋体" w:cs="宋体"/>
          <w:b w:val="0"/>
          <w:bCs w:val="0"/>
          <w:color w:val="auto"/>
          <w:sz w:val="24"/>
          <w:szCs w:val="24"/>
          <w:highlight w:val="none"/>
          <w:u w:val="none"/>
          <w:lang w:val="en-US" w:eastAsia="zh-CN"/>
        </w:rPr>
        <w:t>相关专业</w:t>
      </w:r>
      <w:r>
        <w:rPr>
          <w:rFonts w:hint="eastAsia" w:ascii="宋体" w:hAnsi="宋体" w:eastAsia="宋体" w:cs="宋体"/>
          <w:b/>
          <w:bCs/>
          <w:color w:val="auto"/>
          <w:sz w:val="24"/>
          <w:szCs w:val="24"/>
          <w:highlight w:val="none"/>
          <w:u w:val="single"/>
          <w:lang w:val="en-US" w:eastAsia="zh-CN"/>
        </w:rPr>
        <w:t>中级或以上（含中级）</w:t>
      </w:r>
      <w:r>
        <w:rPr>
          <w:rFonts w:hint="eastAsia" w:ascii="宋体" w:hAnsi="宋体" w:eastAsia="宋体" w:cs="宋体"/>
          <w:color w:val="auto"/>
          <w:sz w:val="24"/>
          <w:szCs w:val="24"/>
          <w:highlight w:val="none"/>
          <w:lang w:val="en-US" w:eastAsia="zh-CN"/>
        </w:rPr>
        <w:t>技术职称。</w:t>
      </w:r>
    </w:p>
    <w:p w14:paraId="704AF854">
      <w:pPr>
        <w:pStyle w:val="6"/>
        <w:keepNext w:val="0"/>
        <w:keepLines w:val="0"/>
        <w:pageBreakBefore w:val="0"/>
        <w:overflowPunct/>
        <w:topLinePunct w:val="0"/>
        <w:bidi w:val="0"/>
        <w:adjustRightInd w:val="0"/>
        <w:snapToGrid w:val="0"/>
        <w:spacing w:line="44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2.3.3 拟派专职安全生产管理人员须具备</w:t>
      </w:r>
      <w:r>
        <w:rPr>
          <w:rFonts w:hint="eastAsia" w:ascii="宋体" w:hAnsi="宋体" w:eastAsia="宋体" w:cs="宋体"/>
          <w:b w:val="0"/>
          <w:bCs w:val="0"/>
          <w:color w:val="auto"/>
          <w:sz w:val="24"/>
          <w:szCs w:val="24"/>
          <w:highlight w:val="none"/>
          <w:u w:val="none"/>
          <w:lang w:val="en-US" w:eastAsia="zh-CN"/>
        </w:rPr>
        <w:t>有效安全生产考核合格证明（C证</w:t>
      </w:r>
      <w:r>
        <w:rPr>
          <w:rFonts w:hint="eastAsia" w:ascii="宋体" w:hAnsi="宋体" w:eastAsia="宋体" w:cs="宋体"/>
          <w:color w:val="auto"/>
          <w:sz w:val="24"/>
          <w:szCs w:val="24"/>
          <w:highlight w:val="none"/>
          <w:u w:val="none"/>
          <w:lang w:val="en-US" w:eastAsia="zh-CN"/>
        </w:rPr>
        <w:t>，安全生产考核合格证书或“广东省建筑施工企业管理人员安全生产考核信息系统”考核合格信息打印页），</w:t>
      </w:r>
      <w:r>
        <w:rPr>
          <w:rFonts w:hint="eastAsia" w:ascii="宋体" w:hAnsi="宋体" w:eastAsia="宋体" w:cs="宋体"/>
          <w:color w:val="auto"/>
          <w:sz w:val="24"/>
          <w:szCs w:val="24"/>
          <w:highlight w:val="none"/>
          <w:lang w:val="en-US" w:eastAsia="zh-CN"/>
        </w:rPr>
        <w:t>且不少于1人。</w:t>
      </w:r>
    </w:p>
    <w:p w14:paraId="6151950E">
      <w:pPr>
        <w:pStyle w:val="6"/>
        <w:keepNext w:val="0"/>
        <w:keepLines w:val="0"/>
        <w:pageBreakBefore w:val="0"/>
        <w:overflowPunct/>
        <w:topLinePunct w:val="0"/>
        <w:bidi w:val="0"/>
        <w:adjustRightInd w:val="0"/>
        <w:snapToGrid w:val="0"/>
        <w:spacing w:line="44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2.3.4投标人（</w:t>
      </w:r>
      <w:r>
        <w:rPr>
          <w:rFonts w:hint="eastAsia" w:ascii="宋体" w:hAnsi="宋体" w:eastAsia="宋体" w:cs="宋体"/>
          <w:b/>
          <w:bCs/>
          <w:color w:val="auto"/>
          <w:sz w:val="24"/>
          <w:szCs w:val="24"/>
          <w:highlight w:val="none"/>
          <w:lang w:val="en-US" w:eastAsia="zh-CN"/>
        </w:rPr>
        <w:t>包括组成联合体的所有成员单位</w:t>
      </w:r>
      <w:r>
        <w:rPr>
          <w:rFonts w:hint="eastAsia" w:ascii="宋体" w:hAnsi="宋体" w:eastAsia="宋体" w:cs="宋体"/>
          <w:color w:val="auto"/>
          <w:sz w:val="24"/>
          <w:szCs w:val="24"/>
          <w:highlight w:val="none"/>
          <w:lang w:val="en-US" w:eastAsia="zh-CN"/>
        </w:rPr>
        <w:t>）与其拟派往本项目管理机构的所有人员之间必须具备合法、唯一的劳动聘用关系。拟派人员中具备注册执业资格的，其注册单位须与投标人保持一致（提供社保缴纳证明或劳动合同）。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2.4  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5"/>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22" w:name="bookmark116"/>
      <w:bookmarkEnd w:id="22"/>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5"/>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7"/>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4483"/>
        <w:gridCol w:w="4034"/>
      </w:tblGrid>
      <w:tr w14:paraId="06AE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47" w:type="dxa"/>
            <w:noWrap w:val="0"/>
            <w:vAlign w:val="center"/>
          </w:tcPr>
          <w:p w14:paraId="720026E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新宋体" w:hAnsi="新宋体" w:eastAsia="新宋体" w:cs="新宋体"/>
                <w:snapToGrid w:val="0"/>
                <w:color w:val="auto"/>
                <w:kern w:val="0"/>
                <w:sz w:val="24"/>
                <w:szCs w:val="24"/>
                <w:highlight w:val="none"/>
                <w:lang w:eastAsia="zh-CN"/>
              </w:rPr>
            </w:pPr>
            <w:r>
              <w:rPr>
                <w:rFonts w:hint="eastAsia" w:ascii="新宋体" w:hAnsi="新宋体" w:eastAsia="新宋体" w:cs="新宋体"/>
                <w:snapToGrid w:val="0"/>
                <w:color w:val="auto"/>
                <w:kern w:val="0"/>
                <w:sz w:val="24"/>
                <w:szCs w:val="24"/>
                <w:highlight w:val="none"/>
                <w:lang w:eastAsia="zh-CN"/>
              </w:rPr>
              <w:t>序号</w:t>
            </w:r>
          </w:p>
        </w:tc>
        <w:tc>
          <w:tcPr>
            <w:tcW w:w="4483" w:type="dxa"/>
            <w:noWrap w:val="0"/>
            <w:vAlign w:val="center"/>
          </w:tcPr>
          <w:p w14:paraId="7437CCC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新宋体" w:hAnsi="新宋体" w:eastAsia="新宋体" w:cs="新宋体"/>
                <w:snapToGrid w:val="0"/>
                <w:color w:val="auto"/>
                <w:kern w:val="0"/>
                <w:sz w:val="24"/>
                <w:szCs w:val="24"/>
                <w:highlight w:val="none"/>
                <w:lang w:eastAsia="zh-CN"/>
              </w:rPr>
            </w:pPr>
            <w:r>
              <w:rPr>
                <w:rFonts w:hint="eastAsia" w:ascii="新宋体" w:hAnsi="新宋体" w:eastAsia="新宋体" w:cs="新宋体"/>
                <w:snapToGrid w:val="0"/>
                <w:color w:val="auto"/>
                <w:kern w:val="0"/>
                <w:sz w:val="24"/>
                <w:szCs w:val="24"/>
                <w:highlight w:val="none"/>
                <w:lang w:eastAsia="zh-CN"/>
              </w:rPr>
              <w:t>单位名称</w:t>
            </w:r>
          </w:p>
        </w:tc>
        <w:tc>
          <w:tcPr>
            <w:tcW w:w="4034" w:type="dxa"/>
            <w:noWrap w:val="0"/>
            <w:vAlign w:val="center"/>
          </w:tcPr>
          <w:p w14:paraId="6C42F16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新宋体" w:hAnsi="新宋体" w:eastAsia="新宋体" w:cs="新宋体"/>
                <w:snapToGrid w:val="0"/>
                <w:color w:val="auto"/>
                <w:kern w:val="0"/>
                <w:sz w:val="24"/>
                <w:szCs w:val="24"/>
                <w:highlight w:val="none"/>
                <w:lang w:eastAsia="zh-CN"/>
              </w:rPr>
            </w:pPr>
            <w:r>
              <w:rPr>
                <w:rFonts w:hint="eastAsia" w:ascii="新宋体" w:hAnsi="新宋体" w:eastAsia="新宋体" w:cs="新宋体"/>
                <w:snapToGrid w:val="0"/>
                <w:color w:val="auto"/>
                <w:kern w:val="0"/>
                <w:sz w:val="24"/>
                <w:szCs w:val="24"/>
                <w:highlight w:val="none"/>
                <w:lang w:eastAsia="zh-CN"/>
              </w:rPr>
              <w:t>拒绝原因</w:t>
            </w:r>
          </w:p>
        </w:tc>
      </w:tr>
      <w:tr w14:paraId="3F70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47" w:type="dxa"/>
            <w:noWrap w:val="0"/>
            <w:vAlign w:val="center"/>
          </w:tcPr>
          <w:p w14:paraId="16BA0F05">
            <w:pPr>
              <w:keepNext w:val="0"/>
              <w:keepLines w:val="0"/>
              <w:pageBreakBefore w:val="0"/>
              <w:widowControl w:val="0"/>
              <w:kinsoku/>
              <w:overflowPunct/>
              <w:topLinePunct w:val="0"/>
              <w:autoSpaceDE/>
              <w:autoSpaceDN/>
              <w:bidi w:val="0"/>
              <w:adjustRightInd w:val="0"/>
              <w:snapToGrid w:val="0"/>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4483" w:type="dxa"/>
            <w:noWrap w:val="0"/>
            <w:vAlign w:val="center"/>
          </w:tcPr>
          <w:p w14:paraId="374B8D32">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韶关市武江区国有投资集团有限公司</w:t>
            </w:r>
          </w:p>
        </w:tc>
        <w:tc>
          <w:tcPr>
            <w:tcW w:w="4034" w:type="dxa"/>
            <w:noWrap w:val="0"/>
            <w:vAlign w:val="center"/>
          </w:tcPr>
          <w:p w14:paraId="43D08943">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项目业主</w:t>
            </w:r>
          </w:p>
        </w:tc>
      </w:tr>
      <w:tr w14:paraId="4D90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7" w:type="dxa"/>
            <w:noWrap w:val="0"/>
            <w:vAlign w:val="center"/>
          </w:tcPr>
          <w:p w14:paraId="70C40A74">
            <w:pPr>
              <w:keepNext w:val="0"/>
              <w:keepLines w:val="0"/>
              <w:pageBreakBefore w:val="0"/>
              <w:widowControl w:val="0"/>
              <w:kinsoku/>
              <w:overflowPunct/>
              <w:topLinePunct w:val="0"/>
              <w:autoSpaceDE/>
              <w:autoSpaceDN/>
              <w:bidi w:val="0"/>
              <w:adjustRightInd w:val="0"/>
              <w:snapToGrid w:val="0"/>
              <w:spacing w:line="40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w:t>
            </w:r>
          </w:p>
        </w:tc>
        <w:tc>
          <w:tcPr>
            <w:tcW w:w="4483" w:type="dxa"/>
            <w:noWrap w:val="0"/>
            <w:vAlign w:val="center"/>
          </w:tcPr>
          <w:p w14:paraId="6DD33902">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韶关市武江区协佳市政服务有限公司</w:t>
            </w:r>
          </w:p>
        </w:tc>
        <w:tc>
          <w:tcPr>
            <w:tcW w:w="4034" w:type="dxa"/>
            <w:noWrap w:val="0"/>
            <w:vAlign w:val="center"/>
          </w:tcPr>
          <w:p w14:paraId="24E28E05">
            <w:pPr>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default" w:ascii="新宋体" w:hAnsi="新宋体" w:eastAsia="新宋体" w:cs="新宋体"/>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为本招标项目的招标人</w:t>
            </w:r>
            <w:r>
              <w:rPr>
                <w:rFonts w:hint="eastAsia" w:ascii="宋体" w:hAnsi="宋体" w:eastAsia="宋体" w:cs="宋体"/>
                <w:snapToGrid w:val="0"/>
                <w:color w:val="auto"/>
                <w:kern w:val="0"/>
                <w:sz w:val="24"/>
                <w:szCs w:val="24"/>
                <w:highlight w:val="none"/>
                <w:lang w:val="en-US" w:eastAsia="zh-CN"/>
              </w:rPr>
              <w:t>（代建单位）</w:t>
            </w:r>
          </w:p>
        </w:tc>
      </w:tr>
      <w:tr w14:paraId="4848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47" w:type="dxa"/>
            <w:noWrap w:val="0"/>
            <w:vAlign w:val="center"/>
          </w:tcPr>
          <w:p w14:paraId="7817F471">
            <w:pPr>
              <w:keepNext w:val="0"/>
              <w:keepLines w:val="0"/>
              <w:pageBreakBefore w:val="0"/>
              <w:widowControl w:val="0"/>
              <w:kinsoku/>
              <w:overflowPunct/>
              <w:topLinePunct w:val="0"/>
              <w:autoSpaceDE/>
              <w:autoSpaceDN/>
              <w:bidi w:val="0"/>
              <w:adjustRightInd w:val="0"/>
              <w:snapToGrid w:val="0"/>
              <w:spacing w:line="40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3</w:t>
            </w:r>
          </w:p>
        </w:tc>
        <w:tc>
          <w:tcPr>
            <w:tcW w:w="4483" w:type="dxa"/>
            <w:noWrap w:val="0"/>
            <w:vAlign w:val="center"/>
          </w:tcPr>
          <w:p w14:paraId="288A8C35">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爱建信达工程咨询有限公司</w:t>
            </w:r>
          </w:p>
        </w:tc>
        <w:tc>
          <w:tcPr>
            <w:tcW w:w="4034" w:type="dxa"/>
            <w:noWrap w:val="0"/>
            <w:vAlign w:val="center"/>
          </w:tcPr>
          <w:p w14:paraId="3A9F69EC">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snapToGrid w:val="0"/>
                <w:color w:val="auto"/>
                <w:kern w:val="0"/>
                <w:sz w:val="24"/>
                <w:szCs w:val="24"/>
                <w:highlight w:val="none"/>
                <w:lang w:val="en-US" w:eastAsia="zh-CN"/>
              </w:rPr>
            </w:pPr>
            <w:r>
              <w:rPr>
                <w:rFonts w:hint="eastAsia" w:ascii="宋体" w:hAnsi="宋体" w:eastAsia="宋体" w:cs="宋体"/>
                <w:snapToGrid w:val="0"/>
                <w:color w:val="000000"/>
                <w:kern w:val="0"/>
                <w:sz w:val="24"/>
                <w:szCs w:val="24"/>
                <w:highlight w:val="none"/>
              </w:rPr>
              <w:t>为本招标项目的可研编制单位</w:t>
            </w:r>
          </w:p>
        </w:tc>
      </w:tr>
      <w:tr w14:paraId="7733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47" w:type="dxa"/>
            <w:noWrap w:val="0"/>
            <w:vAlign w:val="center"/>
          </w:tcPr>
          <w:p w14:paraId="4CD9FD26">
            <w:pPr>
              <w:pStyle w:val="25"/>
              <w:keepNext w:val="0"/>
              <w:keepLines w:val="0"/>
              <w:pageBreakBefore w:val="0"/>
              <w:widowControl w:val="0"/>
              <w:kinsoku/>
              <w:wordWrap w:val="0"/>
              <w:overflowPunct/>
              <w:topLinePunct w:val="0"/>
              <w:autoSpaceDE/>
              <w:autoSpaceDN/>
              <w:bidi w:val="0"/>
              <w:adjustRightInd w:val="0"/>
              <w:snapToGrid w:val="0"/>
              <w:spacing w:line="400" w:lineRule="exact"/>
              <w:ind w:left="0" w:leftChars="0" w:right="0" w:right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napToGrid w:val="0"/>
                <w:color w:val="auto"/>
                <w:kern w:val="0"/>
                <w:sz w:val="24"/>
                <w:szCs w:val="24"/>
                <w:highlight w:val="none"/>
                <w:lang w:val="en-US" w:eastAsia="zh-CN"/>
              </w:rPr>
              <w:t>4</w:t>
            </w:r>
          </w:p>
        </w:tc>
        <w:tc>
          <w:tcPr>
            <w:tcW w:w="4483" w:type="dxa"/>
            <w:noWrap w:val="0"/>
            <w:vAlign w:val="center"/>
          </w:tcPr>
          <w:p w14:paraId="5C71203D">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auto"/>
                <w:sz w:val="24"/>
                <w:szCs w:val="24"/>
                <w:highlight w:val="none"/>
                <w:lang w:val="en-US" w:eastAsia="zh-CN"/>
              </w:rPr>
            </w:pPr>
            <w:r>
              <w:rPr>
                <w:rFonts w:hint="eastAsia" w:ascii="宋体" w:hAnsi="宋体" w:eastAsia="宋体" w:cs="宋体"/>
                <w:color w:val="000000"/>
                <w:sz w:val="24"/>
                <w:szCs w:val="24"/>
                <w:highlight w:val="none"/>
                <w:lang w:val="en-US" w:eastAsia="zh-CN"/>
              </w:rPr>
              <w:t>韶关市规划市政设计研究院有限公司</w:t>
            </w:r>
          </w:p>
        </w:tc>
        <w:tc>
          <w:tcPr>
            <w:tcW w:w="4034" w:type="dxa"/>
            <w:noWrap w:val="0"/>
            <w:vAlign w:val="center"/>
          </w:tcPr>
          <w:p w14:paraId="4D5A67DA">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auto"/>
                <w:sz w:val="24"/>
                <w:szCs w:val="24"/>
                <w:highlight w:val="none"/>
                <w:lang w:val="en-US" w:eastAsia="zh-CN"/>
              </w:rPr>
            </w:pPr>
            <w:r>
              <w:rPr>
                <w:rFonts w:hint="eastAsia" w:ascii="宋体" w:hAnsi="宋体" w:eastAsia="宋体" w:cs="宋体"/>
                <w:snapToGrid w:val="0"/>
                <w:color w:val="000000"/>
                <w:kern w:val="0"/>
                <w:sz w:val="24"/>
                <w:szCs w:val="24"/>
                <w:highlight w:val="none"/>
              </w:rPr>
              <w:t>为本招标项目的</w:t>
            </w:r>
            <w:r>
              <w:rPr>
                <w:rFonts w:hint="eastAsia" w:ascii="宋体" w:hAnsi="宋体" w:eastAsia="宋体" w:cs="宋体"/>
                <w:snapToGrid w:val="0"/>
                <w:color w:val="000000"/>
                <w:kern w:val="0"/>
                <w:sz w:val="24"/>
                <w:szCs w:val="24"/>
                <w:highlight w:val="none"/>
                <w:lang w:val="en-US" w:eastAsia="zh-CN"/>
              </w:rPr>
              <w:t>设计单位</w:t>
            </w:r>
          </w:p>
        </w:tc>
      </w:tr>
      <w:tr w14:paraId="524E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747" w:type="dxa"/>
            <w:noWrap w:val="0"/>
            <w:vAlign w:val="center"/>
          </w:tcPr>
          <w:p w14:paraId="3AAD43F1">
            <w:pPr>
              <w:pStyle w:val="25"/>
              <w:keepNext w:val="0"/>
              <w:keepLines w:val="0"/>
              <w:pageBreakBefore w:val="0"/>
              <w:widowControl w:val="0"/>
              <w:kinsoku/>
              <w:wordWrap w:val="0"/>
              <w:overflowPunct/>
              <w:topLinePunct w:val="0"/>
              <w:autoSpaceDE/>
              <w:autoSpaceDN/>
              <w:bidi w:val="0"/>
              <w:adjustRightInd w:val="0"/>
              <w:snapToGrid w:val="0"/>
              <w:spacing w:line="400" w:lineRule="exact"/>
              <w:ind w:left="0" w:leftChars="0" w:right="0" w:rightChars="0"/>
              <w:jc w:val="center"/>
              <w:textAlignment w:val="auto"/>
              <w:rPr>
                <w:rFonts w:hint="eastAsia" w:ascii="新宋体" w:hAnsi="新宋体" w:eastAsia="新宋体" w:cs="新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rPr>
              <w:t>5</w:t>
            </w:r>
          </w:p>
        </w:tc>
        <w:tc>
          <w:tcPr>
            <w:tcW w:w="4483" w:type="dxa"/>
            <w:noWrap w:val="0"/>
            <w:vAlign w:val="center"/>
          </w:tcPr>
          <w:p w14:paraId="3004B5A1">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广东粤湾施工图审查有限公司</w:t>
            </w:r>
          </w:p>
        </w:tc>
        <w:tc>
          <w:tcPr>
            <w:tcW w:w="4034" w:type="dxa"/>
            <w:noWrap w:val="0"/>
            <w:vAlign w:val="center"/>
          </w:tcPr>
          <w:p w14:paraId="5C58E4AE">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为本招标项目的施工图审查单位</w:t>
            </w:r>
          </w:p>
        </w:tc>
      </w:tr>
      <w:tr w14:paraId="4974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47" w:type="dxa"/>
            <w:noWrap w:val="0"/>
            <w:vAlign w:val="center"/>
          </w:tcPr>
          <w:p w14:paraId="24E518AE">
            <w:pPr>
              <w:pStyle w:val="25"/>
              <w:keepNext w:val="0"/>
              <w:keepLines w:val="0"/>
              <w:pageBreakBefore w:val="0"/>
              <w:widowControl w:val="0"/>
              <w:kinsoku/>
              <w:wordWrap w:val="0"/>
              <w:overflowPunct/>
              <w:topLinePunct w:val="0"/>
              <w:autoSpaceDE/>
              <w:autoSpaceDN/>
              <w:bidi w:val="0"/>
              <w:adjustRightInd w:val="0"/>
              <w:snapToGrid w:val="0"/>
              <w:spacing w:line="400" w:lineRule="exact"/>
              <w:ind w:left="0" w:leftChars="0" w:right="0" w:rightChars="0"/>
              <w:jc w:val="center"/>
              <w:textAlignment w:val="auto"/>
              <w:rPr>
                <w:rFonts w:hint="eastAsia" w:ascii="新宋体" w:hAnsi="新宋体" w:eastAsia="新宋体" w:cs="新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rPr>
              <w:t>6</w:t>
            </w:r>
          </w:p>
        </w:tc>
        <w:tc>
          <w:tcPr>
            <w:tcW w:w="4483" w:type="dxa"/>
            <w:noWrap w:val="0"/>
            <w:vAlign w:val="center"/>
          </w:tcPr>
          <w:p w14:paraId="7166A91B">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韶关市星跃工程管理有限公司</w:t>
            </w:r>
          </w:p>
        </w:tc>
        <w:tc>
          <w:tcPr>
            <w:tcW w:w="4034" w:type="dxa"/>
            <w:noWrap w:val="0"/>
            <w:vAlign w:val="center"/>
          </w:tcPr>
          <w:p w14:paraId="764E6B7F">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snapToGrid w:val="0"/>
                <w:color w:val="000000"/>
                <w:kern w:val="0"/>
                <w:sz w:val="24"/>
                <w:szCs w:val="24"/>
                <w:highlight w:val="none"/>
                <w:lang w:val="en-US" w:eastAsia="zh-CN"/>
              </w:rPr>
            </w:pPr>
            <w:r>
              <w:rPr>
                <w:rFonts w:hint="eastAsia" w:ascii="宋体" w:hAnsi="宋体" w:eastAsia="宋体" w:cs="宋体"/>
                <w:color w:val="000000"/>
                <w:sz w:val="24"/>
                <w:szCs w:val="24"/>
                <w:highlight w:val="none"/>
                <w:lang w:val="en-US" w:eastAsia="zh-CN"/>
              </w:rPr>
              <w:t>为本招标项目的造价咨询单位</w:t>
            </w:r>
          </w:p>
        </w:tc>
      </w:tr>
      <w:tr w14:paraId="6F59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747" w:type="dxa"/>
            <w:noWrap w:val="0"/>
            <w:vAlign w:val="center"/>
          </w:tcPr>
          <w:p w14:paraId="5A7524AA">
            <w:pPr>
              <w:pStyle w:val="25"/>
              <w:keepNext w:val="0"/>
              <w:keepLines w:val="0"/>
              <w:pageBreakBefore w:val="0"/>
              <w:widowControl w:val="0"/>
              <w:kinsoku/>
              <w:wordWrap w:val="0"/>
              <w:overflowPunct/>
              <w:topLinePunct w:val="0"/>
              <w:autoSpaceDE/>
              <w:autoSpaceDN/>
              <w:bidi w:val="0"/>
              <w:adjustRightInd w:val="0"/>
              <w:snapToGrid w:val="0"/>
              <w:spacing w:line="400" w:lineRule="exact"/>
              <w:ind w:left="0" w:leftChars="0" w:right="0" w:rightChars="0"/>
              <w:jc w:val="center"/>
              <w:textAlignment w:val="auto"/>
              <w:rPr>
                <w:rFonts w:hint="eastAsia" w:ascii="新宋体" w:hAnsi="新宋体" w:eastAsia="新宋体" w:cs="新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rPr>
              <w:t>7</w:t>
            </w:r>
          </w:p>
        </w:tc>
        <w:tc>
          <w:tcPr>
            <w:tcW w:w="4483" w:type="dxa"/>
            <w:noWrap w:val="0"/>
            <w:vAlign w:val="center"/>
          </w:tcPr>
          <w:p w14:paraId="454F5D31">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信智达咨询集团有限公司</w:t>
            </w:r>
          </w:p>
        </w:tc>
        <w:tc>
          <w:tcPr>
            <w:tcW w:w="4034" w:type="dxa"/>
            <w:noWrap w:val="0"/>
            <w:vAlign w:val="center"/>
          </w:tcPr>
          <w:p w14:paraId="0F335FD6">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00000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为本招标项目的监理单位</w:t>
            </w:r>
          </w:p>
        </w:tc>
      </w:tr>
      <w:tr w14:paraId="18CB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47" w:type="dxa"/>
            <w:noWrap w:val="0"/>
            <w:vAlign w:val="center"/>
          </w:tcPr>
          <w:p w14:paraId="06E9EB61">
            <w:pPr>
              <w:keepNext w:val="0"/>
              <w:keepLines w:val="0"/>
              <w:pageBreakBefore w:val="0"/>
              <w:widowControl w:val="0"/>
              <w:kinsoku/>
              <w:overflowPunct/>
              <w:topLinePunct w:val="0"/>
              <w:autoSpaceDE/>
              <w:autoSpaceDN/>
              <w:bidi w:val="0"/>
              <w:adjustRightInd w:val="0"/>
              <w:snapToGrid w:val="0"/>
              <w:spacing w:line="400" w:lineRule="exact"/>
              <w:jc w:val="center"/>
              <w:textAlignment w:val="auto"/>
              <w:rPr>
                <w:rFonts w:hint="default" w:ascii="新宋体" w:hAnsi="新宋体" w:eastAsia="新宋体" w:cs="新宋体"/>
                <w:snapToGrid w:val="0"/>
                <w:color w:val="auto"/>
                <w:kern w:val="0"/>
                <w:sz w:val="24"/>
                <w:szCs w:val="24"/>
                <w:highlight w:val="none"/>
                <w:lang w:val="en-US" w:eastAsia="zh-CN"/>
              </w:rPr>
            </w:pPr>
            <w:r>
              <w:rPr>
                <w:rFonts w:hint="eastAsia" w:ascii="宋体" w:hAnsi="宋体" w:eastAsia="宋体" w:cs="宋体"/>
                <w:sz w:val="24"/>
                <w:szCs w:val="24"/>
                <w:lang w:val="en-US" w:eastAsia="zh-CN"/>
              </w:rPr>
              <w:t>8</w:t>
            </w:r>
          </w:p>
        </w:tc>
        <w:tc>
          <w:tcPr>
            <w:tcW w:w="4483" w:type="dxa"/>
            <w:noWrap w:val="0"/>
            <w:vAlign w:val="center"/>
          </w:tcPr>
          <w:p w14:paraId="15DB6263">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000000"/>
                <w:sz w:val="24"/>
                <w:szCs w:val="24"/>
                <w:highlight w:val="yellow"/>
                <w:lang w:val="en-US" w:eastAsia="zh-CN"/>
              </w:rPr>
            </w:pPr>
            <w:r>
              <w:rPr>
                <w:rFonts w:hint="eastAsia" w:ascii="宋体" w:hAnsi="宋体" w:eastAsia="宋体" w:cs="宋体"/>
                <w:color w:val="auto"/>
                <w:sz w:val="24"/>
                <w:szCs w:val="24"/>
                <w:highlight w:val="none"/>
                <w:lang w:val="en-US" w:eastAsia="zh-CN"/>
              </w:rPr>
              <w:t>韶关市同立咨询有限公司</w:t>
            </w:r>
          </w:p>
        </w:tc>
        <w:tc>
          <w:tcPr>
            <w:tcW w:w="4034" w:type="dxa"/>
            <w:noWrap w:val="0"/>
            <w:vAlign w:val="center"/>
          </w:tcPr>
          <w:p w14:paraId="4C36B909">
            <w:pPr>
              <w:pStyle w:val="25"/>
              <w:keepNext w:val="0"/>
              <w:keepLines w:val="0"/>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新宋体" w:hAnsi="新宋体" w:eastAsia="新宋体" w:cs="新宋体"/>
                <w:color w:val="000000"/>
                <w:sz w:val="24"/>
                <w:szCs w:val="24"/>
                <w:highlight w:val="yellow"/>
                <w:lang w:val="en-US" w:eastAsia="zh-CN"/>
              </w:rPr>
            </w:pPr>
            <w:r>
              <w:rPr>
                <w:rFonts w:hint="eastAsia" w:ascii="宋体" w:hAnsi="宋体" w:eastAsia="宋体" w:cs="宋体"/>
                <w:snapToGrid w:val="0"/>
                <w:color w:val="auto"/>
                <w:kern w:val="0"/>
                <w:sz w:val="24"/>
                <w:szCs w:val="24"/>
                <w:highlight w:val="none"/>
              </w:rPr>
              <w:t>为本招标项目的招标代理机构</w:t>
            </w:r>
          </w:p>
        </w:tc>
      </w:tr>
    </w:tbl>
    <w:p w14:paraId="6051C063">
      <w:pPr>
        <w:spacing w:line="93" w:lineRule="auto"/>
        <w:rPr>
          <w:rFonts w:hint="eastAsia" w:ascii="宋体" w:hAnsi="宋体" w:eastAsia="宋体" w:cs="宋体"/>
          <w:color w:val="auto"/>
          <w:sz w:val="24"/>
          <w:szCs w:val="24"/>
          <w:highlight w:val="none"/>
        </w:rPr>
      </w:pPr>
    </w:p>
    <w:p w14:paraId="44FD298A">
      <w:pPr>
        <w:keepNext w:val="0"/>
        <w:keepLines w:val="0"/>
        <w:pageBreakBefore w:val="0"/>
        <w:overflowPunct/>
        <w:topLinePunct w:val="0"/>
        <w:bidi w:val="0"/>
        <w:spacing w:before="153" w:line="400" w:lineRule="exact"/>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keepNext w:val="0"/>
        <w:keepLines w:val="0"/>
        <w:pageBreakBefore w:val="0"/>
        <w:overflowPunct/>
        <w:topLinePunct w:val="0"/>
        <w:bidi w:val="0"/>
        <w:spacing w:before="150" w:line="400" w:lineRule="exact"/>
        <w:ind w:left="232" w:right="9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省外企业（包括组成联合体的所有成员单位）及其拟派往本项目管理机构的所有人员均须按照</w:t>
      </w:r>
      <w:r>
        <w:rPr>
          <w:rFonts w:hint="eastAsia" w:ascii="宋体" w:hAnsi="宋体" w:eastAsia="宋体" w:cs="宋体"/>
          <w:color w:val="auto"/>
          <w:spacing w:val="-2"/>
          <w:sz w:val="24"/>
          <w:szCs w:val="24"/>
          <w:highlight w:val="none"/>
        </w:rPr>
        <w:t>《广东省住房和城乡建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pacing w:val="-4"/>
          <w:sz w:val="24"/>
          <w:szCs w:val="24"/>
          <w:highlight w:val="none"/>
        </w:rPr>
        <w:t>52号）规定在“进粤企业和人员诚信信息登记平台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keepNext w:val="0"/>
        <w:keepLines w:val="0"/>
        <w:pageBreakBefore w:val="0"/>
        <w:overflowPunct/>
        <w:topLinePunct w:val="0"/>
        <w:bidi w:val="0"/>
        <w:spacing w:before="79" w:line="400" w:lineRule="exact"/>
        <w:ind w:left="715"/>
        <w:outlineLvl w:val="2"/>
        <w:rPr>
          <w:rFonts w:hint="eastAsia" w:ascii="宋体" w:hAnsi="宋体" w:eastAsia="宋体" w:cs="宋体"/>
          <w:color w:val="auto"/>
          <w:sz w:val="24"/>
          <w:szCs w:val="24"/>
          <w:highlight w:val="none"/>
        </w:rPr>
      </w:pPr>
      <w:bookmarkStart w:id="23" w:name="_Toc23243"/>
      <w:bookmarkStart w:id="24" w:name="_Toc21670"/>
      <w:r>
        <w:rPr>
          <w:rFonts w:hint="eastAsia" w:ascii="宋体" w:hAnsi="宋体" w:eastAsia="宋体" w:cs="宋体"/>
          <w:b/>
          <w:bCs/>
          <w:color w:val="auto"/>
          <w:spacing w:val="-4"/>
          <w:sz w:val="24"/>
          <w:szCs w:val="24"/>
          <w:highlight w:val="none"/>
        </w:rPr>
        <w:t>3．招标文件的获取</w:t>
      </w:r>
      <w:bookmarkEnd w:id="23"/>
      <w:bookmarkEnd w:id="24"/>
    </w:p>
    <w:p w14:paraId="6F47DB12">
      <w:pPr>
        <w:keepNext w:val="0"/>
        <w:keepLines w:val="0"/>
        <w:pageBreakBefore w:val="0"/>
        <w:overflowPunct/>
        <w:topLinePunct w:val="0"/>
        <w:bidi w:val="0"/>
        <w:spacing w:before="182" w:line="400" w:lineRule="exact"/>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keepNext w:val="0"/>
        <w:keepLines w:val="0"/>
        <w:pageBreakBefore w:val="0"/>
        <w:overflowPunct/>
        <w:topLinePunct w:val="0"/>
        <w:bidi w:val="0"/>
        <w:spacing w:before="178" w:line="400" w:lineRule="exact"/>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68899B1C">
      <w:pPr>
        <w:keepNext w:val="0"/>
        <w:keepLines w:val="0"/>
        <w:pageBreakBefore w:val="0"/>
        <w:overflowPunct/>
        <w:topLinePunct w:val="0"/>
        <w:bidi w:val="0"/>
        <w:spacing w:before="142" w:line="400" w:lineRule="exact"/>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keepNext w:val="0"/>
        <w:keepLines w:val="0"/>
        <w:pageBreakBefore w:val="0"/>
        <w:overflowPunct/>
        <w:topLinePunct w:val="0"/>
        <w:bidi w:val="0"/>
        <w:spacing w:before="32" w:line="400" w:lineRule="exact"/>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"https://ygp.gdzwfw.gov.cn/ggzy-portal/#/440200/index"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keepNext w:val="0"/>
        <w:keepLines w:val="0"/>
        <w:pageBreakBefore w:val="0"/>
        <w:overflowPunct/>
        <w:topLinePunct w:val="0"/>
        <w:bidi w:val="0"/>
        <w:spacing w:before="37" w:line="400" w:lineRule="exact"/>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损失和后果，由投标人自行承担。</w:t>
      </w:r>
    </w:p>
    <w:p w14:paraId="3B9F37C6">
      <w:pPr>
        <w:keepNext w:val="0"/>
        <w:keepLines w:val="0"/>
        <w:pageBreakBefore w:val="0"/>
        <w:overflowPunct/>
        <w:topLinePunct w:val="0"/>
        <w:bidi w:val="0"/>
        <w:spacing w:before="33" w:line="400" w:lineRule="exact"/>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keepNext w:val="0"/>
        <w:keepLines w:val="0"/>
        <w:pageBreakBefore w:val="0"/>
        <w:overflowPunct/>
        <w:topLinePunct w:val="0"/>
        <w:bidi w:val="0"/>
        <w:spacing w:before="33" w:line="400" w:lineRule="exact"/>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keepNext w:val="0"/>
        <w:keepLines w:val="0"/>
        <w:pageBreakBefore w:val="0"/>
        <w:overflowPunct/>
        <w:topLinePunct w:val="0"/>
        <w:bidi w:val="0"/>
        <w:spacing w:before="152" w:line="400" w:lineRule="exact"/>
        <w:ind w:left="8" w:right="105" w:firstLine="476"/>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投标人须缴纳金额为人民币</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b/>
          <w:bCs/>
          <w:color w:val="auto"/>
          <w:spacing w:val="-1"/>
          <w:sz w:val="24"/>
          <w:szCs w:val="24"/>
          <w:highlight w:val="none"/>
          <w:u w:val="single"/>
          <w:lang w:val="en-US" w:eastAsia="zh-CN"/>
        </w:rPr>
        <w:t xml:space="preserve">伍万元整 </w:t>
      </w:r>
      <w:r>
        <w:rPr>
          <w:rFonts w:hint="eastAsia" w:ascii="宋体" w:hAnsi="宋体" w:eastAsia="宋体" w:cs="宋体"/>
          <w:color w:val="auto"/>
          <w:spacing w:val="-1"/>
          <w:sz w:val="24"/>
          <w:szCs w:val="24"/>
          <w:highlight w:val="none"/>
        </w:rPr>
        <w:t>的投标保证。联合体投标的，由联合体牵头人缴纳</w:t>
      </w:r>
      <w:r>
        <w:rPr>
          <w:rFonts w:hint="eastAsia" w:ascii="宋体" w:hAnsi="宋体" w:eastAsia="宋体" w:cs="宋体"/>
          <w:color w:val="auto"/>
          <w:spacing w:val="-1"/>
          <w:sz w:val="24"/>
          <w:szCs w:val="24"/>
          <w:highlight w:val="none"/>
          <w:lang w:eastAsia="zh-CN"/>
        </w:rPr>
        <w:t>。</w:t>
      </w:r>
    </w:p>
    <w:p w14:paraId="28067BD7">
      <w:pPr>
        <w:keepNext w:val="0"/>
        <w:keepLines w:val="0"/>
        <w:pageBreakBefore w:val="0"/>
        <w:overflowPunct/>
        <w:topLinePunct w:val="0"/>
        <w:bidi w:val="0"/>
        <w:spacing w:before="35" w:line="400" w:lineRule="exact"/>
        <w:ind w:left="12" w:right="108" w:firstLine="47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keepNext w:val="0"/>
        <w:keepLines w:val="0"/>
        <w:pageBreakBefore w:val="0"/>
        <w:overflowPunct/>
        <w:topLinePunct w:val="0"/>
        <w:bidi w:val="0"/>
        <w:spacing w:before="78" w:line="400" w:lineRule="exact"/>
        <w:ind w:left="12" w:right="2" w:firstLine="490"/>
        <w:jc w:val="both"/>
        <w:rPr>
          <w:rFonts w:hint="eastAsia" w:ascii="宋体" w:hAnsi="宋体" w:eastAsia="宋体" w:cs="宋体"/>
          <w:color w:val="auto"/>
          <w:spacing w:val="-1"/>
          <w:sz w:val="24"/>
          <w:szCs w:val="24"/>
          <w:highlight w:val="none"/>
        </w:rPr>
      </w:pPr>
      <w:bookmarkStart w:id="25" w:name="bookmark117"/>
      <w:bookmarkEnd w:id="25"/>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keepNext w:val="0"/>
        <w:keepLines w:val="0"/>
        <w:pageBreakBefore w:val="0"/>
        <w:overflowPunct/>
        <w:topLinePunct w:val="0"/>
        <w:bidi w:val="0"/>
        <w:spacing w:before="78" w:line="400" w:lineRule="exact"/>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keepNext w:val="0"/>
        <w:keepLines w:val="0"/>
        <w:pageBreakBefore w:val="0"/>
        <w:overflowPunct/>
        <w:topLinePunct w:val="0"/>
        <w:bidi w:val="0"/>
        <w:spacing w:before="78" w:line="400" w:lineRule="exact"/>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效期不得短于投标有效期。投标人可登录全国公共资源交易平台（广东省·韶关市）（</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），在【服务指南】栏目中下载《建设工程网上交易系统保险保证金缴纳操作指南》，了解网上投保具体操作流程。逾期投保的，其投标无效。</w:t>
      </w:r>
    </w:p>
    <w:p w14:paraId="6CFA3F60">
      <w:pPr>
        <w:keepNext w:val="0"/>
        <w:keepLines w:val="0"/>
        <w:pageBreakBefore w:val="0"/>
        <w:overflowPunct/>
        <w:topLinePunct w:val="0"/>
        <w:bidi w:val="0"/>
        <w:spacing w:before="78" w:line="400" w:lineRule="exact"/>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温馨提示：1.投标人采用投标保证担保或投标保证保险的，为避免在评标过程中因有效期发生争议，建议投标人将银行保函或电子保单有效期设置为较招标文件规定的投标有效期延长不少于20个日历天。</w:t>
      </w:r>
    </w:p>
    <w:p w14:paraId="06BEDC68">
      <w:pPr>
        <w:keepNext w:val="0"/>
        <w:keepLines w:val="0"/>
        <w:pageBreakBefore w:val="0"/>
        <w:overflowPunct/>
        <w:topLinePunct w:val="0"/>
        <w:bidi w:val="0"/>
        <w:spacing w:before="78" w:line="400" w:lineRule="exact"/>
        <w:ind w:left="12" w:right="2" w:firstLine="49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keepNext w:val="0"/>
        <w:keepLines w:val="0"/>
        <w:pageBreakBefore w:val="0"/>
        <w:overflowPunct/>
        <w:topLinePunct w:val="0"/>
        <w:bidi w:val="0"/>
        <w:spacing w:before="79" w:line="400" w:lineRule="exact"/>
        <w:ind w:left="487"/>
        <w:outlineLvl w:val="2"/>
        <w:rPr>
          <w:rFonts w:hint="eastAsia" w:ascii="宋体" w:hAnsi="宋体" w:eastAsia="宋体" w:cs="宋体"/>
          <w:color w:val="auto"/>
          <w:sz w:val="24"/>
          <w:szCs w:val="24"/>
          <w:highlight w:val="none"/>
        </w:rPr>
      </w:pPr>
      <w:bookmarkStart w:id="26" w:name="bookmark78"/>
      <w:bookmarkEnd w:id="26"/>
      <w:bookmarkStart w:id="27" w:name="bookmark64"/>
      <w:bookmarkEnd w:id="27"/>
      <w:bookmarkStart w:id="28" w:name="_Toc31630"/>
      <w:bookmarkStart w:id="29"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8"/>
      <w:bookmarkEnd w:id="29"/>
    </w:p>
    <w:p w14:paraId="492DB599">
      <w:pPr>
        <w:keepNext w:val="0"/>
        <w:keepLines w:val="0"/>
        <w:pageBreakBefore w:val="0"/>
        <w:overflowPunct/>
        <w:topLinePunct w:val="0"/>
        <w:bidi w:val="0"/>
        <w:spacing w:before="153" w:line="400" w:lineRule="exact"/>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90个日历天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keepNext w:val="0"/>
        <w:keepLines w:val="0"/>
        <w:pageBreakBefore w:val="0"/>
        <w:overflowPunct/>
        <w:topLinePunct w:val="0"/>
        <w:bidi w:val="0"/>
        <w:spacing w:before="78" w:line="400" w:lineRule="exact"/>
        <w:ind w:left="488"/>
        <w:outlineLvl w:val="2"/>
        <w:rPr>
          <w:rFonts w:hint="eastAsia" w:ascii="宋体" w:hAnsi="宋体" w:eastAsia="宋体" w:cs="宋体"/>
          <w:color w:val="auto"/>
          <w:sz w:val="24"/>
          <w:szCs w:val="24"/>
          <w:highlight w:val="none"/>
        </w:rPr>
      </w:pPr>
      <w:bookmarkStart w:id="30" w:name="_Toc4154"/>
      <w:bookmarkStart w:id="31" w:name="_Toc25600"/>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30"/>
      <w:bookmarkEnd w:id="31"/>
    </w:p>
    <w:p w14:paraId="6580E484">
      <w:pPr>
        <w:keepNext w:val="0"/>
        <w:keepLines w:val="0"/>
        <w:pageBreakBefore w:val="0"/>
        <w:overflowPunct/>
        <w:topLinePunct w:val="0"/>
        <w:bidi w:val="0"/>
        <w:spacing w:before="154" w:line="400" w:lineRule="exact"/>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《建筑工程施工质量验收统一标准》(GB50300-2013)并且合格</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49FF2FB">
      <w:pPr>
        <w:keepNext w:val="0"/>
        <w:keepLines w:val="0"/>
        <w:pageBreakBefore w:val="0"/>
        <w:overflowPunct/>
        <w:topLinePunct w:val="0"/>
        <w:bidi w:val="0"/>
        <w:spacing w:before="154" w:line="400" w:lineRule="exact"/>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keepNext w:val="0"/>
        <w:keepLines w:val="0"/>
        <w:pageBreakBefore w:val="0"/>
        <w:overflowPunct/>
        <w:topLinePunct w:val="0"/>
        <w:bidi w:val="0"/>
        <w:spacing w:before="152" w:line="400" w:lineRule="exact"/>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keepNext w:val="0"/>
        <w:keepLines w:val="0"/>
        <w:pageBreakBefore w:val="0"/>
        <w:overflowPunct/>
        <w:topLinePunct w:val="0"/>
        <w:bidi w:val="0"/>
        <w:spacing w:before="152" w:line="400" w:lineRule="exact"/>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w:t>
      </w:r>
      <w:r>
        <w:rPr>
          <w:rFonts w:hint="eastAsia" w:ascii="宋体" w:hAnsi="宋体" w:eastAsia="宋体" w:cs="宋体"/>
          <w:color w:val="auto"/>
          <w:spacing w:val="-1"/>
          <w:sz w:val="24"/>
          <w:szCs w:val="24"/>
          <w:highlight w:val="none"/>
          <w:lang w:val="en-US" w:eastAsia="zh-CN"/>
        </w:rPr>
        <w:t>绿色建设实施范围</w:t>
      </w:r>
      <w:r>
        <w:rPr>
          <w:rFonts w:hint="eastAsia" w:ascii="宋体" w:hAnsi="宋体" w:eastAsia="宋体" w:cs="宋体"/>
          <w:color w:val="auto"/>
          <w:spacing w:val="-1"/>
          <w:sz w:val="24"/>
          <w:szCs w:val="24"/>
          <w:highlight w:val="none"/>
        </w:rPr>
        <w:t>。</w:t>
      </w:r>
    </w:p>
    <w:p w14:paraId="3EA8CECA">
      <w:pPr>
        <w:keepNext w:val="0"/>
        <w:keepLines w:val="0"/>
        <w:pageBreakBefore w:val="0"/>
        <w:overflowPunct/>
        <w:topLinePunct w:val="0"/>
        <w:bidi w:val="0"/>
        <w:spacing w:before="152" w:line="400" w:lineRule="exact"/>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keepNext w:val="0"/>
        <w:keepLines w:val="0"/>
        <w:pageBreakBefore w:val="0"/>
        <w:overflowPunct/>
        <w:topLinePunct w:val="0"/>
        <w:bidi w:val="0"/>
        <w:spacing w:before="152" w:line="400" w:lineRule="exact"/>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keepNext w:val="0"/>
        <w:keepLines w:val="0"/>
        <w:pageBreakBefore w:val="0"/>
        <w:overflowPunct/>
        <w:topLinePunct w:val="0"/>
        <w:bidi w:val="0"/>
        <w:spacing w:before="152" w:line="400" w:lineRule="exact"/>
        <w:ind w:left="9" w:firstLine="56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keepNext w:val="0"/>
        <w:keepLines w:val="0"/>
        <w:pageBreakBefore w:val="0"/>
        <w:overflowPunct/>
        <w:topLinePunct w:val="0"/>
        <w:bidi w:val="0"/>
        <w:spacing w:before="78" w:line="400" w:lineRule="exact"/>
        <w:ind w:left="489"/>
        <w:outlineLvl w:val="2"/>
        <w:rPr>
          <w:rFonts w:hint="eastAsia" w:ascii="宋体" w:hAnsi="宋体" w:eastAsia="宋体" w:cs="宋体"/>
          <w:color w:val="auto"/>
          <w:sz w:val="24"/>
          <w:szCs w:val="24"/>
          <w:highlight w:val="none"/>
        </w:rPr>
      </w:pPr>
      <w:bookmarkStart w:id="32" w:name="_Toc7763"/>
      <w:bookmarkStart w:id="33" w:name="_Toc27865"/>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32"/>
      <w:bookmarkEnd w:id="33"/>
    </w:p>
    <w:p w14:paraId="4C828FEF">
      <w:pPr>
        <w:keepNext w:val="0"/>
        <w:keepLines w:val="0"/>
        <w:pageBreakBefore w:val="0"/>
        <w:overflowPunct/>
        <w:topLinePunct w:val="0"/>
        <w:bidi w:val="0"/>
        <w:spacing w:before="155" w:line="400" w:lineRule="exact"/>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keepNext w:val="0"/>
        <w:keepLines w:val="0"/>
        <w:pageBreakBefore w:val="0"/>
        <w:overflowPunct/>
        <w:topLinePunct w:val="0"/>
        <w:bidi w:val="0"/>
        <w:spacing w:before="155" w:line="400" w:lineRule="exact"/>
        <w:ind w:left="12" w:right="99" w:firstLine="556"/>
        <w:rPr>
          <w:rFonts w:hint="eastAsia" w:ascii="宋体" w:hAnsi="宋体" w:eastAsia="宋体" w:cs="宋体"/>
          <w:color w:val="auto"/>
          <w:spacing w:val="-2"/>
          <w:sz w:val="24"/>
          <w:szCs w:val="24"/>
          <w:highlight w:val="none"/>
        </w:rPr>
      </w:pPr>
      <w:bookmarkStart w:id="34" w:name="bookmark118"/>
      <w:bookmarkEnd w:id="34"/>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由中标人自行解决，费用考虑在投标报价中</w:t>
      </w:r>
      <w:r>
        <w:rPr>
          <w:rFonts w:hint="eastAsia" w:ascii="宋体" w:hAnsi="宋体" w:eastAsia="宋体" w:cs="宋体"/>
          <w:color w:val="auto"/>
          <w:spacing w:val="-2"/>
          <w:sz w:val="24"/>
          <w:szCs w:val="24"/>
          <w:highlight w:val="none"/>
        </w:rPr>
        <w:t>。</w:t>
      </w:r>
    </w:p>
    <w:p w14:paraId="1C5809E9">
      <w:pPr>
        <w:keepNext w:val="0"/>
        <w:keepLines w:val="0"/>
        <w:pageBreakBefore w:val="0"/>
        <w:overflowPunct/>
        <w:topLinePunct w:val="0"/>
        <w:bidi w:val="0"/>
        <w:spacing w:before="155" w:line="400" w:lineRule="exact"/>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6BE101B2">
      <w:pPr>
        <w:keepNext w:val="0"/>
        <w:keepLines w:val="0"/>
        <w:pageBreakBefore w:val="0"/>
        <w:overflowPunct/>
        <w:topLinePunct w:val="0"/>
        <w:bidi w:val="0"/>
        <w:spacing w:before="154" w:line="400" w:lineRule="exact"/>
        <w:ind w:left="9" w:right="16" w:firstLine="558"/>
        <w:rPr>
          <w:rFonts w:hint="eastAsia" w:ascii="宋体" w:hAnsi="宋体" w:eastAsia="宋体" w:cs="宋体"/>
          <w:b/>
          <w:bCs/>
          <w:color w:val="auto"/>
          <w:spacing w:val="-2"/>
          <w:sz w:val="24"/>
          <w:szCs w:val="24"/>
          <w:highlight w:val="none"/>
          <w:lang w:eastAsia="zh-CN"/>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val="0"/>
          <w:bCs w:val="0"/>
          <w:color w:val="auto"/>
          <w:spacing w:val="-2"/>
          <w:sz w:val="24"/>
          <w:szCs w:val="24"/>
          <w:highlight w:val="none"/>
        </w:rPr>
        <w:t>施工用水、用电各提供一驳接点到现场边缘。要求中标人单独安装水表、电表，其水、电费按工程所在地</w:t>
      </w:r>
      <w:r>
        <w:rPr>
          <w:rFonts w:hint="eastAsia" w:ascii="宋体" w:hAnsi="宋体" w:eastAsia="宋体" w:cs="宋体"/>
          <w:b w:val="0"/>
          <w:bCs w:val="0"/>
          <w:color w:val="auto"/>
          <w:spacing w:val="-2"/>
          <w:sz w:val="24"/>
          <w:szCs w:val="24"/>
          <w:highlight w:val="none"/>
          <w:u w:val="single"/>
          <w:lang w:val="en-US" w:eastAsia="zh-CN"/>
        </w:rPr>
        <w:t>韶关市</w:t>
      </w:r>
      <w:r>
        <w:rPr>
          <w:rFonts w:hint="eastAsia" w:ascii="宋体" w:hAnsi="宋体" w:eastAsia="宋体" w:cs="宋体"/>
          <w:b w:val="0"/>
          <w:bCs w:val="0"/>
          <w:color w:val="auto"/>
          <w:spacing w:val="-2"/>
          <w:sz w:val="24"/>
          <w:szCs w:val="24"/>
          <w:highlight w:val="none"/>
        </w:rPr>
        <w:t>基建工程水、电计费标准计算并由中标人缴纳</w:t>
      </w:r>
      <w:r>
        <w:rPr>
          <w:rFonts w:hint="eastAsia" w:ascii="宋体" w:hAnsi="宋体" w:eastAsia="宋体" w:cs="宋体"/>
          <w:b w:val="0"/>
          <w:bCs w:val="0"/>
          <w:color w:val="auto"/>
          <w:spacing w:val="-2"/>
          <w:sz w:val="24"/>
          <w:szCs w:val="24"/>
          <w:highlight w:val="none"/>
          <w:lang w:eastAsia="zh-CN"/>
        </w:rPr>
        <w:t>。</w:t>
      </w:r>
    </w:p>
    <w:p w14:paraId="189BF34C">
      <w:pPr>
        <w:keepNext w:val="0"/>
        <w:keepLines w:val="0"/>
        <w:pageBreakBefore w:val="0"/>
        <w:overflowPunct/>
        <w:topLinePunct w:val="0"/>
        <w:bidi w:val="0"/>
        <w:spacing w:before="154" w:line="400" w:lineRule="exact"/>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val="en-US" w:eastAsia="zh-CN"/>
        </w:rPr>
        <w:t xml:space="preserve">6.5  </w:t>
      </w:r>
      <w:r>
        <w:rPr>
          <w:rFonts w:hint="eastAsia" w:ascii="宋体" w:hAnsi="宋体" w:eastAsia="宋体" w:cs="宋体"/>
          <w:b w:val="0"/>
          <w:bCs w:val="0"/>
          <w:color w:val="auto"/>
          <w:spacing w:val="-2"/>
          <w:sz w:val="24"/>
          <w:szCs w:val="24"/>
          <w:highlight w:val="none"/>
          <w:lang w:val="en-US" w:eastAsia="zh-CN"/>
        </w:rPr>
        <w:t>招标人不组织现场踏勘，但会在招标文件及有关设计文件中明确告知招标工程的具体位置和周边环境，并在现场设置足以识别的标识或提供足以表明招标项目具体位置的文字或图片。投标人需要了解现场情况的，可自行进行现场踏勘</w:t>
      </w:r>
      <w:r>
        <w:rPr>
          <w:rFonts w:hint="eastAsia" w:ascii="宋体" w:hAnsi="宋体" w:eastAsia="宋体" w:cs="宋体"/>
          <w:color w:val="auto"/>
          <w:spacing w:val="-1"/>
          <w:sz w:val="24"/>
          <w:szCs w:val="24"/>
          <w:highlight w:val="none"/>
        </w:rPr>
        <w:t>。</w:t>
      </w:r>
    </w:p>
    <w:p w14:paraId="29077E9E">
      <w:pPr>
        <w:keepNext w:val="0"/>
        <w:keepLines w:val="0"/>
        <w:pageBreakBefore w:val="0"/>
        <w:overflowPunct/>
        <w:topLinePunct w:val="0"/>
        <w:bidi w:val="0"/>
        <w:spacing w:before="153" w:line="400" w:lineRule="exact"/>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keepNext w:val="0"/>
        <w:keepLines w:val="0"/>
        <w:pageBreakBefore w:val="0"/>
        <w:overflowPunct/>
        <w:topLinePunct w:val="0"/>
        <w:bidi w:val="0"/>
        <w:spacing w:before="153" w:line="400" w:lineRule="exact"/>
        <w:ind w:left="56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keepNext w:val="0"/>
        <w:keepLines w:val="0"/>
        <w:pageBreakBefore w:val="0"/>
        <w:overflowPunct/>
        <w:topLinePunct w:val="0"/>
        <w:bidi w:val="0"/>
        <w:spacing w:before="78" w:line="400" w:lineRule="exact"/>
        <w:ind w:left="488"/>
        <w:outlineLvl w:val="2"/>
        <w:rPr>
          <w:rFonts w:hint="eastAsia" w:ascii="宋体" w:hAnsi="宋体" w:eastAsia="宋体" w:cs="宋体"/>
          <w:color w:val="auto"/>
          <w:sz w:val="24"/>
          <w:szCs w:val="24"/>
          <w:highlight w:val="none"/>
        </w:rPr>
      </w:pPr>
      <w:bookmarkStart w:id="35" w:name="bookmark69"/>
      <w:bookmarkEnd w:id="35"/>
      <w:bookmarkStart w:id="36" w:name="bookmark67"/>
      <w:bookmarkEnd w:id="36"/>
      <w:bookmarkStart w:id="37" w:name="bookmark81"/>
      <w:bookmarkEnd w:id="37"/>
      <w:bookmarkStart w:id="38" w:name="_Toc16047"/>
      <w:bookmarkStart w:id="39"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8"/>
      <w:bookmarkEnd w:id="39"/>
    </w:p>
    <w:p w14:paraId="318A4AA7">
      <w:pPr>
        <w:keepNext w:val="0"/>
        <w:keepLines w:val="0"/>
        <w:pageBreakBefore w:val="0"/>
        <w:overflowPunct/>
        <w:topLinePunct w:val="0"/>
        <w:bidi w:val="0"/>
        <w:spacing w:before="153" w:line="400" w:lineRule="exact"/>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keepNext w:val="0"/>
        <w:keepLines w:val="0"/>
        <w:pageBreakBefore w:val="0"/>
        <w:overflowPunct/>
        <w:topLinePunct w:val="0"/>
        <w:bidi w:val="0"/>
        <w:spacing w:before="154" w:line="400" w:lineRule="exact"/>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keepNext w:val="0"/>
        <w:keepLines w:val="0"/>
        <w:pageBreakBefore w:val="0"/>
        <w:overflowPunct/>
        <w:topLinePunct w:val="0"/>
        <w:bidi w:val="0"/>
        <w:spacing w:before="152" w:line="400" w:lineRule="exact"/>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keepNext w:val="0"/>
        <w:keepLines w:val="0"/>
        <w:pageBreakBefore w:val="0"/>
        <w:overflowPunct/>
        <w:topLinePunct w:val="0"/>
        <w:bidi w:val="0"/>
        <w:spacing w:before="79" w:line="400" w:lineRule="exact"/>
        <w:ind w:left="488"/>
        <w:outlineLvl w:val="2"/>
        <w:rPr>
          <w:rFonts w:hint="eastAsia" w:ascii="宋体" w:hAnsi="宋体" w:eastAsia="宋体" w:cs="宋体"/>
          <w:color w:val="auto"/>
          <w:sz w:val="24"/>
          <w:szCs w:val="24"/>
          <w:highlight w:val="none"/>
          <w:lang w:eastAsia="zh-CN"/>
        </w:rPr>
      </w:pPr>
      <w:bookmarkStart w:id="40" w:name="_Toc6897"/>
      <w:bookmarkStart w:id="41" w:name="_Toc11068"/>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40"/>
      <w:bookmarkEnd w:id="41"/>
    </w:p>
    <w:p w14:paraId="483B6E50">
      <w:pPr>
        <w:keepNext w:val="0"/>
        <w:keepLines w:val="0"/>
        <w:pageBreakBefore w:val="0"/>
        <w:overflowPunct/>
        <w:topLinePunct w:val="0"/>
        <w:bidi w:val="0"/>
        <w:spacing w:before="155" w:line="400" w:lineRule="exact"/>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400" w:lineRule="exact"/>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400" w:lineRule="exact"/>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400" w:lineRule="exact"/>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400" w:lineRule="exact"/>
        <w:ind w:left="502"/>
        <w:textAlignment w:val="baseline"/>
        <w:rPr>
          <w:rFonts w:hint="eastAsia" w:ascii="宋体" w:hAnsi="宋体" w:eastAsia="宋体" w:cs="宋体"/>
          <w:color w:val="auto"/>
          <w:sz w:val="24"/>
          <w:szCs w:val="24"/>
          <w:highlight w:val="none"/>
        </w:rPr>
      </w:pPr>
      <w:bookmarkStart w:id="42" w:name="bookmark119"/>
      <w:bookmarkEnd w:id="42"/>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400" w:lineRule="exact"/>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400" w:lineRule="exact"/>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400" w:lineRule="exact"/>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keepNext w:val="0"/>
        <w:keepLines w:val="0"/>
        <w:pageBreakBefore w:val="0"/>
        <w:overflowPunct/>
        <w:topLinePunct w:val="0"/>
        <w:bidi w:val="0"/>
        <w:spacing w:before="79" w:line="360" w:lineRule="auto"/>
        <w:ind w:firstLine="482" w:firstLineChars="200"/>
        <w:jc w:val="both"/>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本招标项目最高投标限价为</w:t>
      </w:r>
      <w:r>
        <w:rPr>
          <w:rFonts w:hint="eastAsia" w:ascii="宋体" w:hAnsi="宋体" w:eastAsia="宋体" w:cs="宋体"/>
          <w:b/>
          <w:bCs/>
          <w:snapToGrid w:val="0"/>
          <w:color w:val="auto"/>
          <w:kern w:val="0"/>
          <w:sz w:val="24"/>
          <w:szCs w:val="24"/>
          <w:highlight w:val="none"/>
          <w:lang w:val="en-US" w:eastAsia="zh-CN"/>
        </w:rPr>
        <w:t>人民币（大写）：</w:t>
      </w:r>
      <w:r>
        <w:rPr>
          <w:rFonts w:hint="eastAsia" w:ascii="宋体" w:hAnsi="宋体" w:eastAsia="宋体" w:cs="宋体"/>
          <w:b/>
          <w:bCs/>
          <w:snapToGrid w:val="0"/>
          <w:color w:val="auto"/>
          <w:kern w:val="0"/>
          <w:sz w:val="24"/>
          <w:szCs w:val="24"/>
          <w:highlight w:val="none"/>
          <w:u w:val="single"/>
          <w:lang w:val="en-US" w:eastAsia="zh-CN"/>
        </w:rPr>
        <w:t>贰佰伍拾贰万陆仟贰佰零陆元贰角叁分（¥2,526,206.23元），其中安全生产措施费（不得低于）为：¥52,096.42元；暂列金额为：¥195,792.73元；暂估价为：¥26,249.12元（统一报价）。</w:t>
      </w:r>
    </w:p>
    <w:p w14:paraId="37A2572C">
      <w:pPr>
        <w:keepNext w:val="0"/>
        <w:keepLines w:val="0"/>
        <w:pageBreakBefore w:val="0"/>
        <w:overflowPunct/>
        <w:topLinePunct w:val="0"/>
        <w:bidi w:val="0"/>
        <w:spacing w:before="79" w:line="400" w:lineRule="exact"/>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keepNext w:val="0"/>
        <w:keepLines w:val="0"/>
        <w:pageBreakBefore w:val="0"/>
        <w:overflowPunct/>
        <w:topLinePunct w:val="0"/>
        <w:bidi w:val="0"/>
        <w:spacing w:before="36" w:line="400" w:lineRule="exact"/>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keepNext w:val="0"/>
        <w:keepLines w:val="0"/>
        <w:pageBreakBefore w:val="0"/>
        <w:overflowPunct/>
        <w:topLinePunct w:val="0"/>
        <w:bidi w:val="0"/>
        <w:spacing w:before="154" w:line="400" w:lineRule="exact"/>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keepNext w:val="0"/>
        <w:keepLines w:val="0"/>
        <w:pageBreakBefore w:val="0"/>
        <w:widowControl/>
        <w:kinsoku w:val="0"/>
        <w:wordWrap/>
        <w:overflowPunct/>
        <w:topLinePunct w:val="0"/>
        <w:autoSpaceDE w:val="0"/>
        <w:autoSpaceDN w:val="0"/>
        <w:bidi w:val="0"/>
        <w:adjustRightInd w:val="0"/>
        <w:snapToGrid w:val="0"/>
        <w:spacing w:line="400" w:lineRule="exact"/>
        <w:ind w:left="-3" w:leftChars="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color w:val="auto"/>
          <w:spacing w:val="-3"/>
          <w:sz w:val="24"/>
          <w:szCs w:val="24"/>
          <w:highlight w:val="none"/>
          <w:u w:val="single"/>
        </w:rPr>
        <w:t>中标人招标，业主单位和招标人参与管理</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F60C25D">
      <w:pPr>
        <w:keepNext w:val="0"/>
        <w:keepLines w:val="0"/>
        <w:pageBreakBefore w:val="0"/>
        <w:widowControl/>
        <w:kinsoku w:val="0"/>
        <w:wordWrap/>
        <w:overflowPunct/>
        <w:topLinePunct w:val="0"/>
        <w:autoSpaceDE w:val="0"/>
        <w:autoSpaceDN w:val="0"/>
        <w:bidi w:val="0"/>
        <w:adjustRightInd w:val="0"/>
        <w:snapToGrid w:val="0"/>
        <w:spacing w:line="400" w:lineRule="exact"/>
        <w:ind w:left="11" w:right="65"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keepNext w:val="0"/>
        <w:keepLines w:val="0"/>
        <w:pageBreakBefore w:val="0"/>
        <w:widowControl/>
        <w:kinsoku w:val="0"/>
        <w:wordWrap/>
        <w:overflowPunct/>
        <w:topLinePunct w:val="0"/>
        <w:autoSpaceDE w:val="0"/>
        <w:autoSpaceDN w:val="0"/>
        <w:bidi w:val="0"/>
        <w:adjustRightInd w:val="0"/>
        <w:snapToGrid w:val="0"/>
        <w:spacing w:line="400" w:lineRule="exact"/>
        <w:ind w:left="11" w:right="65"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同中标人结算原则按本招标文件相关条款执行。</w:t>
      </w:r>
    </w:p>
    <w:p w14:paraId="3698C443">
      <w:pPr>
        <w:keepNext w:val="0"/>
        <w:keepLines w:val="0"/>
        <w:pageBreakBefore w:val="0"/>
        <w:widowControl/>
        <w:kinsoku w:val="0"/>
        <w:wordWrap/>
        <w:overflowPunct/>
        <w:topLinePunct w:val="0"/>
        <w:autoSpaceDE w:val="0"/>
        <w:autoSpaceDN w:val="0"/>
        <w:bidi w:val="0"/>
        <w:adjustRightInd w:val="0"/>
        <w:snapToGrid w:val="0"/>
        <w:spacing w:line="400" w:lineRule="exact"/>
        <w:ind w:left="11" w:right="65"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keepNext w:val="0"/>
        <w:keepLines w:val="0"/>
        <w:pageBreakBefore w:val="0"/>
        <w:widowControl/>
        <w:kinsoku w:val="0"/>
        <w:wordWrap/>
        <w:overflowPunct/>
        <w:topLinePunct w:val="0"/>
        <w:autoSpaceDE w:val="0"/>
        <w:autoSpaceDN w:val="0"/>
        <w:bidi w:val="0"/>
        <w:adjustRightInd w:val="0"/>
        <w:snapToGrid w:val="0"/>
        <w:spacing w:line="400" w:lineRule="exact"/>
        <w:ind w:left="9" w:right="66" w:firstLine="49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keepNext w:val="0"/>
        <w:keepLines w:val="0"/>
        <w:pageBreakBefore w:val="0"/>
        <w:overflowPunct/>
        <w:topLinePunct w:val="0"/>
        <w:bidi w:val="0"/>
        <w:spacing w:before="155" w:line="400" w:lineRule="exact"/>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keepNext w:val="0"/>
        <w:keepLines w:val="0"/>
        <w:pageBreakBefore w:val="0"/>
        <w:overflowPunct/>
        <w:topLinePunct w:val="0"/>
        <w:bidi w:val="0"/>
        <w:spacing w:before="79" w:line="400" w:lineRule="exact"/>
        <w:ind w:left="487"/>
        <w:outlineLvl w:val="2"/>
        <w:rPr>
          <w:rFonts w:hint="eastAsia" w:ascii="宋体" w:hAnsi="宋体" w:eastAsia="宋体" w:cs="宋体"/>
          <w:color w:val="auto"/>
          <w:sz w:val="24"/>
          <w:szCs w:val="24"/>
          <w:highlight w:val="none"/>
        </w:rPr>
      </w:pPr>
      <w:bookmarkStart w:id="43" w:name="_Toc22978"/>
      <w:bookmarkStart w:id="44" w:name="_Toc2517"/>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43"/>
      <w:bookmarkEnd w:id="44"/>
    </w:p>
    <w:p w14:paraId="0CB59245">
      <w:pPr>
        <w:keepNext w:val="0"/>
        <w:keepLines w:val="0"/>
        <w:pageBreakBefore w:val="0"/>
        <w:overflowPunct/>
        <w:topLinePunct w:val="0"/>
        <w:bidi w:val="0"/>
        <w:spacing w:before="157" w:line="400" w:lineRule="exact"/>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keepNext w:val="0"/>
        <w:keepLines w:val="0"/>
        <w:pageBreakBefore w:val="0"/>
        <w:overflowPunct/>
        <w:topLinePunct w:val="0"/>
        <w:bidi w:val="0"/>
        <w:spacing w:before="155"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05762B96">
      <w:pPr>
        <w:keepNext w:val="0"/>
        <w:keepLines w:val="0"/>
        <w:pageBreakBefore w:val="0"/>
        <w:overflowPunct/>
        <w:topLinePunct w:val="0"/>
        <w:bidi w:val="0"/>
        <w:spacing w:before="153" w:line="400" w:lineRule="exact"/>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w:t>
      </w:r>
      <w:r>
        <w:rPr>
          <w:rFonts w:hint="eastAsia" w:ascii="宋体" w:hAnsi="宋体" w:eastAsia="宋体" w:cs="宋体"/>
          <w:color w:val="auto"/>
          <w:spacing w:val="-1"/>
          <w:sz w:val="24"/>
          <w:szCs w:val="24"/>
          <w:highlight w:val="none"/>
        </w:rPr>
        <w:t>《广东省建设工程计价依据（2018）》及《关于调整《广东省建设工程计价依据2018》计价规则的通知》（粤标定函〔2025〕22号）。具体包括：《广东省房屋建筑与装饰工程综合定额（2018）》《广东省市政工程综合定额（2018）》《广东省通用安装工程综合定额（2018）》《广东省园林绿化工程综合定额（2018）》《广东省建设工程施工机具台班费用编制规则（2018）》等；</w:t>
      </w:r>
    </w:p>
    <w:p w14:paraId="4CCDAD2F">
      <w:pPr>
        <w:keepNext w:val="0"/>
        <w:keepLines w:val="0"/>
        <w:pageBreakBefore w:val="0"/>
        <w:overflowPunct/>
        <w:topLinePunct w:val="0"/>
        <w:bidi w:val="0"/>
        <w:spacing w:before="78" w:line="400" w:lineRule="exact"/>
        <w:ind w:left="501"/>
        <w:rPr>
          <w:rFonts w:hint="eastAsia" w:ascii="宋体" w:hAnsi="宋体" w:eastAsia="宋体" w:cs="宋体"/>
          <w:color w:val="auto"/>
          <w:sz w:val="24"/>
          <w:szCs w:val="24"/>
          <w:highlight w:val="none"/>
        </w:rPr>
      </w:pPr>
      <w:bookmarkStart w:id="45" w:name="bookmark120"/>
      <w:bookmarkEnd w:id="45"/>
      <w:r>
        <w:rPr>
          <w:rFonts w:hint="eastAsia" w:ascii="宋体" w:hAnsi="宋体" w:eastAsia="宋体" w:cs="宋体"/>
          <w:color w:val="auto"/>
          <w:spacing w:val="-3"/>
          <w:sz w:val="24"/>
          <w:szCs w:val="24"/>
          <w:highlight w:val="none"/>
        </w:rPr>
        <w:t>（3）企业定额；</w:t>
      </w:r>
    </w:p>
    <w:p w14:paraId="44753B79">
      <w:pPr>
        <w:keepNext w:val="0"/>
        <w:keepLines w:val="0"/>
        <w:pageBreakBefore w:val="0"/>
        <w:overflowPunct/>
        <w:topLinePunct w:val="0"/>
        <w:bidi w:val="0"/>
        <w:spacing w:before="155"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keepNext w:val="0"/>
        <w:keepLines w:val="0"/>
        <w:pageBreakBefore w:val="0"/>
        <w:overflowPunct/>
        <w:topLinePunct w:val="0"/>
        <w:bidi w:val="0"/>
        <w:spacing w:before="154"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keepNext w:val="0"/>
        <w:keepLines w:val="0"/>
        <w:pageBreakBefore w:val="0"/>
        <w:overflowPunct/>
        <w:topLinePunct w:val="0"/>
        <w:bidi w:val="0"/>
        <w:spacing w:before="152"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keepNext w:val="0"/>
        <w:keepLines w:val="0"/>
        <w:pageBreakBefore w:val="0"/>
        <w:overflowPunct/>
        <w:topLinePunct w:val="0"/>
        <w:bidi w:val="0"/>
        <w:spacing w:before="156"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keepNext w:val="0"/>
        <w:keepLines w:val="0"/>
        <w:pageBreakBefore w:val="0"/>
        <w:overflowPunct/>
        <w:topLinePunct w:val="0"/>
        <w:bidi w:val="0"/>
        <w:spacing w:before="155"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keepNext w:val="0"/>
        <w:keepLines w:val="0"/>
        <w:pageBreakBefore w:val="0"/>
        <w:overflowPunct/>
        <w:topLinePunct w:val="0"/>
        <w:bidi w:val="0"/>
        <w:spacing w:before="153" w:line="400" w:lineRule="exact"/>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keepNext w:val="0"/>
        <w:keepLines w:val="0"/>
        <w:pageBreakBefore w:val="0"/>
        <w:overflowPunct/>
        <w:topLinePunct w:val="0"/>
        <w:bidi w:val="0"/>
        <w:spacing w:before="152" w:line="400" w:lineRule="exact"/>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keepNext w:val="0"/>
        <w:keepLines w:val="0"/>
        <w:pageBreakBefore w:val="0"/>
        <w:overflowPunct/>
        <w:topLinePunct w:val="0"/>
        <w:bidi w:val="0"/>
        <w:spacing w:before="155" w:line="400" w:lineRule="exact"/>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keepNext w:val="0"/>
        <w:keepLines w:val="0"/>
        <w:pageBreakBefore w:val="0"/>
        <w:overflowPunct/>
        <w:topLinePunct w:val="0"/>
        <w:bidi w:val="0"/>
        <w:spacing w:before="154" w:line="400" w:lineRule="exact"/>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keepNext w:val="0"/>
        <w:keepLines w:val="0"/>
        <w:pageBreakBefore w:val="0"/>
        <w:overflowPunct/>
        <w:topLinePunct w:val="0"/>
        <w:bidi w:val="0"/>
        <w:spacing w:before="158" w:line="400" w:lineRule="exact"/>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keepNext w:val="0"/>
        <w:keepLines w:val="0"/>
        <w:pageBreakBefore w:val="0"/>
        <w:overflowPunct/>
        <w:topLinePunct w:val="0"/>
        <w:bidi w:val="0"/>
        <w:spacing w:before="152" w:line="400" w:lineRule="exact"/>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keepNext w:val="0"/>
        <w:keepLines w:val="0"/>
        <w:pageBreakBefore w:val="0"/>
        <w:overflowPunct/>
        <w:topLinePunct w:val="0"/>
        <w:bidi w:val="0"/>
        <w:spacing w:line="400" w:lineRule="exact"/>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keepNext w:val="0"/>
        <w:keepLines w:val="0"/>
        <w:pageBreakBefore w:val="0"/>
        <w:overflowPunct/>
        <w:topLinePunct w:val="0"/>
        <w:bidi w:val="0"/>
        <w:spacing w:before="146" w:line="400" w:lineRule="exact"/>
        <w:ind w:left="29" w:right="153" w:firstLine="458"/>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keepNext w:val="0"/>
        <w:keepLines w:val="0"/>
        <w:pageBreakBefore w:val="0"/>
        <w:overflowPunct/>
        <w:topLinePunct w:val="0"/>
        <w:bidi w:val="0"/>
        <w:spacing w:before="78" w:line="400" w:lineRule="exact"/>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7"/>
        <w:keepNext w:val="0"/>
        <w:keepLines w:val="0"/>
        <w:pageBreakBefore w:val="0"/>
        <w:overflowPunct/>
        <w:topLinePunct w:val="0"/>
        <w:bidi w:val="0"/>
        <w:spacing w:line="400" w:lineRule="exact"/>
        <w:ind w:firstLine="48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sz w:val="24"/>
          <w:szCs w:val="24"/>
          <w:highlight w:val="none"/>
        </w:rPr>
        <w:t xml:space="preserve">9.10 </w:t>
      </w:r>
      <w:r>
        <w:rPr>
          <w:rFonts w:hint="eastAsia" w:ascii="宋体" w:hAnsi="宋体" w:eastAsia="宋体" w:cs="宋体"/>
          <w:snapToGrid w:val="0"/>
          <w:color w:val="auto"/>
          <w:spacing w:val="-1"/>
          <w:sz w:val="24"/>
          <w:szCs w:val="24"/>
          <w:highlight w:val="none"/>
          <w:lang w:val="en-US" w:eastAsia="zh-CN" w:bidi="ar-SA"/>
        </w:rPr>
        <w:t>预算包干内容一般包括施工雨（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r>
        <w:rPr>
          <w:rFonts w:hint="eastAsia" w:ascii="宋体" w:hAnsi="宋体" w:eastAsia="宋体" w:cs="宋体"/>
          <w:snapToGrid w:val="0"/>
          <w:color w:val="auto"/>
          <w:spacing w:val="-1"/>
          <w:sz w:val="24"/>
          <w:szCs w:val="24"/>
          <w:highlight w:val="none"/>
          <w:lang w:val="en-US" w:eastAsia="en-US" w:bidi="ar-SA"/>
        </w:rPr>
        <w:t>。</w:t>
      </w:r>
    </w:p>
    <w:p w14:paraId="105B0490">
      <w:pPr>
        <w:keepNext w:val="0"/>
        <w:keepLines w:val="0"/>
        <w:pageBreakBefore w:val="0"/>
        <w:overflowPunct/>
        <w:topLinePunct w:val="0"/>
        <w:bidi w:val="0"/>
        <w:spacing w:before="78" w:line="400" w:lineRule="exact"/>
        <w:ind w:left="496"/>
        <w:outlineLvl w:val="2"/>
        <w:rPr>
          <w:rFonts w:hint="eastAsia" w:ascii="宋体" w:hAnsi="宋体" w:eastAsia="宋体" w:cs="宋体"/>
          <w:color w:val="auto"/>
          <w:sz w:val="24"/>
          <w:szCs w:val="24"/>
          <w:highlight w:val="none"/>
        </w:rPr>
      </w:pPr>
      <w:bookmarkStart w:id="46" w:name="_Toc25083"/>
      <w:bookmarkStart w:id="47" w:name="_Toc16322"/>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6"/>
      <w:bookmarkEnd w:id="47"/>
    </w:p>
    <w:p w14:paraId="717359E1">
      <w:pPr>
        <w:keepNext w:val="0"/>
        <w:keepLines w:val="0"/>
        <w:pageBreakBefore w:val="0"/>
        <w:overflowPunct/>
        <w:topLinePunct w:val="0"/>
        <w:bidi w:val="0"/>
        <w:spacing w:before="152" w:line="400" w:lineRule="exact"/>
        <w:ind w:left="496"/>
        <w:outlineLvl w:val="3"/>
        <w:rPr>
          <w:rFonts w:hint="eastAsia" w:ascii="宋体" w:hAnsi="宋体" w:eastAsia="宋体" w:cs="宋体"/>
          <w:color w:val="auto"/>
          <w:sz w:val="24"/>
          <w:szCs w:val="24"/>
          <w:highlight w:val="none"/>
        </w:rPr>
      </w:pPr>
      <w:bookmarkStart w:id="48" w:name="_Toc20590"/>
      <w:bookmarkStart w:id="49" w:name="_Toc22937"/>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8"/>
      <w:bookmarkEnd w:id="49"/>
    </w:p>
    <w:p w14:paraId="4800233A">
      <w:pPr>
        <w:keepNext w:val="0"/>
        <w:keepLines w:val="0"/>
        <w:pageBreakBefore w:val="0"/>
        <w:overflowPunct/>
        <w:topLinePunct w:val="0"/>
        <w:bidi w:val="0"/>
        <w:spacing w:before="118" w:line="400" w:lineRule="exact"/>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keepNext w:val="0"/>
        <w:keepLines w:val="0"/>
        <w:pageBreakBefore w:val="0"/>
        <w:overflowPunct/>
        <w:topLinePunct w:val="0"/>
        <w:bidi w:val="0"/>
        <w:spacing w:before="68" w:line="400" w:lineRule="exact"/>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keepNext w:val="0"/>
        <w:keepLines w:val="0"/>
        <w:pageBreakBefore w:val="0"/>
        <w:overflowPunct/>
        <w:topLinePunct w:val="0"/>
        <w:bidi w:val="0"/>
        <w:spacing w:before="123" w:line="400" w:lineRule="exact"/>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keepNext w:val="0"/>
        <w:keepLines w:val="0"/>
        <w:pageBreakBefore w:val="0"/>
        <w:overflowPunct/>
        <w:topLinePunct w:val="0"/>
        <w:bidi w:val="0"/>
        <w:spacing w:before="1" w:line="400" w:lineRule="exact"/>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keepNext w:val="0"/>
        <w:keepLines w:val="0"/>
        <w:pageBreakBefore w:val="0"/>
        <w:overflowPunct/>
        <w:topLinePunct w:val="0"/>
        <w:bidi w:val="0"/>
        <w:spacing w:before="111" w:line="400" w:lineRule="exact"/>
        <w:ind w:right="133" w:firstLine="57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”处由要求的人员签字或盖其私章（或电子印章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keepNext w:val="0"/>
        <w:keepLines w:val="0"/>
        <w:pageBreakBefore w:val="0"/>
        <w:overflowPunct/>
        <w:topLinePunct w:val="0"/>
        <w:bidi w:val="0"/>
        <w:spacing w:before="112" w:line="400" w:lineRule="exact"/>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0CBE0BD0">
      <w:pPr>
        <w:keepNext w:val="0"/>
        <w:keepLines w:val="0"/>
        <w:pageBreakBefore w:val="0"/>
        <w:overflowPunct/>
        <w:topLinePunct w:val="0"/>
        <w:bidi w:val="0"/>
        <w:spacing w:before="146" w:line="400" w:lineRule="exact"/>
        <w:ind w:left="16" w:right="135" w:firstLine="562"/>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"10.1.3.3"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分的彩色扫描件无须另行签字、盖章。</w:t>
      </w:r>
    </w:p>
    <w:p w14:paraId="16433E7B">
      <w:pPr>
        <w:keepNext w:val="0"/>
        <w:keepLines w:val="0"/>
        <w:pageBreakBefore w:val="0"/>
        <w:overflowPunct/>
        <w:topLinePunct w:val="0"/>
        <w:bidi w:val="0"/>
        <w:spacing w:before="146" w:line="400" w:lineRule="exact"/>
        <w:ind w:left="16" w:right="135" w:firstLine="562"/>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10.1.3.4</w:t>
      </w:r>
      <w:r>
        <w:rPr>
          <w:rFonts w:hint="eastAsia" w:ascii="宋体" w:hAnsi="宋体" w:eastAsia="宋体" w:cs="宋体"/>
          <w:color w:val="auto"/>
          <w:spacing w:val="-1"/>
          <w:sz w:val="24"/>
          <w:szCs w:val="24"/>
          <w:highlight w:val="none"/>
        </w:rPr>
        <w:t xml:space="preserve"> 联合体投标的，除《联合体协议书》外，由联合体牵头人按以上要求签亲笔署名或签章（电子印章）即可</w:t>
      </w:r>
      <w:r>
        <w:rPr>
          <w:rFonts w:hint="eastAsia" w:ascii="宋体" w:hAnsi="宋体" w:eastAsia="宋体" w:cs="宋体"/>
          <w:color w:val="auto"/>
          <w:spacing w:val="-1"/>
          <w:sz w:val="24"/>
          <w:szCs w:val="24"/>
          <w:highlight w:val="none"/>
          <w:lang w:eastAsia="zh-CN"/>
        </w:rPr>
        <w:t>。</w:t>
      </w:r>
    </w:p>
    <w:p w14:paraId="149EA5DD">
      <w:pPr>
        <w:keepNext w:val="0"/>
        <w:keepLines w:val="0"/>
        <w:pageBreakBefore w:val="0"/>
        <w:overflowPunct/>
        <w:topLinePunct w:val="0"/>
        <w:bidi w:val="0"/>
        <w:spacing w:before="155" w:line="400" w:lineRule="exact"/>
        <w:ind w:left="500"/>
        <w:outlineLvl w:val="3"/>
        <w:rPr>
          <w:rFonts w:hint="eastAsia" w:ascii="宋体" w:hAnsi="宋体" w:eastAsia="宋体" w:cs="宋体"/>
          <w:b/>
          <w:bCs/>
          <w:color w:val="auto"/>
          <w:sz w:val="24"/>
          <w:szCs w:val="24"/>
          <w:highlight w:val="none"/>
        </w:rPr>
      </w:pPr>
      <w:bookmarkStart w:id="50" w:name="_Toc21271"/>
      <w:bookmarkStart w:id="51" w:name="_Toc20223"/>
      <w:r>
        <w:rPr>
          <w:rFonts w:hint="eastAsia" w:ascii="宋体" w:hAnsi="宋体" w:eastAsia="宋体" w:cs="宋体"/>
          <w:b/>
          <w:bCs/>
          <w:color w:val="auto"/>
          <w:spacing w:val="-2"/>
          <w:sz w:val="24"/>
          <w:szCs w:val="24"/>
          <w:highlight w:val="none"/>
        </w:rPr>
        <w:t>10.2  商务标书的编制要求</w:t>
      </w:r>
      <w:bookmarkEnd w:id="50"/>
      <w:bookmarkEnd w:id="51"/>
    </w:p>
    <w:p w14:paraId="09D418EF">
      <w:pPr>
        <w:keepNext w:val="0"/>
        <w:keepLines w:val="0"/>
        <w:pageBreakBefore w:val="0"/>
        <w:overflowPunct/>
        <w:topLinePunct w:val="0"/>
        <w:bidi w:val="0"/>
        <w:spacing w:before="157" w:line="400" w:lineRule="exact"/>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keepNext w:val="0"/>
        <w:keepLines w:val="0"/>
        <w:pageBreakBefore w:val="0"/>
        <w:overflowPunct/>
        <w:topLinePunct w:val="0"/>
        <w:bidi w:val="0"/>
        <w:spacing w:before="154"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keepNext w:val="0"/>
        <w:keepLines w:val="0"/>
        <w:pageBreakBefore w:val="0"/>
        <w:overflowPunct/>
        <w:topLinePunct w:val="0"/>
        <w:bidi w:val="0"/>
        <w:spacing w:before="153"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keepNext w:val="0"/>
        <w:keepLines w:val="0"/>
        <w:pageBreakBefore w:val="0"/>
        <w:overflowPunct/>
        <w:topLinePunct w:val="0"/>
        <w:bidi w:val="0"/>
        <w:spacing w:before="153"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keepNext w:val="0"/>
        <w:keepLines w:val="0"/>
        <w:pageBreakBefore w:val="0"/>
        <w:overflowPunct/>
        <w:topLinePunct w:val="0"/>
        <w:bidi w:val="0"/>
        <w:spacing w:before="153"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keepNext w:val="0"/>
        <w:keepLines w:val="0"/>
        <w:pageBreakBefore w:val="0"/>
        <w:overflowPunct/>
        <w:topLinePunct w:val="0"/>
        <w:bidi w:val="0"/>
        <w:spacing w:before="154"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keepNext w:val="0"/>
        <w:keepLines w:val="0"/>
        <w:pageBreakBefore w:val="0"/>
        <w:overflowPunct/>
        <w:topLinePunct w:val="0"/>
        <w:bidi w:val="0"/>
        <w:spacing w:before="156"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keepNext w:val="0"/>
        <w:keepLines w:val="0"/>
        <w:pageBreakBefore w:val="0"/>
        <w:overflowPunct/>
        <w:topLinePunct w:val="0"/>
        <w:bidi w:val="0"/>
        <w:spacing w:before="154"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1"/>
          <w:sz w:val="24"/>
          <w:szCs w:val="24"/>
          <w:highlight w:val="none"/>
          <w:lang w:eastAsia="zh-CN"/>
        </w:rPr>
        <w:t>《联合体协议书》</w:t>
      </w:r>
      <w:r>
        <w:rPr>
          <w:rFonts w:hint="eastAsia" w:ascii="宋体" w:hAnsi="宋体" w:eastAsia="宋体" w:cs="宋体"/>
          <w:color w:val="auto"/>
          <w:spacing w:val="-1"/>
          <w:sz w:val="24"/>
          <w:szCs w:val="24"/>
          <w:highlight w:val="none"/>
        </w:rPr>
        <w:t>（格式六）及所附资料；</w:t>
      </w:r>
    </w:p>
    <w:p w14:paraId="7065F65E">
      <w:pPr>
        <w:keepNext w:val="0"/>
        <w:keepLines w:val="0"/>
        <w:pageBreakBefore w:val="0"/>
        <w:overflowPunct/>
        <w:topLinePunct w:val="0"/>
        <w:bidi w:val="0"/>
        <w:spacing w:before="153" w:line="400" w:lineRule="exact"/>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keepNext w:val="0"/>
        <w:keepLines w:val="0"/>
        <w:pageBreakBefore w:val="0"/>
        <w:overflowPunct/>
        <w:topLinePunct w:val="0"/>
        <w:bidi w:val="0"/>
        <w:spacing w:before="156"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keepNext w:val="0"/>
        <w:keepLines w:val="0"/>
        <w:pageBreakBefore w:val="0"/>
        <w:overflowPunct/>
        <w:topLinePunct w:val="0"/>
        <w:bidi w:val="0"/>
        <w:spacing w:before="155"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keepNext w:val="0"/>
        <w:keepLines w:val="0"/>
        <w:pageBreakBefore w:val="0"/>
        <w:overflowPunct/>
        <w:topLinePunct w:val="0"/>
        <w:bidi w:val="0"/>
        <w:spacing w:before="154"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keepNext w:val="0"/>
        <w:keepLines w:val="0"/>
        <w:pageBreakBefore w:val="0"/>
        <w:overflowPunct/>
        <w:topLinePunct w:val="0"/>
        <w:bidi w:val="0"/>
        <w:spacing w:before="156"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keepNext w:val="0"/>
        <w:keepLines w:val="0"/>
        <w:pageBreakBefore w:val="0"/>
        <w:overflowPunct/>
        <w:topLinePunct w:val="0"/>
        <w:bidi w:val="0"/>
        <w:spacing w:before="154" w:line="400" w:lineRule="exact"/>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52" w:name="OLE_LINK7"/>
      <w:r>
        <w:rPr>
          <w:rFonts w:hint="eastAsia" w:ascii="宋体" w:hAnsi="宋体" w:eastAsia="宋体" w:cs="宋体"/>
          <w:color w:val="auto"/>
          <w:spacing w:val="-1"/>
          <w:sz w:val="24"/>
          <w:szCs w:val="24"/>
          <w:highlight w:val="none"/>
        </w:rPr>
        <w:t>目管理机构组成表》（格式十一）及</w:t>
      </w:r>
      <w:bookmarkEnd w:id="52"/>
      <w:r>
        <w:rPr>
          <w:rFonts w:hint="eastAsia" w:ascii="宋体" w:hAnsi="宋体" w:eastAsia="宋体" w:cs="宋体"/>
          <w:color w:val="auto"/>
          <w:spacing w:val="-1"/>
          <w:sz w:val="24"/>
          <w:szCs w:val="24"/>
          <w:highlight w:val="none"/>
        </w:rPr>
        <w:t>所附资料；</w:t>
      </w:r>
    </w:p>
    <w:p w14:paraId="1875BDE6">
      <w:pPr>
        <w:keepNext w:val="0"/>
        <w:keepLines w:val="0"/>
        <w:pageBreakBefore w:val="0"/>
        <w:overflowPunct/>
        <w:topLinePunct w:val="0"/>
        <w:bidi w:val="0"/>
        <w:spacing w:before="155" w:line="400" w:lineRule="exact"/>
        <w:ind w:left="505"/>
        <w:rPr>
          <w:rFonts w:hint="eastAsia" w:ascii="宋体" w:hAnsi="宋体" w:eastAsia="宋体" w:cs="宋体"/>
          <w:snapToGrid w:val="0"/>
          <w:color w:val="auto"/>
          <w:spacing w:val="-4"/>
          <w:sz w:val="24"/>
          <w:szCs w:val="24"/>
          <w:highlight w:val="none"/>
          <w:lang w:val="en-US" w:eastAsia="zh-CN" w:bidi="ar-SA"/>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4"/>
          <w:sz w:val="24"/>
          <w:szCs w:val="24"/>
          <w:highlight w:val="none"/>
          <w:lang w:val="en-US" w:eastAsia="zh-CN"/>
        </w:rPr>
        <w:t>4</w:t>
      </w:r>
      <w:r>
        <w:rPr>
          <w:rFonts w:hint="eastAsia" w:ascii="宋体" w:hAnsi="宋体" w:eastAsia="宋体" w:cs="宋体"/>
          <w:color w:val="auto"/>
          <w:spacing w:val="-4"/>
          <w:sz w:val="24"/>
          <w:szCs w:val="24"/>
          <w:highlight w:val="none"/>
        </w:rPr>
        <w:t>）</w:t>
      </w:r>
      <w:r>
        <w:rPr>
          <w:rFonts w:hint="eastAsia" w:ascii="宋体" w:hAnsi="宋体" w:eastAsia="宋体" w:cs="宋体"/>
          <w:snapToGrid w:val="0"/>
          <w:color w:val="auto"/>
          <w:spacing w:val="-4"/>
          <w:sz w:val="24"/>
          <w:szCs w:val="24"/>
          <w:highlight w:val="none"/>
          <w:lang w:val="en-US" w:eastAsia="zh-CN" w:bidi="ar-SA"/>
        </w:rPr>
        <w:t>本节第 15.5.1目“评标方法 ”要求提供的评审资料；</w:t>
      </w:r>
    </w:p>
    <w:p w14:paraId="47D20E97">
      <w:pPr>
        <w:keepNext w:val="0"/>
        <w:keepLines w:val="0"/>
        <w:pageBreakBefore w:val="0"/>
        <w:overflowPunct/>
        <w:topLinePunct w:val="0"/>
        <w:bidi w:val="0"/>
        <w:spacing w:before="78" w:line="400" w:lineRule="exact"/>
        <w:ind w:left="8" w:right="61" w:firstLine="492"/>
        <w:rPr>
          <w:rFonts w:hint="eastAsia" w:ascii="宋体" w:hAnsi="宋体" w:eastAsia="宋体" w:cs="宋体"/>
          <w:snapToGrid w:val="0"/>
          <w:color w:val="auto"/>
          <w:spacing w:val="-4"/>
          <w:sz w:val="24"/>
          <w:szCs w:val="24"/>
          <w:highlight w:val="none"/>
          <w:lang w:val="en-US" w:eastAsia="zh-CN" w:bidi="ar-SA"/>
        </w:rPr>
      </w:pPr>
      <w:r>
        <w:rPr>
          <w:rFonts w:hint="eastAsia" w:ascii="宋体" w:hAnsi="宋体" w:eastAsia="宋体" w:cs="宋体"/>
          <w:snapToGrid w:val="0"/>
          <w:color w:val="auto"/>
          <w:spacing w:val="-4"/>
          <w:sz w:val="24"/>
          <w:szCs w:val="24"/>
          <w:highlight w:val="none"/>
          <w:lang w:val="en-US" w:eastAsia="zh-CN" w:bidi="ar-SA"/>
        </w:rPr>
        <w:t>（15）投标人认为有必要补充的其他资料。（例如投标人已经工商变更，但其企业资质证书、安全生产许可证或其员工执业资格注册证书上的企业名称未能在投标期间完成变更的书面说明和佐证材料等）</w:t>
      </w:r>
    </w:p>
    <w:p w14:paraId="24149AB2">
      <w:pPr>
        <w:keepNext w:val="0"/>
        <w:keepLines w:val="0"/>
        <w:pageBreakBefore w:val="0"/>
        <w:overflowPunct/>
        <w:topLinePunct w:val="0"/>
        <w:bidi w:val="0"/>
        <w:spacing w:before="155" w:line="400" w:lineRule="exact"/>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rPr>
        <w:t>）项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00D341F8">
      <w:pPr>
        <w:keepNext w:val="0"/>
        <w:keepLines w:val="0"/>
        <w:pageBreakBefore w:val="0"/>
        <w:overflowPunct/>
        <w:topLinePunct w:val="0"/>
        <w:bidi w:val="0"/>
        <w:spacing w:before="199" w:line="400" w:lineRule="exact"/>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5E2DA61">
      <w:pPr>
        <w:keepNext w:val="0"/>
        <w:keepLines w:val="0"/>
        <w:pageBreakBefore w:val="0"/>
        <w:overflowPunct/>
        <w:topLinePunct w:val="0"/>
        <w:bidi w:val="0"/>
        <w:spacing w:before="78" w:line="400" w:lineRule="exact"/>
        <w:ind w:left="496"/>
        <w:outlineLvl w:val="3"/>
        <w:rPr>
          <w:rFonts w:hint="eastAsia" w:ascii="宋体" w:hAnsi="宋体" w:eastAsia="宋体" w:cs="宋体"/>
          <w:b/>
          <w:bCs/>
          <w:color w:val="auto"/>
          <w:sz w:val="24"/>
          <w:szCs w:val="24"/>
          <w:highlight w:val="none"/>
        </w:rPr>
      </w:pPr>
      <w:bookmarkStart w:id="53" w:name="_Toc29370"/>
      <w:bookmarkStart w:id="54" w:name="_Toc10602"/>
      <w:r>
        <w:rPr>
          <w:rFonts w:hint="eastAsia" w:ascii="宋体" w:hAnsi="宋体" w:eastAsia="宋体" w:cs="宋体"/>
          <w:b/>
          <w:bCs/>
          <w:color w:val="auto"/>
          <w:spacing w:val="-2"/>
          <w:sz w:val="24"/>
          <w:szCs w:val="24"/>
          <w:highlight w:val="none"/>
        </w:rPr>
        <w:t>10.3  经济标书的编制要求</w:t>
      </w:r>
      <w:bookmarkEnd w:id="53"/>
      <w:bookmarkEnd w:id="54"/>
    </w:p>
    <w:p w14:paraId="4D7F8054">
      <w:pPr>
        <w:keepNext w:val="0"/>
        <w:keepLines w:val="0"/>
        <w:pageBreakBefore w:val="0"/>
        <w:overflowPunct/>
        <w:topLinePunct w:val="0"/>
        <w:bidi w:val="0"/>
        <w:spacing w:before="154" w:line="40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keepNext w:val="0"/>
        <w:keepLines w:val="0"/>
        <w:pageBreakBefore w:val="0"/>
        <w:overflowPunct/>
        <w:topLinePunct w:val="0"/>
        <w:bidi w:val="0"/>
        <w:spacing w:before="156"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keepNext w:val="0"/>
        <w:keepLines w:val="0"/>
        <w:pageBreakBefore w:val="0"/>
        <w:overflowPunct/>
        <w:topLinePunct w:val="0"/>
        <w:bidi w:val="0"/>
        <w:spacing w:before="153"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keepNext w:val="0"/>
        <w:keepLines w:val="0"/>
        <w:pageBreakBefore w:val="0"/>
        <w:overflowPunct/>
        <w:topLinePunct w:val="0"/>
        <w:bidi w:val="0"/>
        <w:spacing w:before="150"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w:t>
      </w:r>
    </w:p>
    <w:p w14:paraId="19D1E9E0">
      <w:pPr>
        <w:keepNext w:val="0"/>
        <w:keepLines w:val="0"/>
        <w:pageBreakBefore w:val="0"/>
        <w:overflowPunct/>
        <w:topLinePunct w:val="0"/>
        <w:bidi w:val="0"/>
        <w:spacing w:before="157" w:line="400" w:lineRule="exact"/>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keepNext w:val="0"/>
        <w:keepLines w:val="0"/>
        <w:pageBreakBefore w:val="0"/>
        <w:overflowPunct/>
        <w:topLinePunct w:val="0"/>
        <w:bidi w:val="0"/>
        <w:spacing w:before="150" w:line="400" w:lineRule="exact"/>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5A9B40CD">
      <w:pPr>
        <w:keepNext w:val="0"/>
        <w:keepLines w:val="0"/>
        <w:pageBreakBefore w:val="0"/>
        <w:overflowPunct/>
        <w:topLinePunct w:val="0"/>
        <w:bidi w:val="0"/>
        <w:spacing w:before="119" w:line="400" w:lineRule="exact"/>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color w:val="auto"/>
          <w:spacing w:val="2"/>
          <w:sz w:val="24"/>
          <w:szCs w:val="24"/>
          <w:highlight w:val="none"/>
        </w:rPr>
        <w:t>投标人认为有必要补充的其他资料（例如关于投标总价下浮率超过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15%的书</w:t>
      </w:r>
      <w:r>
        <w:rPr>
          <w:rFonts w:hint="eastAsia" w:ascii="宋体" w:hAnsi="宋体" w:eastAsia="宋体" w:cs="宋体"/>
          <w:color w:val="auto"/>
          <w:spacing w:val="-2"/>
          <w:sz w:val="24"/>
          <w:szCs w:val="24"/>
          <w:highlight w:val="none"/>
        </w:rPr>
        <w:t>面说明和佐证材料）。</w:t>
      </w:r>
    </w:p>
    <w:p w14:paraId="2F5BB681">
      <w:pPr>
        <w:keepNext w:val="0"/>
        <w:keepLines w:val="0"/>
        <w:pageBreakBefore w:val="0"/>
        <w:overflowPunct/>
        <w:topLinePunct w:val="0"/>
        <w:bidi w:val="0"/>
        <w:spacing w:before="99" w:line="400" w:lineRule="exact"/>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keepNext w:val="0"/>
        <w:keepLines w:val="0"/>
        <w:pageBreakBefore w:val="0"/>
        <w:overflowPunct/>
        <w:topLinePunct w:val="0"/>
        <w:bidi w:val="0"/>
        <w:spacing w:before="155" w:line="400" w:lineRule="exact"/>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keepNext w:val="0"/>
        <w:keepLines w:val="0"/>
        <w:pageBreakBefore w:val="0"/>
        <w:overflowPunct/>
        <w:topLinePunct w:val="0"/>
        <w:bidi w:val="0"/>
        <w:spacing w:before="82" w:line="400" w:lineRule="exact"/>
        <w:ind w:left="496"/>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3"/>
          <w:sz w:val="24"/>
          <w:szCs w:val="24"/>
          <w:highlight w:val="none"/>
        </w:rPr>
        <w:t>10.4  施工组织设计的编制要求</w:t>
      </w:r>
    </w:p>
    <w:p w14:paraId="768CF899">
      <w:pPr>
        <w:keepNext w:val="0"/>
        <w:keepLines w:val="0"/>
        <w:pageBreakBefore w:val="0"/>
        <w:overflowPunct/>
        <w:topLinePunct w:val="0"/>
        <w:bidi w:val="0"/>
        <w:spacing w:before="151" w:line="40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keepNext w:val="0"/>
        <w:keepLines w:val="0"/>
        <w:pageBreakBefore w:val="0"/>
        <w:overflowPunct/>
        <w:topLinePunct w:val="0"/>
        <w:bidi w:val="0"/>
        <w:spacing w:before="156"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keepNext w:val="0"/>
        <w:keepLines w:val="0"/>
        <w:pageBreakBefore w:val="0"/>
        <w:overflowPunct/>
        <w:topLinePunct w:val="0"/>
        <w:bidi w:val="0"/>
        <w:spacing w:before="155"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keepNext w:val="0"/>
        <w:keepLines w:val="0"/>
        <w:pageBreakBefore w:val="0"/>
        <w:overflowPunct/>
        <w:topLinePunct w:val="0"/>
        <w:bidi w:val="0"/>
        <w:spacing w:before="152"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keepNext w:val="0"/>
        <w:keepLines w:val="0"/>
        <w:pageBreakBefore w:val="0"/>
        <w:overflowPunct/>
        <w:topLinePunct w:val="0"/>
        <w:bidi w:val="0"/>
        <w:spacing w:before="78"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keepNext w:val="0"/>
        <w:keepLines w:val="0"/>
        <w:pageBreakBefore w:val="0"/>
        <w:overflowPunct/>
        <w:topLinePunct w:val="0"/>
        <w:bidi w:val="0"/>
        <w:spacing w:before="153" w:line="400" w:lineRule="exact"/>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keepNext w:val="0"/>
        <w:keepLines w:val="0"/>
        <w:pageBreakBefore w:val="0"/>
        <w:overflowPunct/>
        <w:topLinePunct w:val="0"/>
        <w:bidi w:val="0"/>
        <w:spacing w:before="155"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keepNext w:val="0"/>
        <w:keepLines w:val="0"/>
        <w:pageBreakBefore w:val="0"/>
        <w:overflowPunct/>
        <w:topLinePunct w:val="0"/>
        <w:bidi w:val="0"/>
        <w:spacing w:before="153" w:line="40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keepNext w:val="0"/>
        <w:keepLines w:val="0"/>
        <w:pageBreakBefore w:val="0"/>
        <w:overflowPunct/>
        <w:topLinePunct w:val="0"/>
        <w:bidi w:val="0"/>
        <w:spacing w:before="153"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keepNext w:val="0"/>
        <w:keepLines w:val="0"/>
        <w:pageBreakBefore w:val="0"/>
        <w:overflowPunct/>
        <w:topLinePunct w:val="0"/>
        <w:bidi w:val="0"/>
        <w:spacing w:before="156"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keepNext w:val="0"/>
        <w:keepLines w:val="0"/>
        <w:pageBreakBefore w:val="0"/>
        <w:overflowPunct/>
        <w:topLinePunct w:val="0"/>
        <w:bidi w:val="0"/>
        <w:spacing w:before="150"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keepNext w:val="0"/>
        <w:keepLines w:val="0"/>
        <w:pageBreakBefore w:val="0"/>
        <w:overflowPunct/>
        <w:topLinePunct w:val="0"/>
        <w:bidi w:val="0"/>
        <w:spacing w:before="154" w:line="400" w:lineRule="exact"/>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keepNext w:val="0"/>
        <w:keepLines w:val="0"/>
        <w:pageBreakBefore w:val="0"/>
        <w:overflowPunct/>
        <w:topLinePunct w:val="0"/>
        <w:bidi w:val="0"/>
        <w:spacing w:before="153"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keepNext w:val="0"/>
        <w:keepLines w:val="0"/>
        <w:pageBreakBefore w:val="0"/>
        <w:overflowPunct/>
        <w:topLinePunct w:val="0"/>
        <w:bidi w:val="0"/>
        <w:spacing w:before="156" w:line="400" w:lineRule="exact"/>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keepNext w:val="0"/>
        <w:keepLines w:val="0"/>
        <w:pageBreakBefore w:val="0"/>
        <w:overflowPunct/>
        <w:topLinePunct w:val="0"/>
        <w:bidi w:val="0"/>
        <w:spacing w:before="118" w:line="400" w:lineRule="exact"/>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keepNext w:val="0"/>
        <w:keepLines w:val="0"/>
        <w:pageBreakBefore w:val="0"/>
        <w:overflowPunct/>
        <w:topLinePunct w:val="0"/>
        <w:bidi w:val="0"/>
        <w:spacing w:before="118" w:line="400" w:lineRule="exact"/>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5"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5"/>
      <w:r>
        <w:rPr>
          <w:rFonts w:hint="eastAsia" w:ascii="宋体" w:hAnsi="宋体" w:eastAsia="宋体" w:cs="宋体"/>
          <w:color w:val="auto"/>
          <w:spacing w:val="9"/>
          <w:sz w:val="24"/>
          <w:szCs w:val="24"/>
          <w:highlight w:val="none"/>
        </w:rPr>
        <w:t>）；</w:t>
      </w:r>
    </w:p>
    <w:p w14:paraId="5E69FD0B">
      <w:pPr>
        <w:keepNext w:val="0"/>
        <w:keepLines w:val="0"/>
        <w:pageBreakBefore w:val="0"/>
        <w:overflowPunct/>
        <w:topLinePunct w:val="0"/>
        <w:bidi w:val="0"/>
        <w:spacing w:before="155" w:line="400" w:lineRule="exact"/>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keepNext w:val="0"/>
        <w:keepLines w:val="0"/>
        <w:pageBreakBefore w:val="0"/>
        <w:overflowPunct/>
        <w:topLinePunct w:val="0"/>
        <w:bidi w:val="0"/>
        <w:spacing w:before="154" w:line="400" w:lineRule="exact"/>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keepNext w:val="0"/>
        <w:keepLines w:val="0"/>
        <w:pageBreakBefore w:val="0"/>
        <w:overflowPunct/>
        <w:topLinePunct w:val="0"/>
        <w:bidi w:val="0"/>
        <w:spacing w:before="152" w:line="400" w:lineRule="exact"/>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keepNext w:val="0"/>
        <w:keepLines w:val="0"/>
        <w:pageBreakBefore w:val="0"/>
        <w:overflowPunct/>
        <w:topLinePunct w:val="0"/>
        <w:bidi w:val="0"/>
        <w:spacing w:before="157" w:line="400" w:lineRule="exact"/>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keepNext w:val="0"/>
        <w:keepLines w:val="0"/>
        <w:pageBreakBefore w:val="0"/>
        <w:overflowPunct/>
        <w:topLinePunct w:val="0"/>
        <w:bidi w:val="0"/>
        <w:spacing w:line="400" w:lineRule="exact"/>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6"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w:t>
      </w:r>
      <w:r>
        <w:rPr>
          <w:rFonts w:hint="eastAsia" w:ascii="宋体" w:hAnsi="宋体" w:eastAsia="宋体" w:cs="宋体"/>
          <w:color w:val="auto"/>
          <w:spacing w:val="-1"/>
          <w:sz w:val="24"/>
          <w:szCs w:val="24"/>
          <w:highlight w:val="none"/>
          <w:lang w:val="en-US" w:eastAsia="zh-CN"/>
        </w:rPr>
        <w:t>建议</w:t>
      </w:r>
      <w:r>
        <w:rPr>
          <w:rFonts w:hint="eastAsia" w:ascii="宋体" w:hAnsi="宋体" w:eastAsia="宋体" w:cs="宋体"/>
          <w:color w:val="auto"/>
          <w:spacing w:val="-1"/>
          <w:sz w:val="24"/>
          <w:szCs w:val="24"/>
          <w:highlight w:val="none"/>
        </w:rPr>
        <w:t>不超过</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6"/>
      <w:bookmarkStart w:id="57" w:name="bookmark121"/>
      <w:bookmarkEnd w:id="57"/>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8"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包括以下内容（定标文件只适用于定标阶段提交给定标委员会查阅，评标委员会评标时不采用定标文件评审）：</w:t>
      </w:r>
    </w:p>
    <w:p w14:paraId="6FD4CA21">
      <w:pPr>
        <w:keepNext w:val="0"/>
        <w:keepLines w:val="0"/>
        <w:pageBreakBefore w:val="0"/>
        <w:widowControl w:val="0"/>
        <w:numPr>
          <w:ilvl w:val="0"/>
          <w:numId w:val="0"/>
        </w:numPr>
        <w:kinsoku/>
        <w:wordWrap w:val="0"/>
        <w:overflowPunct/>
        <w:topLinePunct w:val="0"/>
        <w:autoSpaceDE/>
        <w:autoSpaceDN/>
        <w:bidi w:val="0"/>
        <w:adjustRightInd/>
        <w:snapToGrid/>
        <w:spacing w:line="400" w:lineRule="exact"/>
        <w:ind w:left="425" w:leftChars="0" w:hanging="5" w:firstLineChars="0"/>
        <w:textAlignment w:val="baseline"/>
        <w:rPr>
          <w:rFonts w:hint="eastAsia" w:ascii="宋体" w:hAnsi="宋体" w:eastAsia="宋体" w:cs="宋体"/>
          <w:snapToGrid w:val="0"/>
          <w:color w:val="auto"/>
          <w:kern w:val="0"/>
          <w:sz w:val="24"/>
          <w:szCs w:val="24"/>
          <w:highlight w:val="none"/>
          <w:lang w:val="en-US" w:eastAsia="zh-CN"/>
        </w:rPr>
      </w:pPr>
      <w:r>
        <w:rPr>
          <w:rFonts w:hint="default"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highlight w:val="none"/>
          <w:lang w:val="en-US" w:eastAsia="zh-CN"/>
        </w:rPr>
        <w:t>封面（格式十六）</w:t>
      </w:r>
    </w:p>
    <w:p w14:paraId="69EAE994">
      <w:pPr>
        <w:keepNext w:val="0"/>
        <w:keepLines w:val="0"/>
        <w:pageBreakBefore w:val="0"/>
        <w:widowControl w:val="0"/>
        <w:numPr>
          <w:ilvl w:val="0"/>
          <w:numId w:val="0"/>
        </w:numPr>
        <w:kinsoku/>
        <w:wordWrap w:val="0"/>
        <w:overflowPunct/>
        <w:topLinePunct w:val="0"/>
        <w:autoSpaceDE/>
        <w:autoSpaceDN/>
        <w:bidi w:val="0"/>
        <w:adjustRightInd/>
        <w:snapToGrid/>
        <w:spacing w:line="400" w:lineRule="exact"/>
        <w:ind w:left="425" w:leftChars="0" w:hanging="5" w:firstLineChars="0"/>
        <w:textAlignment w:val="baseline"/>
        <w:rPr>
          <w:rFonts w:hint="default" w:ascii="宋体" w:hAnsi="宋体" w:eastAsia="宋体" w:cs="宋体"/>
          <w:snapToGrid w:val="0"/>
          <w:color w:val="auto"/>
          <w:kern w:val="0"/>
          <w:sz w:val="24"/>
          <w:szCs w:val="24"/>
          <w:highlight w:val="none"/>
          <w:lang w:val="en-US" w:eastAsia="zh-CN"/>
        </w:rPr>
      </w:pPr>
      <w:r>
        <w:rPr>
          <w:rFonts w:hint="default" w:ascii="宋体" w:hAnsi="宋体" w:eastAsia="宋体" w:cs="宋体"/>
          <w:snapToGrid w:val="0"/>
          <w:color w:val="auto"/>
          <w:kern w:val="0"/>
          <w:sz w:val="24"/>
          <w:szCs w:val="24"/>
          <w:lang w:val="en-US" w:eastAsia="zh-CN" w:bidi="ar-SA"/>
        </w:rPr>
        <w:t>(2)</w:t>
      </w:r>
      <w:r>
        <w:rPr>
          <w:rFonts w:hint="default" w:ascii="宋体" w:hAnsi="宋体" w:eastAsia="宋体" w:cs="宋体"/>
          <w:snapToGrid w:val="0"/>
          <w:color w:val="auto"/>
          <w:kern w:val="0"/>
          <w:sz w:val="24"/>
          <w:szCs w:val="24"/>
          <w:highlight w:val="none"/>
          <w:lang w:val="en-US" w:eastAsia="zh-CN"/>
        </w:rPr>
        <w:t>目录；</w:t>
      </w:r>
    </w:p>
    <w:p w14:paraId="78BAC76A">
      <w:pPr>
        <w:keepNext w:val="0"/>
        <w:keepLines w:val="0"/>
        <w:pageBreakBefore w:val="0"/>
        <w:widowControl w:val="0"/>
        <w:numPr>
          <w:ilvl w:val="0"/>
          <w:numId w:val="0"/>
        </w:numPr>
        <w:kinsoku/>
        <w:wordWrap w:val="0"/>
        <w:overflowPunct/>
        <w:topLinePunct w:val="0"/>
        <w:autoSpaceDE/>
        <w:autoSpaceDN/>
        <w:bidi w:val="0"/>
        <w:adjustRightInd/>
        <w:snapToGrid/>
        <w:spacing w:line="400" w:lineRule="exact"/>
        <w:ind w:left="425" w:leftChars="0" w:hanging="5" w:firstLineChars="0"/>
        <w:textAlignment w:val="baseline"/>
        <w:rPr>
          <w:rFonts w:hint="eastAsia" w:ascii="宋体" w:hAnsi="宋体" w:eastAsia="宋体" w:cs="宋体"/>
          <w:snapToGrid w:val="0"/>
          <w:color w:val="auto"/>
          <w:kern w:val="0"/>
          <w:sz w:val="24"/>
          <w:szCs w:val="24"/>
          <w:highlight w:val="none"/>
        </w:rPr>
      </w:pPr>
      <w:r>
        <w:rPr>
          <w:rFonts w:hint="default" w:ascii="宋体" w:hAnsi="宋体" w:eastAsia="宋体" w:cs="宋体"/>
          <w:snapToGrid w:val="0"/>
          <w:color w:val="auto"/>
          <w:kern w:val="0"/>
          <w:sz w:val="24"/>
          <w:szCs w:val="24"/>
          <w:lang w:val="en-US" w:eastAsia="en-US" w:bidi="ar-SA"/>
        </w:rPr>
        <w:t>(3)</w:t>
      </w:r>
      <w:r>
        <w:rPr>
          <w:rFonts w:hint="eastAsia" w:ascii="宋体" w:hAnsi="宋体" w:eastAsia="宋体" w:cs="宋体"/>
          <w:snapToGrid w:val="0"/>
          <w:color w:val="auto"/>
          <w:kern w:val="0"/>
          <w:sz w:val="24"/>
          <w:szCs w:val="24"/>
          <w:highlight w:val="none"/>
          <w:lang w:val="en-US" w:eastAsia="zh-CN"/>
        </w:rPr>
        <w:t>定标因素评审资料（格式十七）</w:t>
      </w:r>
    </w:p>
    <w:bookmarkEnd w:id="58"/>
    <w:p w14:paraId="04D2EA6D">
      <w:pPr>
        <w:keepNext w:val="0"/>
        <w:keepLines w:val="0"/>
        <w:pageBreakBefore w:val="0"/>
        <w:widowControl w:val="0"/>
        <w:numPr>
          <w:ilvl w:val="0"/>
          <w:numId w:val="0"/>
        </w:numPr>
        <w:kinsoku/>
        <w:wordWrap w:val="0"/>
        <w:overflowPunct/>
        <w:topLinePunct w:val="0"/>
        <w:autoSpaceDE/>
        <w:autoSpaceDN/>
        <w:bidi w:val="0"/>
        <w:adjustRightInd/>
        <w:snapToGrid/>
        <w:spacing w:line="400" w:lineRule="exact"/>
        <w:ind w:left="425" w:leftChars="0" w:hanging="5" w:firstLineChars="0"/>
        <w:textAlignment w:val="baseline"/>
        <w:rPr>
          <w:rFonts w:hint="eastAsia" w:ascii="宋体" w:hAnsi="宋体" w:eastAsia="宋体" w:cs="宋体"/>
          <w:b/>
          <w:bCs/>
          <w:snapToGrid w:val="0"/>
          <w:color w:val="auto"/>
          <w:kern w:val="0"/>
          <w:sz w:val="24"/>
          <w:szCs w:val="24"/>
          <w:highlight w:val="none"/>
          <w:lang w:val="en-US" w:eastAsia="zh-CN"/>
        </w:rPr>
      </w:pPr>
      <w:bookmarkStart w:id="59" w:name="_Toc21936"/>
      <w:r>
        <w:rPr>
          <w:rFonts w:hint="eastAsia" w:ascii="宋体" w:hAnsi="宋体" w:eastAsia="宋体" w:cs="宋体"/>
          <w:b/>
          <w:bCs/>
          <w:snapToGrid w:val="0"/>
          <w:color w:val="auto"/>
          <w:kern w:val="0"/>
          <w:sz w:val="24"/>
          <w:szCs w:val="24"/>
          <w:highlight w:val="none"/>
          <w:lang w:val="en-US" w:eastAsia="zh-CN"/>
        </w:rPr>
        <w:t>注：第10.5的定标文件按照本章节第16.5定标因素所列提供，其中第16.5.6无需提供，其余所有投标人均应提供。</w:t>
      </w:r>
    </w:p>
    <w:p w14:paraId="02DC3960">
      <w:pPr>
        <w:keepNext w:val="0"/>
        <w:keepLines w:val="0"/>
        <w:pageBreakBefore w:val="0"/>
        <w:overflowPunct/>
        <w:topLinePunct w:val="0"/>
        <w:bidi w:val="0"/>
        <w:spacing w:before="78" w:line="400" w:lineRule="exact"/>
        <w:ind w:left="496"/>
        <w:outlineLvl w:val="2"/>
        <w:rPr>
          <w:rFonts w:hint="eastAsia" w:ascii="宋体" w:hAnsi="宋体" w:eastAsia="宋体" w:cs="宋体"/>
          <w:color w:val="auto"/>
          <w:sz w:val="24"/>
          <w:szCs w:val="24"/>
          <w:highlight w:val="none"/>
        </w:rPr>
      </w:pPr>
      <w:bookmarkStart w:id="60" w:name="_Toc7085"/>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9"/>
      <w:bookmarkEnd w:id="60"/>
    </w:p>
    <w:p w14:paraId="3D405C38">
      <w:pPr>
        <w:keepNext w:val="0"/>
        <w:keepLines w:val="0"/>
        <w:pageBreakBefore w:val="0"/>
        <w:overflowPunct/>
        <w:topLinePunct w:val="0"/>
        <w:bidi w:val="0"/>
        <w:spacing w:before="112" w:line="400" w:lineRule="exact"/>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keepNext w:val="0"/>
        <w:keepLines w:val="0"/>
        <w:pageBreakBefore w:val="0"/>
        <w:overflowPunct/>
        <w:topLinePunct w:val="0"/>
        <w:bidi w:val="0"/>
        <w:spacing w:before="115" w:line="400" w:lineRule="exact"/>
        <w:ind w:left="10" w:right="81"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keepNext w:val="0"/>
        <w:keepLines w:val="0"/>
        <w:pageBreakBefore w:val="0"/>
        <w:numPr>
          <w:ilvl w:val="0"/>
          <w:numId w:val="0"/>
        </w:numPr>
        <w:overflowPunct/>
        <w:topLinePunct w:val="0"/>
        <w:bidi w:val="0"/>
        <w:spacing w:before="78" w:line="400" w:lineRule="exact"/>
        <w:ind w:firstLine="446" w:firstLineChars="200"/>
        <w:outlineLvl w:val="2"/>
        <w:rPr>
          <w:rFonts w:hint="eastAsia" w:ascii="宋体" w:hAnsi="宋体" w:eastAsia="宋体" w:cs="宋体"/>
          <w:b/>
          <w:bCs/>
          <w:color w:val="auto"/>
          <w:spacing w:val="-4"/>
          <w:sz w:val="24"/>
          <w:szCs w:val="24"/>
          <w:highlight w:val="none"/>
        </w:rPr>
      </w:pPr>
      <w:bookmarkStart w:id="61" w:name="_Toc3674"/>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62" w:name="_Toc29834"/>
      <w:r>
        <w:rPr>
          <w:rFonts w:hint="eastAsia" w:ascii="宋体" w:hAnsi="宋体" w:eastAsia="宋体" w:cs="宋体"/>
          <w:b/>
          <w:bCs/>
          <w:color w:val="auto"/>
          <w:spacing w:val="-4"/>
          <w:sz w:val="24"/>
          <w:szCs w:val="24"/>
          <w:highlight w:val="none"/>
        </w:rPr>
        <w:t>电子投标及投标解密失败及突发情况的补救方案</w:t>
      </w:r>
      <w:bookmarkEnd w:id="61"/>
      <w:bookmarkEnd w:id="62"/>
    </w:p>
    <w:p w14:paraId="6462F20A">
      <w:pPr>
        <w:keepNext w:val="0"/>
        <w:keepLines w:val="0"/>
        <w:pageBreakBefore w:val="0"/>
        <w:widowControl/>
        <w:kinsoku w:val="0"/>
        <w:wordWrap/>
        <w:overflowPunct/>
        <w:topLinePunct w:val="0"/>
        <w:autoSpaceDE w:val="0"/>
        <w:autoSpaceDN w:val="0"/>
        <w:bidi w:val="0"/>
        <w:adjustRightInd w:val="0"/>
        <w:snapToGrid w:val="0"/>
        <w:spacing w:before="78" w:line="400" w:lineRule="exact"/>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pacing w:val="-1"/>
          <w:sz w:val="24"/>
          <w:szCs w:val="24"/>
          <w:highlight w:val="none"/>
        </w:rPr>
        <w:t>0200/index）服务指南栏目发布的最新版操作指引。</w:t>
      </w:r>
    </w:p>
    <w:p w14:paraId="5443024B">
      <w:pPr>
        <w:keepNext w:val="0"/>
        <w:keepLines w:val="0"/>
        <w:pageBreakBefore w:val="0"/>
        <w:overflowPunct/>
        <w:topLinePunct w:val="0"/>
        <w:bidi w:val="0"/>
        <w:spacing w:before="113" w:line="40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keepNext w:val="0"/>
        <w:keepLines w:val="0"/>
        <w:pageBreakBefore w:val="0"/>
        <w:overflowPunct/>
        <w:topLinePunct w:val="0"/>
        <w:bidi w:val="0"/>
        <w:spacing w:before="115" w:line="40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keepNext w:val="0"/>
        <w:keepLines w:val="0"/>
        <w:pageBreakBefore w:val="0"/>
        <w:overflowPunct/>
        <w:topLinePunct w:val="0"/>
        <w:bidi w:val="0"/>
        <w:spacing w:before="115" w:line="400" w:lineRule="exact"/>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63" w:name="bookmark122"/>
      <w:bookmarkEnd w:id="63"/>
      <w:r>
        <w:rPr>
          <w:rFonts w:hint="eastAsia" w:ascii="宋体" w:hAnsi="宋体" w:eastAsia="宋体" w:cs="宋体"/>
          <w:color w:val="auto"/>
          <w:spacing w:val="-1"/>
          <w:sz w:val="24"/>
          <w:szCs w:val="24"/>
          <w:highlight w:val="none"/>
        </w:rPr>
        <w:t>重新提交投标文件继续开标程序。</w:t>
      </w:r>
    </w:p>
    <w:p w14:paraId="6A128606">
      <w:pPr>
        <w:keepNext w:val="0"/>
        <w:keepLines w:val="0"/>
        <w:pageBreakBefore w:val="0"/>
        <w:overflowPunct/>
        <w:topLinePunct w:val="0"/>
        <w:bidi w:val="0"/>
        <w:spacing w:before="114" w:line="40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keepNext w:val="0"/>
        <w:keepLines w:val="0"/>
        <w:pageBreakBefore w:val="0"/>
        <w:overflowPunct/>
        <w:topLinePunct w:val="0"/>
        <w:bidi w:val="0"/>
        <w:spacing w:before="114" w:line="400" w:lineRule="exact"/>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keepNext w:val="0"/>
        <w:keepLines w:val="0"/>
        <w:pageBreakBefore w:val="0"/>
        <w:overflowPunct/>
        <w:topLinePunct w:val="0"/>
        <w:bidi w:val="0"/>
        <w:spacing w:before="69" w:line="400" w:lineRule="exact"/>
        <w:ind w:left="11" w:right="81"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keepNext w:val="0"/>
        <w:keepLines w:val="0"/>
        <w:pageBreakBefore w:val="0"/>
        <w:overflowPunct/>
        <w:topLinePunct w:val="0"/>
        <w:bidi w:val="0"/>
        <w:spacing w:before="78" w:line="400" w:lineRule="exact"/>
        <w:ind w:left="496"/>
        <w:outlineLvl w:val="2"/>
        <w:rPr>
          <w:rFonts w:hint="eastAsia" w:ascii="宋体" w:hAnsi="宋体" w:eastAsia="宋体" w:cs="宋体"/>
          <w:color w:val="auto"/>
          <w:sz w:val="24"/>
          <w:szCs w:val="24"/>
          <w:highlight w:val="none"/>
        </w:rPr>
      </w:pPr>
      <w:bookmarkStart w:id="64" w:name="_Toc27195"/>
      <w:bookmarkStart w:id="65" w:name="_Toc25717"/>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4"/>
      <w:bookmarkEnd w:id="65"/>
    </w:p>
    <w:p w14:paraId="63ACB3FA">
      <w:pPr>
        <w:keepNext w:val="0"/>
        <w:keepLines w:val="0"/>
        <w:pageBreakBefore w:val="0"/>
        <w:overflowPunct/>
        <w:topLinePunct w:val="0"/>
        <w:bidi w:val="0"/>
        <w:spacing w:before="123" w:line="400" w:lineRule="exact"/>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keepNext w:val="0"/>
        <w:keepLines w:val="0"/>
        <w:pageBreakBefore w:val="0"/>
        <w:overflowPunct/>
        <w:topLinePunct w:val="0"/>
        <w:bidi w:val="0"/>
        <w:spacing w:before="115" w:line="40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keepNext w:val="0"/>
        <w:keepLines w:val="0"/>
        <w:pageBreakBefore w:val="0"/>
        <w:overflowPunct/>
        <w:topLinePunct w:val="0"/>
        <w:bidi w:val="0"/>
        <w:spacing w:before="113" w:line="400" w:lineRule="exact"/>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keepNext w:val="0"/>
        <w:keepLines w:val="0"/>
        <w:pageBreakBefore w:val="0"/>
        <w:overflowPunct/>
        <w:topLinePunct w:val="0"/>
        <w:bidi w:val="0"/>
        <w:spacing w:before="112" w:line="400" w:lineRule="exact"/>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keepNext w:val="0"/>
        <w:keepLines w:val="0"/>
        <w:pageBreakBefore w:val="0"/>
        <w:overflowPunct/>
        <w:topLinePunct w:val="0"/>
        <w:bidi w:val="0"/>
        <w:spacing w:before="116" w:line="40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keepNext w:val="0"/>
        <w:keepLines w:val="0"/>
        <w:pageBreakBefore w:val="0"/>
        <w:overflowPunct/>
        <w:topLinePunct w:val="0"/>
        <w:bidi w:val="0"/>
        <w:spacing w:before="115" w:line="400" w:lineRule="exact"/>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keepNext w:val="0"/>
        <w:keepLines w:val="0"/>
        <w:pageBreakBefore w:val="0"/>
        <w:overflowPunct/>
        <w:topLinePunct w:val="0"/>
        <w:bidi w:val="0"/>
        <w:spacing w:before="114" w:line="400" w:lineRule="exact"/>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keepNext w:val="0"/>
        <w:keepLines w:val="0"/>
        <w:pageBreakBefore w:val="0"/>
        <w:overflowPunct/>
        <w:topLinePunct w:val="0"/>
        <w:bidi w:val="0"/>
        <w:spacing w:before="115" w:line="400" w:lineRule="exact"/>
        <w:ind w:left="741"/>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8209DF5">
      <w:pPr>
        <w:keepNext w:val="0"/>
        <w:keepLines w:val="0"/>
        <w:pageBreakBefore w:val="0"/>
        <w:overflowPunct/>
        <w:topLinePunct w:val="0"/>
        <w:bidi w:val="0"/>
        <w:spacing w:before="116" w:line="400" w:lineRule="exact"/>
        <w:ind w:left="496"/>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en-US"/>
        </w:rPr>
        <w:t>13.6</w:t>
      </w:r>
      <w:r>
        <w:rPr>
          <w:rFonts w:hint="eastAsia" w:ascii="宋体" w:hAnsi="宋体" w:eastAsia="宋体" w:cs="宋体"/>
          <w:color w:val="auto"/>
          <w:spacing w:val="-1"/>
          <w:sz w:val="24"/>
          <w:szCs w:val="24"/>
          <w:highlight w:val="none"/>
          <w:lang w:val="en-US" w:eastAsia="en-US"/>
        </w:rPr>
        <w:t xml:space="preserve"> 联合体投标的，由联合体牵头人按以上要求递交相关资料。</w:t>
      </w:r>
    </w:p>
    <w:p w14:paraId="3A0B8A8C">
      <w:pPr>
        <w:keepNext w:val="0"/>
        <w:keepLines w:val="0"/>
        <w:pageBreakBefore w:val="0"/>
        <w:overflowPunct/>
        <w:topLinePunct w:val="0"/>
        <w:bidi w:val="0"/>
        <w:spacing w:before="116" w:line="400" w:lineRule="exact"/>
        <w:ind w:left="49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1"/>
          <w:sz w:val="24"/>
          <w:szCs w:val="24"/>
          <w:highlight w:val="none"/>
        </w:rPr>
        <w:t>13.</w:t>
      </w:r>
      <w:r>
        <w:rPr>
          <w:rFonts w:hint="eastAsia" w:ascii="宋体" w:hAnsi="宋体" w:eastAsia="宋体" w:cs="宋体"/>
          <w:b/>
          <w:bCs/>
          <w:color w:val="auto"/>
          <w:spacing w:val="-1"/>
          <w:sz w:val="24"/>
          <w:szCs w:val="24"/>
          <w:highlight w:val="none"/>
          <w:lang w:val="en-US" w:eastAsia="zh-CN"/>
        </w:rPr>
        <w:t>7</w:t>
      </w:r>
      <w:r>
        <w:rPr>
          <w:rFonts w:hint="eastAsia" w:ascii="宋体" w:hAnsi="宋体" w:eastAsia="宋体" w:cs="宋体"/>
          <w:color w:val="auto"/>
          <w:spacing w:val="-1"/>
          <w:sz w:val="24"/>
          <w:szCs w:val="24"/>
          <w:highlight w:val="none"/>
        </w:rPr>
        <w:t xml:space="preserve">  招标人或其授权的招标代理机构核对、接收投标人递交的投标相关资料后，应向投标人出具标明签收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keepNext w:val="0"/>
        <w:keepLines w:val="0"/>
        <w:pageBreakBefore w:val="0"/>
        <w:overflowPunct/>
        <w:topLinePunct w:val="0"/>
        <w:bidi w:val="0"/>
        <w:spacing w:before="113" w:line="400" w:lineRule="exact"/>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13.</w:t>
      </w:r>
      <w:r>
        <w:rPr>
          <w:rFonts w:hint="eastAsia" w:ascii="宋体" w:hAnsi="宋体" w:eastAsia="宋体" w:cs="宋体"/>
          <w:b/>
          <w:bCs/>
          <w:color w:val="auto"/>
          <w:spacing w:val="-2"/>
          <w:sz w:val="24"/>
          <w:szCs w:val="24"/>
          <w:highlight w:val="none"/>
          <w:lang w:val="en-US" w:eastAsia="zh-CN"/>
        </w:rPr>
        <w:t>8</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keepNext w:val="0"/>
        <w:keepLines w:val="0"/>
        <w:pageBreakBefore w:val="0"/>
        <w:overflowPunct/>
        <w:topLinePunct w:val="0"/>
        <w:bidi w:val="0"/>
        <w:spacing w:before="145" w:line="400" w:lineRule="exact"/>
        <w:ind w:left="496"/>
        <w:outlineLvl w:val="2"/>
        <w:rPr>
          <w:rFonts w:hint="eastAsia" w:ascii="宋体" w:hAnsi="宋体" w:eastAsia="宋体" w:cs="宋体"/>
          <w:color w:val="auto"/>
          <w:sz w:val="24"/>
          <w:szCs w:val="24"/>
          <w:highlight w:val="none"/>
        </w:rPr>
      </w:pPr>
      <w:bookmarkStart w:id="66" w:name="_Toc22047"/>
      <w:bookmarkStart w:id="67" w:name="_Toc28525"/>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6"/>
      <w:bookmarkEnd w:id="67"/>
    </w:p>
    <w:p w14:paraId="792BE085">
      <w:pPr>
        <w:keepNext w:val="0"/>
        <w:keepLines w:val="0"/>
        <w:pageBreakBefore w:val="0"/>
        <w:overflowPunct/>
        <w:topLinePunct w:val="0"/>
        <w:bidi w:val="0"/>
        <w:spacing w:before="155" w:line="400" w:lineRule="exact"/>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8" w:name="bookmark123"/>
      <w:bookmarkEnd w:id="68"/>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keepNext w:val="0"/>
        <w:keepLines w:val="0"/>
        <w:pageBreakBefore w:val="0"/>
        <w:overflowPunct/>
        <w:topLinePunct w:val="0"/>
        <w:bidi w:val="0"/>
        <w:spacing w:before="156" w:line="40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400" w:lineRule="exact"/>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keepNext w:val="0"/>
        <w:keepLines w:val="0"/>
        <w:pageBreakBefore w:val="0"/>
        <w:overflowPunct/>
        <w:topLinePunct w:val="0"/>
        <w:bidi w:val="0"/>
        <w:spacing w:before="159" w:line="400" w:lineRule="exact"/>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keepNext w:val="0"/>
        <w:keepLines w:val="0"/>
        <w:pageBreakBefore w:val="0"/>
        <w:overflowPunct/>
        <w:topLinePunct w:val="0"/>
        <w:bidi w:val="0"/>
        <w:spacing w:before="152" w:line="40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keepNext w:val="0"/>
        <w:keepLines w:val="0"/>
        <w:pageBreakBefore w:val="0"/>
        <w:overflowPunct/>
        <w:topLinePunct w:val="0"/>
        <w:bidi w:val="0"/>
        <w:spacing w:before="42" w:line="400" w:lineRule="exact"/>
        <w:ind w:left="501"/>
        <w:outlineLvl w:val="9"/>
        <w:rPr>
          <w:rFonts w:hint="eastAsia" w:ascii="宋体" w:hAnsi="宋体" w:eastAsia="宋体" w:cs="宋体"/>
          <w:color w:val="auto"/>
          <w:sz w:val="24"/>
          <w:szCs w:val="24"/>
          <w:highlight w:val="none"/>
        </w:rPr>
      </w:pPr>
      <w:bookmarkStart w:id="69" w:name="_Toc10291"/>
      <w:bookmarkStart w:id="70" w:name="_Toc10685"/>
      <w:bookmarkStart w:id="71" w:name="_Toc15587"/>
      <w:bookmarkStart w:id="72" w:name="_Toc8314"/>
      <w:r>
        <w:rPr>
          <w:rFonts w:hint="eastAsia" w:ascii="宋体" w:hAnsi="宋体" w:eastAsia="宋体" w:cs="宋体"/>
          <w:color w:val="auto"/>
          <w:spacing w:val="-1"/>
          <w:sz w:val="24"/>
          <w:szCs w:val="24"/>
          <w:highlight w:val="none"/>
        </w:rPr>
        <w:t>（1）主持人（招标人代表或招标人授权的招标代理机构人员）宣读开标纪律。</w:t>
      </w:r>
      <w:bookmarkEnd w:id="69"/>
      <w:bookmarkEnd w:id="70"/>
      <w:bookmarkEnd w:id="71"/>
      <w:bookmarkEnd w:id="72"/>
    </w:p>
    <w:p w14:paraId="5EAC246A">
      <w:pPr>
        <w:keepNext w:val="0"/>
        <w:keepLines w:val="0"/>
        <w:pageBreakBefore w:val="0"/>
        <w:overflowPunct/>
        <w:topLinePunct w:val="0"/>
        <w:bidi w:val="0"/>
        <w:spacing w:before="181" w:line="400" w:lineRule="exact"/>
        <w:ind w:left="501"/>
        <w:outlineLvl w:val="9"/>
        <w:rPr>
          <w:rFonts w:hint="eastAsia" w:ascii="宋体" w:hAnsi="宋体" w:eastAsia="宋体" w:cs="宋体"/>
          <w:color w:val="auto"/>
          <w:sz w:val="24"/>
          <w:szCs w:val="24"/>
          <w:highlight w:val="none"/>
        </w:rPr>
      </w:pPr>
      <w:bookmarkStart w:id="73" w:name="_Toc2011"/>
      <w:bookmarkStart w:id="74" w:name="_Toc16292"/>
      <w:bookmarkStart w:id="75" w:name="_Toc30853"/>
      <w:bookmarkStart w:id="76" w:name="_Toc20238"/>
      <w:r>
        <w:rPr>
          <w:rFonts w:hint="eastAsia" w:ascii="宋体" w:hAnsi="宋体" w:eastAsia="宋体" w:cs="宋体"/>
          <w:color w:val="auto"/>
          <w:spacing w:val="-1"/>
          <w:sz w:val="24"/>
          <w:szCs w:val="24"/>
          <w:highlight w:val="none"/>
        </w:rPr>
        <w:t>（2）主持人宣布唱标人、记录人、见证人、监督人等有关人员姓名。</w:t>
      </w:r>
      <w:bookmarkEnd w:id="73"/>
      <w:bookmarkEnd w:id="74"/>
      <w:bookmarkEnd w:id="75"/>
      <w:bookmarkEnd w:id="76"/>
    </w:p>
    <w:p w14:paraId="7443DF73">
      <w:pPr>
        <w:keepNext w:val="0"/>
        <w:keepLines w:val="0"/>
        <w:pageBreakBefore w:val="0"/>
        <w:overflowPunct/>
        <w:topLinePunct w:val="0"/>
        <w:bidi w:val="0"/>
        <w:spacing w:before="183" w:line="400" w:lineRule="exact"/>
        <w:ind w:left="501"/>
        <w:outlineLvl w:val="9"/>
        <w:rPr>
          <w:rFonts w:hint="eastAsia" w:ascii="宋体" w:hAnsi="宋体" w:eastAsia="宋体" w:cs="宋体"/>
          <w:color w:val="auto"/>
          <w:sz w:val="24"/>
          <w:szCs w:val="24"/>
          <w:highlight w:val="none"/>
        </w:rPr>
      </w:pPr>
      <w:bookmarkStart w:id="77" w:name="_Toc31716"/>
      <w:bookmarkStart w:id="78" w:name="_Toc26494"/>
      <w:bookmarkStart w:id="79" w:name="_Toc1974"/>
      <w:bookmarkStart w:id="80" w:name="_Toc17462"/>
      <w:r>
        <w:rPr>
          <w:rFonts w:hint="eastAsia" w:ascii="宋体" w:hAnsi="宋体" w:eastAsia="宋体" w:cs="宋体"/>
          <w:color w:val="auto"/>
          <w:spacing w:val="-1"/>
          <w:sz w:val="24"/>
          <w:szCs w:val="24"/>
          <w:highlight w:val="none"/>
        </w:rPr>
        <w:t>（3）唱标人公布在投标截止时间前进行投标文件的投标人数量和名称</w:t>
      </w:r>
      <w:bookmarkEnd w:id="77"/>
      <w:bookmarkEnd w:id="78"/>
      <w:bookmarkEnd w:id="79"/>
      <w:bookmarkEnd w:id="80"/>
    </w:p>
    <w:p w14:paraId="2BAFEA97">
      <w:pPr>
        <w:keepNext w:val="0"/>
        <w:keepLines w:val="0"/>
        <w:pageBreakBefore w:val="0"/>
        <w:overflowPunct/>
        <w:topLinePunct w:val="0"/>
        <w:bidi w:val="0"/>
        <w:spacing w:before="181" w:line="400" w:lineRule="exact"/>
        <w:ind w:left="501"/>
        <w:outlineLvl w:val="9"/>
        <w:rPr>
          <w:rFonts w:hint="eastAsia" w:ascii="宋体" w:hAnsi="宋体" w:eastAsia="宋体" w:cs="宋体"/>
          <w:color w:val="auto"/>
          <w:sz w:val="24"/>
          <w:szCs w:val="24"/>
          <w:highlight w:val="none"/>
        </w:rPr>
      </w:pPr>
      <w:bookmarkStart w:id="81" w:name="_Toc8179"/>
      <w:bookmarkStart w:id="82" w:name="_Toc15860"/>
      <w:bookmarkStart w:id="83" w:name="_Toc20559"/>
      <w:bookmarkStart w:id="84" w:name="_Toc27967"/>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81"/>
      <w:bookmarkEnd w:id="82"/>
      <w:bookmarkEnd w:id="83"/>
      <w:bookmarkEnd w:id="84"/>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keepNext w:val="0"/>
        <w:keepLines w:val="0"/>
        <w:pageBreakBefore w:val="0"/>
        <w:overflowPunct/>
        <w:topLinePunct w:val="0"/>
        <w:bidi w:val="0"/>
        <w:spacing w:before="182" w:line="400" w:lineRule="exact"/>
        <w:ind w:firstLine="466" w:firstLineChars="200"/>
        <w:outlineLvl w:val="9"/>
        <w:rPr>
          <w:rFonts w:hint="eastAsia" w:ascii="宋体" w:hAnsi="宋体" w:eastAsia="宋体" w:cs="宋体"/>
          <w:color w:val="auto"/>
          <w:sz w:val="24"/>
          <w:szCs w:val="24"/>
          <w:highlight w:val="none"/>
        </w:rPr>
      </w:pPr>
      <w:bookmarkStart w:id="85" w:name="_Toc28812"/>
      <w:bookmarkStart w:id="86" w:name="_Toc2199"/>
      <w:bookmarkStart w:id="87" w:name="_Toc28266"/>
      <w:bookmarkStart w:id="88"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5"/>
      <w:bookmarkEnd w:id="86"/>
      <w:bookmarkEnd w:id="87"/>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8"/>
    </w:p>
    <w:p w14:paraId="40440713">
      <w:pPr>
        <w:keepNext w:val="0"/>
        <w:keepLines w:val="0"/>
        <w:pageBreakBefore w:val="0"/>
        <w:overflowPunct/>
        <w:topLinePunct w:val="0"/>
        <w:bidi w:val="0"/>
        <w:spacing w:before="143" w:line="400" w:lineRule="exact"/>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keepNext w:val="0"/>
        <w:keepLines w:val="0"/>
        <w:pageBreakBefore w:val="0"/>
        <w:overflowPunct/>
        <w:topLinePunct w:val="0"/>
        <w:bidi w:val="0"/>
        <w:spacing w:before="155" w:line="400" w:lineRule="exact"/>
        <w:ind w:left="8" w:right="82"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keepNext w:val="0"/>
        <w:keepLines w:val="0"/>
        <w:pageBreakBefore w:val="0"/>
        <w:overflowPunct/>
        <w:topLinePunct w:val="0"/>
        <w:bidi w:val="0"/>
        <w:spacing w:before="78" w:line="400" w:lineRule="exact"/>
        <w:ind w:left="496"/>
        <w:outlineLvl w:val="2"/>
        <w:rPr>
          <w:rFonts w:hint="eastAsia" w:ascii="宋体" w:hAnsi="宋体" w:eastAsia="宋体" w:cs="宋体"/>
          <w:color w:val="auto"/>
          <w:sz w:val="24"/>
          <w:szCs w:val="24"/>
          <w:highlight w:val="none"/>
        </w:rPr>
      </w:pPr>
      <w:bookmarkStart w:id="89" w:name="_Toc961"/>
      <w:bookmarkStart w:id="90" w:name="_Toc809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9"/>
      <w:bookmarkEnd w:id="90"/>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400" w:lineRule="exact"/>
        <w:ind w:firstLine="480" w:firstLineChars="200"/>
        <w:textAlignment w:val="baseline"/>
        <w:rPr>
          <w:rFonts w:hint="eastAsia" w:ascii="宋体" w:hAnsi="宋体" w:eastAsia="宋体" w:cs="宋体"/>
          <w:snapToGrid w:val="0"/>
          <w:color w:val="auto"/>
          <w:kern w:val="0"/>
          <w:sz w:val="24"/>
          <w:szCs w:val="24"/>
          <w:highlight w:val="none"/>
        </w:rPr>
      </w:pPr>
      <w:bookmarkStart w:id="91" w:name="bookmark124"/>
      <w:bookmarkEnd w:id="91"/>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w:t>
      </w:r>
      <w:r>
        <w:rPr>
          <w:rFonts w:hint="eastAsia" w:ascii="宋体" w:hAnsi="宋体" w:eastAsia="宋体" w:cs="宋体"/>
          <w:color w:val="auto"/>
          <w:spacing w:val="0"/>
          <w:sz w:val="24"/>
          <w:szCs w:val="24"/>
          <w:highlight w:val="none"/>
        </w:rPr>
        <w:t>向招标人推荐</w:t>
      </w:r>
      <w:r>
        <w:rPr>
          <w:rFonts w:hint="eastAsia" w:ascii="宋体" w:hAnsi="宋体" w:eastAsia="宋体" w:cs="宋体"/>
          <w:b/>
          <w:bCs/>
          <w:color w:val="auto"/>
          <w:spacing w:val="0"/>
          <w:sz w:val="24"/>
          <w:szCs w:val="24"/>
          <w:highlight w:val="none"/>
          <w:u w:val="single"/>
          <w:lang w:val="en-US" w:eastAsia="zh-CN"/>
        </w:rPr>
        <w:t>5</w:t>
      </w:r>
      <w:r>
        <w:rPr>
          <w:rFonts w:hint="eastAsia" w:ascii="宋体" w:hAnsi="宋体" w:eastAsia="宋体" w:cs="宋体"/>
          <w:color w:val="auto"/>
          <w:spacing w:val="0"/>
          <w:sz w:val="24"/>
          <w:szCs w:val="24"/>
          <w:highlight w:val="none"/>
        </w:rPr>
        <w:t>个</w:t>
      </w:r>
      <w:r>
        <w:rPr>
          <w:rFonts w:hint="eastAsia" w:ascii="宋体" w:hAnsi="宋体" w:eastAsia="宋体" w:cs="宋体"/>
          <w:b/>
          <w:bCs/>
          <w:color w:val="auto"/>
          <w:spacing w:val="0"/>
          <w:sz w:val="24"/>
          <w:szCs w:val="24"/>
          <w:highlight w:val="none"/>
          <w:lang w:val="en-US" w:eastAsia="zh-CN"/>
        </w:rPr>
        <w:t>定</w:t>
      </w:r>
      <w:r>
        <w:rPr>
          <w:rFonts w:hint="eastAsia" w:ascii="宋体" w:hAnsi="宋体" w:eastAsia="宋体" w:cs="宋体"/>
          <w:b/>
          <w:bCs/>
          <w:color w:val="auto"/>
          <w:spacing w:val="0"/>
          <w:sz w:val="24"/>
          <w:szCs w:val="24"/>
          <w:highlight w:val="none"/>
        </w:rPr>
        <w:t>标候选人</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如不足5个，则往下递减，但不可少于3个</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，并向招标人提交由全体评标委员会成员签字的评标报告</w:t>
      </w:r>
      <w:r>
        <w:rPr>
          <w:rFonts w:hint="eastAsia" w:ascii="宋体" w:hAnsi="宋体" w:eastAsia="宋体" w:cs="宋体"/>
          <w:snapToGrid w:val="0"/>
          <w:color w:val="auto"/>
          <w:kern w:val="0"/>
          <w:sz w:val="24"/>
          <w:szCs w:val="24"/>
          <w:highlight w:val="none"/>
        </w:rPr>
        <w:t>。</w:t>
      </w:r>
    </w:p>
    <w:p w14:paraId="74FE6A41">
      <w:pPr>
        <w:keepNext w:val="0"/>
        <w:keepLines w:val="0"/>
        <w:pageBreakBefore w:val="0"/>
        <w:overflowPunct/>
        <w:topLinePunct w:val="0"/>
        <w:bidi w:val="0"/>
        <w:spacing w:before="38" w:line="400" w:lineRule="exact"/>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7E586CA1">
      <w:pPr>
        <w:keepNext w:val="0"/>
        <w:keepLines w:val="0"/>
        <w:pageBreakBefore w:val="0"/>
        <w:overflowPunct/>
        <w:topLinePunct w:val="0"/>
        <w:bidi w:val="0"/>
        <w:spacing w:before="155" w:line="400" w:lineRule="exact"/>
        <w:ind w:left="10" w:right="65"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0</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5</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6E04259D">
      <w:pPr>
        <w:keepNext w:val="0"/>
        <w:keepLines w:val="0"/>
        <w:pageBreakBefore w:val="0"/>
        <w:overflowPunct/>
        <w:topLinePunct w:val="0"/>
        <w:bidi w:val="0"/>
        <w:spacing w:before="32" w:line="400" w:lineRule="exact"/>
        <w:ind w:left="13" w:right="7"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keepNext w:val="0"/>
        <w:keepLines w:val="0"/>
        <w:pageBreakBefore w:val="0"/>
        <w:overflowPunct/>
        <w:topLinePunct w:val="0"/>
        <w:bidi w:val="0"/>
        <w:spacing w:before="154" w:line="400" w:lineRule="exact"/>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keepNext w:val="0"/>
        <w:keepLines w:val="0"/>
        <w:pageBreakBefore w:val="0"/>
        <w:overflowPunct/>
        <w:topLinePunct w:val="0"/>
        <w:bidi w:val="0"/>
        <w:spacing w:before="153" w:line="400" w:lineRule="exact"/>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keepNext w:val="0"/>
        <w:keepLines w:val="0"/>
        <w:pageBreakBefore w:val="0"/>
        <w:overflowPunct/>
        <w:topLinePunct w:val="0"/>
        <w:bidi w:val="0"/>
        <w:spacing w:before="155" w:line="400" w:lineRule="exact"/>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keepNext w:val="0"/>
        <w:keepLines w:val="0"/>
        <w:pageBreakBefore w:val="0"/>
        <w:overflowPunct/>
        <w:topLinePunct w:val="0"/>
        <w:bidi w:val="0"/>
        <w:spacing w:before="153" w:line="400" w:lineRule="exact"/>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029A4248">
      <w:pPr>
        <w:keepNext w:val="0"/>
        <w:keepLines w:val="0"/>
        <w:pageBreakBefore w:val="0"/>
        <w:overflowPunct/>
        <w:topLinePunct w:val="0"/>
        <w:bidi w:val="0"/>
        <w:spacing w:before="155" w:line="400" w:lineRule="exact"/>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14:paraId="4433A9EB">
      <w:pPr>
        <w:keepNext w:val="0"/>
        <w:keepLines w:val="0"/>
        <w:pageBreakBefore w:val="0"/>
        <w:overflowPunct/>
        <w:topLinePunct w:val="0"/>
        <w:bidi w:val="0"/>
        <w:spacing w:before="154" w:line="400" w:lineRule="exact"/>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keepNext w:val="0"/>
        <w:keepLines w:val="0"/>
        <w:pageBreakBefore w:val="0"/>
        <w:overflowPunct/>
        <w:topLinePunct w:val="0"/>
        <w:bidi w:val="0"/>
        <w:spacing w:before="157" w:line="400" w:lineRule="exact"/>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keepNext w:val="0"/>
        <w:keepLines w:val="0"/>
        <w:pageBreakBefore w:val="0"/>
        <w:overflowPunct/>
        <w:topLinePunct w:val="0"/>
        <w:bidi w:val="0"/>
        <w:spacing w:before="156" w:line="400" w:lineRule="exact"/>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keepNext w:val="0"/>
        <w:keepLines w:val="0"/>
        <w:pageBreakBefore w:val="0"/>
        <w:overflowPunct/>
        <w:topLinePunct w:val="0"/>
        <w:bidi w:val="0"/>
        <w:spacing w:before="79" w:line="400" w:lineRule="exact"/>
        <w:ind w:left="57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15.2  评标方法</w:t>
      </w:r>
    </w:p>
    <w:p w14:paraId="6D924BEF">
      <w:pPr>
        <w:keepNext w:val="0"/>
        <w:keepLines w:val="0"/>
        <w:pageBreakBefore w:val="0"/>
        <w:overflowPunct/>
        <w:topLinePunct w:val="0"/>
        <w:bidi w:val="0"/>
        <w:spacing w:before="78" w:line="400" w:lineRule="exact"/>
        <w:ind w:left="231" w:right="181" w:firstLine="560"/>
        <w:rPr>
          <w:rFonts w:hint="eastAsia" w:ascii="宋体" w:hAnsi="宋体" w:eastAsia="宋体" w:cs="宋体"/>
          <w:color w:val="auto"/>
          <w:sz w:val="24"/>
          <w:szCs w:val="24"/>
          <w:highlight w:val="none"/>
        </w:rPr>
      </w:pPr>
      <w:bookmarkStart w:id="92" w:name="bookmark125"/>
      <w:bookmarkEnd w:id="92"/>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综合评估法</w:t>
      </w:r>
      <w:r>
        <w:rPr>
          <w:rFonts w:hint="eastAsia" w:ascii="宋体" w:hAnsi="宋体" w:eastAsia="宋体" w:cs="宋体"/>
          <w:color w:val="auto"/>
          <w:spacing w:val="-1"/>
          <w:sz w:val="24"/>
          <w:szCs w:val="24"/>
          <w:highlight w:val="none"/>
        </w:rPr>
        <w:t>进行评标。</w:t>
      </w:r>
    </w:p>
    <w:p w14:paraId="083CCE6C">
      <w:pPr>
        <w:keepNext w:val="0"/>
        <w:keepLines w:val="0"/>
        <w:pageBreakBefore w:val="0"/>
        <w:overflowPunct/>
        <w:topLinePunct w:val="0"/>
        <w:bidi w:val="0"/>
        <w:spacing w:before="154" w:line="400" w:lineRule="exact"/>
        <w:ind w:left="220" w:right="33"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keepNext w:val="0"/>
        <w:keepLines w:val="0"/>
        <w:pageBreakBefore w:val="0"/>
        <w:overflowPunct/>
        <w:topLinePunct w:val="0"/>
        <w:bidi w:val="0"/>
        <w:spacing w:before="153" w:line="400" w:lineRule="exact"/>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15.4  初步评审阶段</w:t>
      </w:r>
    </w:p>
    <w:p w14:paraId="5B763A9F">
      <w:pPr>
        <w:keepNext w:val="0"/>
        <w:keepLines w:val="0"/>
        <w:pageBreakBefore w:val="0"/>
        <w:overflowPunct/>
        <w:topLinePunct w:val="0"/>
        <w:bidi w:val="0"/>
        <w:spacing w:before="153" w:line="400" w:lineRule="exact"/>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03B36D91">
      <w:pPr>
        <w:keepNext w:val="0"/>
        <w:keepLines w:val="0"/>
        <w:pageBreakBefore w:val="0"/>
        <w:overflowPunct/>
        <w:topLinePunct w:val="0"/>
        <w:bidi w:val="0"/>
        <w:spacing w:before="155" w:line="400" w:lineRule="exact"/>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b/>
          <w:bCs/>
          <w:color w:val="auto"/>
          <w:spacing w:val="-2"/>
          <w:sz w:val="24"/>
          <w:szCs w:val="24"/>
          <w:highlight w:val="none"/>
        </w:rPr>
        <w:t>资格评审环</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12AA72C0">
      <w:pPr>
        <w:keepNext w:val="0"/>
        <w:keepLines w:val="0"/>
        <w:pageBreakBefore w:val="0"/>
        <w:overflowPunct/>
        <w:topLinePunct w:val="0"/>
        <w:bidi w:val="0"/>
        <w:spacing w:before="155" w:line="400" w:lineRule="exact"/>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400" w:lineRule="exact"/>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93"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400" w:lineRule="exact"/>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400" w:lineRule="exact"/>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4" w:name="bookmark126"/>
      <w:bookmarkEnd w:id="94"/>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400" w:lineRule="exact"/>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400" w:lineRule="exact"/>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674C628A">
      <w:pPr>
        <w:keepNext w:val="0"/>
        <w:keepLines w:val="0"/>
        <w:pageBreakBefore w:val="0"/>
        <w:widowControl/>
        <w:kinsoku w:val="0"/>
        <w:overflowPunct/>
        <w:topLinePunct w:val="0"/>
        <w:autoSpaceDE w:val="0"/>
        <w:autoSpaceDN w:val="0"/>
        <w:bidi w:val="0"/>
        <w:adjustRightInd w:val="0"/>
        <w:snapToGrid w:val="0"/>
        <w:spacing w:line="400" w:lineRule="exact"/>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27910BA3">
      <w:pPr>
        <w:keepNext w:val="0"/>
        <w:keepLines w:val="0"/>
        <w:pageBreakBefore w:val="0"/>
        <w:widowControl/>
        <w:kinsoku w:val="0"/>
        <w:overflowPunct/>
        <w:topLinePunct w:val="0"/>
        <w:autoSpaceDE w:val="0"/>
        <w:autoSpaceDN w:val="0"/>
        <w:bidi w:val="0"/>
        <w:adjustRightInd w:val="0"/>
        <w:snapToGrid w:val="0"/>
        <w:spacing w:line="400" w:lineRule="exact"/>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7</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keepNext w:val="0"/>
        <w:keepLines w:val="0"/>
        <w:pageBreakBefore w:val="0"/>
        <w:overflowPunct/>
        <w:topLinePunct w:val="0"/>
        <w:bidi w:val="0"/>
        <w:spacing w:before="15" w:line="400" w:lineRule="exact"/>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 xml:space="preserve">15.4.2 </w:t>
      </w:r>
      <w:r>
        <w:rPr>
          <w:rFonts w:hint="eastAsia" w:ascii="宋体" w:hAnsi="宋体" w:eastAsia="宋体" w:cs="宋体"/>
          <w:color w:val="auto"/>
          <w:spacing w:val="1"/>
          <w:sz w:val="24"/>
          <w:szCs w:val="24"/>
          <w:highlight w:val="none"/>
        </w:rPr>
        <w:t xml:space="preserve"> </w:t>
      </w:r>
      <w:r>
        <w:rPr>
          <w:rFonts w:hint="eastAsia" w:ascii="宋体" w:hAnsi="宋体" w:eastAsia="宋体" w:cs="宋体"/>
          <w:b/>
          <w:bCs/>
          <w:color w:val="auto"/>
          <w:spacing w:val="1"/>
          <w:sz w:val="24"/>
          <w:szCs w:val="24"/>
          <w:highlight w:val="none"/>
        </w:rPr>
        <w:t>形式评审环节</w:t>
      </w:r>
    </w:p>
    <w:p w14:paraId="720A176D">
      <w:pPr>
        <w:keepNext w:val="0"/>
        <w:keepLines w:val="0"/>
        <w:pageBreakBefore w:val="0"/>
        <w:overflowPunct/>
        <w:topLinePunct w:val="0"/>
        <w:bidi w:val="0"/>
        <w:spacing w:before="15" w:line="400" w:lineRule="exact"/>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93"/>
    </w:p>
    <w:p w14:paraId="540DEAA8">
      <w:pPr>
        <w:keepNext w:val="0"/>
        <w:keepLines w:val="0"/>
        <w:pageBreakBefore w:val="0"/>
        <w:overflowPunct/>
        <w:topLinePunct w:val="0"/>
        <w:bidi w:val="0"/>
        <w:spacing w:before="40" w:line="400" w:lineRule="exact"/>
        <w:ind w:left="501"/>
        <w:outlineLvl w:val="9"/>
        <w:rPr>
          <w:rFonts w:hint="eastAsia" w:ascii="宋体" w:hAnsi="宋体" w:eastAsia="宋体" w:cs="宋体"/>
          <w:color w:val="auto"/>
          <w:sz w:val="24"/>
          <w:szCs w:val="24"/>
          <w:highlight w:val="none"/>
        </w:rPr>
      </w:pPr>
      <w:bookmarkStart w:id="95" w:name="_Toc4914"/>
      <w:bookmarkStart w:id="96" w:name="_Toc20481"/>
      <w:bookmarkStart w:id="97" w:name="_Toc13304"/>
      <w:bookmarkStart w:id="98" w:name="_Toc23632"/>
      <w:r>
        <w:rPr>
          <w:rFonts w:hint="eastAsia" w:ascii="宋体" w:hAnsi="宋体" w:eastAsia="宋体" w:cs="宋体"/>
          <w:color w:val="auto"/>
          <w:spacing w:val="-1"/>
          <w:sz w:val="24"/>
          <w:szCs w:val="24"/>
          <w:highlight w:val="none"/>
        </w:rPr>
        <w:t>（1）各分册是否按招标文件规定加盖电子印章。</w:t>
      </w:r>
      <w:bookmarkEnd w:id="95"/>
      <w:bookmarkEnd w:id="96"/>
      <w:bookmarkEnd w:id="97"/>
      <w:bookmarkEnd w:id="98"/>
    </w:p>
    <w:p w14:paraId="64C926F3">
      <w:pPr>
        <w:keepNext w:val="0"/>
        <w:keepLines w:val="0"/>
        <w:pageBreakBefore w:val="0"/>
        <w:overflowPunct/>
        <w:topLinePunct w:val="0"/>
        <w:bidi w:val="0"/>
        <w:spacing w:before="15" w:line="400" w:lineRule="exact"/>
        <w:ind w:firstLine="464" w:firstLineChars="200"/>
        <w:outlineLvl w:val="9"/>
        <w:rPr>
          <w:rFonts w:hint="eastAsia" w:ascii="宋体" w:hAnsi="宋体" w:eastAsia="宋体" w:cs="宋体"/>
          <w:color w:val="auto"/>
          <w:spacing w:val="-1"/>
          <w:sz w:val="24"/>
          <w:szCs w:val="24"/>
          <w:highlight w:val="none"/>
          <w:lang w:eastAsia="zh-CN"/>
        </w:rPr>
      </w:pPr>
      <w:bookmarkStart w:id="99" w:name="_Toc28409"/>
      <w:bookmarkStart w:id="100" w:name="_Toc27432"/>
      <w:bookmarkStart w:id="101" w:name="_Toc10806"/>
      <w:bookmarkStart w:id="102"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10.2.2目、第10.3.2目、第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10.4.3目中规定</w:t>
      </w:r>
      <w:r>
        <w:rPr>
          <w:rFonts w:hint="eastAsia" w:ascii="宋体" w:hAnsi="宋体" w:eastAsia="宋体" w:cs="宋体"/>
          <w:color w:val="auto"/>
          <w:spacing w:val="-5"/>
          <w:sz w:val="24"/>
          <w:szCs w:val="24"/>
          <w:highlight w:val="none"/>
        </w:rPr>
        <w:t>的“所有投标人均应提</w:t>
      </w:r>
      <w:bookmarkEnd w:id="99"/>
      <w:bookmarkEnd w:id="100"/>
      <w:bookmarkEnd w:id="101"/>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102"/>
      <w:r>
        <w:rPr>
          <w:rFonts w:hint="eastAsia" w:ascii="宋体" w:hAnsi="宋体" w:eastAsia="宋体" w:cs="宋体"/>
          <w:color w:val="auto"/>
          <w:spacing w:val="-1"/>
          <w:sz w:val="24"/>
          <w:szCs w:val="24"/>
          <w:highlight w:val="none"/>
          <w:lang w:eastAsia="zh-CN"/>
        </w:rPr>
        <w:t>。</w:t>
      </w:r>
    </w:p>
    <w:p w14:paraId="127DFB0D">
      <w:pPr>
        <w:keepNext w:val="0"/>
        <w:keepLines w:val="0"/>
        <w:pageBreakBefore w:val="0"/>
        <w:overflowPunct/>
        <w:topLinePunct w:val="0"/>
        <w:bidi w:val="0"/>
        <w:spacing w:before="15" w:line="400" w:lineRule="exact"/>
        <w:ind w:right="2" w:firstLine="474" w:firstLineChars="200"/>
        <w:jc w:val="both"/>
        <w:outlineLvl w:val="9"/>
        <w:rPr>
          <w:rFonts w:hint="eastAsia" w:ascii="宋体" w:hAnsi="宋体" w:eastAsia="宋体" w:cs="宋体"/>
          <w:color w:val="auto"/>
          <w:spacing w:val="2"/>
          <w:sz w:val="24"/>
          <w:szCs w:val="24"/>
          <w:highlight w:val="none"/>
        </w:rPr>
      </w:pPr>
      <w:bookmarkStart w:id="103" w:name="_Toc22562"/>
      <w:bookmarkStart w:id="104" w:name="_Toc16645"/>
      <w:bookmarkStart w:id="105" w:name="_Toc14202"/>
      <w:bookmarkStart w:id="106" w:name="_Toc22642"/>
      <w:r>
        <w:rPr>
          <w:rFonts w:hint="eastAsia" w:ascii="宋体" w:hAnsi="宋体" w:eastAsia="宋体" w:cs="宋体"/>
          <w:b/>
          <w:bCs/>
          <w:color w:val="auto"/>
          <w:spacing w:val="-2"/>
          <w:sz w:val="24"/>
          <w:szCs w:val="24"/>
          <w:highlight w:val="none"/>
        </w:rPr>
        <w:t xml:space="preserve">15.4.3  </w:t>
      </w:r>
      <w:r>
        <w:rPr>
          <w:rFonts w:hint="eastAsia" w:ascii="宋体" w:hAnsi="宋体" w:eastAsia="宋体" w:cs="宋体"/>
          <w:b/>
          <w:bCs/>
          <w:color w:val="auto"/>
          <w:spacing w:val="2"/>
          <w:sz w:val="24"/>
          <w:szCs w:val="24"/>
          <w:highlight w:val="none"/>
        </w:rPr>
        <w:t xml:space="preserve">响应性评审环节 </w:t>
      </w:r>
    </w:p>
    <w:p w14:paraId="746226A2">
      <w:pPr>
        <w:keepNext w:val="0"/>
        <w:keepLines w:val="0"/>
        <w:pageBreakBefore w:val="0"/>
        <w:overflowPunct/>
        <w:topLinePunct w:val="0"/>
        <w:bidi w:val="0"/>
        <w:spacing w:before="15" w:line="400" w:lineRule="exact"/>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103"/>
      <w:bookmarkEnd w:id="104"/>
      <w:bookmarkEnd w:id="105"/>
      <w:bookmarkEnd w:id="106"/>
    </w:p>
    <w:p w14:paraId="7C2C97F5">
      <w:pPr>
        <w:keepNext w:val="0"/>
        <w:keepLines w:val="0"/>
        <w:pageBreakBefore w:val="0"/>
        <w:widowControl/>
        <w:kinsoku w:val="0"/>
        <w:wordWrap/>
        <w:overflowPunct/>
        <w:topLinePunct w:val="0"/>
        <w:autoSpaceDE w:val="0"/>
        <w:autoSpaceDN w:val="0"/>
        <w:bidi w:val="0"/>
        <w:adjustRightInd w:val="0"/>
        <w:snapToGrid w:val="0"/>
        <w:spacing w:line="400" w:lineRule="exact"/>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400" w:lineRule="exact"/>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400" w:lineRule="exact"/>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400" w:lineRule="exact"/>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keepNext w:val="0"/>
        <w:keepLines w:val="0"/>
        <w:pageBreakBefore w:val="0"/>
        <w:overflowPunct/>
        <w:topLinePunct w:val="0"/>
        <w:bidi w:val="0"/>
        <w:spacing w:before="38" w:line="400" w:lineRule="exact"/>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7" w:name="bookmark127"/>
      <w:bookmarkEnd w:id="107"/>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keepNext w:val="0"/>
        <w:keepLines w:val="0"/>
        <w:pageBreakBefore w:val="0"/>
        <w:overflowPunct/>
        <w:topLinePunct w:val="0"/>
        <w:bidi w:val="0"/>
        <w:spacing w:before="157" w:line="400" w:lineRule="exact"/>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keepNext w:val="0"/>
        <w:keepLines w:val="0"/>
        <w:pageBreakBefore w:val="0"/>
        <w:overflowPunct/>
        <w:topLinePunct w:val="0"/>
        <w:bidi w:val="0"/>
        <w:spacing w:before="82" w:line="400" w:lineRule="exact"/>
        <w:ind w:left="580"/>
        <w:outlineLvl w:val="9"/>
        <w:rPr>
          <w:rFonts w:hint="eastAsia" w:ascii="宋体" w:hAnsi="宋体" w:eastAsia="宋体" w:cs="宋体"/>
          <w:color w:val="auto"/>
          <w:sz w:val="24"/>
          <w:szCs w:val="24"/>
          <w:highlight w:val="none"/>
        </w:rPr>
      </w:pPr>
      <w:bookmarkStart w:id="108" w:name="_Toc15367"/>
      <w:bookmarkStart w:id="109" w:name="_Toc32114"/>
      <w:bookmarkStart w:id="110" w:name="_Toc19814"/>
      <w:bookmarkStart w:id="111" w:name="_Toc18204"/>
      <w:r>
        <w:rPr>
          <w:rFonts w:hint="eastAsia" w:ascii="宋体" w:hAnsi="宋体" w:eastAsia="宋体" w:cs="宋体"/>
          <w:b/>
          <w:bCs/>
          <w:color w:val="auto"/>
          <w:spacing w:val="-3"/>
          <w:sz w:val="24"/>
          <w:szCs w:val="24"/>
          <w:highlight w:val="none"/>
        </w:rPr>
        <w:t xml:space="preserve">15.4.4  </w:t>
      </w:r>
      <w:r>
        <w:rPr>
          <w:rFonts w:hint="eastAsia" w:ascii="宋体" w:hAnsi="宋体" w:eastAsia="宋体" w:cs="宋体"/>
          <w:color w:val="auto"/>
          <w:spacing w:val="-3"/>
          <w:sz w:val="24"/>
          <w:szCs w:val="24"/>
          <w:highlight w:val="none"/>
        </w:rPr>
        <w:t>否决投标说明</w:t>
      </w:r>
      <w:bookmarkEnd w:id="108"/>
      <w:bookmarkEnd w:id="109"/>
      <w:bookmarkEnd w:id="110"/>
      <w:bookmarkEnd w:id="111"/>
    </w:p>
    <w:p w14:paraId="0A7D0F98">
      <w:pPr>
        <w:keepNext w:val="0"/>
        <w:keepLines w:val="0"/>
        <w:pageBreakBefore w:val="0"/>
        <w:overflowPunct/>
        <w:topLinePunct w:val="0"/>
        <w:bidi w:val="0"/>
        <w:spacing w:before="152" w:line="400" w:lineRule="exact"/>
        <w:ind w:left="11" w:right="175" w:firstLine="56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keepNext w:val="0"/>
        <w:keepLines w:val="0"/>
        <w:pageBreakBefore w:val="0"/>
        <w:overflowPunct/>
        <w:topLinePunct w:val="0"/>
        <w:bidi w:val="0"/>
        <w:spacing w:before="78" w:line="400" w:lineRule="exact"/>
        <w:ind w:left="5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12" w:name="bookmark128"/>
      <w:bookmarkEnd w:id="112"/>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14:paraId="21AA4981">
      <w:pPr>
        <w:keepNext w:val="0"/>
        <w:keepLines w:val="0"/>
        <w:pageBreakBefore w:val="0"/>
        <w:overflowPunct/>
        <w:topLinePunct w:val="0"/>
        <w:bidi w:val="0"/>
        <w:spacing w:before="81" w:line="400" w:lineRule="exact"/>
        <w:ind w:left="498"/>
        <w:outlineLvl w:val="9"/>
        <w:rPr>
          <w:rFonts w:hint="eastAsia" w:ascii="宋体" w:hAnsi="宋体" w:eastAsia="宋体" w:cs="宋体"/>
          <w:color w:val="auto"/>
          <w:sz w:val="24"/>
          <w:szCs w:val="24"/>
          <w:highlight w:val="none"/>
        </w:rPr>
      </w:pPr>
      <w:bookmarkStart w:id="113" w:name="_Toc14991"/>
      <w:bookmarkStart w:id="114" w:name="_Toc4119"/>
      <w:bookmarkStart w:id="115" w:name="_Toc10503"/>
      <w:bookmarkStart w:id="116" w:name="_Toc28572"/>
      <w:r>
        <w:rPr>
          <w:rFonts w:hint="eastAsia" w:ascii="宋体" w:hAnsi="宋体" w:eastAsia="宋体" w:cs="宋体"/>
          <w:b/>
          <w:bCs/>
          <w:color w:val="auto"/>
          <w:spacing w:val="-3"/>
          <w:sz w:val="24"/>
          <w:szCs w:val="24"/>
          <w:highlight w:val="none"/>
        </w:rPr>
        <w:t xml:space="preserve">15.5.1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13"/>
      <w:bookmarkEnd w:id="114"/>
      <w:bookmarkEnd w:id="115"/>
      <w:bookmarkEnd w:id="116"/>
    </w:p>
    <w:p w14:paraId="5801B40B">
      <w:pPr>
        <w:keepNext w:val="0"/>
        <w:keepLines w:val="0"/>
        <w:pageBreakBefore w:val="0"/>
        <w:overflowPunct/>
        <w:topLinePunct w:val="0"/>
        <w:bidi w:val="0"/>
        <w:spacing w:before="152" w:line="400" w:lineRule="exact"/>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keepNext w:val="0"/>
        <w:keepLines w:val="0"/>
        <w:pageBreakBefore w:val="0"/>
        <w:overflowPunct/>
        <w:topLinePunct w:val="0"/>
        <w:bidi w:val="0"/>
        <w:spacing w:before="153" w:line="400" w:lineRule="exact"/>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keepNext w:val="0"/>
        <w:keepLines w:val="0"/>
        <w:pageBreakBefore w:val="0"/>
        <w:overflowPunct/>
        <w:topLinePunct w:val="0"/>
        <w:bidi w:val="0"/>
        <w:spacing w:before="38" w:line="400" w:lineRule="exact"/>
        <w:ind w:left="503"/>
        <w:outlineLvl w:val="9"/>
        <w:rPr>
          <w:rFonts w:hint="eastAsia" w:ascii="宋体" w:hAnsi="宋体" w:eastAsia="宋体" w:cs="宋体"/>
          <w:color w:val="auto"/>
          <w:sz w:val="24"/>
          <w:szCs w:val="24"/>
          <w:highlight w:val="none"/>
        </w:rPr>
      </w:pPr>
      <w:bookmarkStart w:id="117" w:name="_Toc10398"/>
      <w:bookmarkStart w:id="118" w:name="_Toc22949"/>
      <w:bookmarkStart w:id="119" w:name="_Toc18029"/>
      <w:bookmarkStart w:id="120" w:name="_Toc17510"/>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7"/>
      <w:bookmarkEnd w:id="118"/>
      <w:bookmarkEnd w:id="119"/>
      <w:bookmarkEnd w:id="120"/>
    </w:p>
    <w:p w14:paraId="392026E4">
      <w:pPr>
        <w:keepNext w:val="0"/>
        <w:keepLines w:val="0"/>
        <w:pageBreakBefore w:val="0"/>
        <w:overflowPunct/>
        <w:topLinePunct w:val="0"/>
        <w:bidi w:val="0"/>
        <w:spacing w:before="153" w:line="400" w:lineRule="exact"/>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24"/>
          <w:szCs w:val="24"/>
          <w:highlight w:val="none"/>
        </w:rPr>
        <w:t>1</w:t>
      </w:r>
      <w:r>
        <w:rPr>
          <w:rFonts w:hint="eastAsia" w:ascii="宋体" w:hAnsi="宋体" w:eastAsia="宋体" w:cs="宋体"/>
          <w:color w:val="auto"/>
          <w:spacing w:val="-1"/>
          <w:sz w:val="24"/>
          <w:szCs w:val="24"/>
          <w:highlight w:val="none"/>
        </w:rPr>
        <w:t>。</w:t>
      </w:r>
    </w:p>
    <w:p w14:paraId="2881815B">
      <w:pPr>
        <w:keepNext w:val="0"/>
        <w:keepLines w:val="0"/>
        <w:pageBreakBefore w:val="0"/>
        <w:overflowPunct/>
        <w:topLinePunct w:val="0"/>
        <w:bidi w:val="0"/>
        <w:spacing w:before="154" w:line="400" w:lineRule="exact"/>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24"/>
          <w:szCs w:val="24"/>
          <w:highlight w:val="none"/>
        </w:rPr>
        <w:t>2</w:t>
      </w:r>
      <w:r>
        <w:rPr>
          <w:rFonts w:hint="eastAsia" w:ascii="宋体" w:hAnsi="宋体" w:eastAsia="宋体" w:cs="宋体"/>
          <w:color w:val="auto"/>
          <w:spacing w:val="-1"/>
          <w:sz w:val="24"/>
          <w:szCs w:val="24"/>
          <w:highlight w:val="none"/>
        </w:rPr>
        <w:t>。</w:t>
      </w:r>
    </w:p>
    <w:p w14:paraId="16A785CF">
      <w:pPr>
        <w:keepNext w:val="0"/>
        <w:keepLines w:val="0"/>
        <w:pageBreakBefore w:val="0"/>
        <w:overflowPunct/>
        <w:topLinePunct w:val="0"/>
        <w:bidi w:val="0"/>
        <w:spacing w:before="155" w:line="400" w:lineRule="exact"/>
        <w:ind w:left="491"/>
        <w:rPr>
          <w:rFonts w:hint="eastAsia" w:ascii="宋体" w:hAnsi="宋体" w:eastAsia="宋体" w:cs="宋体"/>
          <w:color w:val="auto"/>
          <w:sz w:val="24"/>
          <w:szCs w:val="24"/>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24"/>
          <w:szCs w:val="24"/>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24"/>
          <w:szCs w:val="24"/>
          <w:highlight w:val="none"/>
        </w:rPr>
        <w:t>2</w:t>
      </w:r>
    </w:p>
    <w:p w14:paraId="0A2F9F5C">
      <w:pPr>
        <w:keepNext w:val="0"/>
        <w:keepLines w:val="0"/>
        <w:pageBreakBefore w:val="0"/>
        <w:overflowPunct/>
        <w:topLinePunct w:val="0"/>
        <w:bidi w:val="0"/>
        <w:spacing w:before="139" w:line="400" w:lineRule="exact"/>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24"/>
          <w:szCs w:val="24"/>
          <w:highlight w:val="none"/>
        </w:rPr>
        <w:t>1</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24"/>
          <w:szCs w:val="24"/>
          <w:highlight w:val="none"/>
        </w:rPr>
        <w:t>2</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keepNext w:val="0"/>
        <w:keepLines w:val="0"/>
        <w:pageBreakBefore w:val="0"/>
        <w:overflowPunct/>
        <w:topLinePunct w:val="0"/>
        <w:bidi w:val="0"/>
        <w:spacing w:before="153" w:line="400" w:lineRule="exact"/>
        <w:ind w:left="503"/>
        <w:outlineLvl w:val="9"/>
        <w:rPr>
          <w:rFonts w:hint="eastAsia" w:ascii="宋体" w:hAnsi="宋体" w:eastAsia="宋体" w:cs="宋体"/>
          <w:color w:val="auto"/>
          <w:sz w:val="24"/>
          <w:szCs w:val="24"/>
          <w:highlight w:val="none"/>
        </w:rPr>
      </w:pPr>
      <w:bookmarkStart w:id="121" w:name="_Toc3958"/>
      <w:bookmarkStart w:id="122" w:name="_Toc16136"/>
      <w:bookmarkStart w:id="123" w:name="_Toc27609"/>
      <w:bookmarkStart w:id="124" w:name="_Toc14059"/>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21"/>
      <w:bookmarkEnd w:id="122"/>
      <w:bookmarkEnd w:id="123"/>
      <w:bookmarkEnd w:id="124"/>
    </w:p>
    <w:p w14:paraId="32CC3A83">
      <w:pPr>
        <w:keepNext w:val="0"/>
        <w:keepLines w:val="0"/>
        <w:pageBreakBefore w:val="0"/>
        <w:overflowPunct/>
        <w:topLinePunct w:val="0"/>
        <w:bidi w:val="0"/>
        <w:spacing w:before="157" w:line="400" w:lineRule="exact"/>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keepNext w:val="0"/>
        <w:keepLines w:val="0"/>
        <w:pageBreakBefore w:val="0"/>
        <w:overflowPunct/>
        <w:topLinePunct w:val="0"/>
        <w:bidi w:val="0"/>
        <w:spacing w:before="155" w:line="400" w:lineRule="exact"/>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0.5分</w:t>
      </w:r>
      <w:r>
        <w:rPr>
          <w:rFonts w:hint="eastAsia" w:ascii="宋体" w:hAnsi="宋体" w:eastAsia="宋体" w:cs="宋体"/>
          <w:color w:val="auto"/>
          <w:spacing w:val="-2"/>
          <w:sz w:val="24"/>
          <w:szCs w:val="24"/>
          <w:highlight w:val="none"/>
        </w:rPr>
        <w:t>，扣完为止。公式如下：</w:t>
      </w:r>
    </w:p>
    <w:p w14:paraId="7BBB0CF5">
      <w:pPr>
        <w:keepNext w:val="0"/>
        <w:keepLines w:val="0"/>
        <w:pageBreakBefore w:val="0"/>
        <w:overflowPunct/>
        <w:topLinePunct w:val="0"/>
        <w:bidi w:val="0"/>
        <w:spacing w:before="118" w:line="400"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|Di－D|÷D）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keepNext w:val="0"/>
        <w:keepLines w:val="0"/>
        <w:pageBreakBefore w:val="0"/>
        <w:overflowPunct/>
        <w:topLinePunct w:val="0"/>
        <w:bidi w:val="0"/>
        <w:spacing w:before="106" w:line="400" w:lineRule="exact"/>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式中：D为评标基准价；Di为某投标人的投标总价；E为扣分因子，当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pacing w:val="-8"/>
          <w:sz w:val="24"/>
          <w:szCs w:val="24"/>
          <w:highlight w:val="none"/>
        </w:rPr>
        <w:t>E＝</w:t>
      </w:r>
      <w:r>
        <w:rPr>
          <w:rFonts w:hint="eastAsia" w:ascii="宋体" w:hAnsi="宋体" w:eastAsia="宋体" w:cs="宋体"/>
          <w:b w:val="0"/>
          <w:bCs w:val="0"/>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Di＜D时，E</w:t>
      </w:r>
      <w:r>
        <w:rPr>
          <w:rFonts w:hint="eastAsia" w:ascii="宋体" w:hAnsi="宋体" w:eastAsia="宋体" w:cs="宋体"/>
          <w:b/>
          <w:bCs/>
          <w:color w:val="auto"/>
          <w:spacing w:val="-8"/>
          <w:sz w:val="24"/>
          <w:szCs w:val="24"/>
          <w:highlight w:val="none"/>
        </w:rPr>
        <w:t>＝0.5。</w:t>
      </w:r>
    </w:p>
    <w:p w14:paraId="25245EA0">
      <w:pPr>
        <w:keepNext w:val="0"/>
        <w:keepLines w:val="0"/>
        <w:pageBreakBefore w:val="0"/>
        <w:overflowPunct/>
        <w:topLinePunct w:val="0"/>
        <w:bidi w:val="0"/>
        <w:spacing w:before="95" w:line="400" w:lineRule="exact"/>
        <w:ind w:left="503"/>
        <w:outlineLvl w:val="9"/>
        <w:rPr>
          <w:rFonts w:hint="eastAsia" w:ascii="宋体" w:hAnsi="宋体" w:eastAsia="宋体" w:cs="宋体"/>
          <w:color w:val="auto"/>
          <w:sz w:val="24"/>
          <w:szCs w:val="24"/>
          <w:highlight w:val="none"/>
        </w:rPr>
      </w:pPr>
      <w:bookmarkStart w:id="125" w:name="_Toc7915"/>
      <w:bookmarkStart w:id="126" w:name="_Toc3861"/>
      <w:bookmarkStart w:id="127" w:name="_Toc4990"/>
      <w:bookmarkStart w:id="128" w:name="_Toc576"/>
      <w:r>
        <w:rPr>
          <w:rFonts w:hint="eastAsia" w:ascii="宋体" w:hAnsi="宋体" w:eastAsia="宋体" w:cs="宋体"/>
          <w:color w:val="auto"/>
          <w:spacing w:val="-3"/>
          <w:sz w:val="24"/>
          <w:szCs w:val="24"/>
          <w:highlight w:val="none"/>
        </w:rPr>
        <w:t>（3）综合得分</w:t>
      </w:r>
      <w:bookmarkEnd w:id="125"/>
      <w:bookmarkEnd w:id="126"/>
      <w:bookmarkEnd w:id="127"/>
      <w:bookmarkEnd w:id="128"/>
    </w:p>
    <w:p w14:paraId="0F362937">
      <w:pPr>
        <w:keepNext w:val="0"/>
        <w:keepLines w:val="0"/>
        <w:pageBreakBefore w:val="0"/>
        <w:overflowPunct/>
        <w:topLinePunct w:val="0"/>
        <w:bidi w:val="0"/>
        <w:spacing w:before="153" w:line="400" w:lineRule="exact"/>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综合得分换算为百分制，满分100分，公式如下：</w:t>
      </w:r>
    </w:p>
    <w:p w14:paraId="0C5D7075">
      <w:pPr>
        <w:keepNext w:val="0"/>
        <w:keepLines w:val="0"/>
        <w:pageBreakBefore w:val="0"/>
        <w:overflowPunct/>
        <w:topLinePunct w:val="0"/>
        <w:bidi w:val="0"/>
        <w:spacing w:before="155" w:line="400" w:lineRule="exact"/>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keepNext w:val="0"/>
        <w:keepLines w:val="0"/>
        <w:pageBreakBefore w:val="0"/>
        <w:overflowPunct/>
        <w:topLinePunct w:val="0"/>
        <w:bidi w:val="0"/>
        <w:spacing w:before="155" w:line="400" w:lineRule="exact"/>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式中：M为商务技术得分，N 为投标报价得分。</w:t>
      </w:r>
    </w:p>
    <w:p w14:paraId="46469AF2">
      <w:pPr>
        <w:keepNext w:val="0"/>
        <w:keepLines w:val="0"/>
        <w:pageBreakBefore w:val="0"/>
        <w:numPr>
          <w:ilvl w:val="0"/>
          <w:numId w:val="0"/>
        </w:numPr>
        <w:shd w:val="clear" w:color="auto" w:fill="auto"/>
        <w:kinsoku/>
        <w:wordWrap/>
        <w:overflowPunct/>
        <w:topLinePunct w:val="0"/>
        <w:bidi w:val="0"/>
        <w:adjustRightInd/>
        <w:snapToGrid/>
        <w:spacing w:line="400" w:lineRule="exact"/>
        <w:ind w:left="0" w:leftChars="0" w:firstLine="482" w:firstLineChars="200"/>
        <w:jc w:val="both"/>
        <w:textAlignment w:val="auto"/>
        <w:outlineLvl w:val="9"/>
        <w:rPr>
          <w:rFonts w:hint="eastAsia" w:ascii="宋体" w:hAnsi="宋体" w:eastAsia="宋体" w:cs="宋体"/>
          <w:b/>
          <w:bCs/>
          <w:color w:val="auto"/>
          <w:sz w:val="24"/>
          <w:szCs w:val="24"/>
          <w:highlight w:val="none"/>
          <w:u w:val="single"/>
          <w:lang w:eastAsia="zh-CN"/>
        </w:rPr>
      </w:pPr>
      <w:r>
        <w:rPr>
          <w:rFonts w:hint="eastAsia" w:ascii="宋体" w:hAnsi="宋体" w:eastAsia="宋体" w:cs="宋体"/>
          <w:b/>
          <w:bCs/>
          <w:snapToGrid w:val="0"/>
          <w:color w:val="auto"/>
          <w:sz w:val="24"/>
          <w:szCs w:val="24"/>
          <w:lang w:val="en-US" w:eastAsia="zh-CN" w:bidi="ar-SA"/>
        </w:rPr>
        <w:t>（4）</w:t>
      </w:r>
      <w:r>
        <w:rPr>
          <w:rFonts w:hint="eastAsia" w:ascii="宋体" w:hAnsi="宋体" w:eastAsia="宋体" w:cs="宋体"/>
          <w:color w:val="auto"/>
          <w:spacing w:val="-3"/>
          <w:sz w:val="24"/>
          <w:szCs w:val="24"/>
          <w:highlight w:val="none"/>
        </w:rPr>
        <w:t>评标委员会根据招标文件规定的评分细则，对招标文件中的各评审因素进行评审、比较、打分</w:t>
      </w:r>
      <w:r>
        <w:rPr>
          <w:rFonts w:hint="eastAsia" w:ascii="宋体" w:hAnsi="宋体" w:eastAsia="宋体" w:cs="宋体"/>
          <w:b/>
          <w:bCs/>
          <w:color w:val="auto"/>
          <w:sz w:val="24"/>
          <w:szCs w:val="24"/>
          <w:highlight w:val="none"/>
          <w:u w:val="single"/>
        </w:rPr>
        <w:t>,向招标人推荐</w:t>
      </w:r>
      <w:r>
        <w:rPr>
          <w:rFonts w:hint="eastAsia" w:ascii="宋体" w:hAnsi="宋体" w:eastAsia="宋体" w:cs="宋体"/>
          <w:b/>
          <w:bCs/>
          <w:color w:val="auto"/>
          <w:sz w:val="24"/>
          <w:szCs w:val="24"/>
          <w:highlight w:val="none"/>
          <w:u w:val="single"/>
          <w:lang w:val="en-US" w:eastAsia="zh-CN"/>
        </w:rPr>
        <w:t>已明确的</w:t>
      </w:r>
      <w:r>
        <w:rPr>
          <w:rFonts w:hint="eastAsia" w:ascii="宋体" w:hAnsi="宋体" w:eastAsia="宋体" w:cs="宋体"/>
          <w:b/>
          <w:bCs/>
          <w:color w:val="auto"/>
          <w:sz w:val="24"/>
          <w:szCs w:val="24"/>
          <w:highlight w:val="none"/>
          <w:u w:val="single"/>
        </w:rPr>
        <w:t>定标候选人</w:t>
      </w:r>
      <w:r>
        <w:rPr>
          <w:rFonts w:hint="eastAsia" w:ascii="宋体" w:hAnsi="宋体" w:eastAsia="宋体" w:cs="宋体"/>
          <w:b/>
          <w:bCs/>
          <w:color w:val="auto"/>
          <w:sz w:val="24"/>
          <w:szCs w:val="24"/>
          <w:highlight w:val="none"/>
          <w:u w:val="single"/>
          <w:lang w:eastAsia="zh-CN"/>
        </w:rPr>
        <w:t>数量，</w:t>
      </w:r>
      <w:r>
        <w:rPr>
          <w:rFonts w:hint="eastAsia" w:ascii="宋体" w:hAnsi="宋体" w:eastAsia="宋体" w:cs="宋体"/>
          <w:b/>
          <w:bCs/>
          <w:i w:val="0"/>
          <w:color w:val="000000"/>
          <w:sz w:val="24"/>
          <w:highlight w:val="none"/>
          <w:u w:val="single"/>
        </w:rPr>
        <w:t>将综合得分前5名不排序{按企业统一社会信用代码后4位由大到小（或由小到大）排位）}的投标人作为定标候选人推荐给招标人，并对每个定标候选人的优势、风险等评审情况进行说明。当投标人综合得分相同时，以报价低为前；当投标人综合得分相同且报价相同时，由评标委员会投票确定排前</w:t>
      </w:r>
      <w:r>
        <w:rPr>
          <w:rFonts w:hint="eastAsia" w:ascii="宋体" w:hAnsi="宋体" w:eastAsia="宋体" w:cs="宋体"/>
          <w:b/>
          <w:bCs/>
          <w:color w:val="auto"/>
          <w:sz w:val="24"/>
          <w:szCs w:val="24"/>
          <w:highlight w:val="none"/>
          <w:u w:val="single"/>
          <w:lang w:eastAsia="zh-CN"/>
        </w:rPr>
        <w:t>。</w:t>
      </w:r>
    </w:p>
    <w:p w14:paraId="0840AFC7">
      <w:pPr>
        <w:keepNext w:val="0"/>
        <w:keepLines w:val="0"/>
        <w:pageBreakBefore w:val="0"/>
        <w:numPr>
          <w:ilvl w:val="0"/>
          <w:numId w:val="0"/>
        </w:numPr>
        <w:shd w:val="clear" w:color="auto" w:fill="auto"/>
        <w:kinsoku/>
        <w:wordWrap/>
        <w:overflowPunct/>
        <w:topLinePunct w:val="0"/>
        <w:bidi w:val="0"/>
        <w:adjustRightInd/>
        <w:snapToGrid/>
        <w:spacing w:line="400" w:lineRule="exact"/>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评标委员会推荐定标候选人后，</w:t>
      </w:r>
      <w:r>
        <w:rPr>
          <w:rFonts w:hint="eastAsia" w:ascii="宋体" w:hAnsi="宋体" w:eastAsia="宋体" w:cs="宋体"/>
          <w:color w:val="auto"/>
          <w:sz w:val="24"/>
          <w:szCs w:val="24"/>
          <w:highlight w:val="none"/>
        </w:rPr>
        <w:t>招标人应</w:t>
      </w:r>
      <w:r>
        <w:rPr>
          <w:rFonts w:hint="eastAsia" w:ascii="宋体" w:hAnsi="宋体" w:eastAsia="宋体" w:cs="宋体"/>
          <w:color w:val="auto"/>
          <w:sz w:val="24"/>
          <w:szCs w:val="24"/>
          <w:highlight w:val="none"/>
          <w:lang w:eastAsia="zh-CN"/>
        </w:rPr>
        <w:t>于评标会结束后</w:t>
      </w:r>
      <w:r>
        <w:rPr>
          <w:rFonts w:hint="eastAsia" w:ascii="宋体" w:hAnsi="宋体" w:eastAsia="宋体" w:cs="宋体"/>
          <w:color w:val="auto"/>
          <w:sz w:val="24"/>
          <w:szCs w:val="24"/>
          <w:highlight w:val="none"/>
          <w:lang w:val="en-US" w:eastAsia="zh-CN"/>
        </w:rPr>
        <w:t>3日内将</w:t>
      </w: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标候选</w:t>
      </w:r>
      <w:r>
        <w:rPr>
          <w:rFonts w:hint="eastAsia" w:ascii="宋体" w:hAnsi="宋体" w:eastAsia="宋体" w:cs="宋体"/>
          <w:color w:val="auto"/>
          <w:sz w:val="24"/>
          <w:szCs w:val="24"/>
          <w:highlight w:val="none"/>
          <w:lang w:eastAsia="zh-CN"/>
        </w:rPr>
        <w:t>人和评标情况</w:t>
      </w:r>
      <w:r>
        <w:rPr>
          <w:rFonts w:hint="eastAsia" w:ascii="宋体" w:hAnsi="宋体" w:eastAsia="宋体" w:cs="宋体"/>
          <w:color w:val="auto"/>
          <w:sz w:val="24"/>
          <w:szCs w:val="24"/>
          <w:highlight w:val="none"/>
          <w:lang w:val="en-US" w:eastAsia="zh-CN"/>
        </w:rPr>
        <w:t>在广东省招标投标监管网和</w:t>
      </w:r>
      <w:r>
        <w:rPr>
          <w:rFonts w:hint="eastAsia" w:ascii="宋体" w:hAnsi="宋体" w:eastAsia="宋体" w:cs="宋体"/>
          <w:color w:val="auto"/>
          <w:sz w:val="24"/>
          <w:szCs w:val="24"/>
          <w:highlight w:val="none"/>
        </w:rPr>
        <w:t>韶关市公共资源交易中心</w:t>
      </w:r>
      <w:r>
        <w:rPr>
          <w:rFonts w:hint="eastAsia" w:ascii="宋体" w:hAnsi="宋体" w:eastAsia="宋体" w:cs="宋体"/>
          <w:color w:val="auto"/>
          <w:sz w:val="24"/>
          <w:szCs w:val="24"/>
          <w:highlight w:val="none"/>
          <w:lang w:eastAsia="zh-CN"/>
        </w:rPr>
        <w:t>建设工程交易系统</w:t>
      </w:r>
      <w:r>
        <w:rPr>
          <w:rFonts w:hint="eastAsia" w:ascii="宋体" w:hAnsi="宋体" w:eastAsia="宋体" w:cs="宋体"/>
          <w:color w:val="auto"/>
          <w:sz w:val="24"/>
          <w:szCs w:val="24"/>
          <w:highlight w:val="none"/>
          <w:lang w:val="en-US" w:eastAsia="zh-CN"/>
        </w:rPr>
        <w:t>上</w:t>
      </w:r>
      <w:r>
        <w:rPr>
          <w:rFonts w:hint="eastAsia" w:ascii="宋体" w:hAnsi="宋体" w:eastAsia="宋体" w:cs="宋体"/>
          <w:color w:val="auto"/>
          <w:sz w:val="24"/>
          <w:szCs w:val="24"/>
          <w:highlight w:val="none"/>
        </w:rPr>
        <w:t>公示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公示时间不少于3日。</w:t>
      </w:r>
    </w:p>
    <w:p w14:paraId="702F6C94">
      <w:pPr>
        <w:keepNext w:val="0"/>
        <w:keepLines w:val="0"/>
        <w:pageBreakBefore w:val="0"/>
        <w:numPr>
          <w:ilvl w:val="0"/>
          <w:numId w:val="0"/>
        </w:numPr>
        <w:shd w:val="clear" w:color="auto" w:fill="auto"/>
        <w:kinsoku/>
        <w:wordWrap/>
        <w:overflowPunct/>
        <w:topLinePunct w:val="0"/>
        <w:bidi w:val="0"/>
        <w:adjustRightInd/>
        <w:snapToGrid/>
        <w:spacing w:line="400" w:lineRule="exact"/>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2067A038">
      <w:pPr>
        <w:pStyle w:val="7"/>
        <w:keepNext w:val="0"/>
        <w:keepLines w:val="0"/>
        <w:pageBreakBefore w:val="0"/>
        <w:overflowPunct/>
        <w:topLinePunct w:val="0"/>
        <w:bidi w:val="0"/>
        <w:spacing w:line="400" w:lineRule="exact"/>
        <w:rPr>
          <w:rFonts w:hint="eastAsia" w:ascii="宋体" w:hAnsi="宋体" w:eastAsia="宋体" w:cs="宋体"/>
          <w:color w:val="auto"/>
          <w:sz w:val="24"/>
          <w:szCs w:val="24"/>
          <w:highlight w:val="none"/>
        </w:rPr>
      </w:pPr>
    </w:p>
    <w:p w14:paraId="2C7B650C">
      <w:pPr>
        <w:keepNext w:val="0"/>
        <w:keepLines w:val="0"/>
        <w:pageBreakBefore w:val="0"/>
        <w:overflowPunct/>
        <w:topLinePunct w:val="0"/>
        <w:bidi w:val="0"/>
        <w:spacing w:line="400" w:lineRule="exact"/>
        <w:rPr>
          <w:rFonts w:hint="eastAsia"/>
          <w:color w:val="auto"/>
          <w:sz w:val="24"/>
          <w:szCs w:val="24"/>
          <w:highlight w:val="none"/>
        </w:rPr>
      </w:pPr>
    </w:p>
    <w:p w14:paraId="1DAED1C9">
      <w:pPr>
        <w:keepNext w:val="0"/>
        <w:keepLines w:val="0"/>
        <w:pageBreakBefore w:val="0"/>
        <w:overflowPunct/>
        <w:topLinePunct w:val="0"/>
        <w:bidi w:val="0"/>
        <w:spacing w:line="400" w:lineRule="exact"/>
        <w:rPr>
          <w:rFonts w:hint="eastAsia" w:ascii="宋体" w:hAnsi="宋体" w:eastAsia="宋体" w:cs="宋体"/>
          <w:b/>
          <w:bCs/>
          <w:color w:val="auto"/>
          <w:spacing w:val="-6"/>
          <w:sz w:val="24"/>
          <w:szCs w:val="24"/>
          <w:highlight w:val="none"/>
        </w:rPr>
      </w:pPr>
      <w:bookmarkStart w:id="129" w:name="_Toc17375"/>
      <w:bookmarkStart w:id="130" w:name="_Toc16801"/>
      <w:bookmarkStart w:id="131" w:name="_Toc3020"/>
    </w:p>
    <w:p w14:paraId="02D2EBEC">
      <w:pPr>
        <w:keepNext w:val="0"/>
        <w:keepLines w:val="0"/>
        <w:pageBreakBefore w:val="0"/>
        <w:overflowPunct/>
        <w:topLinePunct w:val="0"/>
        <w:bidi w:val="0"/>
        <w:spacing w:before="98" w:line="400" w:lineRule="exact"/>
        <w:ind w:left="4248"/>
        <w:outlineLvl w:val="9"/>
        <w:rPr>
          <w:rFonts w:hint="eastAsia" w:ascii="宋体" w:hAnsi="宋体" w:eastAsia="宋体" w:cs="宋体"/>
          <w:b/>
          <w:bCs/>
          <w:color w:val="auto"/>
          <w:spacing w:val="-6"/>
          <w:sz w:val="24"/>
          <w:szCs w:val="24"/>
          <w:highlight w:val="none"/>
        </w:rPr>
      </w:pPr>
    </w:p>
    <w:p w14:paraId="35A76EE2">
      <w:pPr>
        <w:keepNext w:val="0"/>
        <w:keepLines w:val="0"/>
        <w:pageBreakBefore w:val="0"/>
        <w:overflowPunct/>
        <w:topLinePunct w:val="0"/>
        <w:bidi w:val="0"/>
        <w:spacing w:before="98" w:line="400" w:lineRule="exact"/>
        <w:ind w:left="4248"/>
        <w:outlineLvl w:val="9"/>
        <w:rPr>
          <w:rFonts w:hint="eastAsia" w:ascii="宋体" w:hAnsi="宋体" w:eastAsia="宋体" w:cs="宋体"/>
          <w:b/>
          <w:bCs/>
          <w:color w:val="auto"/>
          <w:spacing w:val="-6"/>
          <w:sz w:val="24"/>
          <w:szCs w:val="24"/>
          <w:highlight w:val="none"/>
        </w:rPr>
      </w:pPr>
    </w:p>
    <w:p w14:paraId="343DA443">
      <w:pPr>
        <w:keepNext w:val="0"/>
        <w:keepLines w:val="0"/>
        <w:pageBreakBefore w:val="0"/>
        <w:overflowPunct/>
        <w:topLinePunct w:val="0"/>
        <w:bidi w:val="0"/>
        <w:spacing w:before="98" w:line="400" w:lineRule="exact"/>
        <w:ind w:left="4248"/>
        <w:outlineLvl w:val="9"/>
        <w:rPr>
          <w:rFonts w:hint="eastAsia" w:ascii="宋体" w:hAnsi="宋体" w:eastAsia="宋体" w:cs="宋体"/>
          <w:b/>
          <w:bCs/>
          <w:color w:val="auto"/>
          <w:spacing w:val="-6"/>
          <w:sz w:val="24"/>
          <w:szCs w:val="24"/>
          <w:highlight w:val="none"/>
        </w:rPr>
      </w:pPr>
    </w:p>
    <w:p w14:paraId="08544D88">
      <w:pPr>
        <w:keepNext w:val="0"/>
        <w:keepLines w:val="0"/>
        <w:pageBreakBefore w:val="0"/>
        <w:overflowPunct/>
        <w:topLinePunct w:val="0"/>
        <w:bidi w:val="0"/>
        <w:spacing w:before="98" w:line="400" w:lineRule="exact"/>
        <w:ind w:left="4248"/>
        <w:outlineLvl w:val="9"/>
        <w:rPr>
          <w:rFonts w:hint="eastAsia" w:ascii="宋体" w:hAnsi="宋体" w:eastAsia="宋体" w:cs="宋体"/>
          <w:b/>
          <w:bCs/>
          <w:color w:val="auto"/>
          <w:spacing w:val="-6"/>
          <w:sz w:val="24"/>
          <w:szCs w:val="24"/>
          <w:highlight w:val="none"/>
        </w:rPr>
      </w:pPr>
    </w:p>
    <w:p w14:paraId="78A8A2CD">
      <w:pPr>
        <w:keepNext w:val="0"/>
        <w:keepLines w:val="0"/>
        <w:pageBreakBefore w:val="0"/>
        <w:overflowPunct/>
        <w:topLinePunct w:val="0"/>
        <w:bidi w:val="0"/>
        <w:spacing w:before="98" w:line="400" w:lineRule="exact"/>
        <w:ind w:left="4248"/>
        <w:outlineLvl w:val="9"/>
        <w:rPr>
          <w:rFonts w:hint="eastAsia" w:ascii="宋体" w:hAnsi="宋体" w:eastAsia="宋体" w:cs="宋体"/>
          <w:b/>
          <w:bCs/>
          <w:color w:val="auto"/>
          <w:spacing w:val="-6"/>
          <w:sz w:val="24"/>
          <w:szCs w:val="24"/>
          <w:highlight w:val="none"/>
        </w:rPr>
      </w:pPr>
    </w:p>
    <w:p w14:paraId="4BB0B354">
      <w:pPr>
        <w:keepNext w:val="0"/>
        <w:keepLines w:val="0"/>
        <w:pageBreakBefore w:val="0"/>
        <w:overflowPunct/>
        <w:topLinePunct w:val="0"/>
        <w:bidi w:val="0"/>
        <w:spacing w:before="98" w:line="400" w:lineRule="exact"/>
        <w:ind w:left="4248"/>
        <w:outlineLvl w:val="9"/>
        <w:rPr>
          <w:rFonts w:hint="eastAsia" w:ascii="宋体" w:hAnsi="宋体" w:eastAsia="宋体" w:cs="宋体"/>
          <w:b/>
          <w:bCs/>
          <w:color w:val="auto"/>
          <w:spacing w:val="-6"/>
          <w:sz w:val="24"/>
          <w:szCs w:val="24"/>
          <w:highlight w:val="none"/>
        </w:rPr>
      </w:pPr>
    </w:p>
    <w:p w14:paraId="08D125DC">
      <w:pPr>
        <w:keepNext w:val="0"/>
        <w:keepLines w:val="0"/>
        <w:pageBreakBefore w:val="0"/>
        <w:overflowPunct/>
        <w:topLinePunct w:val="0"/>
        <w:bidi w:val="0"/>
        <w:spacing w:before="98" w:line="400" w:lineRule="exact"/>
        <w:ind w:left="4248"/>
        <w:outlineLvl w:val="9"/>
        <w:rPr>
          <w:rFonts w:hint="eastAsia" w:ascii="宋体" w:hAnsi="宋体" w:eastAsia="宋体" w:cs="宋体"/>
          <w:b/>
          <w:bCs/>
          <w:color w:val="auto"/>
          <w:spacing w:val="-6"/>
          <w:sz w:val="24"/>
          <w:szCs w:val="24"/>
          <w:highlight w:val="none"/>
        </w:rPr>
      </w:pPr>
    </w:p>
    <w:p w14:paraId="5816365F">
      <w:pPr>
        <w:keepNext w:val="0"/>
        <w:keepLines w:val="0"/>
        <w:pageBreakBefore w:val="0"/>
        <w:overflowPunct/>
        <w:topLinePunct w:val="0"/>
        <w:bidi w:val="0"/>
        <w:spacing w:before="98" w:line="400" w:lineRule="exact"/>
        <w:ind w:left="4248"/>
        <w:outlineLvl w:val="9"/>
        <w:rPr>
          <w:rFonts w:hint="eastAsia" w:ascii="宋体" w:hAnsi="宋体" w:eastAsia="宋体" w:cs="宋体"/>
          <w:b/>
          <w:bCs/>
          <w:color w:val="auto"/>
          <w:spacing w:val="-6"/>
          <w:sz w:val="24"/>
          <w:szCs w:val="24"/>
          <w:highlight w:val="none"/>
        </w:rPr>
      </w:pPr>
    </w:p>
    <w:p w14:paraId="10E0D645">
      <w:pPr>
        <w:keepNext w:val="0"/>
        <w:keepLines w:val="0"/>
        <w:pageBreakBefore w:val="0"/>
        <w:overflowPunct/>
        <w:topLinePunct w:val="0"/>
        <w:bidi w:val="0"/>
        <w:spacing w:before="98" w:line="400" w:lineRule="exact"/>
        <w:ind w:left="4248"/>
        <w:outlineLvl w:val="9"/>
        <w:rPr>
          <w:rFonts w:hint="eastAsia" w:ascii="宋体" w:hAnsi="宋体" w:eastAsia="宋体" w:cs="宋体"/>
          <w:b/>
          <w:bCs/>
          <w:color w:val="auto"/>
          <w:spacing w:val="-6"/>
          <w:sz w:val="24"/>
          <w:szCs w:val="24"/>
          <w:highlight w:val="none"/>
        </w:rPr>
      </w:pPr>
    </w:p>
    <w:p w14:paraId="20C5AD56">
      <w:pPr>
        <w:spacing w:before="98" w:line="221" w:lineRule="auto"/>
        <w:ind w:left="4248"/>
        <w:outlineLvl w:val="9"/>
        <w:rPr>
          <w:rFonts w:hint="eastAsia" w:ascii="宋体" w:hAnsi="宋体" w:eastAsia="宋体" w:cs="宋体"/>
          <w:b/>
          <w:bCs/>
          <w:color w:val="auto"/>
          <w:spacing w:val="-6"/>
          <w:sz w:val="24"/>
          <w:szCs w:val="24"/>
          <w:highlight w:val="none"/>
        </w:rPr>
      </w:pPr>
    </w:p>
    <w:p w14:paraId="1A65F6FC">
      <w:pPr>
        <w:spacing w:before="98" w:line="221" w:lineRule="auto"/>
        <w:ind w:left="4248"/>
        <w:outlineLvl w:val="9"/>
        <w:rPr>
          <w:rFonts w:hint="eastAsia" w:ascii="宋体" w:hAnsi="宋体" w:eastAsia="宋体" w:cs="宋体"/>
          <w:b/>
          <w:bCs/>
          <w:color w:val="auto"/>
          <w:spacing w:val="-6"/>
          <w:sz w:val="24"/>
          <w:szCs w:val="24"/>
          <w:highlight w:val="none"/>
        </w:rPr>
      </w:pPr>
    </w:p>
    <w:p w14:paraId="176E7A41">
      <w:pPr>
        <w:spacing w:before="98" w:line="221" w:lineRule="auto"/>
        <w:ind w:left="4248"/>
        <w:outlineLvl w:val="9"/>
        <w:rPr>
          <w:rFonts w:hint="eastAsia" w:ascii="宋体" w:hAnsi="宋体" w:eastAsia="宋体" w:cs="宋体"/>
          <w:b/>
          <w:bCs/>
          <w:color w:val="auto"/>
          <w:spacing w:val="-6"/>
          <w:sz w:val="24"/>
          <w:szCs w:val="24"/>
          <w:highlight w:val="none"/>
        </w:rPr>
      </w:pPr>
    </w:p>
    <w:p w14:paraId="7518D4FD">
      <w:pPr>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br w:type="page"/>
      </w:r>
    </w:p>
    <w:p w14:paraId="40D4E59D">
      <w:pPr>
        <w:spacing w:before="98" w:line="221" w:lineRule="auto"/>
        <w:ind w:left="4248"/>
        <w:outlineLvl w:val="9"/>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综合评分表</w:t>
      </w:r>
      <w:bookmarkEnd w:id="129"/>
      <w:bookmarkEnd w:id="130"/>
      <w:bookmarkEnd w:id="131"/>
    </w:p>
    <w:tbl>
      <w:tblPr>
        <w:tblStyle w:val="17"/>
        <w:tblW w:w="104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5"/>
        <w:gridCol w:w="344"/>
        <w:gridCol w:w="3894"/>
        <w:gridCol w:w="4871"/>
      </w:tblGrid>
      <w:tr w14:paraId="23D9B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05F64A04">
            <w:pPr>
              <w:pStyle w:val="7"/>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both"/>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商务部分，满分：</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 xml:space="preserve"> 80 </w:t>
            </w:r>
            <w:r>
              <w:rPr>
                <w:rFonts w:hint="eastAsia" w:ascii="宋体" w:hAnsi="宋体" w:eastAsia="宋体" w:cs="宋体"/>
                <w:b/>
                <w:bCs/>
                <w:caps w:val="0"/>
                <w:smallCaps w:val="0"/>
                <w:snapToGrid w:val="0"/>
                <w:color w:val="auto"/>
                <w:spacing w:val="0"/>
                <w:kern w:val="0"/>
                <w:sz w:val="24"/>
                <w:szCs w:val="24"/>
                <w:highlight w:val="none"/>
                <w:lang w:val="en-US" w:eastAsia="zh-CN"/>
              </w:rPr>
              <w:t>分。</w:t>
            </w:r>
          </w:p>
        </w:tc>
      </w:tr>
      <w:tr w14:paraId="0FA26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exac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2408D0FB">
            <w:pPr>
              <w:pStyle w:val="7"/>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评分因素</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1734A7C4">
            <w:pPr>
              <w:pStyle w:val="7"/>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评分标准</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7228D456">
            <w:pPr>
              <w:pStyle w:val="7"/>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rPr>
                <w:rFonts w:hint="eastAsia" w:ascii="宋体" w:hAnsi="宋体" w:eastAsia="宋体" w:cs="宋体"/>
                <w:b/>
                <w:bCs/>
                <w:caps w:val="0"/>
                <w:smallCaps w:val="0"/>
                <w:snapToGrid w:val="0"/>
                <w:color w:val="auto"/>
                <w:spacing w:val="0"/>
                <w:kern w:val="0"/>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lang w:val="en-US" w:eastAsia="zh-CN"/>
              </w:rPr>
              <w:t>备注</w:t>
            </w:r>
          </w:p>
        </w:tc>
      </w:tr>
      <w:tr w14:paraId="7861A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2"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09A9255F">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企业奖项</w:t>
            </w:r>
          </w:p>
          <w:p w14:paraId="06331B42">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15</w:t>
            </w:r>
            <w:r>
              <w:rPr>
                <w:rFonts w:hint="eastAsia" w:ascii="宋体" w:hAnsi="宋体" w:eastAsia="宋体" w:cs="宋体"/>
                <w:snapToGrid w:val="0"/>
                <w:color w:val="auto"/>
                <w:kern w:val="0"/>
                <w:sz w:val="24"/>
                <w:szCs w:val="24"/>
                <w:highlight w:val="none"/>
              </w:rPr>
              <w:t>分）(组成联合体投标的由联合体牵头人提供)</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60EC0875">
            <w:pPr>
              <w:pStyle w:val="7"/>
              <w:keepNext w:val="0"/>
              <w:keepLines w:val="0"/>
              <w:pageBreakBefore w:val="0"/>
              <w:wordWrap w:val="0"/>
              <w:overflowPunct/>
              <w:topLinePunct w:val="0"/>
              <w:bidi w:val="0"/>
              <w:adjustRightInd w:val="0"/>
              <w:snapToGrid w:val="0"/>
              <w:spacing w:after="0" w:line="410" w:lineRule="exact"/>
              <w:ind w:right="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企业近</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年来（20</w:t>
            </w:r>
            <w:r>
              <w:rPr>
                <w:rFonts w:hint="eastAsia" w:ascii="宋体" w:hAnsi="宋体" w:eastAsia="宋体" w:cs="宋体"/>
                <w:snapToGrid w:val="0"/>
                <w:color w:val="auto"/>
                <w:kern w:val="0"/>
                <w:sz w:val="24"/>
                <w:szCs w:val="24"/>
                <w:highlight w:val="none"/>
                <w:lang w:val="en-US" w:eastAsia="zh-CN"/>
              </w:rPr>
              <w:t>21</w:t>
            </w:r>
            <w:r>
              <w:rPr>
                <w:rFonts w:hint="eastAsia" w:ascii="宋体" w:hAnsi="宋体" w:eastAsia="宋体" w:cs="宋体"/>
                <w:snapToGrid w:val="0"/>
                <w:color w:val="auto"/>
                <w:kern w:val="0"/>
                <w:sz w:val="24"/>
                <w:szCs w:val="24"/>
                <w:highlight w:val="none"/>
              </w:rPr>
              <w:t>年1月1日至今）获得</w:t>
            </w:r>
            <w:r>
              <w:rPr>
                <w:rFonts w:hint="eastAsia" w:ascii="宋体" w:hAnsi="宋体" w:eastAsia="宋体" w:cs="宋体"/>
                <w:b/>
                <w:bCs/>
                <w:snapToGrid w:val="0"/>
                <w:color w:val="auto"/>
                <w:kern w:val="0"/>
                <w:sz w:val="24"/>
                <w:szCs w:val="24"/>
                <w:highlight w:val="none"/>
                <w:u w:val="single"/>
              </w:rPr>
              <w:t>市政</w:t>
            </w:r>
            <w:r>
              <w:rPr>
                <w:rFonts w:hint="eastAsia" w:ascii="宋体" w:hAnsi="宋体" w:eastAsia="宋体" w:cs="宋体"/>
                <w:snapToGrid w:val="0"/>
                <w:color w:val="auto"/>
                <w:kern w:val="0"/>
                <w:sz w:val="24"/>
                <w:szCs w:val="24"/>
                <w:highlight w:val="none"/>
              </w:rPr>
              <w:t>工程类奖项情况：</w:t>
            </w:r>
          </w:p>
          <w:p w14:paraId="0DEC4494">
            <w:pPr>
              <w:keepNext w:val="0"/>
              <w:keepLines w:val="0"/>
              <w:pageBreakBefore w:val="0"/>
              <w:overflowPunct/>
              <w:topLinePunct w:val="0"/>
              <w:bidi w:val="0"/>
              <w:adjustRightInd w:val="0"/>
              <w:snapToGrid w:val="0"/>
              <w:spacing w:line="410" w:lineRule="exact"/>
              <w:ind w:right="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w:t>
            </w:r>
            <w:r>
              <w:rPr>
                <w:rFonts w:hint="eastAsia" w:ascii="宋体" w:hAnsi="宋体" w:eastAsia="宋体" w:cs="宋体"/>
                <w:color w:val="auto"/>
                <w:spacing w:val="-12"/>
                <w:sz w:val="24"/>
                <w:szCs w:val="24"/>
                <w:highlight w:val="none"/>
                <w:lang w:val="en-US" w:eastAsia="zh-CN"/>
              </w:rPr>
              <w:t>.</w:t>
            </w:r>
            <w:r>
              <w:rPr>
                <w:rFonts w:hint="eastAsia" w:ascii="宋体" w:hAnsi="宋体" w:eastAsia="宋体" w:cs="宋体"/>
                <w:color w:val="auto"/>
                <w:spacing w:val="8"/>
                <w:sz w:val="24"/>
                <w:szCs w:val="24"/>
                <w:highlight w:val="none"/>
              </w:rPr>
              <w:t>获得国家级奖项的，每个得</w:t>
            </w:r>
            <w:r>
              <w:rPr>
                <w:rFonts w:hint="eastAsia" w:ascii="宋体" w:hAnsi="宋体" w:eastAsia="宋体" w:cs="宋体"/>
                <w:color w:val="auto"/>
                <w:spacing w:val="8"/>
                <w:sz w:val="24"/>
                <w:szCs w:val="24"/>
                <w:highlight w:val="none"/>
                <w:u w:val="single"/>
                <w:lang w:val="en-US" w:eastAsia="zh-CN"/>
              </w:rPr>
              <w:t>12</w:t>
            </w:r>
            <w:r>
              <w:rPr>
                <w:rFonts w:hint="eastAsia" w:ascii="宋体" w:hAnsi="宋体" w:eastAsia="宋体" w:cs="宋体"/>
                <w:color w:val="auto"/>
                <w:spacing w:val="-1"/>
                <w:sz w:val="24"/>
                <w:szCs w:val="24"/>
                <w:highlight w:val="none"/>
              </w:rPr>
              <w:t>分。</w:t>
            </w:r>
          </w:p>
          <w:p w14:paraId="4F71B968">
            <w:pPr>
              <w:keepNext w:val="0"/>
              <w:keepLines w:val="0"/>
              <w:pageBreakBefore w:val="0"/>
              <w:overflowPunct/>
              <w:topLinePunct w:val="0"/>
              <w:bidi w:val="0"/>
              <w:adjustRightInd w:val="0"/>
              <w:snapToGrid w:val="0"/>
              <w:spacing w:line="410" w:lineRule="exact"/>
              <w:ind w:right="0"/>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w:t>
            </w:r>
            <w:r>
              <w:rPr>
                <w:rFonts w:hint="eastAsia" w:ascii="宋体" w:hAnsi="宋体" w:eastAsia="宋体" w:cs="宋体"/>
                <w:color w:val="auto"/>
                <w:spacing w:val="-12"/>
                <w:sz w:val="24"/>
                <w:szCs w:val="24"/>
                <w:highlight w:val="none"/>
                <w:lang w:val="en-US" w:eastAsia="zh-CN"/>
              </w:rPr>
              <w:t>.</w:t>
            </w:r>
            <w:r>
              <w:rPr>
                <w:rFonts w:hint="eastAsia" w:ascii="宋体" w:hAnsi="宋体" w:eastAsia="宋体" w:cs="宋体"/>
                <w:color w:val="auto"/>
                <w:spacing w:val="3"/>
                <w:sz w:val="24"/>
                <w:szCs w:val="24"/>
                <w:highlight w:val="none"/>
              </w:rPr>
              <w:t>获得省级奖项的，每个得</w:t>
            </w:r>
            <w:r>
              <w:rPr>
                <w:rFonts w:hint="eastAsia" w:ascii="宋体" w:hAnsi="宋体" w:eastAsia="宋体" w:cs="宋体"/>
                <w:color w:val="auto"/>
                <w:spacing w:val="3"/>
                <w:sz w:val="24"/>
                <w:szCs w:val="24"/>
                <w:highlight w:val="none"/>
                <w:u w:val="single"/>
                <w:lang w:val="en-US" w:eastAsia="zh-CN"/>
              </w:rPr>
              <w:t>8</w:t>
            </w:r>
            <w:r>
              <w:rPr>
                <w:rFonts w:hint="eastAsia" w:ascii="宋体" w:hAnsi="宋体" w:eastAsia="宋体" w:cs="宋体"/>
                <w:color w:val="auto"/>
                <w:spacing w:val="3"/>
                <w:sz w:val="24"/>
                <w:szCs w:val="24"/>
                <w:highlight w:val="none"/>
              </w:rPr>
              <w:t>分。</w:t>
            </w:r>
          </w:p>
          <w:p w14:paraId="50F69F2C">
            <w:pPr>
              <w:keepNext w:val="0"/>
              <w:keepLines w:val="0"/>
              <w:pageBreakBefore w:val="0"/>
              <w:overflowPunct/>
              <w:topLinePunct w:val="0"/>
              <w:bidi w:val="0"/>
              <w:adjustRightInd w:val="0"/>
              <w:snapToGrid w:val="0"/>
              <w:spacing w:line="410" w:lineRule="exact"/>
              <w:ind w:right="0"/>
              <w:jc w:val="left"/>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4"/>
                <w:sz w:val="24"/>
                <w:szCs w:val="24"/>
                <w:highlight w:val="none"/>
                <w:lang w:val="en-US" w:eastAsia="zh-CN"/>
              </w:rPr>
              <w:t>.</w:t>
            </w:r>
            <w:r>
              <w:rPr>
                <w:rFonts w:hint="eastAsia" w:ascii="宋体" w:hAnsi="宋体" w:eastAsia="宋体" w:cs="宋体"/>
                <w:color w:val="auto"/>
                <w:spacing w:val="8"/>
                <w:sz w:val="24"/>
                <w:szCs w:val="24"/>
                <w:highlight w:val="none"/>
              </w:rPr>
              <w:t>获得地市级奖项的，每个得</w:t>
            </w:r>
            <w:r>
              <w:rPr>
                <w:rFonts w:hint="eastAsia" w:ascii="宋体" w:hAnsi="宋体" w:eastAsia="宋体" w:cs="宋体"/>
                <w:color w:val="auto"/>
                <w:spacing w:val="8"/>
                <w:sz w:val="24"/>
                <w:szCs w:val="24"/>
                <w:highlight w:val="none"/>
                <w:u w:val="single"/>
                <w:lang w:val="en-US" w:eastAsia="zh-CN"/>
              </w:rPr>
              <w:t>3</w:t>
            </w:r>
            <w:r>
              <w:rPr>
                <w:rFonts w:hint="eastAsia" w:ascii="宋体" w:hAnsi="宋体" w:eastAsia="宋体" w:cs="宋体"/>
                <w:color w:val="auto"/>
                <w:spacing w:val="-1"/>
                <w:sz w:val="24"/>
                <w:szCs w:val="24"/>
                <w:highlight w:val="none"/>
              </w:rPr>
              <w:t>分。</w:t>
            </w:r>
          </w:p>
          <w:p w14:paraId="1222FCAB">
            <w:pPr>
              <w:keepNext w:val="0"/>
              <w:keepLines w:val="0"/>
              <w:pageBreakBefore w:val="0"/>
              <w:overflowPunct/>
              <w:topLinePunct w:val="0"/>
              <w:bidi w:val="0"/>
              <w:adjustRightInd w:val="0"/>
              <w:snapToGrid w:val="0"/>
              <w:spacing w:line="410" w:lineRule="exact"/>
              <w:ind w:right="0"/>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r>
              <w:rPr>
                <w:rFonts w:hint="eastAsia" w:ascii="宋体" w:hAnsi="宋体" w:eastAsia="宋体" w:cs="宋体"/>
                <w:color w:val="auto"/>
                <w:spacing w:val="-1"/>
                <w:sz w:val="24"/>
                <w:szCs w:val="24"/>
                <w:highlight w:val="none"/>
                <w:lang w:val="en-US" w:eastAsia="zh-CN"/>
              </w:rPr>
              <w:t>.</w:t>
            </w:r>
            <w:r>
              <w:rPr>
                <w:rFonts w:hint="eastAsia" w:ascii="宋体" w:hAnsi="宋体" w:eastAsia="宋体" w:cs="宋体"/>
                <w:color w:val="auto"/>
                <w:spacing w:val="-1"/>
                <w:sz w:val="24"/>
                <w:szCs w:val="24"/>
                <w:highlight w:val="none"/>
              </w:rPr>
              <w:t>以上奖项均未获得的，不予计分。</w:t>
            </w:r>
          </w:p>
          <w:p w14:paraId="114B36C6">
            <w:pPr>
              <w:pStyle w:val="7"/>
              <w:keepNext w:val="0"/>
              <w:keepLines w:val="0"/>
              <w:pageBreakBefore w:val="0"/>
              <w:widowControl w:val="0"/>
              <w:kinsoku/>
              <w:wordWrap w:val="0"/>
              <w:overflowPunct/>
              <w:topLinePunct w:val="0"/>
              <w:autoSpaceDE/>
              <w:autoSpaceDN/>
              <w:bidi w:val="0"/>
              <w:adjustRightInd w:val="0"/>
              <w:snapToGrid w:val="0"/>
              <w:spacing w:after="0" w:line="410" w:lineRule="exact"/>
              <w:ind w:right="0" w:rightChars="0"/>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5</w:t>
            </w:r>
            <w:r>
              <w:rPr>
                <w:rFonts w:hint="eastAsia" w:ascii="宋体" w:hAnsi="宋体" w:eastAsia="宋体" w:cs="宋体"/>
                <w:color w:val="auto"/>
                <w:spacing w:val="-14"/>
                <w:sz w:val="24"/>
                <w:szCs w:val="24"/>
                <w:highlight w:val="none"/>
                <w:lang w:val="en-US" w:eastAsia="zh-CN"/>
              </w:rPr>
              <w:t>.</w:t>
            </w:r>
            <w:r>
              <w:rPr>
                <w:rFonts w:hint="eastAsia" w:ascii="宋体" w:hAnsi="宋体" w:eastAsia="宋体" w:cs="宋体"/>
                <w:color w:val="auto"/>
                <w:sz w:val="24"/>
                <w:szCs w:val="24"/>
                <w:highlight w:val="none"/>
              </w:rPr>
              <w:t>本项最高得</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分。</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4BBD9F81">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1.允许投标人提交多个业绩，但同一业绩只按最高级别奖项计分一次。</w:t>
            </w:r>
          </w:p>
          <w:p w14:paraId="7A12B0E4">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2.需附有关奖项证明彩色扫描件（奖项证明为电子证书的除外）。</w:t>
            </w:r>
          </w:p>
          <w:p w14:paraId="2B3F8106">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3.颁发机构限定以下范围：</w:t>
            </w:r>
          </w:p>
          <w:p w14:paraId="54816F97">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snapToGrid w:val="0"/>
                <w:color w:val="auto"/>
                <w:kern w:val="0"/>
                <w:sz w:val="24"/>
                <w:szCs w:val="24"/>
                <w:highlight w:val="none"/>
                <w:u w:val="single"/>
                <w:lang w:val="en-US" w:eastAsia="zh-CN"/>
              </w:rPr>
            </w:pPr>
            <w:r>
              <w:rPr>
                <w:rFonts w:hint="eastAsia" w:ascii="宋体" w:hAnsi="宋体" w:eastAsia="宋体" w:cs="宋体"/>
                <w:snapToGrid w:val="0"/>
                <w:color w:val="auto"/>
                <w:kern w:val="0"/>
                <w:sz w:val="24"/>
                <w:szCs w:val="24"/>
                <w:highlight w:val="none"/>
                <w:lang w:val="en-US" w:eastAsia="zh-CN"/>
              </w:rPr>
              <w:t>①国家级奖项：</w:t>
            </w:r>
            <w:r>
              <w:rPr>
                <w:rFonts w:hint="eastAsia" w:ascii="宋体" w:hAnsi="宋体" w:eastAsia="宋体" w:cs="宋体"/>
                <w:snapToGrid w:val="0"/>
                <w:color w:val="auto"/>
                <w:kern w:val="0"/>
                <w:sz w:val="24"/>
                <w:szCs w:val="24"/>
                <w:highlight w:val="none"/>
                <w:u w:val="single"/>
                <w:lang w:val="en-US" w:eastAsia="zh-CN"/>
              </w:rPr>
              <w:t>国务院、住建部、国家级建筑行业协会、国家级市政行业协会（相关协会需经民政部门备案）；</w:t>
            </w:r>
          </w:p>
          <w:p w14:paraId="3AAAB887">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②省级奖项：</w:t>
            </w:r>
            <w:r>
              <w:rPr>
                <w:rFonts w:hint="eastAsia" w:ascii="宋体" w:hAnsi="宋体" w:eastAsia="宋体" w:cs="宋体"/>
                <w:snapToGrid w:val="0"/>
                <w:color w:val="auto"/>
                <w:kern w:val="0"/>
                <w:sz w:val="24"/>
                <w:szCs w:val="24"/>
                <w:highlight w:val="none"/>
                <w:u w:val="single"/>
                <w:lang w:val="en-US" w:eastAsia="zh-CN"/>
              </w:rPr>
              <w:t>省级人民政府、省级住建部门、省级建筑行业协会、省级市政行业协会（相关协会需经民政部门备案）；</w:t>
            </w:r>
          </w:p>
          <w:p w14:paraId="1B06E747">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snapToGrid w:val="0"/>
                <w:color w:val="auto"/>
                <w:kern w:val="0"/>
                <w:sz w:val="24"/>
                <w:szCs w:val="24"/>
                <w:highlight w:val="none"/>
                <w:u w:val="single"/>
                <w:lang w:val="en-US" w:eastAsia="zh-CN"/>
              </w:rPr>
            </w:pPr>
            <w:r>
              <w:rPr>
                <w:rFonts w:hint="eastAsia" w:ascii="宋体" w:hAnsi="宋体" w:eastAsia="宋体" w:cs="宋体"/>
                <w:snapToGrid w:val="0"/>
                <w:color w:val="auto"/>
                <w:kern w:val="0"/>
                <w:sz w:val="24"/>
                <w:szCs w:val="24"/>
                <w:highlight w:val="none"/>
                <w:lang w:val="en-US" w:eastAsia="zh-CN"/>
              </w:rPr>
              <w:t>③地市级奖项：</w:t>
            </w:r>
            <w:r>
              <w:rPr>
                <w:rFonts w:hint="eastAsia" w:ascii="宋体" w:hAnsi="宋体" w:eastAsia="宋体" w:cs="宋体"/>
                <w:snapToGrid w:val="0"/>
                <w:color w:val="auto"/>
                <w:kern w:val="0"/>
                <w:sz w:val="24"/>
                <w:szCs w:val="24"/>
                <w:highlight w:val="none"/>
                <w:u w:val="single"/>
                <w:lang w:val="en-US" w:eastAsia="zh-CN"/>
              </w:rPr>
              <w:t>地市级人民政府、地市级住建部门、地市级建筑行业协会、地市级市政行业协会（相关协会需经民政部门备案）。</w:t>
            </w:r>
          </w:p>
          <w:p w14:paraId="4E650C17">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4.获奖时间以奖项证明的落款日期为准。</w:t>
            </w:r>
          </w:p>
          <w:p w14:paraId="61D87200">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5.任一奖项有以下情形之一的，该奖项视为无效，不予计分：</w:t>
            </w:r>
          </w:p>
          <w:p w14:paraId="4E98279D">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①奖项不属于指定类别的；</w:t>
            </w:r>
          </w:p>
          <w:p w14:paraId="0307E7E0">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②颁发机构不符合要求的；</w:t>
            </w:r>
          </w:p>
          <w:p w14:paraId="0848B07E">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③获奖时间不符合要求的。</w:t>
            </w:r>
          </w:p>
          <w:p w14:paraId="1B3BA400">
            <w:pPr>
              <w:pStyle w:val="7"/>
              <w:keepNext w:val="0"/>
              <w:keepLines w:val="0"/>
              <w:pageBreakBefore w:val="0"/>
              <w:widowControl w:val="0"/>
              <w:kinsoku/>
              <w:wordWrap w:val="0"/>
              <w:overflowPunct/>
              <w:topLinePunct w:val="0"/>
              <w:autoSpaceDE/>
              <w:autoSpaceDN/>
              <w:bidi w:val="0"/>
              <w:adjustRightInd w:val="0"/>
              <w:snapToGrid w:val="0"/>
              <w:spacing w:after="0" w:line="410" w:lineRule="exact"/>
              <w:textAlignment w:val="auto"/>
              <w:rPr>
                <w:rFonts w:hint="eastAsia"/>
                <w:color w:val="auto"/>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说明：以上所称“要求”均指本表评分标准及备注的要求，下同。</w:t>
            </w:r>
          </w:p>
        </w:tc>
      </w:tr>
      <w:tr w14:paraId="1E6D1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9"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4E2055FD">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p w14:paraId="67BB7F21">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综合素质</w:t>
            </w:r>
          </w:p>
          <w:p w14:paraId="3B4B5B65">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分）(组成联合体投标的由联合体牵头人提供)</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787863A4">
            <w:pPr>
              <w:pStyle w:val="7"/>
              <w:keepNext w:val="0"/>
              <w:keepLines w:val="0"/>
              <w:pageBreakBefore w:val="0"/>
              <w:widowControl w:val="0"/>
              <w:kinsoku/>
              <w:wordWrap w:val="0"/>
              <w:overflowPunct/>
              <w:topLinePunct w:val="0"/>
              <w:autoSpaceDE/>
              <w:autoSpaceDN/>
              <w:bidi w:val="0"/>
              <w:adjustRightInd w:val="0"/>
              <w:snapToGrid w:val="0"/>
              <w:spacing w:after="0" w:line="410" w:lineRule="exact"/>
              <w:textAlignment w:val="auto"/>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项目经理工程类技术职称情况：</w:t>
            </w:r>
          </w:p>
          <w:p w14:paraId="5F83D7BD">
            <w:pPr>
              <w:pStyle w:val="7"/>
              <w:keepNext w:val="0"/>
              <w:keepLines w:val="0"/>
              <w:pageBreakBefore w:val="0"/>
              <w:widowControl w:val="0"/>
              <w:kinsoku/>
              <w:wordWrap w:val="0"/>
              <w:overflowPunct/>
              <w:topLinePunct w:val="0"/>
              <w:autoSpaceDE/>
              <w:autoSpaceDN/>
              <w:bidi w:val="0"/>
              <w:adjustRightInd w:val="0"/>
              <w:snapToGrid w:val="0"/>
              <w:spacing w:after="0" w:line="410" w:lineRule="exact"/>
              <w:textAlignment w:val="auto"/>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1.具备</w:t>
            </w: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工程师</w:t>
            </w:r>
            <w:r>
              <w:rPr>
                <w:rFonts w:hint="eastAsia" w:ascii="宋体" w:hAnsi="宋体" w:eastAsia="宋体" w:cs="宋体"/>
                <w:caps w:val="0"/>
                <w:smallCaps w:val="0"/>
                <w:snapToGrid w:val="0"/>
                <w:color w:val="auto"/>
                <w:spacing w:val="0"/>
                <w:kern w:val="0"/>
                <w:sz w:val="24"/>
                <w:szCs w:val="24"/>
                <w:highlight w:val="none"/>
                <w:lang w:val="en-US" w:eastAsia="zh-CN" w:bidi="ar-SA"/>
              </w:rPr>
              <w:t>或以上职称的，得</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15</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p w14:paraId="70E9D365">
            <w:pPr>
              <w:pStyle w:val="7"/>
              <w:keepNext w:val="0"/>
              <w:keepLines w:val="0"/>
              <w:pageBreakBefore w:val="0"/>
              <w:widowControl w:val="0"/>
              <w:kinsoku/>
              <w:wordWrap w:val="0"/>
              <w:overflowPunct/>
              <w:topLinePunct w:val="0"/>
              <w:autoSpaceDE/>
              <w:autoSpaceDN/>
              <w:bidi w:val="0"/>
              <w:adjustRightInd w:val="0"/>
              <w:snapToGrid w:val="0"/>
              <w:spacing w:after="0" w:line="410" w:lineRule="exact"/>
              <w:textAlignment w:val="auto"/>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2.具备</w:t>
            </w:r>
            <w:r>
              <w:rPr>
                <w:rFonts w:hint="eastAsia" w:ascii="宋体" w:hAnsi="宋体" w:eastAsia="宋体" w:cs="宋体"/>
                <w:b w:val="0"/>
                <w:bCs w:val="0"/>
                <w:caps w:val="0"/>
                <w:smallCaps w:val="0"/>
                <w:snapToGrid w:val="0"/>
                <w:color w:val="auto"/>
                <w:spacing w:val="0"/>
                <w:kern w:val="0"/>
                <w:sz w:val="24"/>
                <w:szCs w:val="24"/>
                <w:highlight w:val="none"/>
                <w:lang w:val="en-US" w:eastAsia="zh-CN" w:bidi="ar-SA"/>
              </w:rPr>
              <w:t xml:space="preserve">助理工程师 </w:t>
            </w:r>
            <w:r>
              <w:rPr>
                <w:rFonts w:hint="eastAsia" w:ascii="宋体" w:hAnsi="宋体" w:eastAsia="宋体" w:cs="宋体"/>
                <w:caps w:val="0"/>
                <w:smallCaps w:val="0"/>
                <w:snapToGrid w:val="0"/>
                <w:color w:val="auto"/>
                <w:spacing w:val="0"/>
                <w:kern w:val="0"/>
                <w:sz w:val="24"/>
                <w:szCs w:val="24"/>
                <w:highlight w:val="none"/>
                <w:lang w:val="en-US" w:eastAsia="zh-CN" w:bidi="ar-SA"/>
              </w:rPr>
              <w:t>职称的，得</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8</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p w14:paraId="3839AC6A">
            <w:pPr>
              <w:pStyle w:val="7"/>
              <w:keepNext w:val="0"/>
              <w:keepLines w:val="0"/>
              <w:pageBreakBefore w:val="0"/>
              <w:widowControl w:val="0"/>
              <w:kinsoku/>
              <w:wordWrap w:val="0"/>
              <w:overflowPunct/>
              <w:topLinePunct w:val="0"/>
              <w:autoSpaceDE/>
              <w:autoSpaceDN/>
              <w:bidi w:val="0"/>
              <w:adjustRightInd w:val="0"/>
              <w:snapToGrid w:val="0"/>
              <w:spacing w:after="0" w:line="410" w:lineRule="exact"/>
              <w:textAlignment w:val="auto"/>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3.不具备以上职称的不予计分。</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4F723C0D">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both"/>
              <w:textAlignment w:val="auto"/>
              <w:rPr>
                <w:rFonts w:hint="default" w:ascii="宋体" w:hAnsi="宋体" w:eastAsia="宋体" w:cs="宋体"/>
                <w:b/>
                <w:bCs/>
                <w:snapToGrid w:val="0"/>
                <w:color w:val="auto"/>
                <w:kern w:val="0"/>
                <w:sz w:val="24"/>
                <w:szCs w:val="24"/>
                <w:highlight w:val="none"/>
                <w:lang w:val="en-US" w:eastAsia="zh-CN"/>
              </w:rPr>
            </w:pPr>
            <w:r>
              <w:rPr>
                <w:rFonts w:hint="default" w:ascii="宋体" w:hAnsi="宋体" w:eastAsia="宋体" w:cs="宋体"/>
                <w:b/>
                <w:bCs/>
                <w:snapToGrid w:val="0"/>
                <w:color w:val="auto"/>
                <w:kern w:val="0"/>
                <w:sz w:val="24"/>
                <w:szCs w:val="24"/>
                <w:highlight w:val="none"/>
                <w:lang w:val="en-US" w:eastAsia="zh-CN"/>
              </w:rPr>
              <w:t>需附职称证彩色扫描件（职称证书为电子证书的除外）。</w:t>
            </w:r>
          </w:p>
        </w:tc>
      </w:tr>
      <w:tr w14:paraId="199FC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7101126C">
            <w:pPr>
              <w:pStyle w:val="44"/>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企业业绩</w:t>
            </w:r>
          </w:p>
          <w:p w14:paraId="39E60A9A">
            <w:pPr>
              <w:pStyle w:val="44"/>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15</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bidi="ar"/>
              </w:rPr>
              <w:t>(组成联合体投标的由联合体牵头人提供)</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51BC4663">
            <w:pPr>
              <w:keepNext w:val="0"/>
              <w:keepLines w:val="0"/>
              <w:pageBreakBefore w:val="0"/>
              <w:wordWrap w:val="0"/>
              <w:overflowPunct/>
              <w:topLinePunct w:val="0"/>
              <w:bidi w:val="0"/>
              <w:adjustRightInd w:val="0"/>
              <w:snapToGrid w:val="0"/>
              <w:spacing w:line="41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企业近</w:t>
            </w:r>
            <w:r>
              <w:rPr>
                <w:rFonts w:hint="eastAsia" w:ascii="宋体" w:hAnsi="宋体" w:eastAsia="宋体" w:cs="宋体"/>
                <w:color w:val="auto"/>
                <w:sz w:val="24"/>
                <w:szCs w:val="24"/>
                <w:highlight w:val="none"/>
                <w:u w:val="single"/>
                <w:lang w:val="en-US" w:eastAsia="zh-CN"/>
              </w:rPr>
              <w:t xml:space="preserve"> 5 </w:t>
            </w:r>
            <w:r>
              <w:rPr>
                <w:rFonts w:hint="eastAsia" w:ascii="宋体" w:hAnsi="宋体" w:eastAsia="宋体" w:cs="宋体"/>
                <w:color w:val="auto"/>
                <w:sz w:val="24"/>
                <w:szCs w:val="24"/>
                <w:highlight w:val="none"/>
              </w:rPr>
              <w:t>年来（202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年1月1日至今）业绩情况：</w:t>
            </w:r>
          </w:p>
          <w:p w14:paraId="7B4388E6">
            <w:pPr>
              <w:keepNext w:val="0"/>
              <w:keepLines w:val="0"/>
              <w:pageBreakBefore w:val="0"/>
              <w:widowControl w:val="0"/>
              <w:kinsoku/>
              <w:wordWrap w:val="0"/>
              <w:overflowPunct/>
              <w:topLinePunct w:val="0"/>
              <w:autoSpaceDE/>
              <w:autoSpaceDN/>
              <w:bidi w:val="0"/>
              <w:adjustRightInd w:val="0"/>
              <w:snapToGrid w:val="0"/>
              <w:spacing w:line="41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b w:val="0"/>
                <w:bCs w:val="0"/>
                <w:color w:val="auto"/>
                <w:sz w:val="24"/>
                <w:szCs w:val="24"/>
                <w:highlight w:val="none"/>
                <w:u w:val="single"/>
              </w:rPr>
              <w:t>承接过</w:t>
            </w:r>
            <w:r>
              <w:rPr>
                <w:rFonts w:hint="eastAsia" w:ascii="宋体" w:hAnsi="宋体" w:eastAsia="宋体" w:cs="宋体"/>
                <w:b w:val="0"/>
                <w:bCs w:val="0"/>
                <w:color w:val="auto"/>
                <w:sz w:val="24"/>
                <w:szCs w:val="24"/>
                <w:highlight w:val="none"/>
              </w:rPr>
              <w:t>类似工程</w:t>
            </w:r>
            <w:r>
              <w:rPr>
                <w:rFonts w:hint="eastAsia" w:ascii="宋体" w:hAnsi="宋体" w:eastAsia="宋体" w:cs="宋体"/>
                <w:color w:val="auto"/>
                <w:sz w:val="24"/>
                <w:szCs w:val="24"/>
                <w:highlight w:val="none"/>
              </w:rPr>
              <w:t>的，每个得5分。</w:t>
            </w:r>
          </w:p>
          <w:p w14:paraId="19C1695A">
            <w:pPr>
              <w:keepNext w:val="0"/>
              <w:keepLines w:val="0"/>
              <w:pageBreakBefore w:val="0"/>
              <w:widowControl w:val="0"/>
              <w:kinsoku/>
              <w:wordWrap w:val="0"/>
              <w:overflowPunct/>
              <w:topLinePunct w:val="0"/>
              <w:autoSpaceDE/>
              <w:autoSpaceDN/>
              <w:bidi w:val="0"/>
              <w:adjustRightInd w:val="0"/>
              <w:snapToGrid w:val="0"/>
              <w:spacing w:line="41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rPr>
              <w:t>未承接过</w:t>
            </w:r>
            <w:r>
              <w:rPr>
                <w:rFonts w:hint="eastAsia" w:ascii="宋体" w:hAnsi="宋体" w:eastAsia="宋体" w:cs="宋体"/>
                <w:color w:val="auto"/>
                <w:sz w:val="24"/>
                <w:szCs w:val="24"/>
                <w:highlight w:val="none"/>
              </w:rPr>
              <w:t>类似工程的，不予计分。</w:t>
            </w:r>
          </w:p>
          <w:p w14:paraId="42B6F535">
            <w:pPr>
              <w:keepNext w:val="0"/>
              <w:keepLines w:val="0"/>
              <w:pageBreakBefore w:val="0"/>
              <w:widowControl w:val="0"/>
              <w:kinsoku/>
              <w:wordWrap w:val="0"/>
              <w:overflowPunct/>
              <w:topLinePunct w:val="0"/>
              <w:autoSpaceDE/>
              <w:autoSpaceDN/>
              <w:bidi w:val="0"/>
              <w:adjustRightInd w:val="0"/>
              <w:snapToGrid w:val="0"/>
              <w:spacing w:line="41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3.本项最高得</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p w14:paraId="6FCF8DAA">
            <w:pPr>
              <w:keepNext w:val="0"/>
              <w:keepLines w:val="0"/>
              <w:pageBreakBefore w:val="0"/>
              <w:widowControl w:val="0"/>
              <w:kinsoku/>
              <w:wordWrap w:val="0"/>
              <w:overflowPunct/>
              <w:topLinePunct w:val="0"/>
              <w:autoSpaceDE/>
              <w:autoSpaceDN/>
              <w:bidi w:val="0"/>
              <w:adjustRightInd w:val="0"/>
              <w:snapToGrid w:val="0"/>
              <w:spacing w:line="410" w:lineRule="exact"/>
              <w:textAlignment w:val="auto"/>
              <w:rPr>
                <w:rFonts w:hint="eastAsia" w:ascii="宋体" w:hAnsi="宋体" w:eastAsia="宋体" w:cs="宋体"/>
                <w:snapToGrid w:val="0"/>
                <w:color w:val="auto"/>
                <w:kern w:val="0"/>
                <w:sz w:val="24"/>
                <w:szCs w:val="24"/>
                <w:highlight w:val="none"/>
                <w:lang w:val="en-US" w:eastAsia="zh-CN" w:bidi="ar-SA"/>
              </w:rPr>
            </w:pPr>
          </w:p>
        </w:tc>
        <w:tc>
          <w:tcPr>
            <w:tcW w:w="4871" w:type="dxa"/>
            <w:tcBorders>
              <w:top w:val="single" w:color="auto" w:sz="4" w:space="0"/>
              <w:left w:val="single" w:color="auto" w:sz="4" w:space="0"/>
              <w:bottom w:val="single" w:color="auto" w:sz="4" w:space="0"/>
              <w:right w:val="single" w:color="auto" w:sz="4" w:space="0"/>
            </w:tcBorders>
            <w:noWrap w:val="0"/>
            <w:vAlign w:val="center"/>
          </w:tcPr>
          <w:p w14:paraId="28FA657B">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1.类似工程指</w:t>
            </w:r>
            <w:r>
              <w:rPr>
                <w:rFonts w:hint="eastAsia" w:ascii="宋体" w:hAnsi="宋体" w:eastAsia="宋体" w:cs="宋体"/>
                <w:snapToGrid w:val="0"/>
                <w:color w:val="auto"/>
                <w:kern w:val="0"/>
                <w:sz w:val="24"/>
                <w:szCs w:val="24"/>
                <w:highlight w:val="none"/>
                <w:u w:val="none"/>
                <w:lang w:val="en-US" w:eastAsia="zh-CN"/>
              </w:rPr>
              <w:t>：</w:t>
            </w:r>
            <w:r>
              <w:rPr>
                <w:rFonts w:hint="eastAsia" w:ascii="宋体" w:hAnsi="宋体" w:eastAsia="宋体" w:cs="宋体"/>
                <w:snapToGrid w:val="0"/>
                <w:color w:val="auto"/>
                <w:kern w:val="0"/>
                <w:sz w:val="24"/>
                <w:szCs w:val="24"/>
                <w:highlight w:val="none"/>
                <w:lang w:val="en-US" w:eastAsia="zh-CN"/>
              </w:rPr>
              <w:t>市政工程类施工总承包工程；</w:t>
            </w:r>
          </w:p>
          <w:p w14:paraId="1D4ADBCC">
            <w:pPr>
              <w:keepNext w:val="0"/>
              <w:keepLines w:val="0"/>
              <w:pageBreakBefore w:val="0"/>
              <w:widowControl w:val="0"/>
              <w:wordWrap w:val="0"/>
              <w:overflowPunct/>
              <w:topLinePunct w:val="0"/>
              <w:bidi w:val="0"/>
              <w:adjustRightInd w:val="0"/>
              <w:snapToGrid w:val="0"/>
              <w:spacing w:after="0" w:line="410" w:lineRule="exact"/>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2.需附有关业绩（仅限于以施工总承包单位身份参建的项目）合同协议书彩色扫描件。</w:t>
            </w:r>
          </w:p>
          <w:p w14:paraId="7C3100DB">
            <w:pPr>
              <w:keepNext w:val="0"/>
              <w:keepLines w:val="0"/>
              <w:pageBreakBefore w:val="0"/>
              <w:widowControl w:val="0"/>
              <w:wordWrap w:val="0"/>
              <w:overflowPunct/>
              <w:topLinePunct w:val="0"/>
              <w:bidi w:val="0"/>
              <w:adjustRightInd w:val="0"/>
              <w:snapToGrid w:val="0"/>
              <w:spacing w:after="0" w:line="410" w:lineRule="exact"/>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3.业绩时间以合同协议书日期为准。</w:t>
            </w:r>
          </w:p>
          <w:p w14:paraId="7FD48753">
            <w:pPr>
              <w:keepNext w:val="0"/>
              <w:keepLines w:val="0"/>
              <w:pageBreakBefore w:val="0"/>
              <w:widowControl w:val="0"/>
              <w:wordWrap w:val="0"/>
              <w:overflowPunct/>
              <w:topLinePunct w:val="0"/>
              <w:bidi w:val="0"/>
              <w:adjustRightInd w:val="0"/>
              <w:snapToGrid w:val="0"/>
              <w:spacing w:after="0" w:line="410" w:lineRule="exact"/>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4.任一业绩有以下情形之一的，该业绩视为无效，不予计分：</w:t>
            </w:r>
          </w:p>
          <w:p w14:paraId="6633B58B">
            <w:pPr>
              <w:keepNext w:val="0"/>
              <w:keepLines w:val="0"/>
              <w:pageBreakBefore w:val="0"/>
              <w:widowControl w:val="0"/>
              <w:wordWrap w:val="0"/>
              <w:overflowPunct/>
              <w:topLinePunct w:val="0"/>
              <w:bidi w:val="0"/>
              <w:adjustRightInd w:val="0"/>
              <w:snapToGrid w:val="0"/>
              <w:spacing w:after="0" w:line="410" w:lineRule="exact"/>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①业绩不属于类似工程的；</w:t>
            </w:r>
          </w:p>
          <w:p w14:paraId="5DBBB95E">
            <w:pPr>
              <w:keepNext w:val="0"/>
              <w:keepLines w:val="0"/>
              <w:pageBreakBefore w:val="0"/>
              <w:widowControl w:val="0"/>
              <w:wordWrap w:val="0"/>
              <w:overflowPunct/>
              <w:topLinePunct w:val="0"/>
              <w:bidi w:val="0"/>
              <w:adjustRightInd w:val="0"/>
              <w:snapToGrid w:val="0"/>
              <w:spacing w:after="0" w:line="410" w:lineRule="exact"/>
              <w:jc w:val="both"/>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②不是以指定身份参建的；</w:t>
            </w:r>
          </w:p>
          <w:p w14:paraId="710C28CF">
            <w:pPr>
              <w:keepNext w:val="0"/>
              <w:keepLines w:val="0"/>
              <w:pageBreakBefore w:val="0"/>
              <w:widowControl w:val="0"/>
              <w:wordWrap w:val="0"/>
              <w:overflowPunct/>
              <w:topLinePunct w:val="0"/>
              <w:bidi w:val="0"/>
              <w:adjustRightInd w:val="0"/>
              <w:snapToGrid w:val="0"/>
              <w:spacing w:after="0" w:line="410" w:lineRule="exact"/>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③业绩时间不符合要求的；</w:t>
            </w:r>
          </w:p>
        </w:tc>
      </w:tr>
      <w:tr w14:paraId="5F2C6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0"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15BE3794">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企业管理体系认证（</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p w14:paraId="16CC46D7">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(组成联合体投标的由联合体牵头人提供)</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11123F3F">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质量管理体系认证证书、职业健康安全管理体系认证证书、环境管理体系认证：</w:t>
            </w:r>
          </w:p>
          <w:p w14:paraId="2853C6EE">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1．企业获得以上3项证书的得</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lang w:val="en-US" w:eastAsia="zh-CN"/>
              </w:rPr>
              <w:t>分；</w:t>
            </w:r>
          </w:p>
          <w:p w14:paraId="5383CB88">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2．企业获得其中2项证书的得</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lang w:val="en-US" w:eastAsia="zh-CN"/>
              </w:rPr>
              <w:t>分；</w:t>
            </w:r>
          </w:p>
          <w:p w14:paraId="3381CCB7">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3．企业获得其中1项证书的得</w:t>
            </w:r>
            <w:r>
              <w:rPr>
                <w:rFonts w:hint="eastAsia" w:ascii="宋体" w:hAnsi="宋体" w:eastAsia="宋体" w:cs="宋体"/>
                <w:snapToGrid w:val="0"/>
                <w:color w:val="auto"/>
                <w:kern w:val="0"/>
                <w:sz w:val="24"/>
                <w:szCs w:val="24"/>
                <w:highlight w:val="none"/>
                <w:u w:val="single"/>
                <w:lang w:val="en-US" w:eastAsia="zh-CN"/>
              </w:rPr>
              <w:t>2</w:t>
            </w:r>
            <w:r>
              <w:rPr>
                <w:rFonts w:hint="eastAsia" w:ascii="宋体" w:hAnsi="宋体" w:eastAsia="宋体" w:cs="宋体"/>
                <w:snapToGrid w:val="0"/>
                <w:color w:val="auto"/>
                <w:kern w:val="0"/>
                <w:sz w:val="24"/>
                <w:szCs w:val="24"/>
                <w:highlight w:val="none"/>
                <w:lang w:val="en-US" w:eastAsia="zh-CN"/>
              </w:rPr>
              <w:t>分；</w:t>
            </w:r>
          </w:p>
          <w:p w14:paraId="49B05FCE">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4．未获得以上认证的，不予计分。</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5BB3515F">
            <w:pPr>
              <w:keepNext w:val="0"/>
              <w:keepLines w:val="0"/>
              <w:pageBreakBefore w:val="0"/>
              <w:overflowPunct/>
              <w:topLinePunct w:val="0"/>
              <w:bidi w:val="0"/>
              <w:adjustRightInd w:val="0"/>
              <w:snapToGrid w:val="0"/>
              <w:spacing w:line="410" w:lineRule="exact"/>
              <w:ind w:firstLine="240" w:firstLineChars="100"/>
              <w:rPr>
                <w:rFonts w:hint="eastAsia" w:ascii="宋体" w:hAnsi="宋体" w:eastAsia="宋体" w:cs="宋体"/>
                <w:b/>
                <w:bCs/>
                <w:color w:val="auto"/>
                <w:sz w:val="24"/>
                <w:szCs w:val="24"/>
                <w:highlight w:val="none"/>
              </w:rPr>
            </w:pPr>
            <w:r>
              <w:rPr>
                <w:rFonts w:hint="eastAsia" w:ascii="宋体" w:hAnsi="宋体" w:eastAsia="宋体" w:cs="宋体"/>
                <w:b w:val="0"/>
                <w:bCs w:val="0"/>
                <w:color w:val="auto"/>
                <w:sz w:val="24"/>
                <w:szCs w:val="24"/>
                <w:highlight w:val="none"/>
              </w:rPr>
              <w:t>需附在有效期内的认证证书彩色扫描件，</w:t>
            </w:r>
            <w:r>
              <w:rPr>
                <w:rFonts w:hint="eastAsia" w:ascii="宋体" w:hAnsi="宋体" w:eastAsia="宋体" w:cs="宋体"/>
                <w:b/>
                <w:bCs/>
                <w:color w:val="auto"/>
                <w:sz w:val="24"/>
                <w:szCs w:val="24"/>
                <w:highlight w:val="none"/>
              </w:rPr>
              <w:t>（认证证</w:t>
            </w:r>
            <w:r>
              <w:rPr>
                <w:rFonts w:hint="eastAsia" w:ascii="宋体" w:hAnsi="宋体" w:eastAsia="宋体" w:cs="宋体"/>
                <w:b/>
                <w:bCs/>
                <w:color w:val="auto"/>
                <w:sz w:val="24"/>
                <w:szCs w:val="24"/>
                <w:highlight w:val="none"/>
                <w:lang w:val="en-US" w:eastAsia="zh-CN"/>
              </w:rPr>
              <w:t>书为</w:t>
            </w:r>
            <w:r>
              <w:rPr>
                <w:rFonts w:hint="eastAsia" w:ascii="宋体" w:hAnsi="宋体" w:eastAsia="宋体" w:cs="宋体"/>
                <w:b/>
                <w:bCs/>
                <w:color w:val="auto"/>
                <w:sz w:val="24"/>
                <w:szCs w:val="24"/>
                <w:highlight w:val="none"/>
              </w:rPr>
              <w:t>电子证书</w:t>
            </w:r>
            <w:r>
              <w:rPr>
                <w:rFonts w:hint="eastAsia" w:ascii="宋体" w:hAnsi="宋体" w:eastAsia="宋体" w:cs="宋体"/>
                <w:b/>
                <w:bCs/>
                <w:color w:val="auto"/>
                <w:sz w:val="24"/>
                <w:szCs w:val="24"/>
                <w:highlight w:val="none"/>
                <w:lang w:eastAsia="zh-CN"/>
              </w:rPr>
              <w:t>的</w:t>
            </w:r>
            <w:r>
              <w:rPr>
                <w:rFonts w:hint="eastAsia" w:ascii="宋体" w:hAnsi="宋体" w:eastAsia="宋体" w:cs="宋体"/>
                <w:b/>
                <w:bCs/>
                <w:color w:val="auto"/>
                <w:sz w:val="24"/>
                <w:szCs w:val="24"/>
                <w:highlight w:val="none"/>
              </w:rPr>
              <w:t>除外）。</w:t>
            </w:r>
          </w:p>
          <w:p w14:paraId="331A4BDF">
            <w:pPr>
              <w:pStyle w:val="7"/>
              <w:keepNext w:val="0"/>
              <w:keepLines w:val="0"/>
              <w:pageBreakBefore w:val="0"/>
              <w:wordWrap w:val="0"/>
              <w:overflowPunct/>
              <w:topLinePunct w:val="0"/>
              <w:bidi w:val="0"/>
              <w:adjustRightInd w:val="0"/>
              <w:snapToGrid w:val="0"/>
              <w:spacing w:after="0" w:line="410" w:lineRule="exact"/>
              <w:rPr>
                <w:rFonts w:hint="eastAsia" w:ascii="宋体" w:hAnsi="宋体" w:eastAsia="宋体" w:cs="宋体"/>
                <w:b w:val="0"/>
                <w:bCs w:val="0"/>
                <w:color w:val="auto"/>
                <w:sz w:val="24"/>
                <w:szCs w:val="24"/>
                <w:highlight w:val="none"/>
                <w:lang w:val="en-US" w:eastAsia="zh-CN"/>
              </w:rPr>
            </w:pPr>
          </w:p>
        </w:tc>
      </w:tr>
      <w:tr w14:paraId="212A8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jc w:val="center"/>
        </w:trPr>
        <w:tc>
          <w:tcPr>
            <w:tcW w:w="1315" w:type="dxa"/>
            <w:vMerge w:val="restart"/>
            <w:tcBorders>
              <w:top w:val="single" w:color="auto" w:sz="4" w:space="0"/>
              <w:left w:val="single" w:color="auto" w:sz="4" w:space="0"/>
              <w:bottom w:val="single" w:color="auto" w:sz="4" w:space="0"/>
              <w:right w:val="single" w:color="auto" w:sz="4" w:space="0"/>
            </w:tcBorders>
            <w:noWrap w:val="0"/>
            <w:vAlign w:val="center"/>
          </w:tcPr>
          <w:p w14:paraId="1E09330C">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招标人自选项</w:t>
            </w:r>
          </w:p>
          <w:p w14:paraId="3284E4F1">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trike w:val="0"/>
                <w:dstrike w:val="0"/>
                <w:color w:val="auto"/>
                <w:sz w:val="24"/>
                <w:szCs w:val="24"/>
                <w:highlight w:val="none"/>
              </w:rPr>
              <w:t>（</w:t>
            </w:r>
            <w:r>
              <w:rPr>
                <w:rFonts w:hint="eastAsia" w:ascii="宋体" w:hAnsi="宋体" w:eastAsia="宋体" w:cs="宋体"/>
                <w:strike w:val="0"/>
                <w:dstrike w:val="0"/>
                <w:color w:val="auto"/>
                <w:sz w:val="24"/>
                <w:szCs w:val="24"/>
                <w:highlight w:val="none"/>
                <w:lang w:val="en-US" w:eastAsia="zh-CN"/>
              </w:rPr>
              <w:t>25</w:t>
            </w:r>
            <w:r>
              <w:rPr>
                <w:rFonts w:hint="eastAsia" w:ascii="宋体" w:hAnsi="宋体" w:eastAsia="宋体" w:cs="宋体"/>
                <w:strike w:val="0"/>
                <w:dstrike w:val="0"/>
                <w:color w:val="auto"/>
                <w:sz w:val="24"/>
                <w:szCs w:val="24"/>
                <w:highlight w:val="none"/>
              </w:rPr>
              <w:t>分</w:t>
            </w:r>
            <w:r>
              <w:rPr>
                <w:rFonts w:hint="eastAsia" w:ascii="宋体" w:hAnsi="宋体" w:eastAsia="宋体" w:cs="宋体"/>
                <w:strike w:val="0"/>
                <w:dstrike w:val="0"/>
                <w:color w:val="auto"/>
                <w:sz w:val="24"/>
                <w:szCs w:val="24"/>
                <w:highlight w:val="none"/>
                <w:lang w:eastAsia="zh-CN"/>
              </w:rPr>
              <w:t>）(组成联合体投标的由联合体牵头人提供)</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3C2D9971">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1.近 5年来（2021年至 2026年）获得过高新技术企业且在有效期内的得</w:t>
            </w:r>
            <w:r>
              <w:rPr>
                <w:rFonts w:hint="eastAsia" w:ascii="宋体" w:hAnsi="宋体" w:eastAsia="宋体" w:cs="宋体"/>
                <w:snapToGrid w:val="0"/>
                <w:color w:val="auto"/>
                <w:kern w:val="0"/>
                <w:sz w:val="24"/>
                <w:szCs w:val="24"/>
                <w:highlight w:val="none"/>
                <w:u w:val="single"/>
                <w:lang w:val="en-US" w:eastAsia="zh-CN" w:bidi="ar"/>
              </w:rPr>
              <w:t xml:space="preserve"> 10</w:t>
            </w:r>
            <w:r>
              <w:rPr>
                <w:rFonts w:hint="eastAsia" w:ascii="宋体" w:hAnsi="宋体" w:eastAsia="宋体" w:cs="宋体"/>
                <w:snapToGrid w:val="0"/>
                <w:color w:val="auto"/>
                <w:kern w:val="0"/>
                <w:sz w:val="24"/>
                <w:szCs w:val="24"/>
                <w:highlight w:val="none"/>
                <w:lang w:val="en-US" w:eastAsia="zh-CN" w:bidi="ar"/>
              </w:rPr>
              <w:t>分；</w:t>
            </w:r>
          </w:p>
          <w:p w14:paraId="5AE7DB73">
            <w:pPr>
              <w:keepNext w:val="0"/>
              <w:keepLines w:val="0"/>
              <w:pageBreakBefore w:val="0"/>
              <w:widowControl/>
              <w:suppressLineNumbers w:val="0"/>
              <w:overflowPunct/>
              <w:topLinePunct w:val="0"/>
              <w:bidi w:val="0"/>
              <w:adjustRightInd w:val="0"/>
              <w:snapToGrid w:val="0"/>
              <w:spacing w:line="410" w:lineRule="exact"/>
              <w:jc w:val="left"/>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4EDC578A">
            <w:pPr>
              <w:pStyle w:val="7"/>
              <w:keepNext w:val="0"/>
              <w:keepLines w:val="0"/>
              <w:pageBreakBefore w:val="0"/>
              <w:widowControl w:val="0"/>
              <w:kinsoku/>
              <w:wordWrap w:val="0"/>
              <w:overflowPunct/>
              <w:topLinePunct w:val="0"/>
              <w:autoSpaceDE/>
              <w:autoSpaceDN/>
              <w:bidi w:val="0"/>
              <w:adjustRightInd w:val="0"/>
              <w:snapToGrid w:val="0"/>
              <w:spacing w:after="0" w:line="410" w:lineRule="exact"/>
              <w:ind w:firstLine="240" w:firstLineChars="100"/>
              <w:jc w:val="left"/>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提供高新技术企业证书彩色扫描件及网上查询截图并加盖本单位公章，否则不得分。</w:t>
            </w:r>
          </w:p>
        </w:tc>
      </w:tr>
      <w:tr w14:paraId="1E8E4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4" w:hRule="atLeast"/>
          <w:jc w:val="center"/>
        </w:trPr>
        <w:tc>
          <w:tcPr>
            <w:tcW w:w="1315" w:type="dxa"/>
            <w:vMerge w:val="continue"/>
            <w:tcBorders>
              <w:top w:val="single" w:color="auto" w:sz="4" w:space="0"/>
              <w:left w:val="single" w:color="auto" w:sz="4" w:space="0"/>
              <w:bottom w:val="single" w:color="auto" w:sz="4" w:space="0"/>
              <w:right w:val="single" w:color="auto" w:sz="4" w:space="0"/>
            </w:tcBorders>
            <w:noWrap w:val="0"/>
            <w:vAlign w:val="center"/>
          </w:tcPr>
          <w:p w14:paraId="514A119E">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snapToGrid w:val="0"/>
                <w:color w:val="auto"/>
                <w:kern w:val="0"/>
                <w:sz w:val="24"/>
                <w:szCs w:val="24"/>
                <w:highlight w:val="none"/>
                <w:lang w:val="en-US" w:eastAsia="zh-CN"/>
              </w:rPr>
            </w:pP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1A623F65">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近 5 年来（2021年 1月1日至2026年 1月1 日）投标人未发生事故等级为一般事故及以上的生产安全事故、一般质量事故及以上的工程质量事故</w:t>
            </w:r>
          </w:p>
          <w:p w14:paraId="26F644DD">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的，得</w:t>
            </w:r>
            <w:r>
              <w:rPr>
                <w:rFonts w:hint="eastAsia" w:ascii="宋体" w:hAnsi="宋体" w:eastAsia="宋体" w:cs="宋体"/>
                <w:snapToGrid w:val="0"/>
                <w:color w:val="auto"/>
                <w:kern w:val="0"/>
                <w:sz w:val="24"/>
                <w:szCs w:val="24"/>
                <w:highlight w:val="none"/>
                <w:u w:val="single"/>
                <w:lang w:val="en-US" w:eastAsia="zh-CN" w:bidi="ar"/>
              </w:rPr>
              <w:t>5</w:t>
            </w:r>
            <w:r>
              <w:rPr>
                <w:rFonts w:hint="eastAsia" w:ascii="宋体" w:hAnsi="宋体" w:eastAsia="宋体" w:cs="宋体"/>
                <w:snapToGrid w:val="0"/>
                <w:color w:val="auto"/>
                <w:kern w:val="0"/>
                <w:sz w:val="24"/>
                <w:szCs w:val="24"/>
                <w:highlight w:val="none"/>
                <w:lang w:val="en-US" w:eastAsia="zh-CN" w:bidi="ar"/>
              </w:rPr>
              <w:t>分；</w:t>
            </w:r>
          </w:p>
          <w:p w14:paraId="5A66B89E">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073342D5">
            <w:pPr>
              <w:pStyle w:val="7"/>
              <w:keepNext w:val="0"/>
              <w:keepLines w:val="0"/>
              <w:pageBreakBefore w:val="0"/>
              <w:widowControl w:val="0"/>
              <w:kinsoku/>
              <w:wordWrap w:val="0"/>
              <w:overflowPunct/>
              <w:topLinePunct w:val="0"/>
              <w:autoSpaceDE/>
              <w:autoSpaceDN/>
              <w:bidi w:val="0"/>
              <w:adjustRightInd w:val="0"/>
              <w:snapToGrid w:val="0"/>
              <w:spacing w:after="0" w:line="410" w:lineRule="exact"/>
              <w:ind w:firstLine="240" w:firstLineChars="100"/>
              <w:jc w:val="left"/>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需提供本单位承诺书（格式自定）并加盖本单位公章，否则不得分。</w:t>
            </w:r>
          </w:p>
          <w:p w14:paraId="563BD67C">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bidi="ar"/>
              </w:rPr>
            </w:pPr>
          </w:p>
        </w:tc>
      </w:tr>
      <w:tr w14:paraId="66866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4" w:hRule="atLeast"/>
          <w:jc w:val="center"/>
        </w:trPr>
        <w:tc>
          <w:tcPr>
            <w:tcW w:w="1315" w:type="dxa"/>
            <w:vMerge w:val="continue"/>
            <w:tcBorders>
              <w:top w:val="single" w:color="auto" w:sz="4" w:space="0"/>
              <w:left w:val="single" w:color="auto" w:sz="4" w:space="0"/>
              <w:bottom w:val="single" w:color="auto" w:sz="4" w:space="0"/>
              <w:right w:val="single" w:color="auto" w:sz="4" w:space="0"/>
            </w:tcBorders>
            <w:noWrap w:val="0"/>
            <w:vAlign w:val="center"/>
          </w:tcPr>
          <w:p w14:paraId="4CE68A0D">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center"/>
              <w:textAlignment w:val="auto"/>
              <w:rPr>
                <w:rFonts w:hint="eastAsia" w:ascii="宋体" w:hAnsi="宋体" w:eastAsia="宋体" w:cs="宋体"/>
                <w:snapToGrid w:val="0"/>
                <w:color w:val="auto"/>
                <w:kern w:val="0"/>
                <w:sz w:val="24"/>
                <w:szCs w:val="24"/>
                <w:highlight w:val="none"/>
                <w:lang w:val="en-US" w:eastAsia="zh-CN"/>
              </w:rPr>
            </w:pP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15A62201">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1.企业近5年（2021年至今）获得过</w:t>
            </w:r>
            <w:r>
              <w:rPr>
                <w:rFonts w:hint="eastAsia" w:ascii="宋体" w:hAnsi="宋体" w:eastAsia="宋体" w:cs="宋体"/>
                <w:b w:val="0"/>
                <w:bCs w:val="0"/>
                <w:snapToGrid w:val="0"/>
                <w:color w:val="auto"/>
                <w:kern w:val="0"/>
                <w:sz w:val="24"/>
                <w:szCs w:val="24"/>
                <w:highlight w:val="none"/>
                <w:u w:val="single"/>
                <w:lang w:val="en-US" w:eastAsia="zh-CN" w:bidi="ar"/>
              </w:rPr>
              <w:t>省级（或以上）</w:t>
            </w:r>
            <w:r>
              <w:rPr>
                <w:rFonts w:hint="eastAsia" w:ascii="宋体" w:hAnsi="宋体" w:eastAsia="宋体" w:cs="宋体"/>
                <w:b w:val="0"/>
                <w:bCs w:val="0"/>
                <w:snapToGrid w:val="0"/>
                <w:color w:val="auto"/>
                <w:kern w:val="0"/>
                <w:sz w:val="24"/>
                <w:szCs w:val="24"/>
                <w:highlight w:val="none"/>
                <w:u w:val="none"/>
                <w:lang w:val="en-US" w:eastAsia="zh-CN" w:bidi="ar"/>
              </w:rPr>
              <w:t>土木建筑学会</w:t>
            </w:r>
            <w:r>
              <w:rPr>
                <w:rFonts w:hint="eastAsia" w:ascii="宋体" w:hAnsi="宋体" w:eastAsia="宋体" w:cs="宋体"/>
                <w:snapToGrid w:val="0"/>
                <w:color w:val="auto"/>
                <w:kern w:val="0"/>
                <w:sz w:val="24"/>
                <w:szCs w:val="24"/>
                <w:highlight w:val="none"/>
                <w:lang w:val="en-US" w:eastAsia="zh-CN" w:bidi="ar"/>
              </w:rPr>
              <w:t>颁发的科技创新先进企业证书的每提供一个得</w:t>
            </w:r>
            <w:r>
              <w:rPr>
                <w:rFonts w:hint="eastAsia" w:ascii="宋体" w:hAnsi="宋体" w:eastAsia="宋体" w:cs="宋体"/>
                <w:snapToGrid w:val="0"/>
                <w:color w:val="auto"/>
                <w:kern w:val="0"/>
                <w:sz w:val="24"/>
                <w:szCs w:val="24"/>
                <w:highlight w:val="none"/>
                <w:u w:val="single"/>
                <w:lang w:val="en-US" w:eastAsia="zh-CN" w:bidi="ar"/>
              </w:rPr>
              <w:t>5</w:t>
            </w:r>
            <w:r>
              <w:rPr>
                <w:rFonts w:hint="eastAsia" w:ascii="宋体" w:hAnsi="宋体" w:eastAsia="宋体" w:cs="宋体"/>
                <w:snapToGrid w:val="0"/>
                <w:color w:val="auto"/>
                <w:kern w:val="0"/>
                <w:sz w:val="24"/>
                <w:szCs w:val="24"/>
                <w:highlight w:val="none"/>
                <w:lang w:val="en-US" w:eastAsia="zh-CN" w:bidi="ar"/>
              </w:rPr>
              <w:t>分，本项最高得</w:t>
            </w:r>
            <w:r>
              <w:rPr>
                <w:rFonts w:hint="eastAsia" w:ascii="宋体" w:hAnsi="宋体" w:eastAsia="宋体" w:cs="宋体"/>
                <w:snapToGrid w:val="0"/>
                <w:color w:val="auto"/>
                <w:kern w:val="0"/>
                <w:sz w:val="24"/>
                <w:szCs w:val="24"/>
                <w:highlight w:val="none"/>
                <w:u w:val="single"/>
                <w:lang w:val="en-US" w:eastAsia="zh-CN" w:bidi="ar"/>
              </w:rPr>
              <w:t>10</w:t>
            </w:r>
            <w:r>
              <w:rPr>
                <w:rFonts w:hint="eastAsia" w:ascii="宋体" w:hAnsi="宋体" w:eastAsia="宋体" w:cs="宋体"/>
                <w:snapToGrid w:val="0"/>
                <w:color w:val="auto"/>
                <w:kern w:val="0"/>
                <w:sz w:val="24"/>
                <w:szCs w:val="24"/>
                <w:highlight w:val="none"/>
                <w:lang w:val="en-US" w:eastAsia="zh-CN" w:bidi="ar"/>
              </w:rPr>
              <w:t>分；</w:t>
            </w:r>
          </w:p>
          <w:p w14:paraId="44319315">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2.其他情形的，不予计分。</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49FB5AD2">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1. 需附相关证书彩色扫描件，并加盖本单位公章，否则不得分。</w:t>
            </w:r>
          </w:p>
          <w:p w14:paraId="7EF87639">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2. 证书须由省级（或以上）土木建筑学会颁发，否则不得分。</w:t>
            </w:r>
          </w:p>
          <w:p w14:paraId="5ADA05CC">
            <w:pPr>
              <w:pStyle w:val="7"/>
              <w:keepNext w:val="0"/>
              <w:keepLines w:val="0"/>
              <w:pageBreakBefore w:val="0"/>
              <w:widowControl w:val="0"/>
              <w:kinsoku/>
              <w:wordWrap w:val="0"/>
              <w:overflowPunct/>
              <w:topLinePunct w:val="0"/>
              <w:autoSpaceDE/>
              <w:autoSpaceDN/>
              <w:bidi w:val="0"/>
              <w:adjustRightInd w:val="0"/>
              <w:snapToGrid w:val="0"/>
              <w:spacing w:after="0" w:line="410" w:lineRule="exact"/>
              <w:jc w:val="left"/>
              <w:textAlignment w:val="auto"/>
              <w:rPr>
                <w:rFonts w:hint="eastAsia" w:ascii="宋体" w:hAnsi="宋体" w:eastAsia="宋体" w:cs="宋体"/>
                <w:snapToGrid w:val="0"/>
                <w:color w:val="auto"/>
                <w:kern w:val="0"/>
                <w:sz w:val="24"/>
                <w:szCs w:val="24"/>
                <w:highlight w:val="none"/>
                <w:lang w:val="en-US" w:eastAsia="zh-CN" w:bidi="ar"/>
              </w:rPr>
            </w:pPr>
          </w:p>
        </w:tc>
      </w:tr>
      <w:tr w14:paraId="2E648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059E5B71">
            <w:pPr>
              <w:pStyle w:val="7"/>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宋体" w:hAnsi="宋体" w:eastAsia="宋体" w:cs="宋体"/>
                <w:b/>
                <w:bCs/>
                <w:caps w:val="0"/>
                <w:smallCaps w:val="0"/>
                <w:snapToGrid w:val="0"/>
                <w:color w:val="auto"/>
                <w:spacing w:val="0"/>
                <w:kern w:val="0"/>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lang w:eastAsia="zh-CN"/>
              </w:rPr>
              <w:t>技术部分（施工组织设计），满分：</w:t>
            </w:r>
            <w:r>
              <w:rPr>
                <w:rFonts w:hint="eastAsia" w:ascii="宋体" w:hAnsi="宋体" w:eastAsia="宋体" w:cs="宋体"/>
                <w:b/>
                <w:bCs/>
                <w:caps w:val="0"/>
                <w:smallCaps w:val="0"/>
                <w:snapToGrid w:val="0"/>
                <w:color w:val="auto"/>
                <w:spacing w:val="0"/>
                <w:kern w:val="0"/>
                <w:sz w:val="24"/>
                <w:szCs w:val="24"/>
                <w:highlight w:val="none"/>
                <w:u w:val="single"/>
                <w:lang w:val="en-US" w:eastAsia="zh-CN"/>
              </w:rPr>
              <w:t>20</w:t>
            </w:r>
            <w:r>
              <w:rPr>
                <w:rFonts w:hint="eastAsia" w:ascii="宋体" w:hAnsi="宋体" w:eastAsia="宋体" w:cs="宋体"/>
                <w:b/>
                <w:bCs/>
                <w:caps w:val="0"/>
                <w:smallCaps w:val="0"/>
                <w:snapToGrid w:val="0"/>
                <w:color w:val="auto"/>
                <w:spacing w:val="0"/>
                <w:kern w:val="0"/>
                <w:sz w:val="24"/>
                <w:szCs w:val="24"/>
                <w:highlight w:val="none"/>
                <w:lang w:val="en-US" w:eastAsia="zh-CN"/>
              </w:rPr>
              <w:t>分。</w:t>
            </w:r>
          </w:p>
        </w:tc>
      </w:tr>
      <w:tr w14:paraId="50B94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677CA69A">
            <w:pPr>
              <w:pStyle w:val="7"/>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rPr>
              <w:t>评分因素</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38A356B4">
            <w:pPr>
              <w:pStyle w:val="7"/>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4"/>
                <w:szCs w:val="24"/>
                <w:highlight w:val="none"/>
              </w:rPr>
            </w:pPr>
            <w:r>
              <w:rPr>
                <w:rFonts w:hint="eastAsia" w:ascii="宋体" w:hAnsi="宋体" w:eastAsia="宋体" w:cs="宋体"/>
                <w:b/>
                <w:bCs/>
                <w:caps w:val="0"/>
                <w:smallCaps w:val="0"/>
                <w:snapToGrid w:val="0"/>
                <w:color w:val="auto"/>
                <w:spacing w:val="0"/>
                <w:kern w:val="0"/>
                <w:sz w:val="24"/>
                <w:szCs w:val="24"/>
                <w:highlight w:val="none"/>
              </w:rPr>
              <w:t>评分标准</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04F33987">
            <w:pPr>
              <w:pStyle w:val="7"/>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宋体" w:hAnsi="宋体" w:eastAsia="宋体" w:cs="宋体"/>
                <w:b/>
                <w:bCs/>
                <w:caps w:val="0"/>
                <w:smallCaps w:val="0"/>
                <w:snapToGrid w:val="0"/>
                <w:color w:val="auto"/>
                <w:spacing w:val="0"/>
                <w:kern w:val="0"/>
                <w:sz w:val="24"/>
                <w:szCs w:val="24"/>
                <w:highlight w:val="none"/>
                <w:lang w:eastAsia="zh-CN"/>
              </w:rPr>
            </w:pPr>
            <w:r>
              <w:rPr>
                <w:rFonts w:hint="eastAsia" w:ascii="宋体" w:hAnsi="宋体" w:eastAsia="宋体" w:cs="宋体"/>
                <w:b/>
                <w:bCs/>
                <w:caps w:val="0"/>
                <w:smallCaps w:val="0"/>
                <w:snapToGrid w:val="0"/>
                <w:color w:val="auto"/>
                <w:spacing w:val="0"/>
                <w:kern w:val="0"/>
                <w:sz w:val="24"/>
                <w:szCs w:val="24"/>
                <w:highlight w:val="none"/>
                <w:lang w:eastAsia="zh-CN"/>
              </w:rPr>
              <w:t>备注</w:t>
            </w:r>
          </w:p>
        </w:tc>
      </w:tr>
      <w:tr w14:paraId="072E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4"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6FCDB6EF">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 xml:space="preserve"> 总体概述</w:t>
            </w:r>
          </w:p>
          <w:p w14:paraId="705F662B">
            <w:pPr>
              <w:keepNext w:val="0"/>
              <w:keepLines w:val="0"/>
              <w:pageBreakBefore w:val="0"/>
              <w:widowControl w:val="0"/>
              <w:kinsoku/>
              <w:wordWrap w:val="0"/>
              <w:overflowPunct/>
              <w:topLinePunct w:val="0"/>
              <w:autoSpaceDE/>
              <w:autoSpaceDN/>
              <w:bidi w:val="0"/>
              <w:adjustRightInd w:val="0"/>
              <w:snapToGrid w:val="0"/>
              <w:spacing w:before="0" w:afterAutospacing="0" w:line="4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35BC96F6">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3CF4399E">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25FAD45F">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140F3DBD">
            <w:pPr>
              <w:keepNext w:val="0"/>
              <w:keepLines w:val="0"/>
              <w:pageBreakBefore w:val="0"/>
              <w:widowControl w:val="0"/>
              <w:kinsoku/>
              <w:wordWrap w:val="0"/>
              <w:overflowPunct/>
              <w:topLinePunct w:val="0"/>
              <w:autoSpaceDE/>
              <w:autoSpaceDN/>
              <w:bidi w:val="0"/>
              <w:adjustRightInd w:val="0"/>
              <w:snapToGrid w:val="0"/>
              <w:spacing w:before="0" w:afterAutospacing="0" w:line="4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5FD9A6E6">
            <w:pPr>
              <w:keepNext w:val="0"/>
              <w:keepLines w:val="0"/>
              <w:pageBreakBefore w:val="0"/>
              <w:widowControl w:val="0"/>
              <w:kinsoku/>
              <w:wordWrap w:val="0"/>
              <w:overflowPunct/>
              <w:topLinePunct w:val="0"/>
              <w:autoSpaceDE/>
              <w:autoSpaceDN/>
              <w:bidi w:val="0"/>
              <w:adjustRightInd w:val="0"/>
              <w:snapToGrid w:val="0"/>
              <w:spacing w:before="0" w:afterAutospacing="0" w:line="4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0739F517">
            <w:pPr>
              <w:keepNext w:val="0"/>
              <w:keepLines w:val="0"/>
              <w:pageBreakBefore w:val="0"/>
              <w:widowControl w:val="0"/>
              <w:kinsoku/>
              <w:wordWrap w:val="0"/>
              <w:overflowPunct/>
              <w:topLinePunct w:val="0"/>
              <w:autoSpaceDE/>
              <w:autoSpaceDN/>
              <w:bidi w:val="0"/>
              <w:adjustRightInd w:val="0"/>
              <w:snapToGrid w:val="0"/>
              <w:spacing w:before="0" w:afterAutospacing="0" w:line="4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【良】对项目总体有一定认识，表述清晰、完整，措施具体有效；施工段划分呼应总体表述，划分清晰，符合规范要求。</w:t>
            </w:r>
          </w:p>
          <w:p w14:paraId="2E8EA487">
            <w:pPr>
              <w:keepNext w:val="0"/>
              <w:keepLines w:val="0"/>
              <w:pageBreakBefore w:val="0"/>
              <w:widowControl w:val="0"/>
              <w:kinsoku/>
              <w:wordWrap w:val="0"/>
              <w:overflowPunct/>
              <w:topLinePunct w:val="0"/>
              <w:autoSpaceDE/>
              <w:autoSpaceDN/>
              <w:bidi w:val="0"/>
              <w:adjustRightInd w:val="0"/>
              <w:snapToGrid w:val="0"/>
              <w:spacing w:before="0" w:afterAutospacing="0" w:line="440" w:lineRule="exact"/>
              <w:ind w:left="0" w:leftChars="0" w:right="0" w:rightChars="0" w:firstLine="0" w:firstLineChars="0"/>
              <w:jc w:val="left"/>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【中】对项目总体有认识，有一定的措施但部分不具体；施工段划分较合理，符合规范要求。</w:t>
            </w:r>
          </w:p>
          <w:p w14:paraId="7A7F62F0">
            <w:pPr>
              <w:keepNext w:val="0"/>
              <w:keepLines w:val="0"/>
              <w:pageBreakBefore w:val="0"/>
              <w:widowControl w:val="0"/>
              <w:kinsoku/>
              <w:wordWrap w:val="0"/>
              <w:overflowPunct/>
              <w:topLinePunct w:val="0"/>
              <w:autoSpaceDE/>
              <w:autoSpaceDN/>
              <w:bidi w:val="0"/>
              <w:adjustRightInd w:val="0"/>
              <w:snapToGrid w:val="0"/>
              <w:spacing w:before="0" w:afterAutospacing="0" w:line="440" w:lineRule="exact"/>
              <w:ind w:left="0" w:leftChars="0" w:right="0" w:rightChars="0" w:firstLine="0" w:firstLineChars="0"/>
              <w:jc w:val="left"/>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【差】对项目认识不足，表述不清晰，措施不具体；施工段划分不合理。</w:t>
            </w:r>
          </w:p>
        </w:tc>
      </w:tr>
      <w:tr w14:paraId="3182B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34936CDD">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施工总进</w:t>
            </w:r>
          </w:p>
          <w:p w14:paraId="3849FFA8">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度计划及保证措施</w:t>
            </w:r>
          </w:p>
          <w:p w14:paraId="2477FD49">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1335AB12">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4C9EAFA4">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5175629E">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646AF909">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7CC470E1">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经济赔偿合理。</w:t>
            </w:r>
          </w:p>
          <w:p w14:paraId="52CDC5C1">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经济赔偿较合理。</w:t>
            </w:r>
          </w:p>
          <w:p w14:paraId="1008E8D7">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642B4C96">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【差】关键线路不准确，计划编制不合理。关键节点的控制不可行。人、材、机需求和进场计划与进度计划不相呼应，不能满足施工需要。没有违约责任承诺。</w:t>
            </w:r>
          </w:p>
        </w:tc>
      </w:tr>
      <w:tr w14:paraId="60B47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9"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102802E4">
            <w:pPr>
              <w:pStyle w:val="30"/>
              <w:keepNext w:val="0"/>
              <w:keepLines w:val="0"/>
              <w:pageBreakBefore w:val="0"/>
              <w:kinsoku/>
              <w:wordWrap w:val="0"/>
              <w:overflowPunct/>
              <w:topLinePunct w:val="0"/>
              <w:bidi w:val="0"/>
              <w:spacing w:line="44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质量保证措施</w:t>
            </w:r>
          </w:p>
          <w:p w14:paraId="395B0423">
            <w:pPr>
              <w:pStyle w:val="30"/>
              <w:keepNext w:val="0"/>
              <w:keepLines w:val="0"/>
              <w:pageBreakBefore w:val="0"/>
              <w:kinsoku/>
              <w:wordWrap w:val="0"/>
              <w:overflowPunct/>
              <w:topLinePunct w:val="0"/>
              <w:bidi w:val="0"/>
              <w:spacing w:line="440" w:lineRule="exact"/>
              <w:jc w:val="center"/>
              <w:textAlignment w:val="auto"/>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4 </w:t>
            </w:r>
            <w:r>
              <w:rPr>
                <w:rFonts w:hint="eastAsia" w:ascii="宋体" w:hAnsi="宋体" w:eastAsia="宋体" w:cs="宋体"/>
                <w:snapToGrid w:val="0"/>
                <w:color w:val="auto"/>
                <w:kern w:val="0"/>
                <w:sz w:val="24"/>
                <w:szCs w:val="24"/>
                <w:highlight w:val="none"/>
              </w:rPr>
              <w:t>分）</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164C36D9">
            <w:pPr>
              <w:pStyle w:val="29"/>
              <w:keepNext w:val="0"/>
              <w:keepLines w:val="0"/>
              <w:pageBreakBefore w:val="0"/>
              <w:kinsoku/>
              <w:wordWrap w:val="0"/>
              <w:overflowPunct/>
              <w:topLinePunct w:val="0"/>
              <w:bidi w:val="0"/>
              <w:spacing w:line="44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142EE2DF">
            <w:pPr>
              <w:pStyle w:val="29"/>
              <w:keepNext w:val="0"/>
              <w:keepLines w:val="0"/>
              <w:pageBreakBefore w:val="0"/>
              <w:kinsoku/>
              <w:wordWrap w:val="0"/>
              <w:overflowPunct/>
              <w:topLinePunct w:val="0"/>
              <w:bidi w:val="0"/>
              <w:spacing w:line="44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62F56654">
            <w:pPr>
              <w:pStyle w:val="29"/>
              <w:keepNext w:val="0"/>
              <w:keepLines w:val="0"/>
              <w:pageBreakBefore w:val="0"/>
              <w:kinsoku/>
              <w:wordWrap w:val="0"/>
              <w:overflowPunct/>
              <w:topLinePunct w:val="0"/>
              <w:bidi w:val="0"/>
              <w:spacing w:line="44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6F3B5B7E">
            <w:pPr>
              <w:pStyle w:val="31"/>
              <w:keepNext w:val="0"/>
              <w:keepLines w:val="0"/>
              <w:pageBreakBefore w:val="0"/>
              <w:kinsoku/>
              <w:wordWrap w:val="0"/>
              <w:overflowPunct/>
              <w:topLinePunct w:val="0"/>
              <w:bidi w:val="0"/>
              <w:spacing w:line="440" w:lineRule="exact"/>
              <w:textAlignment w:val="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07D58646">
            <w:pPr>
              <w:pStyle w:val="7"/>
              <w:keepNext w:val="0"/>
              <w:keepLines w:val="0"/>
              <w:pageBreakBefore w:val="0"/>
              <w:kinsoku/>
              <w:wordWrap w:val="0"/>
              <w:overflowPunct/>
              <w:topLinePunct w:val="0"/>
              <w:bidi w:val="0"/>
              <w:spacing w:after="0" w:line="44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【优】应用新技术、新工艺、新材料、新设备，针对项目实际提出先进、可行、具体的保证措施。超过招标文件的质量要求。</w:t>
            </w:r>
          </w:p>
          <w:p w14:paraId="52C7FB19">
            <w:pPr>
              <w:pStyle w:val="7"/>
              <w:keepNext w:val="0"/>
              <w:keepLines w:val="0"/>
              <w:pageBreakBefore w:val="0"/>
              <w:kinsoku/>
              <w:wordWrap w:val="0"/>
              <w:overflowPunct/>
              <w:topLinePunct w:val="0"/>
              <w:bidi w:val="0"/>
              <w:spacing w:after="0" w:line="440" w:lineRule="exac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【良】针对项目实际提出先进、可行、具体的保证措施。满足招标文件的质量要求。</w:t>
            </w:r>
          </w:p>
          <w:p w14:paraId="1C0E8422">
            <w:pPr>
              <w:pStyle w:val="7"/>
              <w:keepNext w:val="0"/>
              <w:keepLines w:val="0"/>
              <w:pageBreakBefore w:val="0"/>
              <w:kinsoku/>
              <w:wordWrap w:val="0"/>
              <w:overflowPunct/>
              <w:topLinePunct w:val="0"/>
              <w:bidi w:val="0"/>
              <w:spacing w:after="0" w:line="440" w:lineRule="exac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【中】具体措施可行。满足招标文件的质量要求</w:t>
            </w:r>
            <w:r>
              <w:rPr>
                <w:rFonts w:hint="eastAsia" w:ascii="宋体" w:hAnsi="宋体" w:eastAsia="宋体" w:cs="宋体"/>
                <w:snapToGrid w:val="0"/>
                <w:color w:val="auto"/>
                <w:kern w:val="0"/>
                <w:sz w:val="24"/>
                <w:szCs w:val="24"/>
                <w:highlight w:val="none"/>
                <w:lang w:eastAsia="zh-CN"/>
              </w:rPr>
              <w:t>。</w:t>
            </w:r>
          </w:p>
          <w:p w14:paraId="4A1264AC">
            <w:pPr>
              <w:pStyle w:val="31"/>
              <w:keepNext w:val="0"/>
              <w:keepLines w:val="0"/>
              <w:pageBreakBefore w:val="0"/>
              <w:kinsoku/>
              <w:wordWrap w:val="0"/>
              <w:overflowPunct/>
              <w:topLinePunct w:val="0"/>
              <w:bidi w:val="0"/>
              <w:spacing w:line="440" w:lineRule="exact"/>
              <w:textAlignment w:val="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【差】措施不可行，没有质量违约责任承诺。</w:t>
            </w:r>
          </w:p>
        </w:tc>
      </w:tr>
      <w:tr w14:paraId="660BC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1D288C80">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施工技术措施</w:t>
            </w:r>
          </w:p>
          <w:p w14:paraId="3B409455">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17E17F56">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379FD34B">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21291329">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02AEF6F9">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5DAECC73">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经济赔偿合理。</w:t>
            </w:r>
          </w:p>
          <w:p w14:paraId="484170F8">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b/>
                <w:bCs/>
                <w:caps w:val="0"/>
                <w:smallCaps w:val="0"/>
                <w:strike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caps w:val="0"/>
                <w:smallCaps w:val="0"/>
                <w:strike w:val="0"/>
                <w:dstrike w:val="0"/>
                <w:snapToGrid w:val="0"/>
                <w:color w:val="auto"/>
                <w:spacing w:val="0"/>
                <w:kern w:val="0"/>
                <w:sz w:val="24"/>
                <w:szCs w:val="24"/>
                <w:highlight w:val="none"/>
                <w:lang w:val="en-US" w:eastAsia="zh-CN" w:bidi="ar-SA"/>
              </w:rPr>
              <w:t>经济赔偿较合理。</w:t>
            </w:r>
          </w:p>
          <w:p w14:paraId="4569F111">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5B14A008">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bidi="ar-SA"/>
              </w:rPr>
              <w:t>【差】对项目关键技术有表述，对重点、难点有建议，解决方案不可行。采用的新技术针对性不强或验证材料不可靠，对节约投资、工期没有具体收益。无违约责任承诺。</w:t>
            </w:r>
          </w:p>
        </w:tc>
      </w:tr>
      <w:tr w14:paraId="2107D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8"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3A97C2FC">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绿色施工、</w:t>
            </w:r>
          </w:p>
          <w:p w14:paraId="62344D7A">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安全防护、</w:t>
            </w:r>
          </w:p>
          <w:p w14:paraId="6FF8705A">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文明施工措施计划</w:t>
            </w:r>
          </w:p>
          <w:p w14:paraId="0F60D630">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3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700DCD9C">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10FF7DE8">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6B7A548C">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437CE983">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321E103E">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【优】针对项目实际情况，有先进、具体、完整、可行的措施，采用规范准确、清晰。</w:t>
            </w:r>
          </w:p>
          <w:p w14:paraId="15FE3E9D">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【良】针对项目实际情况，有合理的措施且具体、完整，采用规范准确。</w:t>
            </w:r>
          </w:p>
          <w:p w14:paraId="0BD5E4A9">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【中】有基本合理的措施，采用规范准确。</w:t>
            </w:r>
          </w:p>
          <w:p w14:paraId="0C77A858">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【差】措施不力，采用规范不正确。</w:t>
            </w:r>
          </w:p>
        </w:tc>
      </w:tr>
      <w:tr w14:paraId="01E3A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3"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43D1D8C9">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施工平面</w:t>
            </w:r>
          </w:p>
          <w:p w14:paraId="73E2A8DD">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布置和临时设施布置</w:t>
            </w:r>
          </w:p>
          <w:p w14:paraId="6B223F91">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center"/>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bidi="ar-SA"/>
              </w:rPr>
              <w:t>（</w:t>
            </w:r>
            <w:r>
              <w:rPr>
                <w:rFonts w:hint="eastAsia" w:ascii="宋体" w:hAnsi="宋体" w:eastAsia="宋体" w:cs="宋体"/>
                <w:caps w:val="0"/>
                <w:smallCaps w:val="0"/>
                <w:snapToGrid w:val="0"/>
                <w:color w:val="auto"/>
                <w:spacing w:val="0"/>
                <w:kern w:val="0"/>
                <w:sz w:val="24"/>
                <w:szCs w:val="24"/>
                <w:highlight w:val="none"/>
                <w:u w:val="single"/>
                <w:lang w:val="en-US" w:eastAsia="zh-CN" w:bidi="ar-SA"/>
              </w:rPr>
              <w:t xml:space="preserve"> 2 </w:t>
            </w:r>
            <w:r>
              <w:rPr>
                <w:rFonts w:hint="eastAsia" w:ascii="宋体" w:hAnsi="宋体" w:eastAsia="宋体" w:cs="宋体"/>
                <w:caps w:val="0"/>
                <w:smallCaps w:val="0"/>
                <w:snapToGrid w:val="0"/>
                <w:color w:val="auto"/>
                <w:spacing w:val="0"/>
                <w:kern w:val="0"/>
                <w:sz w:val="24"/>
                <w:szCs w:val="24"/>
                <w:highlight w:val="none"/>
                <w:lang w:val="en-US" w:eastAsia="zh-CN" w:bidi="ar-SA"/>
              </w:rPr>
              <w:t>分）</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623A015E">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【优】得该项评分因素分值的90%～100%（含90%）。</w:t>
            </w:r>
          </w:p>
          <w:p w14:paraId="60861DEE">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【良】得该项评分因素分值的80%～90%（含80%）。</w:t>
            </w:r>
          </w:p>
          <w:p w14:paraId="59CC257C">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【中】得该项评分因素分值的70%～80%（含70%）。</w:t>
            </w:r>
          </w:p>
          <w:p w14:paraId="342BD936">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【差】得该项评分因素分值的60～70%（含60%）。</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489FE027">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【优】总体布置有针对性、合理，较好满足施工需要，符合绿色施工、安全防护、文明施工要求。</w:t>
            </w:r>
          </w:p>
          <w:p w14:paraId="728942FE">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【良】总体布置合理，能满足施工需要，基本符合绿色施工、安全防护、文明施工要求。</w:t>
            </w:r>
          </w:p>
          <w:p w14:paraId="0C4D1EE1">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bidi="ar-SA"/>
              </w:rPr>
              <w:t>【中】总体布置基本合理，基本满足施工需要。</w:t>
            </w:r>
          </w:p>
          <w:p w14:paraId="01850F7B">
            <w:pPr>
              <w:keepNext w:val="0"/>
              <w:keepLines w:val="0"/>
              <w:pageBreakBefore w:val="0"/>
              <w:widowControl w:val="0"/>
              <w:kinsoku/>
              <w:wordWrap w:val="0"/>
              <w:overflowPunct/>
              <w:topLinePunct w:val="0"/>
              <w:autoSpaceDE/>
              <w:autoSpaceDN/>
              <w:bidi w:val="0"/>
              <w:adjustRightInd w:val="0"/>
              <w:snapToGrid w:val="0"/>
              <w:spacing w:before="0" w:line="44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【差】总体布置不合理，不符合绿色施工、安全防护、文明施工要求。</w:t>
            </w:r>
          </w:p>
        </w:tc>
      </w:tr>
      <w:tr w14:paraId="62810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jc w:val="center"/>
        </w:trPr>
        <w:tc>
          <w:tcPr>
            <w:tcW w:w="1315" w:type="dxa"/>
            <w:tcBorders>
              <w:top w:val="single" w:color="auto" w:sz="4" w:space="0"/>
              <w:left w:val="single" w:color="auto" w:sz="4" w:space="0"/>
              <w:bottom w:val="single" w:color="auto" w:sz="4" w:space="0"/>
              <w:right w:val="single" w:color="auto" w:sz="4" w:space="0"/>
            </w:tcBorders>
            <w:noWrap w:val="0"/>
            <w:vAlign w:val="center"/>
          </w:tcPr>
          <w:p w14:paraId="1BA0DA1C">
            <w:pPr>
              <w:pStyle w:val="30"/>
              <w:keepNext w:val="0"/>
              <w:keepLines w:val="0"/>
              <w:pageBreakBefore w:val="0"/>
              <w:kinsoku/>
              <w:wordWrap w:val="0"/>
              <w:overflowPunct/>
              <w:topLinePunct w:val="0"/>
              <w:bidi w:val="0"/>
              <w:spacing w:line="44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项目管理机构</w:t>
            </w:r>
          </w:p>
          <w:p w14:paraId="36AF97BA">
            <w:pPr>
              <w:pStyle w:val="30"/>
              <w:keepNext w:val="0"/>
              <w:keepLines w:val="0"/>
              <w:pageBreakBefore w:val="0"/>
              <w:kinsoku/>
              <w:wordWrap w:val="0"/>
              <w:overflowPunct/>
              <w:topLinePunct w:val="0"/>
              <w:bidi w:val="0"/>
              <w:spacing w:line="440" w:lineRule="exact"/>
              <w:jc w:val="center"/>
              <w:textAlignment w:val="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4238" w:type="dxa"/>
            <w:gridSpan w:val="2"/>
            <w:tcBorders>
              <w:top w:val="single" w:color="auto" w:sz="4" w:space="0"/>
              <w:left w:val="single" w:color="auto" w:sz="4" w:space="0"/>
              <w:bottom w:val="single" w:color="auto" w:sz="4" w:space="0"/>
              <w:right w:val="single" w:color="auto" w:sz="4" w:space="0"/>
            </w:tcBorders>
            <w:noWrap w:val="0"/>
            <w:vAlign w:val="center"/>
          </w:tcPr>
          <w:p w14:paraId="743DB6F6">
            <w:pPr>
              <w:pStyle w:val="29"/>
              <w:keepNext w:val="0"/>
              <w:keepLines w:val="0"/>
              <w:pageBreakBefore w:val="0"/>
              <w:kinsoku/>
              <w:wordWrap w:val="0"/>
              <w:overflowPunct/>
              <w:topLinePunct w:val="0"/>
              <w:bidi w:val="0"/>
              <w:spacing w:line="44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14:paraId="05F6B76A">
            <w:pPr>
              <w:pStyle w:val="29"/>
              <w:keepNext w:val="0"/>
              <w:keepLines w:val="0"/>
              <w:pageBreakBefore w:val="0"/>
              <w:kinsoku/>
              <w:wordWrap w:val="0"/>
              <w:overflowPunct/>
              <w:topLinePunct w:val="0"/>
              <w:bidi w:val="0"/>
              <w:spacing w:line="44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14:paraId="64892607">
            <w:pPr>
              <w:pStyle w:val="29"/>
              <w:keepNext w:val="0"/>
              <w:keepLines w:val="0"/>
              <w:pageBreakBefore w:val="0"/>
              <w:kinsoku/>
              <w:wordWrap w:val="0"/>
              <w:overflowPunct/>
              <w:topLinePunct w:val="0"/>
              <w:bidi w:val="0"/>
              <w:spacing w:line="44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14:paraId="3B7327D6">
            <w:pPr>
              <w:pStyle w:val="31"/>
              <w:keepNext w:val="0"/>
              <w:keepLines w:val="0"/>
              <w:pageBreakBefore w:val="0"/>
              <w:kinsoku/>
              <w:wordWrap w:val="0"/>
              <w:overflowPunct/>
              <w:topLinePunct w:val="0"/>
              <w:bidi w:val="0"/>
              <w:spacing w:line="440" w:lineRule="exact"/>
              <w:textAlignment w:val="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871" w:type="dxa"/>
            <w:tcBorders>
              <w:top w:val="single" w:color="auto" w:sz="4" w:space="0"/>
              <w:left w:val="single" w:color="auto" w:sz="4" w:space="0"/>
              <w:bottom w:val="single" w:color="auto" w:sz="4" w:space="0"/>
              <w:right w:val="single" w:color="auto" w:sz="4" w:space="0"/>
            </w:tcBorders>
            <w:noWrap w:val="0"/>
            <w:vAlign w:val="center"/>
          </w:tcPr>
          <w:p w14:paraId="411FF22C">
            <w:pPr>
              <w:pStyle w:val="31"/>
              <w:keepNext w:val="0"/>
              <w:keepLines w:val="0"/>
              <w:pageBreakBefore w:val="0"/>
              <w:kinsoku/>
              <w:wordWrap w:val="0"/>
              <w:overflowPunct/>
              <w:topLinePunct w:val="0"/>
              <w:bidi w:val="0"/>
              <w:spacing w:line="44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【优】组织机构形式合理，有完善的指挥系统，生产及质量、绿色施工、安全、文明施工、创优达标监控系统、联络协调系统，项目管理人员内高级职称人员20%（含20%）以上、中级职称人员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60%（含60%）以上。</w:t>
            </w:r>
          </w:p>
          <w:p w14:paraId="7C20D3D1">
            <w:pPr>
              <w:pStyle w:val="31"/>
              <w:keepNext w:val="0"/>
              <w:keepLines w:val="0"/>
              <w:pageBreakBefore w:val="0"/>
              <w:kinsoku/>
              <w:wordWrap w:val="0"/>
              <w:overflowPunct/>
              <w:topLinePunct w:val="0"/>
              <w:bidi w:val="0"/>
              <w:spacing w:line="44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【良】组织机构形式合理，指挥系统，生产及质量、绿色施工、安全、文明施工、创优达标监控系统、联络协调系统齐全，项目管理人员内高级职称人员15%～20%（含15%）、中级职称</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人员50%～60%（含50%）。</w:t>
            </w:r>
          </w:p>
          <w:p w14:paraId="474272F9">
            <w:pPr>
              <w:pStyle w:val="31"/>
              <w:keepNext w:val="0"/>
              <w:keepLines w:val="0"/>
              <w:pageBreakBefore w:val="0"/>
              <w:kinsoku/>
              <w:wordWrap w:val="0"/>
              <w:overflowPunct/>
              <w:topLinePunct w:val="0"/>
              <w:bidi w:val="0"/>
              <w:spacing w:line="44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【中】组织机构形式基本合理，有指挥系统，生产及质量、绿色施工、安全、文明施工、创优达标监控系统、联络协调系统，项目管理人员内高级职称人员10%～15%（含10%）、中级职称人员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40%～50%（含40%）。</w:t>
            </w:r>
          </w:p>
          <w:p w14:paraId="65FB9EE5">
            <w:pPr>
              <w:pStyle w:val="31"/>
              <w:keepNext w:val="0"/>
              <w:keepLines w:val="0"/>
              <w:pageBreakBefore w:val="0"/>
              <w:kinsoku/>
              <w:wordWrap w:val="0"/>
              <w:overflowPunct/>
              <w:topLinePunct w:val="0"/>
              <w:bidi w:val="0"/>
              <w:spacing w:line="440" w:lineRule="exact"/>
              <w:textAlignment w:val="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snapToGrid w:val="0"/>
                <w:color w:val="auto"/>
                <w:kern w:val="0"/>
                <w:sz w:val="24"/>
                <w:szCs w:val="24"/>
                <w:highlight w:val="none"/>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snapToGrid w:val="0"/>
                <w:color w:val="auto"/>
                <w:kern w:val="0"/>
                <w:sz w:val="24"/>
                <w:szCs w:val="24"/>
                <w:highlight w:val="none"/>
              </w:rPr>
              <w:t>及以上职称</w:t>
            </w:r>
            <w:r>
              <w:rPr>
                <w:rFonts w:hint="eastAsia" w:ascii="宋体" w:hAnsi="宋体" w:eastAsia="宋体" w:cs="宋体"/>
                <w:snapToGrid w:val="0"/>
                <w:color w:val="auto"/>
                <w:kern w:val="0"/>
                <w:sz w:val="24"/>
                <w:szCs w:val="24"/>
                <w:highlight w:val="none"/>
              </w:rPr>
              <w:t>40%以下。</w:t>
            </w:r>
          </w:p>
        </w:tc>
      </w:tr>
      <w:tr w14:paraId="54B42B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5"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7627F79">
            <w:pPr>
              <w:wordWrap w:val="0"/>
              <w:adjustRightInd w:val="0"/>
              <w:snapToGrid w:val="0"/>
              <w:spacing w:line="24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投标报价部分，满分：100分。</w:t>
            </w:r>
          </w:p>
        </w:tc>
      </w:tr>
      <w:tr w14:paraId="28FCE3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8"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31CE6083">
            <w:pPr>
              <w:wordWrap w:val="0"/>
              <w:adjustRightInd w:val="0"/>
              <w:snapToGrid w:val="0"/>
              <w:spacing w:line="24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评分事项</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5D6E2EFD">
            <w:pPr>
              <w:wordWrap w:val="0"/>
              <w:adjustRightInd w:val="0"/>
              <w:snapToGrid w:val="0"/>
              <w:spacing w:line="24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评分方法</w:t>
            </w:r>
          </w:p>
        </w:tc>
      </w:tr>
      <w:tr w14:paraId="7B4F33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64"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15C7F262">
            <w:pPr>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评标基准价D</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6561B89F">
            <w:pPr>
              <w:numPr>
                <w:ilvl w:val="0"/>
                <w:numId w:val="1"/>
              </w:numPr>
              <w:wordWrap w:val="0"/>
              <w:adjustRightInd w:val="0"/>
              <w:snapToGrid w:val="0"/>
              <w:spacing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3</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次，每次抽取1个号码，抽出的号球不参与下次抽取。所抽取的</w:t>
            </w:r>
            <w:r>
              <w:rPr>
                <w:rFonts w:hint="eastAsia" w:hAnsi="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个号码对应下浮系数的算术平均值作为最高投标限价下浮系数n。具体号码对应的下浮系数详见下表：</w:t>
            </w:r>
          </w:p>
          <w:tbl>
            <w:tblPr>
              <w:tblStyle w:val="17"/>
              <w:tblW w:w="0" w:type="auto"/>
              <w:jc w:val="center"/>
              <w:tblLayout w:type="fixed"/>
              <w:tblCellMar>
                <w:top w:w="0" w:type="dxa"/>
                <w:left w:w="108" w:type="dxa"/>
                <w:bottom w:w="0" w:type="dxa"/>
                <w:right w:w="108" w:type="dxa"/>
              </w:tblCellMar>
            </w:tblPr>
            <w:tblGrid>
              <w:gridCol w:w="1673"/>
              <w:gridCol w:w="794"/>
              <w:gridCol w:w="830"/>
              <w:gridCol w:w="864"/>
              <w:gridCol w:w="848"/>
              <w:gridCol w:w="882"/>
              <w:gridCol w:w="829"/>
              <w:gridCol w:w="819"/>
            </w:tblGrid>
            <w:tr w14:paraId="65E53E76">
              <w:trPr>
                <w:trHeight w:val="248" w:hRule="atLeast"/>
                <w:jc w:val="center"/>
              </w:trPr>
              <w:tc>
                <w:tcPr>
                  <w:tcW w:w="1673" w:type="dxa"/>
                  <w:tcBorders>
                    <w:top w:val="single" w:color="000000" w:sz="4" w:space="0"/>
                    <w:left w:val="single" w:color="000000" w:sz="4" w:space="0"/>
                    <w:bottom w:val="single" w:color="000000" w:sz="4" w:space="0"/>
                    <w:right w:val="single" w:color="000000" w:sz="4" w:space="0"/>
                  </w:tcBorders>
                  <w:noWrap w:val="0"/>
                  <w:vAlign w:val="center"/>
                </w:tcPr>
                <w:p w14:paraId="0F5CEDAE">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6C60424">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5EA86B4">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267A2F0">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706FE7A">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4635846">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6C4F73A">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6CA292F">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w:t>
                  </w:r>
                </w:p>
              </w:tc>
            </w:tr>
            <w:tr w14:paraId="4A85188C">
              <w:tblPrEx>
                <w:tblCellMar>
                  <w:top w:w="0" w:type="dxa"/>
                  <w:left w:w="108" w:type="dxa"/>
                  <w:bottom w:w="0" w:type="dxa"/>
                  <w:right w:w="108" w:type="dxa"/>
                </w:tblCellMar>
              </w:tblPrEx>
              <w:trPr>
                <w:trHeight w:val="475" w:hRule="atLeast"/>
                <w:jc w:val="center"/>
              </w:trPr>
              <w:tc>
                <w:tcPr>
                  <w:tcW w:w="1673" w:type="dxa"/>
                  <w:tcBorders>
                    <w:top w:val="single" w:color="000000" w:sz="4" w:space="0"/>
                    <w:left w:val="single" w:color="000000" w:sz="4" w:space="0"/>
                    <w:bottom w:val="single" w:color="000000" w:sz="4" w:space="0"/>
                    <w:right w:val="single" w:color="000000" w:sz="4" w:space="0"/>
                  </w:tcBorders>
                  <w:noWrap w:val="0"/>
                  <w:vAlign w:val="center"/>
                </w:tcPr>
                <w:p w14:paraId="141C413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668287B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18BE39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C6BA4D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2ECBEB3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0D6E1EB">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72C2DAF">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5D19FC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r>
            <w:tr w14:paraId="1FD6377C">
              <w:tblPrEx>
                <w:tblCellMar>
                  <w:top w:w="0" w:type="dxa"/>
                  <w:left w:w="108" w:type="dxa"/>
                  <w:bottom w:w="0" w:type="dxa"/>
                  <w:right w:w="108" w:type="dxa"/>
                </w:tblCellMar>
              </w:tblPrEx>
              <w:trPr>
                <w:trHeight w:val="515" w:hRule="atLeast"/>
                <w:jc w:val="center"/>
              </w:trPr>
              <w:tc>
                <w:tcPr>
                  <w:tcW w:w="1673" w:type="dxa"/>
                  <w:tcBorders>
                    <w:top w:val="single" w:color="000000" w:sz="4" w:space="0"/>
                    <w:left w:val="single" w:color="000000" w:sz="4" w:space="0"/>
                    <w:bottom w:val="single" w:color="000000" w:sz="4" w:space="0"/>
                    <w:right w:val="single" w:color="000000" w:sz="4" w:space="0"/>
                  </w:tcBorders>
                  <w:noWrap w:val="0"/>
                  <w:vAlign w:val="center"/>
                </w:tcPr>
                <w:p w14:paraId="5E988F05">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200EE4F3">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C1B5A86">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E6071AE">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024DDA0">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192811F2">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29650D3">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0C51BA1">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w:t>
                  </w:r>
                </w:p>
              </w:tc>
            </w:tr>
            <w:tr w14:paraId="7CE6B894">
              <w:tblPrEx>
                <w:tblCellMar>
                  <w:top w:w="0" w:type="dxa"/>
                  <w:left w:w="108" w:type="dxa"/>
                  <w:bottom w:w="0" w:type="dxa"/>
                  <w:right w:w="108" w:type="dxa"/>
                </w:tblCellMar>
              </w:tblPrEx>
              <w:trPr>
                <w:trHeight w:val="430" w:hRule="atLeast"/>
                <w:jc w:val="center"/>
              </w:trPr>
              <w:tc>
                <w:tcPr>
                  <w:tcW w:w="1673" w:type="dxa"/>
                  <w:tcBorders>
                    <w:top w:val="single" w:color="000000" w:sz="4" w:space="0"/>
                    <w:left w:val="single" w:color="000000" w:sz="4" w:space="0"/>
                    <w:bottom w:val="single" w:color="000000" w:sz="4" w:space="0"/>
                    <w:right w:val="single" w:color="000000" w:sz="4" w:space="0"/>
                  </w:tcBorders>
                  <w:noWrap w:val="0"/>
                  <w:vAlign w:val="center"/>
                </w:tcPr>
                <w:p w14:paraId="170A26C9">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6E87C8D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1FBD6B0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59B882F4">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4E2DA22">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6568FEF">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0E57589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764AA64E">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r>
            <w:tr w14:paraId="59A8B802">
              <w:tblPrEx>
                <w:tblCellMar>
                  <w:top w:w="0" w:type="dxa"/>
                  <w:left w:w="108" w:type="dxa"/>
                  <w:bottom w:w="0" w:type="dxa"/>
                  <w:right w:w="108" w:type="dxa"/>
                </w:tblCellMar>
              </w:tblPrEx>
              <w:trPr>
                <w:trHeight w:val="470" w:hRule="atLeast"/>
                <w:jc w:val="center"/>
              </w:trPr>
              <w:tc>
                <w:tcPr>
                  <w:tcW w:w="1673" w:type="dxa"/>
                  <w:tcBorders>
                    <w:top w:val="single" w:color="000000" w:sz="4" w:space="0"/>
                    <w:left w:val="single" w:color="000000" w:sz="4" w:space="0"/>
                    <w:bottom w:val="single" w:color="000000" w:sz="4" w:space="0"/>
                    <w:right w:val="single" w:color="000000" w:sz="4" w:space="0"/>
                  </w:tcBorders>
                  <w:noWrap w:val="0"/>
                  <w:vAlign w:val="center"/>
                </w:tcPr>
                <w:p w14:paraId="2345905B">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3508AF3C">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30ABF9D">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841B052">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8C73A59">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DA6E92D">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27224A1D">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C5560BB">
                  <w:pPr>
                    <w:wordWrap w:val="0"/>
                    <w:adjustRightInd w:val="0"/>
                    <w:snapToGrid w:val="0"/>
                    <w:spacing w:line="360" w:lineRule="auto"/>
                    <w:jc w:val="cente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21</w:t>
                  </w:r>
                </w:p>
              </w:tc>
            </w:tr>
            <w:tr w14:paraId="7302705B">
              <w:tblPrEx>
                <w:tblCellMar>
                  <w:top w:w="0" w:type="dxa"/>
                  <w:left w:w="108" w:type="dxa"/>
                  <w:bottom w:w="0" w:type="dxa"/>
                  <w:right w:w="108" w:type="dxa"/>
                </w:tblCellMar>
              </w:tblPrEx>
              <w:trPr>
                <w:trHeight w:val="510" w:hRule="atLeast"/>
                <w:jc w:val="center"/>
              </w:trPr>
              <w:tc>
                <w:tcPr>
                  <w:tcW w:w="1673" w:type="dxa"/>
                  <w:tcBorders>
                    <w:top w:val="single" w:color="000000" w:sz="4" w:space="0"/>
                    <w:left w:val="single" w:color="000000" w:sz="4" w:space="0"/>
                    <w:bottom w:val="single" w:color="000000" w:sz="4" w:space="0"/>
                    <w:right w:val="single" w:color="000000" w:sz="4" w:space="0"/>
                  </w:tcBorders>
                  <w:noWrap w:val="0"/>
                  <w:vAlign w:val="center"/>
                </w:tcPr>
                <w:p w14:paraId="5F2BABF3">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698D916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5FBEEB8">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445F21D7">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01373581">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09CD8FD">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F1C8946">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21DB1BFF">
                  <w:pPr>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3.0</w:t>
                  </w:r>
                </w:p>
              </w:tc>
            </w:tr>
          </w:tbl>
          <w:p w14:paraId="5201907E">
            <w:pPr>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p>
          <w:p w14:paraId="3BC61D4B">
            <w:pPr>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tc>
      </w:tr>
      <w:tr w14:paraId="3B9940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6"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620A698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6683C95E">
            <w:pPr>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得分N</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36ECF1B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采用内插法计算某投标人的投标报价得分N，即当投标人的投标总价等于评标基准价时得100分，每高于评标基准价一个百分点扣1分,每低于评标基准价一个百分点扣0.5分，扣完为止。公式如下：</w:t>
            </w:r>
          </w:p>
          <w:p w14:paraId="3AE66CB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N＝100－（|Di－D|÷D）×100×E</w:t>
            </w:r>
          </w:p>
          <w:p w14:paraId="37ABCE3A">
            <w:pPr>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式中：D为评标基准价；Di为某投标人的投标总价；E为扣分因子，当Di＞D时，E＝1；当Di＜D时，E＝0.5。</w:t>
            </w:r>
          </w:p>
        </w:tc>
      </w:tr>
    </w:tbl>
    <w:p w14:paraId="0A82225B">
      <w:pPr>
        <w:spacing w:line="240" w:lineRule="auto"/>
        <w:ind w:firstLine="482" w:firstLineChars="200"/>
        <w:rPr>
          <w:rFonts w:hint="eastAsia" w:ascii="宋体" w:hAnsi="宋体" w:eastAsia="宋体" w:cs="宋体"/>
          <w:b/>
          <w:bCs/>
          <w:snapToGrid w:val="0"/>
          <w:color w:val="auto"/>
          <w:kern w:val="0"/>
          <w:sz w:val="24"/>
          <w:szCs w:val="24"/>
          <w:highlight w:val="none"/>
          <w:lang w:val="en-US" w:eastAsia="zh-CN"/>
        </w:rPr>
      </w:pPr>
    </w:p>
    <w:p w14:paraId="1A26EE4F">
      <w:pPr>
        <w:spacing w:line="240" w:lineRule="auto"/>
        <w:ind w:firstLine="482" w:firstLineChars="200"/>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注：技术部分（施工组织设计）评分：各投标人的技术文件的最终评分低于70%或高于90%的，评委必须详细阐述具体理由（字数不少于50字）。</w:t>
      </w:r>
    </w:p>
    <w:p w14:paraId="5A4EBDB1">
      <w:pPr>
        <w:spacing w:before="155" w:line="240" w:lineRule="auto"/>
        <w:ind w:firstLine="470" w:firstLineChars="200"/>
        <w:outlineLvl w:val="9"/>
        <w:rPr>
          <w:rFonts w:hint="eastAsia" w:ascii="宋体" w:hAnsi="宋体" w:eastAsia="宋体" w:cs="宋体"/>
          <w:b/>
          <w:bCs/>
          <w:color w:val="auto"/>
          <w:spacing w:val="-3"/>
          <w:sz w:val="24"/>
          <w:szCs w:val="24"/>
          <w:highlight w:val="none"/>
        </w:rPr>
      </w:pPr>
      <w:bookmarkStart w:id="132" w:name="_Toc5769"/>
      <w:bookmarkStart w:id="133" w:name="_Toc31744"/>
      <w:bookmarkStart w:id="134" w:name="_Toc9725"/>
      <w:bookmarkStart w:id="135" w:name="_Toc17436"/>
    </w:p>
    <w:p w14:paraId="37B21C64">
      <w:pPr>
        <w:spacing w:before="155" w:line="211" w:lineRule="auto"/>
        <w:ind w:firstLine="470" w:firstLineChars="200"/>
        <w:outlineLvl w:val="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15.5.2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w:t>
      </w:r>
      <w:r>
        <w:rPr>
          <w:rFonts w:hint="eastAsia" w:ascii="宋体" w:hAnsi="宋体" w:eastAsia="宋体" w:cs="宋体"/>
          <w:b/>
          <w:bCs/>
          <w:color w:val="auto"/>
          <w:spacing w:val="-5"/>
          <w:sz w:val="24"/>
          <w:szCs w:val="24"/>
          <w:highlight w:val="none"/>
        </w:rPr>
        <w:t>章第四节“否决投标条件”</w:t>
      </w:r>
      <w:r>
        <w:rPr>
          <w:rFonts w:hint="eastAsia" w:ascii="宋体" w:hAnsi="宋体" w:eastAsia="宋体" w:cs="宋体"/>
          <w:color w:val="auto"/>
          <w:spacing w:val="-5"/>
          <w:sz w:val="24"/>
          <w:szCs w:val="24"/>
          <w:highlight w:val="none"/>
        </w:rPr>
        <w:t>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32B81FB7">
      <w:pPr>
        <w:pStyle w:val="2"/>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_Toc28934"/>
      <w:bookmarkStart w:id="137" w:name="_Toc7236"/>
      <w:bookmarkStart w:id="138" w:name="_Toc16384"/>
      <w:bookmarkStart w:id="139" w:name="_Toc6322"/>
      <w:r>
        <w:rPr>
          <w:rFonts w:hint="eastAsia" w:ascii="宋体" w:hAnsi="宋体" w:eastAsia="宋体" w:cs="宋体"/>
          <w:b/>
          <w:bCs/>
          <w:color w:val="auto"/>
          <w:spacing w:val="-11"/>
          <w:sz w:val="24"/>
          <w:szCs w:val="24"/>
          <w:highlight w:val="none"/>
        </w:rPr>
        <w:t>16 ．</w:t>
      </w:r>
      <w:r>
        <w:rPr>
          <w:rFonts w:hint="eastAsia" w:ascii="宋体" w:hAnsi="宋体" w:eastAsia="宋体" w:cs="宋体"/>
          <w:b/>
          <w:snapToGrid w:val="0"/>
          <w:color w:val="auto"/>
          <w:sz w:val="24"/>
          <w:szCs w:val="24"/>
          <w:highlight w:val="none"/>
          <w:lang w:eastAsia="zh-CN"/>
        </w:rPr>
        <w:t>评标结果公示</w:t>
      </w:r>
      <w:bookmarkEnd w:id="136"/>
    </w:p>
    <w:p w14:paraId="5EF438DC">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0357A37A">
      <w:pPr>
        <w:spacing w:before="78" w:line="221" w:lineRule="auto"/>
        <w:ind w:left="496"/>
        <w:outlineLvl w:val="2"/>
        <w:rPr>
          <w:rFonts w:hint="eastAsia" w:ascii="宋体" w:hAnsi="宋体" w:eastAsia="宋体" w:cs="宋体"/>
          <w:b/>
          <w:bCs/>
          <w:color w:val="auto"/>
          <w:spacing w:val="-11"/>
          <w:sz w:val="24"/>
          <w:szCs w:val="24"/>
          <w:highlight w:val="none"/>
        </w:rPr>
      </w:pPr>
    </w:p>
    <w:p w14:paraId="5D6F7D25">
      <w:pPr>
        <w:spacing w:before="78" w:line="221" w:lineRule="auto"/>
        <w:ind w:left="496"/>
        <w:outlineLvl w:val="2"/>
        <w:rPr>
          <w:rFonts w:hint="eastAsia" w:ascii="宋体" w:hAnsi="宋体" w:eastAsia="宋体" w:cs="宋体"/>
          <w:b/>
          <w:bCs/>
          <w:color w:val="auto"/>
          <w:spacing w:val="-11"/>
          <w:sz w:val="24"/>
          <w:szCs w:val="24"/>
          <w:highlight w:val="none"/>
        </w:rPr>
      </w:pPr>
    </w:p>
    <w:p w14:paraId="692E12EC">
      <w:pPr>
        <w:spacing w:before="78" w:line="221" w:lineRule="auto"/>
        <w:ind w:left="496"/>
        <w:outlineLvl w:val="2"/>
        <w:rPr>
          <w:rFonts w:hint="eastAsia" w:ascii="宋体" w:hAnsi="宋体" w:eastAsia="宋体" w:cs="宋体"/>
          <w:b/>
          <w:bCs/>
          <w:color w:val="auto"/>
          <w:spacing w:val="-11"/>
          <w:sz w:val="24"/>
          <w:szCs w:val="24"/>
          <w:highlight w:val="none"/>
        </w:rPr>
      </w:pPr>
    </w:p>
    <w:p w14:paraId="4283578A">
      <w:pPr>
        <w:spacing w:before="78" w:line="220" w:lineRule="auto"/>
        <w:ind w:left="9"/>
        <w:jc w:val="center"/>
        <w:outlineLvl w:val="1"/>
        <w:rPr>
          <w:rFonts w:hint="eastAsia" w:ascii="宋体" w:hAnsi="宋体" w:eastAsia="宋体" w:cs="宋体"/>
          <w:color w:val="auto"/>
          <w:sz w:val="24"/>
          <w:szCs w:val="24"/>
          <w:highlight w:val="none"/>
        </w:rPr>
      </w:pPr>
      <w:bookmarkStart w:id="140" w:name="_Toc5971"/>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0"/>
    </w:p>
    <w:p w14:paraId="2CB2ECD5">
      <w:pPr>
        <w:pStyle w:val="7"/>
        <w:spacing w:line="256" w:lineRule="auto"/>
        <w:rPr>
          <w:rFonts w:hint="eastAsia" w:ascii="宋体" w:hAnsi="宋体" w:eastAsia="宋体" w:cs="宋体"/>
          <w:color w:val="auto"/>
          <w:sz w:val="24"/>
          <w:szCs w:val="24"/>
          <w:highlight w:val="none"/>
        </w:rPr>
      </w:pPr>
    </w:p>
    <w:p w14:paraId="30909139">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48C39C87">
      <w:pPr>
        <w:spacing w:before="34" w:line="220" w:lineRule="auto"/>
        <w:ind w:left="495"/>
        <w:outlineLvl w:val="2"/>
        <w:rPr>
          <w:rFonts w:hint="eastAsia" w:ascii="宋体" w:hAnsi="宋体" w:eastAsia="宋体" w:cs="宋体"/>
          <w:color w:val="auto"/>
          <w:sz w:val="24"/>
          <w:szCs w:val="24"/>
          <w:highlight w:val="none"/>
        </w:rPr>
      </w:pPr>
      <w:bookmarkStart w:id="141" w:name="_Toc21357"/>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1"/>
    </w:p>
    <w:p w14:paraId="6E21E190">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0BFCCC3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（1）有本章第三节第2.4条“禁止投标条款 ”规定的任何一种情形；</w:t>
      </w:r>
    </w:p>
    <w:p w14:paraId="2E2945A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B9E9436">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36BBD276">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32DA32DC">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4B40B4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6A3F7BF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01B009E">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14FED0D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27BAA0E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385AE41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联合体投标，未提交《联合体协议书》的；擅自修改、遗漏《联合体协议书》实质性内容的；联合体成员的数量、资质不符合规定的；联合体成员同时以自己名义单独投标或者参加其他联合体投标的</w:t>
      </w:r>
      <w:r>
        <w:rPr>
          <w:rFonts w:hint="eastAsia" w:ascii="宋体" w:hAnsi="宋体" w:eastAsia="宋体" w:cs="宋体"/>
          <w:color w:val="auto"/>
          <w:sz w:val="24"/>
          <w:szCs w:val="24"/>
          <w:highlight w:val="none"/>
          <w:lang w:eastAsia="zh-CN"/>
        </w:rPr>
        <w:t>。</w:t>
      </w:r>
    </w:p>
    <w:p w14:paraId="720FDDA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）投标人为外省建筑企业，但未提供“进粤企业和人员诚信信息登记平台”企业和拟派人员信息情况打印页或网页截图的。</w:t>
      </w:r>
    </w:p>
    <w:p w14:paraId="2C133C0B">
      <w:pPr>
        <w:spacing w:before="154" w:line="221" w:lineRule="auto"/>
        <w:ind w:left="477"/>
        <w:outlineLvl w:val="2"/>
        <w:rPr>
          <w:rFonts w:hint="eastAsia" w:ascii="宋体" w:hAnsi="宋体" w:eastAsia="宋体" w:cs="宋体"/>
          <w:color w:val="auto"/>
          <w:sz w:val="24"/>
          <w:szCs w:val="24"/>
          <w:highlight w:val="none"/>
        </w:rPr>
      </w:pPr>
      <w:bookmarkStart w:id="142" w:name="_Toc22031"/>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2"/>
    </w:p>
    <w:p w14:paraId="3E4ED0F0">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0512421A">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5E7E1994">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7337E151">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28684E76">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7A88BF4C">
      <w:pPr>
        <w:spacing w:before="227" w:line="221" w:lineRule="auto"/>
        <w:ind w:left="475"/>
        <w:outlineLvl w:val="2"/>
        <w:rPr>
          <w:rFonts w:hint="eastAsia" w:ascii="宋体" w:hAnsi="宋体" w:eastAsia="宋体" w:cs="宋体"/>
          <w:color w:val="auto"/>
          <w:sz w:val="24"/>
          <w:szCs w:val="24"/>
          <w:highlight w:val="none"/>
        </w:rPr>
      </w:pPr>
      <w:bookmarkStart w:id="143" w:name="_Toc7561"/>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3"/>
    </w:p>
    <w:p w14:paraId="52B9CF87">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4DA585C">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364AFB60">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682832D0">
      <w:pPr>
        <w:spacing w:before="156" w:line="329" w:lineRule="auto"/>
        <w:ind w:right="200"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w:t>
      </w:r>
    </w:p>
    <w:p w14:paraId="7C8360C4">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6E46FB18">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0959A83A">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3CF77D8A">
      <w:pPr>
        <w:spacing w:before="151" w:line="221" w:lineRule="auto"/>
        <w:ind w:left="476"/>
        <w:outlineLvl w:val="2"/>
        <w:rPr>
          <w:rFonts w:hint="eastAsia" w:ascii="宋体" w:hAnsi="宋体" w:eastAsia="宋体" w:cs="宋体"/>
          <w:color w:val="auto"/>
          <w:sz w:val="24"/>
          <w:szCs w:val="24"/>
          <w:highlight w:val="none"/>
        </w:rPr>
      </w:pPr>
      <w:bookmarkStart w:id="144" w:name="_Toc15462"/>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4"/>
    </w:p>
    <w:p w14:paraId="600A078B">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34612B55">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3A950274">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2B3A2723">
      <w:pPr>
        <w:keepNext w:val="0"/>
        <w:keepLines w:val="0"/>
        <w:pageBreakBefore w:val="0"/>
        <w:widowControl/>
        <w:kinsoku w:val="0"/>
        <w:wordWrap/>
        <w:overflowPunct/>
        <w:topLinePunct w:val="0"/>
        <w:autoSpaceDE w:val="0"/>
        <w:autoSpaceDN w:val="0"/>
        <w:bidi w:val="0"/>
        <w:adjustRightInd w:val="0"/>
        <w:snapToGrid w:val="0"/>
        <w:spacing w:before="157" w:line="360" w:lineRule="auto"/>
        <w:ind w:left="479" w:firstLine="238" w:firstLineChars="1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4FD2E3C6">
      <w:pPr>
        <w:keepNext w:val="0"/>
        <w:keepLines w:val="0"/>
        <w:pageBreakBefore w:val="0"/>
        <w:widowControl/>
        <w:kinsoku w:val="0"/>
        <w:wordWrap/>
        <w:overflowPunct/>
        <w:topLinePunct w:val="0"/>
        <w:autoSpaceDE w:val="0"/>
        <w:autoSpaceDN w:val="0"/>
        <w:bidi w:val="0"/>
        <w:adjustRightInd w:val="0"/>
        <w:snapToGrid w:val="0"/>
        <w:spacing w:before="157" w:line="360" w:lineRule="auto"/>
        <w:ind w:left="479" w:firstLine="238" w:firstLineChars="1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639F5258">
      <w:pPr>
        <w:keepNext w:val="0"/>
        <w:keepLines w:val="0"/>
        <w:pageBreakBefore w:val="0"/>
        <w:widowControl/>
        <w:kinsoku w:val="0"/>
        <w:wordWrap/>
        <w:overflowPunct/>
        <w:topLinePunct w:val="0"/>
        <w:autoSpaceDE w:val="0"/>
        <w:autoSpaceDN w:val="0"/>
        <w:bidi w:val="0"/>
        <w:adjustRightInd w:val="0"/>
        <w:snapToGrid w:val="0"/>
        <w:spacing w:before="157" w:line="360" w:lineRule="auto"/>
        <w:ind w:left="479" w:firstLine="238" w:firstLineChars="1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③不同投标人的投标各项报价存在异常一致或者呈规律性变化；</w:t>
      </w:r>
    </w:p>
    <w:p w14:paraId="029BB19F">
      <w:pPr>
        <w:keepNext w:val="0"/>
        <w:keepLines w:val="0"/>
        <w:pageBreakBefore w:val="0"/>
        <w:widowControl/>
        <w:kinsoku w:val="0"/>
        <w:wordWrap/>
        <w:overflowPunct/>
        <w:topLinePunct w:val="0"/>
        <w:autoSpaceDE w:val="0"/>
        <w:autoSpaceDN w:val="0"/>
        <w:bidi w:val="0"/>
        <w:adjustRightInd w:val="0"/>
        <w:snapToGrid w:val="0"/>
        <w:spacing w:before="157" w:line="360" w:lineRule="auto"/>
        <w:ind w:left="479" w:firstLine="238" w:firstLineChars="1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53658AFC">
      <w:pPr>
        <w:keepNext w:val="0"/>
        <w:keepLines w:val="0"/>
        <w:pageBreakBefore w:val="0"/>
        <w:widowControl/>
        <w:kinsoku w:val="0"/>
        <w:wordWrap/>
        <w:overflowPunct/>
        <w:topLinePunct w:val="0"/>
        <w:autoSpaceDE w:val="0"/>
        <w:autoSpaceDN w:val="0"/>
        <w:bidi w:val="0"/>
        <w:adjustRightInd w:val="0"/>
        <w:snapToGrid w:val="0"/>
        <w:spacing w:before="157" w:line="360" w:lineRule="auto"/>
        <w:ind w:left="479" w:firstLine="238" w:firstLineChars="1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⑤不同投标人的投标文件中投标资料（包括电子资料）相互混装或项目班子成员出现同一人；</w:t>
      </w:r>
    </w:p>
    <w:p w14:paraId="478DE58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479" w:firstLine="238" w:firstLineChars="1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⑥不同投标人的投标文件由同一电脑编制或同一台附属设备打印，或投标报价用同一个预算编制软件密码锁制作或出自同一电子文档；</w:t>
      </w:r>
    </w:p>
    <w:p w14:paraId="5DE25F3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479" w:firstLine="238" w:firstLineChars="1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0AE8E1E7">
      <w:pPr>
        <w:keepNext w:val="0"/>
        <w:keepLines w:val="0"/>
        <w:pageBreakBefore w:val="0"/>
        <w:widowControl/>
        <w:kinsoku w:val="0"/>
        <w:wordWrap/>
        <w:overflowPunct/>
        <w:topLinePunct w:val="0"/>
        <w:autoSpaceDE w:val="0"/>
        <w:autoSpaceDN w:val="0"/>
        <w:bidi w:val="0"/>
        <w:adjustRightInd w:val="0"/>
        <w:snapToGrid w:val="0"/>
        <w:spacing w:before="157" w:line="360" w:lineRule="auto"/>
        <w:ind w:left="479" w:firstLine="238" w:firstLineChars="1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78FB46AA">
      <w:pPr>
        <w:spacing w:before="78" w:line="221" w:lineRule="auto"/>
        <w:ind w:left="496"/>
        <w:outlineLvl w:val="2"/>
        <w:rPr>
          <w:rFonts w:hint="eastAsia" w:ascii="宋体" w:hAnsi="宋体" w:eastAsia="宋体" w:cs="宋体"/>
          <w:b/>
          <w:bCs/>
          <w:color w:val="auto"/>
          <w:spacing w:val="-11"/>
          <w:sz w:val="24"/>
          <w:szCs w:val="24"/>
          <w:highlight w:val="none"/>
        </w:rPr>
      </w:pPr>
    </w:p>
    <w:p w14:paraId="7972F484">
      <w:pPr>
        <w:spacing w:before="78" w:line="221" w:lineRule="auto"/>
        <w:ind w:left="496"/>
        <w:outlineLvl w:val="2"/>
        <w:rPr>
          <w:rFonts w:hint="eastAsia" w:ascii="宋体" w:hAnsi="宋体" w:eastAsia="宋体" w:cs="宋体"/>
          <w:b/>
          <w:bCs/>
          <w:color w:val="auto"/>
          <w:spacing w:val="-11"/>
          <w:sz w:val="24"/>
          <w:szCs w:val="24"/>
          <w:highlight w:val="none"/>
        </w:rPr>
      </w:pPr>
    </w:p>
    <w:p w14:paraId="10DA6D23">
      <w:pPr>
        <w:spacing w:before="78" w:line="221" w:lineRule="auto"/>
        <w:ind w:left="496"/>
        <w:outlineLvl w:val="2"/>
        <w:rPr>
          <w:rFonts w:hint="eastAsia" w:ascii="宋体" w:hAnsi="宋体" w:eastAsia="宋体" w:cs="宋体"/>
          <w:b/>
          <w:bCs/>
          <w:color w:val="auto"/>
          <w:spacing w:val="-11"/>
          <w:sz w:val="24"/>
          <w:szCs w:val="24"/>
          <w:highlight w:val="none"/>
        </w:rPr>
      </w:pPr>
    </w:p>
    <w:p w14:paraId="209627A0">
      <w:pPr>
        <w:spacing w:before="78" w:line="221" w:lineRule="auto"/>
        <w:ind w:left="496"/>
        <w:outlineLvl w:val="2"/>
        <w:rPr>
          <w:rFonts w:hint="eastAsia" w:ascii="宋体" w:hAnsi="宋体" w:eastAsia="宋体" w:cs="宋体"/>
          <w:b/>
          <w:bCs/>
          <w:color w:val="auto"/>
          <w:spacing w:val="-11"/>
          <w:sz w:val="24"/>
          <w:szCs w:val="24"/>
          <w:highlight w:val="none"/>
        </w:rPr>
      </w:pPr>
    </w:p>
    <w:p w14:paraId="03DAD92B">
      <w:pPr>
        <w:spacing w:before="78" w:line="360" w:lineRule="auto"/>
        <w:jc w:val="left"/>
        <w:outlineLvl w:val="1"/>
        <w:rPr>
          <w:rFonts w:hint="eastAsia" w:ascii="宋体" w:hAnsi="宋体" w:eastAsia="宋体" w:cs="宋体"/>
          <w:color w:val="auto"/>
          <w:sz w:val="24"/>
          <w:szCs w:val="24"/>
          <w:highlight w:val="none"/>
        </w:rPr>
      </w:pPr>
      <w:bookmarkStart w:id="145" w:name="_Toc5538"/>
      <w:r>
        <w:rPr>
          <w:rFonts w:hint="eastAsia" w:ascii="宋体" w:hAnsi="宋体" w:eastAsia="宋体" w:cs="宋体"/>
          <w:b/>
          <w:bCs/>
          <w:color w:val="auto"/>
          <w:spacing w:val="-11"/>
          <w:sz w:val="24"/>
          <w:szCs w:val="24"/>
          <w:highlight w:val="none"/>
          <w:lang w:val="en-US" w:eastAsia="zh-CN"/>
        </w:rPr>
        <w:t xml:space="preserve">第五节  </w:t>
      </w:r>
      <w:bookmarkEnd w:id="137"/>
      <w:bookmarkEnd w:id="138"/>
      <w:bookmarkEnd w:id="139"/>
      <w:r>
        <w:rPr>
          <w:rFonts w:hint="eastAsia" w:ascii="宋体" w:hAnsi="宋体" w:eastAsia="宋体" w:cs="宋体"/>
          <w:b/>
          <w:bCs/>
          <w:color w:val="auto"/>
          <w:spacing w:val="-3"/>
          <w:sz w:val="24"/>
          <w:szCs w:val="24"/>
          <w:highlight w:val="none"/>
        </w:rPr>
        <w:t>定标规定及细则（本项目采用票决数量法定标）</w:t>
      </w:r>
      <w:bookmarkEnd w:id="145"/>
    </w:p>
    <w:p w14:paraId="68522894">
      <w:pPr>
        <w:keepNext w:val="0"/>
        <w:keepLines w:val="0"/>
        <w:pageBreakBefore w:val="0"/>
        <w:wordWrap/>
        <w:overflowPunct/>
        <w:topLinePunct w:val="0"/>
        <w:bidi w:val="0"/>
        <w:spacing w:line="360" w:lineRule="auto"/>
        <w:ind w:firstLine="482" w:firstLineChars="200"/>
        <w:rPr>
          <w:rStyle w:val="23"/>
          <w:rFonts w:hint="eastAsia" w:ascii="宋体" w:hAnsi="宋体" w:eastAsia="宋体" w:cs="宋体"/>
          <w:b/>
          <w:bCs/>
          <w:color w:val="auto"/>
          <w:kern w:val="0"/>
          <w:sz w:val="24"/>
          <w:szCs w:val="24"/>
          <w:highlight w:val="none"/>
        </w:rPr>
      </w:pPr>
      <w:r>
        <w:rPr>
          <w:rStyle w:val="23"/>
          <w:rFonts w:hint="eastAsia" w:ascii="宋体" w:hAnsi="宋体" w:eastAsia="宋体" w:cs="宋体"/>
          <w:b/>
          <w:bCs/>
          <w:color w:val="auto"/>
          <w:kern w:val="0"/>
          <w:sz w:val="24"/>
          <w:szCs w:val="24"/>
          <w:highlight w:val="none"/>
          <w:lang w:val="en-US" w:eastAsia="zh-CN"/>
        </w:rPr>
        <w:t>1.</w:t>
      </w:r>
      <w:r>
        <w:rPr>
          <w:rStyle w:val="23"/>
          <w:rFonts w:hint="eastAsia" w:ascii="宋体" w:hAnsi="宋体" w:eastAsia="宋体" w:cs="宋体"/>
          <w:b/>
          <w:bCs/>
          <w:color w:val="auto"/>
          <w:kern w:val="0"/>
          <w:sz w:val="24"/>
          <w:szCs w:val="24"/>
          <w:highlight w:val="none"/>
          <w:lang w:eastAsia="zh-CN"/>
        </w:rPr>
        <w:t>确定</w:t>
      </w:r>
      <w:r>
        <w:rPr>
          <w:rStyle w:val="23"/>
          <w:rFonts w:hint="eastAsia" w:ascii="宋体" w:hAnsi="宋体" w:eastAsia="宋体" w:cs="宋体"/>
          <w:b/>
          <w:bCs/>
          <w:color w:val="auto"/>
          <w:kern w:val="0"/>
          <w:sz w:val="24"/>
          <w:szCs w:val="24"/>
          <w:highlight w:val="none"/>
        </w:rPr>
        <w:t>定标时间</w:t>
      </w:r>
    </w:p>
    <w:p w14:paraId="33860852">
      <w:pPr>
        <w:keepNext w:val="0"/>
        <w:keepLines w:val="0"/>
        <w:pageBreakBefore w:val="0"/>
        <w:wordWrap/>
        <w:overflowPunct/>
        <w:topLinePunct w:val="0"/>
        <w:bidi w:val="0"/>
        <w:spacing w:line="360" w:lineRule="auto"/>
        <w:ind w:firstLine="480" w:firstLineChars="200"/>
        <w:rPr>
          <w:rStyle w:val="23"/>
          <w:rFonts w:hint="eastAsia" w:ascii="宋体" w:hAnsi="宋体" w:eastAsia="宋体" w:cs="宋体"/>
          <w:color w:val="auto"/>
          <w:kern w:val="0"/>
          <w:sz w:val="24"/>
          <w:szCs w:val="24"/>
          <w:highlight w:val="none"/>
        </w:rPr>
      </w:pPr>
      <w:r>
        <w:rPr>
          <w:rStyle w:val="23"/>
          <w:rFonts w:hint="eastAsia" w:ascii="宋体" w:hAnsi="宋体" w:eastAsia="宋体" w:cs="宋体"/>
          <w:color w:val="auto"/>
          <w:kern w:val="0"/>
          <w:sz w:val="24"/>
          <w:szCs w:val="24"/>
          <w:highlight w:val="none"/>
        </w:rPr>
        <w:t>招标人</w:t>
      </w:r>
      <w:r>
        <w:rPr>
          <w:rStyle w:val="23"/>
          <w:rFonts w:hint="eastAsia" w:ascii="宋体" w:hAnsi="宋体" w:eastAsia="宋体" w:cs="宋体"/>
          <w:color w:val="auto"/>
          <w:kern w:val="0"/>
          <w:sz w:val="24"/>
          <w:szCs w:val="24"/>
          <w:highlight w:val="none"/>
          <w:lang w:eastAsia="zh-CN"/>
        </w:rPr>
        <w:t>应</w:t>
      </w:r>
      <w:r>
        <w:rPr>
          <w:rStyle w:val="23"/>
          <w:rFonts w:hint="eastAsia" w:ascii="宋体" w:hAnsi="宋体" w:eastAsia="宋体" w:cs="宋体"/>
          <w:color w:val="auto"/>
          <w:kern w:val="0"/>
          <w:sz w:val="24"/>
          <w:szCs w:val="24"/>
          <w:highlight w:val="none"/>
        </w:rPr>
        <w:t>自</w:t>
      </w:r>
      <w:r>
        <w:rPr>
          <w:rStyle w:val="23"/>
          <w:rFonts w:hint="eastAsia" w:ascii="宋体" w:hAnsi="宋体" w:eastAsia="宋体" w:cs="宋体"/>
          <w:color w:val="auto"/>
          <w:kern w:val="0"/>
          <w:sz w:val="24"/>
          <w:szCs w:val="24"/>
          <w:highlight w:val="none"/>
          <w:lang w:val="en-US" w:eastAsia="zh-CN"/>
        </w:rPr>
        <w:t>定标候选人</w:t>
      </w:r>
      <w:r>
        <w:rPr>
          <w:rStyle w:val="23"/>
          <w:rFonts w:hint="eastAsia" w:ascii="宋体" w:hAnsi="宋体" w:eastAsia="宋体" w:cs="宋体"/>
          <w:color w:val="auto"/>
          <w:kern w:val="0"/>
          <w:sz w:val="24"/>
          <w:szCs w:val="24"/>
          <w:highlight w:val="none"/>
        </w:rPr>
        <w:t>公示期满后</w:t>
      </w:r>
      <w:r>
        <w:rPr>
          <w:rStyle w:val="23"/>
          <w:rFonts w:hint="eastAsia" w:ascii="宋体" w:hAnsi="宋体" w:eastAsia="宋体" w:cs="宋体"/>
          <w:color w:val="auto"/>
          <w:kern w:val="0"/>
          <w:sz w:val="24"/>
          <w:szCs w:val="24"/>
          <w:highlight w:val="none"/>
          <w:lang w:val="en-US" w:eastAsia="zh-CN"/>
        </w:rPr>
        <w:t>5</w:t>
      </w:r>
      <w:r>
        <w:rPr>
          <w:rStyle w:val="23"/>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3"/>
          <w:rFonts w:hint="eastAsia" w:ascii="宋体" w:hAnsi="宋体" w:eastAsia="宋体" w:cs="宋体"/>
          <w:color w:val="auto"/>
          <w:kern w:val="0"/>
          <w:sz w:val="24"/>
          <w:szCs w:val="24"/>
          <w:highlight w:val="none"/>
          <w:lang w:eastAsia="zh-CN"/>
        </w:rPr>
        <w:t>应</w:t>
      </w:r>
      <w:r>
        <w:rPr>
          <w:rStyle w:val="23"/>
          <w:rFonts w:hint="eastAsia" w:ascii="宋体" w:hAnsi="宋体" w:eastAsia="宋体" w:cs="宋体"/>
          <w:color w:val="auto"/>
          <w:kern w:val="0"/>
          <w:sz w:val="24"/>
          <w:szCs w:val="24"/>
          <w:highlight w:val="none"/>
        </w:rPr>
        <w:t>通过公共资源交易平台公布延期原因和定标时间。</w:t>
      </w:r>
    </w:p>
    <w:p w14:paraId="76F0C233">
      <w:pPr>
        <w:keepNext w:val="0"/>
        <w:keepLines w:val="0"/>
        <w:pageBreakBefore w:val="0"/>
        <w:wordWrap/>
        <w:overflowPunct/>
        <w:topLinePunct w:val="0"/>
        <w:bidi w:val="0"/>
        <w:spacing w:line="360" w:lineRule="auto"/>
        <w:ind w:firstLine="482" w:firstLineChars="200"/>
        <w:rPr>
          <w:rStyle w:val="23"/>
          <w:rFonts w:hint="eastAsia" w:ascii="宋体" w:hAnsi="宋体" w:eastAsia="宋体" w:cs="宋体"/>
          <w:b/>
          <w:bCs/>
          <w:color w:val="auto"/>
          <w:kern w:val="0"/>
          <w:sz w:val="24"/>
          <w:szCs w:val="24"/>
          <w:highlight w:val="none"/>
          <w:lang w:eastAsia="zh-CN"/>
        </w:rPr>
      </w:pPr>
      <w:r>
        <w:rPr>
          <w:rStyle w:val="23"/>
          <w:rFonts w:hint="eastAsia" w:ascii="宋体" w:hAnsi="宋体" w:eastAsia="宋体" w:cs="宋体"/>
          <w:b/>
          <w:bCs/>
          <w:color w:val="auto"/>
          <w:kern w:val="0"/>
          <w:sz w:val="24"/>
          <w:szCs w:val="24"/>
          <w:highlight w:val="none"/>
          <w:lang w:val="en-US" w:eastAsia="zh-CN"/>
        </w:rPr>
        <w:t>2</w:t>
      </w:r>
      <w:r>
        <w:rPr>
          <w:rStyle w:val="23"/>
          <w:rFonts w:hint="eastAsia" w:ascii="宋体" w:hAnsi="宋体" w:eastAsia="宋体" w:cs="宋体"/>
          <w:b/>
          <w:bCs/>
          <w:color w:val="auto"/>
          <w:kern w:val="0"/>
          <w:sz w:val="24"/>
          <w:szCs w:val="24"/>
          <w:highlight w:val="none"/>
        </w:rPr>
        <w:t>.</w:t>
      </w:r>
      <w:r>
        <w:rPr>
          <w:rStyle w:val="23"/>
          <w:rFonts w:hint="eastAsia" w:ascii="宋体" w:hAnsi="宋体" w:eastAsia="宋体" w:cs="宋体"/>
          <w:b/>
          <w:bCs/>
          <w:color w:val="auto"/>
          <w:kern w:val="0"/>
          <w:sz w:val="24"/>
          <w:szCs w:val="24"/>
          <w:highlight w:val="none"/>
          <w:lang w:eastAsia="zh-CN"/>
        </w:rPr>
        <w:t>定标委员会</w:t>
      </w:r>
    </w:p>
    <w:p w14:paraId="1B9C2FB1">
      <w:pPr>
        <w:keepNext w:val="0"/>
        <w:keepLines w:val="0"/>
        <w:pageBreakBefore w:val="0"/>
        <w:wordWrap/>
        <w:overflowPunct/>
        <w:topLinePunct w:val="0"/>
        <w:bidi w:val="0"/>
        <w:spacing w:line="360" w:lineRule="auto"/>
        <w:ind w:firstLine="480" w:firstLineChars="200"/>
        <w:rPr>
          <w:rStyle w:val="23"/>
          <w:rFonts w:hint="eastAsia" w:ascii="宋体" w:hAnsi="宋体" w:eastAsia="宋体" w:cs="宋体"/>
          <w:color w:val="auto"/>
          <w:kern w:val="0"/>
          <w:sz w:val="24"/>
          <w:szCs w:val="24"/>
          <w:highlight w:val="none"/>
          <w:lang w:val="en-US" w:eastAsia="zh-CN"/>
        </w:rPr>
      </w:pPr>
      <w:r>
        <w:rPr>
          <w:rStyle w:val="23"/>
          <w:rFonts w:hint="eastAsia" w:ascii="宋体" w:hAnsi="宋体" w:eastAsia="宋体" w:cs="宋体"/>
          <w:color w:val="auto"/>
          <w:kern w:val="0"/>
          <w:sz w:val="24"/>
          <w:szCs w:val="24"/>
          <w:highlight w:val="none"/>
          <w:lang w:val="en-US" w:eastAsia="zh-CN"/>
        </w:rPr>
        <w:t>2.1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647D3BA6">
      <w:pPr>
        <w:keepNext w:val="0"/>
        <w:keepLines w:val="0"/>
        <w:pageBreakBefore w:val="0"/>
        <w:wordWrap/>
        <w:overflowPunct/>
        <w:topLinePunct w:val="0"/>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064F4FF8">
      <w:pPr>
        <w:keepNext w:val="0"/>
        <w:keepLines w:val="0"/>
        <w:pageBreakBefore w:val="0"/>
        <w:wordWrap/>
        <w:overflowPunct/>
        <w:topLinePunct w:val="0"/>
        <w:bidi w:val="0"/>
        <w:spacing w:line="360" w:lineRule="auto"/>
        <w:ind w:firstLine="480" w:firstLineChars="200"/>
        <w:rPr>
          <w:rFonts w:hint="eastAsia" w:ascii="宋体" w:hAnsi="宋体" w:eastAsia="宋体" w:cs="宋体"/>
          <w:color w:val="auto"/>
          <w:sz w:val="24"/>
          <w:szCs w:val="24"/>
          <w:highlight w:val="none"/>
          <w:lang w:val="en-US" w:eastAsia="zh-CN"/>
        </w:rPr>
      </w:pPr>
      <w:r>
        <w:rPr>
          <w:rStyle w:val="23"/>
          <w:rFonts w:hint="eastAsia" w:ascii="宋体" w:hAnsi="宋体" w:eastAsia="宋体" w:cs="宋体"/>
          <w:color w:val="auto"/>
          <w:kern w:val="0"/>
          <w:sz w:val="24"/>
          <w:szCs w:val="24"/>
          <w:highlight w:val="none"/>
          <w:lang w:val="en-US" w:eastAsia="zh-CN"/>
        </w:rPr>
        <w:t>2</w:t>
      </w:r>
      <w:r>
        <w:rPr>
          <w:rStyle w:val="23"/>
          <w:rFonts w:hint="eastAsia" w:ascii="宋体" w:hAnsi="宋体" w:eastAsia="宋体" w:cs="宋体"/>
          <w:color w:val="auto"/>
          <w:kern w:val="0"/>
          <w:sz w:val="24"/>
          <w:szCs w:val="24"/>
          <w:highlight w:val="none"/>
        </w:rPr>
        <w:t>.</w:t>
      </w:r>
      <w:r>
        <w:rPr>
          <w:rStyle w:val="23"/>
          <w:rFonts w:hint="eastAsia" w:ascii="宋体" w:hAnsi="宋体" w:eastAsia="宋体" w:cs="宋体"/>
          <w:color w:val="auto"/>
          <w:kern w:val="0"/>
          <w:sz w:val="24"/>
          <w:szCs w:val="24"/>
          <w:highlight w:val="none"/>
          <w:lang w:val="en-US" w:eastAsia="zh-CN"/>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035B56DB">
      <w:pPr>
        <w:keepNext w:val="0"/>
        <w:keepLines w:val="0"/>
        <w:pageBreakBefore w:val="0"/>
        <w:wordWrap/>
        <w:overflowPunct/>
        <w:topLinePunct w:val="0"/>
        <w:bidi w:val="0"/>
        <w:spacing w:line="360" w:lineRule="auto"/>
        <w:ind w:firstLine="482" w:firstLineChars="200"/>
        <w:rPr>
          <w:rStyle w:val="23"/>
          <w:rFonts w:hint="eastAsia" w:ascii="宋体" w:hAnsi="宋体" w:eastAsia="宋体" w:cs="宋体"/>
          <w:b/>
          <w:bCs/>
          <w:color w:val="auto"/>
          <w:kern w:val="0"/>
          <w:sz w:val="24"/>
          <w:szCs w:val="24"/>
          <w:highlight w:val="none"/>
          <w:lang w:val="en-US" w:eastAsia="zh-CN"/>
        </w:rPr>
      </w:pPr>
      <w:r>
        <w:rPr>
          <w:rStyle w:val="23"/>
          <w:rFonts w:hint="eastAsia" w:ascii="宋体" w:hAnsi="宋体" w:eastAsia="宋体" w:cs="宋体"/>
          <w:b/>
          <w:bCs/>
          <w:color w:val="auto"/>
          <w:kern w:val="0"/>
          <w:sz w:val="24"/>
          <w:szCs w:val="24"/>
          <w:highlight w:val="none"/>
          <w:lang w:val="en-US" w:eastAsia="zh-CN"/>
        </w:rPr>
        <w:t>3</w:t>
      </w:r>
      <w:r>
        <w:rPr>
          <w:rStyle w:val="23"/>
          <w:rFonts w:hint="eastAsia" w:ascii="宋体" w:hAnsi="宋体" w:eastAsia="宋体" w:cs="宋体"/>
          <w:b/>
          <w:bCs/>
          <w:color w:val="auto"/>
          <w:kern w:val="0"/>
          <w:sz w:val="24"/>
          <w:szCs w:val="24"/>
          <w:highlight w:val="none"/>
        </w:rPr>
        <w:t>.</w:t>
      </w:r>
      <w:r>
        <w:rPr>
          <w:rStyle w:val="23"/>
          <w:rFonts w:hint="eastAsia" w:ascii="宋体" w:hAnsi="宋体" w:eastAsia="宋体" w:cs="宋体"/>
          <w:b/>
          <w:bCs/>
          <w:color w:val="auto"/>
          <w:kern w:val="0"/>
          <w:sz w:val="24"/>
          <w:szCs w:val="24"/>
          <w:highlight w:val="none"/>
          <w:lang w:val="en-US" w:eastAsia="zh-CN"/>
        </w:rPr>
        <w:t>组建招标监督小组</w:t>
      </w:r>
    </w:p>
    <w:p w14:paraId="6B47494B">
      <w:pPr>
        <w:keepNext w:val="0"/>
        <w:keepLines w:val="0"/>
        <w:pageBreakBefore w:val="0"/>
        <w:wordWrap/>
        <w:overflowPunct/>
        <w:topLinePunct w:val="0"/>
        <w:bidi w:val="0"/>
        <w:spacing w:line="360" w:lineRule="auto"/>
        <w:ind w:firstLine="480" w:firstLineChars="200"/>
        <w:rPr>
          <w:rStyle w:val="23"/>
          <w:rFonts w:hint="eastAsia" w:ascii="宋体" w:hAnsi="宋体" w:eastAsia="宋体" w:cs="宋体"/>
          <w:color w:val="auto"/>
          <w:kern w:val="0"/>
          <w:sz w:val="24"/>
          <w:szCs w:val="24"/>
          <w:highlight w:val="none"/>
          <w:lang w:val="en-US" w:eastAsia="zh-CN"/>
        </w:rPr>
      </w:pPr>
      <w:r>
        <w:rPr>
          <w:rStyle w:val="23"/>
          <w:rFonts w:hint="eastAsia" w:ascii="宋体" w:hAnsi="宋体" w:eastAsia="宋体" w:cs="宋体"/>
          <w:color w:val="auto"/>
          <w:kern w:val="0"/>
          <w:sz w:val="24"/>
          <w:szCs w:val="24"/>
          <w:highlight w:val="none"/>
          <w:lang w:val="en-US" w:eastAsia="zh-CN"/>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5017E9BE">
      <w:pPr>
        <w:keepNext w:val="0"/>
        <w:keepLines w:val="0"/>
        <w:pageBreakBefore w:val="0"/>
        <w:wordWrap/>
        <w:overflowPunct/>
        <w:topLinePunct w:val="0"/>
        <w:bidi w:val="0"/>
        <w:spacing w:line="360" w:lineRule="auto"/>
        <w:ind w:firstLine="482" w:firstLineChars="200"/>
        <w:jc w:val="left"/>
        <w:rPr>
          <w:rStyle w:val="23"/>
          <w:rFonts w:hint="eastAsia" w:ascii="宋体" w:hAnsi="宋体" w:eastAsia="宋体" w:cs="宋体"/>
          <w:b/>
          <w:bCs/>
          <w:color w:val="auto"/>
          <w:kern w:val="0"/>
          <w:sz w:val="24"/>
          <w:szCs w:val="24"/>
          <w:highlight w:val="none"/>
          <w:lang w:eastAsia="zh-CN"/>
        </w:rPr>
      </w:pPr>
      <w:r>
        <w:rPr>
          <w:rStyle w:val="23"/>
          <w:rFonts w:hint="eastAsia" w:ascii="宋体" w:hAnsi="宋体" w:eastAsia="宋体" w:cs="宋体"/>
          <w:b/>
          <w:bCs/>
          <w:color w:val="auto"/>
          <w:kern w:val="0"/>
          <w:sz w:val="24"/>
          <w:szCs w:val="24"/>
          <w:highlight w:val="none"/>
          <w:lang w:val="en-US" w:eastAsia="zh-CN"/>
        </w:rPr>
        <w:t>4</w:t>
      </w:r>
      <w:r>
        <w:rPr>
          <w:rStyle w:val="23"/>
          <w:rFonts w:hint="eastAsia" w:ascii="宋体" w:hAnsi="宋体" w:eastAsia="宋体" w:cs="宋体"/>
          <w:b/>
          <w:bCs/>
          <w:color w:val="auto"/>
          <w:kern w:val="0"/>
          <w:sz w:val="24"/>
          <w:szCs w:val="24"/>
          <w:highlight w:val="none"/>
        </w:rPr>
        <w:t>.</w:t>
      </w:r>
      <w:r>
        <w:rPr>
          <w:rStyle w:val="23"/>
          <w:rFonts w:hint="eastAsia" w:ascii="宋体" w:hAnsi="宋体" w:eastAsia="宋体" w:cs="宋体"/>
          <w:b/>
          <w:bCs/>
          <w:color w:val="auto"/>
          <w:kern w:val="0"/>
          <w:sz w:val="24"/>
          <w:szCs w:val="24"/>
          <w:highlight w:val="none"/>
          <w:lang w:eastAsia="zh-CN"/>
        </w:rPr>
        <w:t>定标办法</w:t>
      </w:r>
    </w:p>
    <w:p w14:paraId="71B8259B">
      <w:pPr>
        <w:keepNext w:val="0"/>
        <w:keepLines w:val="0"/>
        <w:pageBreakBefore w:val="0"/>
        <w:wordWrap/>
        <w:overflowPunct/>
        <w:topLinePunct w:val="0"/>
        <w:bidi w:val="0"/>
        <w:spacing w:line="360" w:lineRule="auto"/>
        <w:ind w:firstLine="240" w:firstLineChars="100"/>
        <w:rPr>
          <w:rStyle w:val="23"/>
          <w:rFonts w:hint="eastAsia" w:ascii="宋体" w:hAnsi="宋体" w:eastAsia="宋体" w:cs="宋体"/>
          <w:color w:val="auto"/>
          <w:kern w:val="0"/>
          <w:sz w:val="24"/>
          <w:szCs w:val="24"/>
          <w:highlight w:val="none"/>
          <w:lang w:val="en-US" w:eastAsia="zh-CN"/>
        </w:rPr>
      </w:pPr>
      <w:r>
        <w:rPr>
          <w:rStyle w:val="23"/>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47AAA445">
      <w:pPr>
        <w:keepNext w:val="0"/>
        <w:keepLines w:val="0"/>
        <w:pageBreakBefore w:val="0"/>
        <w:wordWrap/>
        <w:overflowPunct/>
        <w:topLinePunct w:val="0"/>
        <w:bidi w:val="0"/>
        <w:spacing w:line="360" w:lineRule="auto"/>
        <w:ind w:firstLine="482" w:firstLineChars="200"/>
        <w:rPr>
          <w:rFonts w:hint="eastAsia" w:ascii="宋体" w:hAnsi="宋体" w:eastAsia="宋体" w:cs="宋体"/>
          <w:color w:val="auto"/>
          <w:sz w:val="24"/>
          <w:szCs w:val="24"/>
          <w:highlight w:val="none"/>
        </w:rPr>
      </w:pPr>
      <w:bookmarkStart w:id="146" w:name="OLE_LINK3"/>
      <w:r>
        <w:rPr>
          <w:rFonts w:hint="eastAsia" w:ascii="宋体" w:hAnsi="宋体" w:eastAsia="宋体" w:cs="宋体"/>
          <w:b/>
          <w:bCs/>
          <w:color w:val="auto"/>
          <w:sz w:val="24"/>
          <w:szCs w:val="24"/>
          <w:highlight w:val="none"/>
          <w:lang w:val="en-US" w:eastAsia="zh-CN"/>
        </w:rPr>
        <w:t>本项目</w:t>
      </w:r>
      <w:bookmarkEnd w:id="146"/>
      <w:r>
        <w:rPr>
          <w:rFonts w:hint="eastAsia" w:ascii="宋体" w:hAnsi="宋体" w:eastAsia="宋体" w:cs="宋体"/>
          <w:b/>
          <w:bCs/>
          <w:color w:val="auto"/>
          <w:sz w:val="24"/>
          <w:szCs w:val="24"/>
          <w:highlight w:val="none"/>
          <w:lang w:val="en-US" w:eastAsia="zh-CN"/>
        </w:rPr>
        <w:t>采用票决数量法定标。</w:t>
      </w:r>
    </w:p>
    <w:p w14:paraId="26EC3D02">
      <w:pPr>
        <w:keepNext w:val="0"/>
        <w:keepLines w:val="0"/>
        <w:pageBreakBefore w:val="0"/>
        <w:wordWrap/>
        <w:overflowPunct/>
        <w:topLinePunct w:val="0"/>
        <w:bidi w:val="0"/>
        <w:spacing w:line="360" w:lineRule="auto"/>
        <w:ind w:firstLine="482" w:firstLineChars="200"/>
        <w:rPr>
          <w:rStyle w:val="23"/>
          <w:rFonts w:hint="eastAsia" w:ascii="宋体" w:hAnsi="宋体" w:eastAsia="宋体" w:cs="宋体"/>
          <w:b/>
          <w:bCs/>
          <w:color w:val="auto"/>
          <w:kern w:val="0"/>
          <w:sz w:val="24"/>
          <w:szCs w:val="24"/>
          <w:highlight w:val="none"/>
          <w:lang w:val="en-US" w:eastAsia="zh-CN"/>
        </w:rPr>
      </w:pPr>
      <w:r>
        <w:rPr>
          <w:rStyle w:val="23"/>
          <w:rFonts w:hint="eastAsia" w:ascii="宋体" w:hAnsi="宋体" w:eastAsia="宋体" w:cs="宋体"/>
          <w:b/>
          <w:bCs/>
          <w:color w:val="auto"/>
          <w:kern w:val="0"/>
          <w:sz w:val="24"/>
          <w:szCs w:val="24"/>
          <w:highlight w:val="none"/>
          <w:lang w:val="en-US" w:eastAsia="zh-CN"/>
        </w:rPr>
        <w:t>5.定标细则</w:t>
      </w:r>
    </w:p>
    <w:p w14:paraId="4F3AF67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8033A0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3841D68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78BFE9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5BA9CF7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0A9A72E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6EFDC299">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0EBAC58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7EFDFB4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6C5D530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6D782DB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0FC34AA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0BE36219">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5FA31FA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5FC8400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6856A3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28C83BB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B1A86A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5962DD9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2351DC9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63B51B7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（3）农民工工资保障情况（是否存在拖欠农民工工资情况）</w:t>
      </w:r>
    </w:p>
    <w:p w14:paraId="715526B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相对标准：农民工工资保障情况好的定标候选人优于农民工工资保障情况差的定标候选人（结合定标候选人提交的证明材料和招标人查询的材料进行评审）。</w:t>
      </w:r>
    </w:p>
    <w:p w14:paraId="796C44E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（4）企业实力</w:t>
      </w:r>
    </w:p>
    <w:p w14:paraId="189FE3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包括企业规模较大、行业主管部门的行业排名比较靠前（如有）、资质等级较高、专业技术人员规模较大、过往业绩（含业绩影响力、难易程度）等方面较多、按时按质完成项目的能力较强、施工期间现场服务及时性较强的定标候选人优于企业实力包括企业规模较小、行业主管部门的行业排名比较靠后（如有）、资质等级较低、专业技术人员规模较小、过往业绩（含业绩影响力、难易程度）等方面较少、按时按质完成项目的能力较弱、施工期间现场服务及时性较弱的定标候选人。</w:t>
      </w:r>
    </w:p>
    <w:p w14:paraId="4067738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（5）技术方案</w:t>
      </w:r>
    </w:p>
    <w:p w14:paraId="5C2F976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技术方案的定标候选人优于技术方案一般的定标候选人。（技术方案对保证措施、施工计划和技术、工艺及工程项目实施的重点、难点分析和解决方案、安全文明施工措施、新技术应用、质量保证和违约责任承诺等的充分考虑，技术方案合理性、科学性、表述清晰、完整、具体、有效并实施可行。）</w:t>
      </w:r>
    </w:p>
    <w:p w14:paraId="78EC39E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（6）评标报告</w:t>
      </w:r>
    </w:p>
    <w:p w14:paraId="00EA2B2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color w:val="auto"/>
          <w:highlight w:val="none"/>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69281F42">
      <w:pPr>
        <w:spacing w:before="78" w:line="221" w:lineRule="auto"/>
        <w:outlineLvl w:val="2"/>
        <w:rPr>
          <w:rFonts w:hint="eastAsia" w:ascii="宋体" w:hAnsi="宋体" w:eastAsia="宋体" w:cs="宋体"/>
          <w:b/>
          <w:bCs/>
          <w:color w:val="auto"/>
          <w:spacing w:val="-11"/>
          <w:sz w:val="24"/>
          <w:szCs w:val="24"/>
          <w:highlight w:val="none"/>
          <w:lang w:val="en-US" w:eastAsia="zh-CN"/>
        </w:rPr>
      </w:pPr>
      <w:bookmarkStart w:id="147" w:name="_Toc22744"/>
    </w:p>
    <w:p w14:paraId="722502B1">
      <w:pPr>
        <w:spacing w:before="78" w:line="221" w:lineRule="auto"/>
        <w:ind w:left="496"/>
        <w:outlineLvl w:val="2"/>
        <w:rPr>
          <w:rFonts w:hint="eastAsia" w:ascii="宋体" w:hAnsi="宋体" w:eastAsia="宋体" w:cs="宋体"/>
          <w:b/>
          <w:bCs/>
          <w:color w:val="auto"/>
          <w:spacing w:val="-11"/>
          <w:sz w:val="24"/>
          <w:szCs w:val="24"/>
          <w:highlight w:val="none"/>
        </w:rPr>
      </w:pPr>
      <w:bookmarkStart w:id="148" w:name="_Toc26469"/>
      <w:r>
        <w:rPr>
          <w:rFonts w:hint="eastAsia" w:ascii="宋体" w:hAnsi="宋体" w:eastAsia="宋体" w:cs="宋体"/>
          <w:b/>
          <w:bCs/>
          <w:color w:val="auto"/>
          <w:spacing w:val="-11"/>
          <w:sz w:val="24"/>
          <w:szCs w:val="24"/>
          <w:highlight w:val="none"/>
          <w:lang w:val="en-US" w:eastAsia="zh-CN"/>
        </w:rPr>
        <w:t>6</w:t>
      </w:r>
      <w:r>
        <w:rPr>
          <w:rFonts w:hint="eastAsia" w:ascii="宋体" w:hAnsi="宋体" w:eastAsia="宋体" w:cs="宋体"/>
          <w:b/>
          <w:bCs/>
          <w:color w:val="auto"/>
          <w:spacing w:val="-11"/>
          <w:sz w:val="24"/>
          <w:szCs w:val="24"/>
          <w:highlight w:val="none"/>
        </w:rPr>
        <w:t>．</w:t>
      </w:r>
      <w:r>
        <w:rPr>
          <w:rFonts w:hint="eastAsia" w:ascii="宋体" w:hAnsi="宋体" w:eastAsia="宋体" w:cs="宋体"/>
          <w:b/>
          <w:bCs/>
          <w:color w:val="auto"/>
          <w:spacing w:val="-11"/>
          <w:sz w:val="24"/>
          <w:szCs w:val="24"/>
          <w:highlight w:val="none"/>
          <w:lang w:val="en-US" w:eastAsia="zh-CN"/>
        </w:rPr>
        <w:t>定</w:t>
      </w:r>
      <w:r>
        <w:rPr>
          <w:rFonts w:hint="eastAsia" w:ascii="宋体" w:hAnsi="宋体" w:eastAsia="宋体" w:cs="宋体"/>
          <w:b/>
          <w:bCs/>
          <w:color w:val="auto"/>
          <w:spacing w:val="-11"/>
          <w:sz w:val="24"/>
          <w:szCs w:val="24"/>
          <w:highlight w:val="none"/>
        </w:rPr>
        <w:t>标</w:t>
      </w:r>
      <w:r>
        <w:rPr>
          <w:rFonts w:hint="eastAsia" w:ascii="宋体" w:hAnsi="宋体" w:eastAsia="宋体" w:cs="宋体"/>
          <w:b/>
          <w:bCs/>
          <w:color w:val="auto"/>
          <w:spacing w:val="-11"/>
          <w:sz w:val="24"/>
          <w:szCs w:val="24"/>
          <w:highlight w:val="none"/>
          <w:lang w:val="en-US" w:eastAsia="zh-CN"/>
        </w:rPr>
        <w:t>结果</w:t>
      </w:r>
      <w:r>
        <w:rPr>
          <w:rFonts w:hint="eastAsia" w:ascii="宋体" w:hAnsi="宋体" w:eastAsia="宋体" w:cs="宋体"/>
          <w:b/>
          <w:bCs/>
          <w:color w:val="auto"/>
          <w:spacing w:val="-11"/>
          <w:sz w:val="24"/>
          <w:szCs w:val="24"/>
          <w:highlight w:val="none"/>
        </w:rPr>
        <w:t>公示</w:t>
      </w:r>
      <w:bookmarkEnd w:id="147"/>
      <w:bookmarkEnd w:id="148"/>
    </w:p>
    <w:p w14:paraId="2ACFD813">
      <w:pPr>
        <w:pStyle w:val="5"/>
        <w:ind w:firstLine="480" w:firstLineChars="200"/>
        <w:rPr>
          <w:rFonts w:hint="eastAsia"/>
          <w:color w:val="auto"/>
          <w:sz w:val="24"/>
          <w:szCs w:val="24"/>
          <w:lang w:val="en-US" w:eastAsia="zh-CN"/>
        </w:rPr>
        <w:sectPr>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fmt="numberInDash"/>
          <w:cols w:space="720" w:num="1"/>
          <w:rtlGutter w:val="0"/>
          <w:docGrid w:linePitch="327" w:charSpace="0"/>
        </w:sectPr>
      </w:pPr>
      <w:r>
        <w:rPr>
          <w:rFonts w:hint="eastAsia"/>
          <w:color w:val="auto"/>
          <w:sz w:val="24"/>
          <w:szCs w:val="24"/>
          <w:lang w:val="en-US" w:eastAsia="zh-CN"/>
        </w:rPr>
        <w:t>定标委员会完成定标后，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14:paraId="66C86993">
      <w:pPr>
        <w:spacing w:before="78" w:line="360" w:lineRule="auto"/>
        <w:ind w:left="9"/>
        <w:jc w:val="center"/>
        <w:outlineLvl w:val="1"/>
        <w:rPr>
          <w:rFonts w:hint="eastAsia" w:ascii="宋体" w:hAnsi="宋体" w:eastAsia="宋体" w:cs="宋体"/>
          <w:b/>
          <w:bCs/>
          <w:color w:val="auto"/>
          <w:spacing w:val="-3"/>
          <w:sz w:val="24"/>
          <w:szCs w:val="24"/>
          <w:highlight w:val="none"/>
          <w:lang w:val="en-US" w:eastAsia="zh-CN"/>
        </w:rPr>
      </w:pPr>
      <w:bookmarkStart w:id="149" w:name="_Toc7399"/>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49"/>
    </w:p>
    <w:p w14:paraId="5EAA23E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0C70BB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1A6551D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28D831D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0A6186E8">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2BF92E2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19C70C7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13E68A9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A606A66">
      <w:pPr>
        <w:pStyle w:val="15"/>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0" w:name="_Toc236550039"/>
      <w:r>
        <w:rPr>
          <w:rStyle w:val="21"/>
          <w:rFonts w:hint="eastAsia" w:ascii="宋体" w:hAnsi="宋体" w:eastAsia="宋体" w:cs="宋体"/>
          <w:b/>
          <w:bCs/>
          <w:i w:val="0"/>
          <w:color w:val="auto"/>
          <w:sz w:val="24"/>
          <w:szCs w:val="24"/>
          <w:highlight w:val="none"/>
          <w:lang w:val="en-US" w:eastAsia="zh-CN"/>
        </w:rPr>
        <w:t>3</w:t>
      </w:r>
      <w:r>
        <w:rPr>
          <w:rStyle w:val="21"/>
          <w:rFonts w:hint="eastAsia" w:ascii="宋体" w:hAnsi="宋体" w:eastAsia="宋体" w:cs="宋体"/>
          <w:b/>
          <w:bCs/>
          <w:i w:val="0"/>
          <w:color w:val="auto"/>
          <w:sz w:val="24"/>
          <w:szCs w:val="24"/>
          <w:highlight w:val="none"/>
        </w:rPr>
        <w:t>．废除授标</w:t>
      </w:r>
      <w:bookmarkEnd w:id="150"/>
      <w:r>
        <w:rPr>
          <w:rStyle w:val="21"/>
          <w:rFonts w:hint="eastAsia" w:ascii="宋体" w:hAnsi="宋体" w:eastAsia="宋体" w:cs="宋体"/>
          <w:b/>
          <w:bCs/>
          <w:i w:val="0"/>
          <w:color w:val="auto"/>
          <w:sz w:val="24"/>
          <w:szCs w:val="24"/>
          <w:highlight w:val="none"/>
        </w:rPr>
        <w:t>及授标</w:t>
      </w:r>
    </w:p>
    <w:p w14:paraId="196BE40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3D1F690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552B86E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AA02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65545F9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191F29F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163082D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58FB2F7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47968D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DD63B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59078C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5C73632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0824508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756F01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744B00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5EF01CC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1E31C8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2A48C6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3"/>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41459A31">
      <w:pPr>
        <w:pStyle w:val="5"/>
        <w:rPr>
          <w:rFonts w:hint="eastAsia"/>
          <w:color w:val="auto"/>
          <w:sz w:val="24"/>
          <w:szCs w:val="24"/>
        </w:rPr>
      </w:pPr>
    </w:p>
    <w:p w14:paraId="4DB74A79">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1" w:name="bookmark137"/>
      <w:bookmarkEnd w:id="151"/>
      <w:bookmarkStart w:id="152" w:name="bookmark138"/>
      <w:bookmarkEnd w:id="152"/>
    </w:p>
    <w:p w14:paraId="53D9FAD5">
      <w:pPr>
        <w:spacing w:before="78" w:line="220" w:lineRule="auto"/>
        <w:jc w:val="both"/>
        <w:outlineLvl w:val="1"/>
        <w:rPr>
          <w:rFonts w:hint="eastAsia" w:ascii="宋体" w:hAnsi="宋体" w:eastAsia="宋体" w:cs="宋体"/>
          <w:b/>
          <w:bCs/>
          <w:color w:val="auto"/>
          <w:spacing w:val="-3"/>
          <w:sz w:val="24"/>
          <w:szCs w:val="24"/>
          <w:highlight w:val="none"/>
        </w:rPr>
      </w:pPr>
    </w:p>
    <w:p w14:paraId="49CBF401">
      <w:pPr>
        <w:keepNext w:val="0"/>
        <w:keepLines w:val="0"/>
        <w:pageBreakBefore w:val="0"/>
        <w:widowControl/>
        <w:kinsoku w:val="0"/>
        <w:wordWrap/>
        <w:overflowPunct/>
        <w:topLinePunct w:val="0"/>
        <w:autoSpaceDE w:val="0"/>
        <w:autoSpaceDN w:val="0"/>
        <w:bidi w:val="0"/>
        <w:adjustRightInd w:val="0"/>
        <w:snapToGrid w:val="0"/>
        <w:spacing w:line="299" w:lineRule="auto"/>
        <w:textAlignment w:val="baseline"/>
        <w:rPr>
          <w:rFonts w:hint="eastAsia" w:ascii="宋体" w:hAnsi="宋体" w:eastAsia="宋体" w:cs="宋体"/>
          <w:color w:val="auto"/>
          <w:sz w:val="24"/>
          <w:szCs w:val="24"/>
          <w:highlight w:val="none"/>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3" w:name="bookmark57"/>
      <w:bookmarkEnd w:id="153"/>
      <w:bookmarkStart w:id="154" w:name="_Toc29297"/>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4"/>
    </w:p>
    <w:p w14:paraId="0D76B119">
      <w:pPr>
        <w:spacing w:before="78" w:line="219" w:lineRule="auto"/>
        <w:ind w:left="582"/>
        <w:outlineLvl w:val="2"/>
        <w:rPr>
          <w:rFonts w:hint="eastAsia" w:ascii="宋体" w:hAnsi="宋体" w:eastAsia="宋体" w:cs="宋体"/>
          <w:color w:val="auto"/>
          <w:sz w:val="24"/>
          <w:szCs w:val="24"/>
          <w:highlight w:val="none"/>
        </w:rPr>
      </w:pPr>
      <w:bookmarkStart w:id="155" w:name="_Toc27731"/>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5"/>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招标人确定定标人为中标人后7日内向中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5CE895D">
      <w:pPr>
        <w:spacing w:before="78" w:line="221" w:lineRule="auto"/>
        <w:ind w:left="572"/>
        <w:outlineLvl w:val="2"/>
        <w:rPr>
          <w:rFonts w:hint="eastAsia" w:ascii="宋体" w:hAnsi="宋体" w:eastAsia="宋体" w:cs="宋体"/>
          <w:color w:val="auto"/>
          <w:sz w:val="24"/>
          <w:szCs w:val="24"/>
          <w:highlight w:val="none"/>
        </w:rPr>
      </w:pPr>
      <w:bookmarkStart w:id="156" w:name="_Toc14618"/>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6"/>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7F9996BC">
      <w:pPr>
        <w:spacing w:before="79" w:line="221" w:lineRule="auto"/>
        <w:ind w:left="570"/>
        <w:outlineLvl w:val="2"/>
        <w:rPr>
          <w:rFonts w:hint="eastAsia" w:ascii="宋体" w:hAnsi="宋体" w:eastAsia="宋体" w:cs="宋体"/>
          <w:color w:val="auto"/>
          <w:sz w:val="24"/>
          <w:szCs w:val="24"/>
          <w:highlight w:val="none"/>
        </w:rPr>
      </w:pPr>
      <w:bookmarkStart w:id="157" w:name="_Toc26036"/>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7"/>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28天止。</w:t>
      </w:r>
    </w:p>
    <w:p w14:paraId="78DED6D5">
      <w:pPr>
        <w:wordWrap w:val="0"/>
        <w:spacing w:line="440" w:lineRule="exact"/>
        <w:ind w:firstLine="56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28天内，发包人将履</w:t>
      </w:r>
      <w:r>
        <w:rPr>
          <w:rFonts w:hint="eastAsia" w:ascii="宋体" w:hAnsi="宋体" w:eastAsia="宋体" w:cs="宋体"/>
          <w:color w:val="auto"/>
          <w:spacing w:val="-1"/>
          <w:sz w:val="24"/>
          <w:szCs w:val="24"/>
          <w:highlight w:val="none"/>
        </w:rPr>
        <w:t>约保证退还给承包人。</w:t>
      </w:r>
    </w:p>
    <w:p w14:paraId="1374047A">
      <w:pPr>
        <w:spacing w:before="78" w:line="222" w:lineRule="auto"/>
        <w:ind w:left="488"/>
        <w:outlineLvl w:val="2"/>
        <w:rPr>
          <w:rFonts w:hint="eastAsia" w:ascii="宋体" w:hAnsi="宋体" w:eastAsia="宋体" w:cs="宋体"/>
          <w:color w:val="auto"/>
          <w:sz w:val="24"/>
          <w:szCs w:val="24"/>
          <w:highlight w:val="none"/>
        </w:rPr>
      </w:pPr>
      <w:bookmarkStart w:id="158" w:name="_Toc832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58"/>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b w:val="0"/>
          <w:bCs w:val="0"/>
          <w:color w:val="auto"/>
          <w:spacing w:val="2"/>
          <w:sz w:val="24"/>
          <w:szCs w:val="24"/>
          <w:highlight w:val="none"/>
        </w:rPr>
        <w:t>不</w:t>
      </w:r>
      <w:r>
        <w:rPr>
          <w:rFonts w:hint="eastAsia" w:ascii="宋体" w:hAnsi="宋体" w:eastAsia="宋体" w:cs="宋体"/>
          <w:color w:val="auto"/>
          <w:spacing w:val="2"/>
          <w:sz w:val="24"/>
          <w:szCs w:val="24"/>
          <w:highlight w:val="none"/>
        </w:rPr>
        <w:t>平衡报价的认定。经修正算术性错误后的中标人已标价工程量清单中，对于投标报价中综合单价相对</w:t>
      </w:r>
      <w:r>
        <w:rPr>
          <w:rFonts w:hint="eastAsia" w:ascii="宋体" w:hAnsi="宋体" w:eastAsia="宋体" w:cs="宋体"/>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《分部分项工程和单价措施项目清单与计价表》中对应综合单价的偏差大于±15%的清单项目，视为不平衡报价项目。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b w:val="0"/>
          <w:bCs w:val="0"/>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”第2.6条规定处理。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”第2.3条的有关规定调整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单价</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3个工作日内，将投标保证金（或银行保函）退还给中标人和其他中标候选人。</w:t>
      </w:r>
    </w:p>
    <w:p w14:paraId="736E5DE8">
      <w:pPr>
        <w:spacing w:before="78" w:line="222" w:lineRule="auto"/>
        <w:ind w:left="488"/>
        <w:outlineLvl w:val="2"/>
        <w:rPr>
          <w:rFonts w:hint="eastAsia" w:ascii="宋体" w:hAnsi="宋体" w:eastAsia="宋体" w:cs="宋体"/>
          <w:b/>
          <w:bCs/>
          <w:color w:val="auto"/>
          <w:spacing w:val="-8"/>
          <w:sz w:val="24"/>
          <w:szCs w:val="24"/>
          <w:highlight w:val="none"/>
        </w:rPr>
      </w:pPr>
      <w:bookmarkStart w:id="159" w:name="_Toc471"/>
      <w:r>
        <w:rPr>
          <w:rFonts w:hint="eastAsia" w:ascii="宋体" w:hAnsi="宋体" w:eastAsia="宋体" w:cs="宋体"/>
          <w:b/>
          <w:bCs/>
          <w:color w:val="auto"/>
          <w:spacing w:val="-8"/>
          <w:sz w:val="24"/>
          <w:szCs w:val="24"/>
          <w:highlight w:val="none"/>
        </w:rPr>
        <w:t>5 ．放弃中标的处理</w:t>
      </w:r>
      <w:bookmarkEnd w:id="159"/>
    </w:p>
    <w:p w14:paraId="148812D5">
      <w:pPr>
        <w:spacing w:before="150" w:line="319" w:lineRule="auto"/>
        <w:ind w:left="12" w:right="9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0" w:name="bookmark84"/>
      <w:bookmarkEnd w:id="160"/>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6"/>
        <w:rPr>
          <w:rFonts w:hint="eastAsia" w:ascii="宋体" w:hAnsi="宋体" w:eastAsia="宋体" w:cs="宋体"/>
          <w:color w:val="auto"/>
          <w:sz w:val="24"/>
          <w:szCs w:val="24"/>
          <w:highlight w:val="none"/>
        </w:rPr>
      </w:pPr>
    </w:p>
    <w:p w14:paraId="65B11479">
      <w:pPr>
        <w:spacing w:before="78" w:line="222" w:lineRule="auto"/>
        <w:ind w:left="488"/>
        <w:outlineLvl w:val="2"/>
        <w:rPr>
          <w:rFonts w:hint="eastAsia" w:ascii="宋体" w:hAnsi="宋体" w:eastAsia="宋体" w:cs="宋体"/>
          <w:b/>
          <w:bCs/>
          <w:color w:val="auto"/>
          <w:spacing w:val="-8"/>
          <w:sz w:val="24"/>
          <w:szCs w:val="24"/>
          <w:highlight w:val="none"/>
        </w:rPr>
      </w:pPr>
      <w:bookmarkStart w:id="161" w:name="_Toc28022"/>
      <w:r>
        <w:rPr>
          <w:rFonts w:hint="eastAsia" w:ascii="宋体" w:hAnsi="宋体" w:eastAsia="宋体" w:cs="宋体"/>
          <w:b/>
          <w:bCs/>
          <w:color w:val="auto"/>
          <w:spacing w:val="-8"/>
          <w:sz w:val="24"/>
          <w:szCs w:val="24"/>
          <w:highlight w:val="none"/>
        </w:rPr>
        <w:t>6．专业工程分包</w:t>
      </w:r>
      <w:bookmarkEnd w:id="161"/>
    </w:p>
    <w:p w14:paraId="235C66C1">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5099C753">
      <w:pPr>
        <w:spacing w:before="78" w:line="222" w:lineRule="auto"/>
        <w:ind w:left="488"/>
        <w:outlineLvl w:val="2"/>
        <w:rPr>
          <w:rFonts w:hint="eastAsia" w:ascii="宋体" w:hAnsi="宋体" w:eastAsia="宋体" w:cs="宋体"/>
          <w:b/>
          <w:bCs/>
          <w:color w:val="auto"/>
          <w:spacing w:val="-8"/>
          <w:sz w:val="24"/>
          <w:szCs w:val="24"/>
          <w:highlight w:val="none"/>
        </w:rPr>
      </w:pPr>
      <w:bookmarkStart w:id="162" w:name="_Toc27944"/>
      <w:r>
        <w:rPr>
          <w:rFonts w:hint="eastAsia" w:ascii="宋体" w:hAnsi="宋体" w:eastAsia="宋体" w:cs="宋体"/>
          <w:b/>
          <w:bCs/>
          <w:color w:val="auto"/>
          <w:spacing w:val="-8"/>
          <w:sz w:val="24"/>
          <w:szCs w:val="24"/>
          <w:highlight w:val="none"/>
        </w:rPr>
        <w:t>7．工人工资支付专用账户</w:t>
      </w:r>
      <w:bookmarkEnd w:id="162"/>
    </w:p>
    <w:p w14:paraId="46FA2D74">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569E53AE">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7.2</w:t>
      </w:r>
      <w:r>
        <w:rPr>
          <w:rFonts w:hint="eastAsia" w:ascii="宋体" w:hAnsi="宋体" w:eastAsia="宋体" w:cs="宋体"/>
          <w:snapToGrid w:val="0"/>
          <w:color w:val="auto"/>
          <w:kern w:val="0"/>
          <w:sz w:val="24"/>
          <w:szCs w:val="24"/>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p>
    <w:p w14:paraId="428CC129">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318B9417">
      <w:pPr>
        <w:spacing w:before="78" w:line="222" w:lineRule="auto"/>
        <w:ind w:left="488"/>
        <w:outlineLvl w:val="2"/>
        <w:rPr>
          <w:rFonts w:hint="eastAsia" w:ascii="宋体" w:hAnsi="宋体" w:eastAsia="宋体" w:cs="宋体"/>
          <w:b/>
          <w:bCs/>
          <w:color w:val="auto"/>
          <w:spacing w:val="-8"/>
          <w:sz w:val="24"/>
          <w:szCs w:val="24"/>
          <w:highlight w:val="none"/>
        </w:rPr>
      </w:pPr>
      <w:bookmarkStart w:id="163" w:name="_Toc4816"/>
      <w:r>
        <w:rPr>
          <w:rFonts w:hint="eastAsia" w:ascii="宋体" w:hAnsi="宋体" w:eastAsia="宋体" w:cs="宋体"/>
          <w:b/>
          <w:bCs/>
          <w:color w:val="auto"/>
          <w:spacing w:val="-8"/>
          <w:sz w:val="24"/>
          <w:szCs w:val="24"/>
          <w:highlight w:val="none"/>
          <w:lang w:val="en-US" w:eastAsia="zh-CN"/>
        </w:rPr>
        <w:t>8</w:t>
      </w:r>
      <w:r>
        <w:rPr>
          <w:rFonts w:hint="eastAsia" w:ascii="宋体" w:hAnsi="宋体" w:eastAsia="宋体" w:cs="宋体"/>
          <w:b/>
          <w:bCs/>
          <w:color w:val="auto"/>
          <w:spacing w:val="-8"/>
          <w:sz w:val="24"/>
          <w:szCs w:val="24"/>
          <w:highlight w:val="none"/>
        </w:rPr>
        <w:t>．工期进度</w:t>
      </w:r>
      <w:bookmarkEnd w:id="163"/>
    </w:p>
    <w:p w14:paraId="6C39C6F4">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本工程施工招标工期为</w:t>
      </w:r>
      <w:r>
        <w:rPr>
          <w:rFonts w:hint="eastAsia" w:ascii="宋体" w:hAnsi="宋体" w:eastAsia="宋体" w:cs="宋体"/>
          <w:b/>
          <w:bCs/>
          <w:snapToGrid w:val="0"/>
          <w:color w:val="auto"/>
          <w:kern w:val="0"/>
          <w:sz w:val="24"/>
          <w:szCs w:val="24"/>
          <w:highlight w:val="none"/>
          <w:u w:val="single"/>
          <w:lang w:val="en-US" w:eastAsia="zh-CN"/>
        </w:rPr>
        <w:t>90个日</w:t>
      </w:r>
      <w:r>
        <w:rPr>
          <w:rFonts w:hint="eastAsia" w:ascii="宋体" w:hAnsi="宋体" w:eastAsia="宋体" w:cs="宋体"/>
          <w:snapToGrid w:val="0"/>
          <w:color w:val="auto"/>
          <w:kern w:val="0"/>
          <w:sz w:val="24"/>
          <w:szCs w:val="24"/>
          <w:highlight w:val="none"/>
          <w:lang w:val="en-US" w:eastAsia="zh-CN"/>
        </w:rPr>
        <w:t>历天</w:t>
      </w:r>
      <w:r>
        <w:rPr>
          <w:rFonts w:hint="eastAsia" w:ascii="宋体" w:hAnsi="宋体" w:eastAsia="宋体" w:cs="宋体"/>
          <w:snapToGrid w:val="0"/>
          <w:color w:val="auto"/>
          <w:kern w:val="0"/>
          <w:sz w:val="24"/>
          <w:szCs w:val="24"/>
          <w:highlight w:val="none"/>
        </w:rPr>
        <w:t>。承包人必须在招标工期内完成</w:t>
      </w:r>
      <w:r>
        <w:rPr>
          <w:rFonts w:hint="eastAsia" w:ascii="宋体" w:hAnsi="宋体" w:eastAsia="宋体" w:cs="宋体"/>
          <w:color w:val="auto"/>
          <w:sz w:val="24"/>
          <w:szCs w:val="24"/>
          <w:highlight w:val="none"/>
        </w:rPr>
        <w:t>招标范围内</w:t>
      </w:r>
      <w:r>
        <w:rPr>
          <w:rFonts w:hint="eastAsia" w:ascii="宋体" w:hAnsi="宋体" w:eastAsia="宋体" w:cs="宋体"/>
          <w:snapToGrid w:val="0"/>
          <w:color w:val="auto"/>
          <w:kern w:val="0"/>
          <w:sz w:val="24"/>
          <w:szCs w:val="24"/>
          <w:highlight w:val="none"/>
        </w:rPr>
        <w:t>的全部内容。</w:t>
      </w:r>
    </w:p>
    <w:p w14:paraId="30F3C772">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施工工期从承包人收到监理单位签发的开工令之日起计，至竣工验收合格之日止。</w:t>
      </w:r>
    </w:p>
    <w:p w14:paraId="3389C4F3">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由于承包人原因造成工期延误的，承包人须在逾期第壹天起每天按合同价的</w:t>
      </w:r>
      <w:r>
        <w:rPr>
          <w:rFonts w:hint="eastAsia" w:ascii="宋体" w:hAnsi="宋体" w:eastAsia="宋体" w:cs="宋体"/>
          <w:snapToGrid w:val="0"/>
          <w:color w:val="auto"/>
          <w:kern w:val="0"/>
          <w:sz w:val="24"/>
          <w:szCs w:val="24"/>
          <w:highlight w:val="none"/>
          <w:u w:val="single"/>
        </w:rPr>
        <w:t>1‰</w:t>
      </w:r>
      <w:r>
        <w:rPr>
          <w:rFonts w:hint="eastAsia" w:ascii="宋体" w:hAnsi="宋体" w:eastAsia="宋体" w:cs="宋体"/>
          <w:snapToGrid w:val="0"/>
          <w:color w:val="auto"/>
          <w:kern w:val="0"/>
          <w:sz w:val="24"/>
          <w:szCs w:val="24"/>
          <w:highlight w:val="none"/>
        </w:rPr>
        <w:t>向招标人返纳逾期竣工违约金。逾期竣工违约金的最高限额为人民币（大写）：</w:t>
      </w:r>
      <w:r>
        <w:rPr>
          <w:rFonts w:hint="eastAsia" w:ascii="宋体" w:hAnsi="宋体" w:eastAsia="宋体" w:cs="宋体"/>
          <w:snapToGrid w:val="0"/>
          <w:color w:val="auto"/>
          <w:kern w:val="0"/>
          <w:sz w:val="24"/>
          <w:szCs w:val="24"/>
          <w:highlight w:val="none"/>
          <w:u w:val="single"/>
        </w:rPr>
        <w:t>合同总价5%</w:t>
      </w:r>
      <w:r>
        <w:rPr>
          <w:rFonts w:hint="eastAsia" w:ascii="宋体" w:hAnsi="宋体" w:eastAsia="宋体" w:cs="宋体"/>
          <w:snapToGrid w:val="0"/>
          <w:color w:val="auto"/>
          <w:kern w:val="0"/>
          <w:sz w:val="24"/>
          <w:szCs w:val="24"/>
          <w:highlight w:val="none"/>
        </w:rPr>
        <w:t>。</w:t>
      </w:r>
    </w:p>
    <w:p w14:paraId="65DCA364">
      <w:pPr>
        <w:spacing w:before="78" w:line="222" w:lineRule="auto"/>
        <w:ind w:left="488"/>
        <w:outlineLvl w:val="2"/>
        <w:rPr>
          <w:rFonts w:hint="eastAsia" w:ascii="宋体" w:hAnsi="宋体" w:eastAsia="宋体" w:cs="宋体"/>
          <w:b/>
          <w:bCs/>
          <w:color w:val="auto"/>
          <w:spacing w:val="-8"/>
          <w:sz w:val="24"/>
          <w:szCs w:val="24"/>
          <w:highlight w:val="none"/>
          <w:lang w:val="en-US" w:eastAsia="zh-CN"/>
        </w:rPr>
      </w:pPr>
      <w:bookmarkStart w:id="164" w:name="_Toc11852"/>
      <w:r>
        <w:rPr>
          <w:rFonts w:hint="eastAsia" w:ascii="宋体" w:hAnsi="宋体" w:eastAsia="宋体" w:cs="宋体"/>
          <w:b/>
          <w:bCs/>
          <w:color w:val="auto"/>
          <w:spacing w:val="-8"/>
          <w:sz w:val="24"/>
          <w:szCs w:val="24"/>
          <w:highlight w:val="none"/>
          <w:lang w:val="en-US" w:eastAsia="zh-CN"/>
        </w:rPr>
        <w:t>9．项目管理机构</w:t>
      </w:r>
      <w:bookmarkEnd w:id="164"/>
    </w:p>
    <w:p w14:paraId="38265DC2">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9</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承包人派驻的项目管理班子成员必须为其投标文件确定的人员，否则发包人有权终止合同。</w:t>
      </w:r>
    </w:p>
    <w:p w14:paraId="4845A665">
      <w:pPr>
        <w:wordWrap w:val="0"/>
        <w:adjustRightInd w:val="0"/>
        <w:snapToGrid w:val="0"/>
        <w:spacing w:line="360" w:lineRule="auto"/>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9</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7898D782">
      <w:pPr>
        <w:spacing w:before="78" w:line="222" w:lineRule="auto"/>
        <w:ind w:left="488"/>
        <w:outlineLvl w:val="2"/>
        <w:rPr>
          <w:rFonts w:hint="eastAsia" w:ascii="宋体" w:hAnsi="宋体" w:eastAsia="宋体" w:cs="宋体"/>
          <w:b/>
          <w:bCs/>
          <w:color w:val="auto"/>
          <w:spacing w:val="-8"/>
          <w:sz w:val="24"/>
          <w:szCs w:val="24"/>
          <w:highlight w:val="none"/>
          <w:lang w:val="en-US" w:eastAsia="zh-CN"/>
        </w:rPr>
      </w:pPr>
      <w:bookmarkStart w:id="165" w:name="_Toc1646"/>
      <w:r>
        <w:rPr>
          <w:rFonts w:hint="eastAsia" w:ascii="宋体" w:hAnsi="宋体" w:eastAsia="宋体" w:cs="宋体"/>
          <w:b/>
          <w:bCs/>
          <w:color w:val="auto"/>
          <w:spacing w:val="-8"/>
          <w:sz w:val="24"/>
          <w:szCs w:val="24"/>
          <w:highlight w:val="none"/>
          <w:lang w:val="en-US" w:eastAsia="zh-CN"/>
        </w:rPr>
        <w:t>10．现场管理</w:t>
      </w:r>
      <w:bookmarkEnd w:id="165"/>
    </w:p>
    <w:p w14:paraId="60238A13">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0</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567B79E1">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0</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536F0C08">
      <w:pPr>
        <w:wordWrap w:val="0"/>
        <w:adjustRightInd w:val="0"/>
        <w:snapToGrid w:val="0"/>
        <w:spacing w:line="360" w:lineRule="auto"/>
        <w:ind w:firstLine="482" w:firstLineChars="200"/>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0</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 xml:space="preserve"> 为保证施工现场的环境卫生，承包人在本招标项目施工过程中，所有的车辆必须按发包人规定的行车路线行驶。</w:t>
      </w:r>
    </w:p>
    <w:p w14:paraId="5534DAB4">
      <w:pPr>
        <w:spacing w:before="78" w:line="222" w:lineRule="auto"/>
        <w:ind w:left="488"/>
        <w:outlineLvl w:val="2"/>
        <w:rPr>
          <w:rFonts w:hint="eastAsia" w:ascii="宋体" w:hAnsi="宋体" w:eastAsia="宋体" w:cs="宋体"/>
          <w:b/>
          <w:bCs/>
          <w:color w:val="auto"/>
          <w:spacing w:val="-8"/>
          <w:sz w:val="24"/>
          <w:szCs w:val="24"/>
          <w:highlight w:val="none"/>
          <w:lang w:val="en-US" w:eastAsia="zh-CN"/>
        </w:rPr>
      </w:pPr>
      <w:bookmarkStart w:id="166" w:name="_Toc20086"/>
      <w:r>
        <w:rPr>
          <w:rFonts w:hint="eastAsia" w:ascii="宋体" w:hAnsi="宋体" w:eastAsia="宋体" w:cs="宋体"/>
          <w:b/>
          <w:bCs/>
          <w:color w:val="auto"/>
          <w:spacing w:val="-8"/>
          <w:sz w:val="24"/>
          <w:szCs w:val="24"/>
          <w:highlight w:val="none"/>
          <w:lang w:val="en-US" w:eastAsia="zh-CN"/>
        </w:rPr>
        <w:t>11．监督实施</w:t>
      </w:r>
      <w:bookmarkEnd w:id="166"/>
    </w:p>
    <w:p w14:paraId="57C0FE9B">
      <w:pPr>
        <w:wordWrap w:val="0"/>
        <w:adjustRightInd w:val="0"/>
        <w:snapToGrid w:val="0"/>
        <w:spacing w:line="360" w:lineRule="auto"/>
        <w:ind w:firstLine="560"/>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2DB15DF5">
      <w:pPr>
        <w:spacing w:before="78" w:line="222" w:lineRule="auto"/>
        <w:ind w:left="488"/>
        <w:outlineLvl w:val="2"/>
        <w:rPr>
          <w:rFonts w:hint="eastAsia" w:ascii="宋体" w:hAnsi="宋体" w:eastAsia="宋体" w:cs="宋体"/>
          <w:b/>
          <w:bCs/>
          <w:color w:val="auto"/>
          <w:spacing w:val="-8"/>
          <w:sz w:val="24"/>
          <w:szCs w:val="24"/>
          <w:highlight w:val="none"/>
          <w:lang w:val="en-US" w:eastAsia="zh-CN"/>
        </w:rPr>
      </w:pPr>
      <w:bookmarkStart w:id="167" w:name="_Toc21638"/>
      <w:r>
        <w:rPr>
          <w:rFonts w:hint="eastAsia" w:ascii="宋体" w:hAnsi="宋体" w:eastAsia="宋体" w:cs="宋体"/>
          <w:b/>
          <w:bCs/>
          <w:color w:val="auto"/>
          <w:spacing w:val="-8"/>
          <w:sz w:val="24"/>
          <w:szCs w:val="24"/>
          <w:highlight w:val="none"/>
          <w:lang w:val="en-US" w:eastAsia="zh-CN"/>
        </w:rPr>
        <w:t>12．主材的采购和使用</w:t>
      </w:r>
      <w:bookmarkEnd w:id="167"/>
    </w:p>
    <w:p w14:paraId="01DC98FE">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58FB00E9">
      <w:pPr>
        <w:spacing w:before="78" w:line="222" w:lineRule="auto"/>
        <w:ind w:left="488"/>
        <w:outlineLvl w:val="2"/>
        <w:rPr>
          <w:rFonts w:hint="eastAsia" w:ascii="宋体" w:hAnsi="宋体" w:eastAsia="宋体" w:cs="宋体"/>
          <w:b/>
          <w:bCs/>
          <w:color w:val="auto"/>
          <w:spacing w:val="-8"/>
          <w:sz w:val="24"/>
          <w:szCs w:val="24"/>
          <w:highlight w:val="none"/>
          <w:lang w:val="en-US" w:eastAsia="zh-CN"/>
        </w:rPr>
      </w:pPr>
      <w:bookmarkStart w:id="168" w:name="_Toc31116"/>
      <w:r>
        <w:rPr>
          <w:rFonts w:hint="eastAsia" w:ascii="宋体" w:hAnsi="宋体" w:eastAsia="宋体" w:cs="宋体"/>
          <w:b/>
          <w:bCs/>
          <w:color w:val="auto"/>
          <w:spacing w:val="-8"/>
          <w:sz w:val="24"/>
          <w:szCs w:val="24"/>
          <w:highlight w:val="none"/>
          <w:lang w:val="en-US" w:eastAsia="zh-CN"/>
        </w:rPr>
        <w:t>13．竣工资料移交</w:t>
      </w:r>
      <w:bookmarkEnd w:id="168"/>
    </w:p>
    <w:p w14:paraId="4CE2AEEC">
      <w:pPr>
        <w:wordWrap w:val="0"/>
        <w:adjustRightInd w:val="0"/>
        <w:snapToGrid w:val="0"/>
        <w:spacing w:line="360" w:lineRule="auto"/>
        <w:ind w:firstLine="560"/>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工程竣工验收时，</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人应向监理单位和</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人提供符合国家档案部门备案要求的，编制成册的竣工图及有关的技术档案资料（含声像档案）一式</w:t>
      </w:r>
      <w:r>
        <w:rPr>
          <w:rFonts w:hint="eastAsia" w:ascii="宋体" w:hAnsi="宋体" w:eastAsia="宋体" w:cs="宋体"/>
          <w:bCs/>
          <w:snapToGrid w:val="0"/>
          <w:color w:val="auto"/>
          <w:kern w:val="0"/>
          <w:sz w:val="24"/>
          <w:szCs w:val="24"/>
          <w:highlight w:val="none"/>
          <w:u w:val="single"/>
        </w:rPr>
        <w:t>捌</w:t>
      </w:r>
      <w:r>
        <w:rPr>
          <w:rFonts w:hint="eastAsia" w:ascii="宋体" w:hAnsi="宋体" w:eastAsia="宋体" w:cs="宋体"/>
          <w:bCs/>
          <w:snapToGrid w:val="0"/>
          <w:color w:val="auto"/>
          <w:kern w:val="0"/>
          <w:sz w:val="24"/>
          <w:szCs w:val="24"/>
          <w:highlight w:val="none"/>
        </w:rPr>
        <w:t>份，所有档案资料的制作费用由承包人承担。</w:t>
      </w:r>
    </w:p>
    <w:p w14:paraId="450539E6">
      <w:pPr>
        <w:spacing w:before="78" w:line="222" w:lineRule="auto"/>
        <w:ind w:left="488"/>
        <w:outlineLvl w:val="2"/>
        <w:rPr>
          <w:rFonts w:hint="eastAsia" w:ascii="宋体" w:hAnsi="宋体" w:eastAsia="宋体" w:cs="宋体"/>
          <w:bCs/>
          <w:snapToGrid w:val="0"/>
          <w:color w:val="auto"/>
          <w:kern w:val="0"/>
          <w:sz w:val="24"/>
          <w:szCs w:val="24"/>
          <w:highlight w:val="none"/>
        </w:rPr>
      </w:pPr>
      <w:bookmarkStart w:id="169" w:name="_Toc12232"/>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4</w:t>
      </w:r>
      <w:r>
        <w:rPr>
          <w:rFonts w:hint="eastAsia" w:ascii="宋体" w:hAnsi="宋体" w:eastAsia="宋体" w:cs="宋体"/>
          <w:b/>
          <w:snapToGrid w:val="0"/>
          <w:color w:val="auto"/>
          <w:kern w:val="0"/>
          <w:sz w:val="24"/>
          <w:szCs w:val="24"/>
          <w:highlight w:val="none"/>
        </w:rPr>
        <w:t>．质量保证</w:t>
      </w:r>
      <w:bookmarkEnd w:id="169"/>
    </w:p>
    <w:p w14:paraId="778A4A09">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本招标项目</w:t>
      </w:r>
      <w:r>
        <w:rPr>
          <w:rFonts w:hint="eastAsia" w:ascii="宋体" w:hAnsi="宋体" w:eastAsia="宋体" w:cs="宋体"/>
          <w:bCs/>
          <w:snapToGrid w:val="0"/>
          <w:color w:val="auto"/>
          <w:kern w:val="0"/>
          <w:sz w:val="24"/>
          <w:szCs w:val="24"/>
          <w:highlight w:val="none"/>
        </w:rPr>
        <w:t>缺陷责任期为</w:t>
      </w:r>
      <w:r>
        <w:rPr>
          <w:rFonts w:hint="eastAsia" w:ascii="宋体" w:hAnsi="宋体" w:eastAsia="宋体" w:cs="宋体"/>
          <w:bCs/>
          <w:snapToGrid w:val="0"/>
          <w:color w:val="auto"/>
          <w:kern w:val="0"/>
          <w:sz w:val="24"/>
          <w:szCs w:val="24"/>
          <w:highlight w:val="none"/>
          <w:u w:val="single"/>
        </w:rPr>
        <w:t>2</w:t>
      </w:r>
      <w:r>
        <w:rPr>
          <w:rFonts w:hint="eastAsia" w:ascii="宋体" w:hAnsi="宋体" w:eastAsia="宋体" w:cs="宋体"/>
          <w:bCs/>
          <w:snapToGrid w:val="0"/>
          <w:color w:val="auto"/>
          <w:kern w:val="0"/>
          <w:sz w:val="24"/>
          <w:szCs w:val="24"/>
          <w:highlight w:val="none"/>
        </w:rPr>
        <w:t>年（自通过竣工验收之日起计），在此期间预留金额为结算价</w:t>
      </w:r>
      <w:r>
        <w:rPr>
          <w:rFonts w:hint="eastAsia" w:ascii="宋体" w:hAnsi="宋体" w:eastAsia="宋体" w:cs="宋体"/>
          <w:bCs/>
          <w:snapToGrid w:val="0"/>
          <w:color w:val="auto"/>
          <w:kern w:val="0"/>
          <w:sz w:val="24"/>
          <w:szCs w:val="24"/>
          <w:highlight w:val="none"/>
          <w:u w:val="single"/>
        </w:rPr>
        <w:t>3%</w:t>
      </w:r>
      <w:r>
        <w:rPr>
          <w:rFonts w:hint="eastAsia" w:ascii="宋体" w:hAnsi="宋体" w:eastAsia="宋体" w:cs="宋体"/>
          <w:bCs/>
          <w:snapToGrid w:val="0"/>
          <w:color w:val="auto"/>
          <w:kern w:val="0"/>
          <w:sz w:val="24"/>
          <w:szCs w:val="24"/>
          <w:highlight w:val="none"/>
        </w:rPr>
        <w:t>的质量保证。</w:t>
      </w:r>
    </w:p>
    <w:p w14:paraId="087AE080">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bCs/>
          <w:snapToGrid w:val="0"/>
          <w:color w:val="auto"/>
          <w:kern w:val="0"/>
          <w:sz w:val="24"/>
          <w:szCs w:val="24"/>
          <w:highlight w:val="none"/>
        </w:rPr>
        <w:t xml:space="preserve"> 质量保证的形式</w:t>
      </w:r>
      <w:r>
        <w:rPr>
          <w:rFonts w:hint="eastAsia" w:ascii="宋体" w:hAnsi="宋体" w:eastAsia="宋体" w:cs="宋体"/>
          <w:bCs/>
          <w:snapToGrid w:val="0"/>
          <w:color w:val="auto"/>
          <w:kern w:val="0"/>
          <w:sz w:val="24"/>
          <w:szCs w:val="24"/>
          <w:highlight w:val="none"/>
          <w:lang w:val="en-US" w:eastAsia="zh-CN"/>
        </w:rPr>
        <w:t>为</w:t>
      </w:r>
      <w:r>
        <w:rPr>
          <w:rFonts w:hint="eastAsia" w:ascii="宋体" w:hAnsi="宋体" w:eastAsia="宋体" w:cs="宋体"/>
          <w:bCs/>
          <w:snapToGrid w:val="0"/>
          <w:color w:val="auto"/>
          <w:kern w:val="0"/>
          <w:sz w:val="24"/>
          <w:szCs w:val="24"/>
          <w:highlight w:val="none"/>
        </w:rPr>
        <w:t>质量保证金</w:t>
      </w:r>
      <w:r>
        <w:rPr>
          <w:rFonts w:hint="eastAsia" w:ascii="宋体" w:hAnsi="宋体" w:eastAsia="宋体" w:cs="宋体"/>
          <w:bCs/>
          <w:snapToGrid w:val="0"/>
          <w:color w:val="auto"/>
          <w:kern w:val="0"/>
          <w:sz w:val="24"/>
          <w:szCs w:val="24"/>
          <w:highlight w:val="none"/>
          <w:lang w:eastAsia="zh-CN"/>
        </w:rPr>
        <w:t>，</w:t>
      </w:r>
      <w:r>
        <w:rPr>
          <w:rFonts w:hint="eastAsia" w:ascii="宋体" w:hAnsi="宋体" w:eastAsia="宋体" w:cs="宋体"/>
          <w:bCs/>
          <w:snapToGrid w:val="0"/>
          <w:color w:val="auto"/>
          <w:kern w:val="0"/>
          <w:sz w:val="24"/>
          <w:szCs w:val="24"/>
          <w:highlight w:val="none"/>
        </w:rPr>
        <w:t>在结清审定总造价时一次性扣留相应金额作为质量保证金。</w:t>
      </w:r>
    </w:p>
    <w:p w14:paraId="446DA286">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bCs/>
          <w:snapToGrid w:val="0"/>
          <w:color w:val="auto"/>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217BFB9E">
      <w:pPr>
        <w:wordWrap w:val="0"/>
        <w:adjustRightInd w:val="0"/>
        <w:snapToGrid w:val="0"/>
        <w:spacing w:line="360" w:lineRule="auto"/>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由他人原因造成的缺陷，发包人负责组织维修，承包人不承担费用，且发包人不得从质量保证中扣除费用。</w:t>
      </w:r>
    </w:p>
    <w:p w14:paraId="58CB0BD9">
      <w:pPr>
        <w:wordWrap w:val="0"/>
        <w:adjustRightInd w:val="0"/>
        <w:snapToGrid w:val="0"/>
        <w:spacing w:line="360" w:lineRule="auto"/>
        <w:ind w:firstLine="56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u w:val="none"/>
        </w:rPr>
        <w:t>缺陷责任期内，承包人应认真履行合同约定的责任。</w:t>
      </w:r>
      <w:r>
        <w:rPr>
          <w:rFonts w:hint="eastAsia" w:ascii="宋体" w:hAnsi="宋体" w:eastAsia="宋体" w:cs="宋体"/>
          <w:snapToGrid w:val="0"/>
          <w:color w:val="auto"/>
          <w:kern w:val="0"/>
          <w:sz w:val="24"/>
          <w:szCs w:val="24"/>
          <w:highlight w:val="none"/>
          <w:lang w:eastAsia="zh-CN"/>
        </w:rPr>
        <w:t>缺陷责任期到期</w:t>
      </w:r>
      <w:r>
        <w:rPr>
          <w:rFonts w:hint="eastAsia" w:ascii="宋体" w:hAnsi="宋体" w:eastAsia="宋体" w:cs="宋体"/>
          <w:snapToGrid w:val="0"/>
          <w:color w:val="auto"/>
          <w:kern w:val="0"/>
          <w:sz w:val="24"/>
          <w:szCs w:val="24"/>
          <w:highlight w:val="none"/>
          <w:lang w:val="en-US" w:eastAsia="zh-CN"/>
        </w:rPr>
        <w:t>后</w:t>
      </w:r>
      <w:r>
        <w:rPr>
          <w:rFonts w:hint="eastAsia" w:ascii="宋体" w:hAnsi="宋体" w:eastAsia="宋体" w:cs="宋体"/>
          <w:snapToGrid w:val="0"/>
          <w:color w:val="auto"/>
          <w:kern w:val="0"/>
          <w:sz w:val="24"/>
          <w:szCs w:val="24"/>
          <w:highlight w:val="none"/>
          <w:lang w:eastAsia="zh-CN"/>
        </w:rPr>
        <w:t>，承包人向发包人申请退还质量保证。发包人收到退还申请后，于</w:t>
      </w:r>
      <w:r>
        <w:rPr>
          <w:rFonts w:hint="eastAsia" w:ascii="宋体" w:hAnsi="宋体" w:eastAsia="宋体" w:cs="宋体"/>
          <w:snapToGrid w:val="0"/>
          <w:color w:val="auto"/>
          <w:kern w:val="0"/>
          <w:sz w:val="24"/>
          <w:szCs w:val="24"/>
          <w:highlight w:val="none"/>
          <w:u w:val="single"/>
          <w:lang w:eastAsia="zh-CN"/>
        </w:rPr>
        <w:t>14</w:t>
      </w:r>
      <w:r>
        <w:rPr>
          <w:rFonts w:hint="eastAsia" w:ascii="宋体" w:hAnsi="宋体" w:eastAsia="宋体" w:cs="宋体"/>
          <w:snapToGrid w:val="0"/>
          <w:color w:val="auto"/>
          <w:kern w:val="0"/>
          <w:sz w:val="24"/>
          <w:szCs w:val="24"/>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4"/>
          <w:highlight w:val="none"/>
          <w:u w:val="single"/>
          <w:lang w:val="en-US" w:eastAsia="zh-CN"/>
        </w:rPr>
        <w:t>14天</w:t>
      </w:r>
      <w:r>
        <w:rPr>
          <w:rFonts w:hint="eastAsia" w:ascii="宋体" w:hAnsi="宋体" w:eastAsia="宋体" w:cs="宋体"/>
          <w:snapToGrid w:val="0"/>
          <w:color w:val="auto"/>
          <w:kern w:val="0"/>
          <w:sz w:val="24"/>
          <w:szCs w:val="24"/>
          <w:highlight w:val="none"/>
          <w:lang w:eastAsia="zh-CN"/>
        </w:rPr>
        <w:t>内将应返保证金退还承包人</w:t>
      </w:r>
      <w:r>
        <w:rPr>
          <w:rFonts w:hint="eastAsia" w:ascii="宋体" w:hAnsi="宋体" w:eastAsia="宋体" w:cs="宋体"/>
          <w:snapToGrid w:val="0"/>
          <w:color w:val="auto"/>
          <w:kern w:val="0"/>
          <w:sz w:val="24"/>
          <w:szCs w:val="24"/>
          <w:highlight w:val="none"/>
          <w:u w:val="none"/>
          <w:lang w:eastAsia="zh-CN"/>
        </w:rPr>
        <w:t>。</w:t>
      </w:r>
    </w:p>
    <w:p w14:paraId="054C6ECA">
      <w:pPr>
        <w:spacing w:before="78" w:line="222" w:lineRule="auto"/>
        <w:ind w:left="488"/>
        <w:outlineLvl w:val="2"/>
        <w:rPr>
          <w:rFonts w:hint="eastAsia" w:ascii="宋体" w:hAnsi="宋体" w:eastAsia="宋体" w:cs="宋体"/>
          <w:b/>
          <w:snapToGrid w:val="0"/>
          <w:color w:val="auto"/>
          <w:kern w:val="0"/>
          <w:sz w:val="24"/>
          <w:szCs w:val="24"/>
          <w:highlight w:val="none"/>
        </w:rPr>
      </w:pPr>
      <w:bookmarkStart w:id="170" w:name="_Toc31834"/>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5</w:t>
      </w:r>
      <w:r>
        <w:rPr>
          <w:rFonts w:hint="eastAsia" w:ascii="宋体" w:hAnsi="宋体" w:eastAsia="宋体" w:cs="宋体"/>
          <w:b/>
          <w:snapToGrid w:val="0"/>
          <w:color w:val="auto"/>
          <w:kern w:val="0"/>
          <w:sz w:val="24"/>
          <w:szCs w:val="24"/>
          <w:highlight w:val="none"/>
        </w:rPr>
        <w:t>．不良行为处理</w:t>
      </w:r>
      <w:bookmarkEnd w:id="170"/>
    </w:p>
    <w:p w14:paraId="4400BCC9">
      <w:pPr>
        <w:pStyle w:val="5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Style w:val="23"/>
          <w:rFonts w:hint="eastAsia" w:ascii="宋体" w:hAnsi="宋体" w:eastAsia="宋体" w:cs="宋体"/>
          <w:color w:val="auto"/>
          <w:kern w:val="0"/>
          <w:sz w:val="24"/>
          <w:szCs w:val="24"/>
          <w:highlight w:val="none"/>
        </w:rPr>
        <w:t>承包人及其有关人员有下列行为之一的，发包人应及时向建设行政主管部门报告</w:t>
      </w:r>
      <w:r>
        <w:rPr>
          <w:rFonts w:hint="eastAsia" w:ascii="宋体" w:hAnsi="宋体" w:eastAsia="宋体" w:cs="宋体"/>
          <w:snapToGrid w:val="0"/>
          <w:color w:val="auto"/>
          <w:kern w:val="0"/>
          <w:sz w:val="24"/>
          <w:szCs w:val="24"/>
          <w:highlight w:val="none"/>
        </w:rPr>
        <w:t>。</w:t>
      </w:r>
    </w:p>
    <w:p w14:paraId="7B1A5EE8">
      <w:pPr>
        <w:pStyle w:val="5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（1）转包、违法分包或违反投标承诺分包工程的；</w:t>
      </w:r>
    </w:p>
    <w:p w14:paraId="13B5F553">
      <w:pPr>
        <w:pStyle w:val="5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（2）非原参加投标中标的项目经理负责组织施工或在实施过程中擅自更换项目经理的、项目的其他主要管理人员与中标文件确定的人员不相符的；</w:t>
      </w:r>
    </w:p>
    <w:p w14:paraId="1D4E86E1">
      <w:pPr>
        <w:pStyle w:val="5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（3）投标文件确定的大型机械设备没有进入施工现场的；</w:t>
      </w:r>
    </w:p>
    <w:p w14:paraId="7B6238D4">
      <w:pPr>
        <w:pStyle w:val="5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（4）与建设单位、监理单位串通，签认虚假工程量或工程造价的；</w:t>
      </w:r>
    </w:p>
    <w:p w14:paraId="30DC5708">
      <w:pPr>
        <w:pStyle w:val="5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（5）项目经理施工现场管理不到位的；</w:t>
      </w:r>
    </w:p>
    <w:p w14:paraId="6FB09A9C">
      <w:pPr>
        <w:pStyle w:val="5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（6）项目经理在非本人资格证书注册单位从事工程项目施工管理的；</w:t>
      </w:r>
    </w:p>
    <w:p w14:paraId="7404983C">
      <w:pPr>
        <w:pStyle w:val="50"/>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（7）项目经理同时承担超过一项工程项目的；</w:t>
      </w:r>
    </w:p>
    <w:p w14:paraId="32116B94">
      <w:pPr>
        <w:pStyle w:val="50"/>
        <w:wordWrap w:val="0"/>
        <w:adjustRightInd w:val="0"/>
        <w:snapToGrid w:val="0"/>
        <w:spacing w:line="360" w:lineRule="auto"/>
        <w:ind w:firstLine="480" w:firstLineChars="200"/>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（8）违反有关法律、法规、规章规定的其它行为。</w:t>
      </w:r>
    </w:p>
    <w:p w14:paraId="21BFDD7A">
      <w:pPr>
        <w:spacing w:before="78" w:line="222" w:lineRule="auto"/>
        <w:ind w:left="488"/>
        <w:outlineLvl w:val="2"/>
        <w:rPr>
          <w:rFonts w:hint="eastAsia" w:ascii="宋体" w:hAnsi="宋体" w:eastAsia="宋体" w:cs="宋体"/>
          <w:b/>
          <w:snapToGrid w:val="0"/>
          <w:color w:val="auto"/>
          <w:kern w:val="0"/>
          <w:sz w:val="24"/>
          <w:szCs w:val="24"/>
          <w:highlight w:val="none"/>
        </w:rPr>
      </w:pPr>
      <w:bookmarkStart w:id="171" w:name="_Toc27459"/>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6</w:t>
      </w:r>
      <w:r>
        <w:rPr>
          <w:rFonts w:hint="eastAsia" w:ascii="宋体" w:hAnsi="宋体" w:eastAsia="宋体" w:cs="宋体"/>
          <w:b/>
          <w:snapToGrid w:val="0"/>
          <w:color w:val="auto"/>
          <w:kern w:val="0"/>
          <w:sz w:val="24"/>
          <w:szCs w:val="24"/>
          <w:highlight w:val="none"/>
        </w:rPr>
        <w:t>．信用评价条款内容</w:t>
      </w:r>
      <w:bookmarkEnd w:id="171"/>
    </w:p>
    <w:p w14:paraId="518509F3">
      <w:pPr>
        <w:pStyle w:val="37"/>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087663A7">
      <w:pPr>
        <w:spacing w:before="78" w:line="222" w:lineRule="auto"/>
        <w:ind w:left="488"/>
        <w:outlineLvl w:val="2"/>
        <w:rPr>
          <w:rFonts w:hint="eastAsia" w:ascii="宋体" w:hAnsi="宋体" w:eastAsia="宋体" w:cs="宋体"/>
          <w:b/>
          <w:snapToGrid w:val="0"/>
          <w:color w:val="auto"/>
          <w:kern w:val="0"/>
          <w:sz w:val="24"/>
          <w:szCs w:val="24"/>
          <w:highlight w:val="none"/>
        </w:rPr>
      </w:pPr>
      <w:bookmarkStart w:id="172" w:name="_Toc31069"/>
      <w:r>
        <w:rPr>
          <w:rFonts w:hint="eastAsia" w:ascii="宋体" w:hAnsi="宋体" w:eastAsia="宋体" w:cs="宋体"/>
          <w:b/>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lang w:val="en-US" w:eastAsia="zh-CN"/>
        </w:rPr>
        <w:t>7</w:t>
      </w:r>
      <w:r>
        <w:rPr>
          <w:rFonts w:hint="eastAsia" w:ascii="宋体" w:hAnsi="宋体" w:eastAsia="宋体" w:cs="宋体"/>
          <w:b/>
          <w:snapToGrid w:val="0"/>
          <w:color w:val="auto"/>
          <w:kern w:val="0"/>
          <w:sz w:val="24"/>
          <w:szCs w:val="24"/>
          <w:highlight w:val="none"/>
        </w:rPr>
        <w:t>.</w:t>
      </w:r>
      <w:r>
        <w:rPr>
          <w:rFonts w:hint="eastAsia" w:ascii="宋体" w:hAnsi="宋体" w:eastAsia="宋体" w:cs="宋体"/>
          <w:b/>
          <w:snapToGrid w:val="0"/>
          <w:color w:val="auto"/>
          <w:kern w:val="0"/>
          <w:sz w:val="24"/>
          <w:szCs w:val="24"/>
          <w:highlight w:val="none"/>
          <w:lang w:val="en-US" w:eastAsia="zh-CN"/>
        </w:rPr>
        <w:t>其他事项</w:t>
      </w:r>
      <w:bookmarkEnd w:id="172"/>
    </w:p>
    <w:p w14:paraId="6572F4B8">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17.1</w:t>
      </w:r>
      <w:r>
        <w:rPr>
          <w:rFonts w:hint="eastAsia" w:ascii="宋体" w:hAnsi="宋体" w:eastAsia="宋体" w:cs="宋体"/>
          <w:b w:val="0"/>
          <w:bCs w:val="0"/>
          <w:snapToGrid w:val="0"/>
          <w:color w:val="auto"/>
          <w:kern w:val="0"/>
          <w:sz w:val="24"/>
          <w:szCs w:val="24"/>
          <w:highlight w:val="none"/>
          <w:lang w:val="en-US" w:eastAsia="zh-CN"/>
        </w:rPr>
        <w:t>危险性较大的分部分项工程安全管理约定。中标人应对建设单位组织的勘察、设计等单位在施工招标文件中列出的危大工程清单进行投标文件回应。对危险性较大的工程必须按《危险性较大的分部分项工程安全管理规定》（中华人民共和国住房和城乡建设部令第 37 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中标人应根据《危险性较大的分部分项工程安全管理规定》（住房城乡建设部令第37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6C1B9CAF">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17.2</w:t>
      </w:r>
      <w:r>
        <w:rPr>
          <w:rFonts w:hint="eastAsia" w:ascii="宋体" w:hAnsi="宋体" w:eastAsia="宋体" w:cs="宋体"/>
          <w:b w:val="0"/>
          <w:bCs w:val="0"/>
          <w:snapToGrid w:val="0"/>
          <w:color w:val="auto"/>
          <w:kern w:val="0"/>
          <w:sz w:val="24"/>
          <w:szCs w:val="24"/>
          <w:highlight w:val="none"/>
          <w:lang w:val="en-US" w:eastAsia="zh-CN"/>
        </w:rPr>
        <w:t xml:space="preserve"> 中标人在工程实施过程中，按照国家、省、市的相关规定制定相关的专项安全施工方案（如高支模、基坑支护、沉井等），编制专项施工方案报监理人、招标人审批后方可开展专项工程的施工。 </w:t>
      </w:r>
    </w:p>
    <w:p w14:paraId="5784326E">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17.3</w:t>
      </w:r>
      <w:r>
        <w:rPr>
          <w:rFonts w:hint="eastAsia" w:ascii="宋体" w:hAnsi="宋体" w:eastAsia="宋体" w:cs="宋体"/>
          <w:b w:val="0"/>
          <w:bCs w:val="0"/>
          <w:snapToGrid w:val="0"/>
          <w:color w:val="auto"/>
          <w:kern w:val="0"/>
          <w:sz w:val="24"/>
          <w:szCs w:val="24"/>
          <w:highlight w:val="none"/>
          <w:lang w:val="en-US" w:eastAsia="zh-CN"/>
        </w:rPr>
        <w:t xml:space="preserve"> 中标人须按照《韶关市建筑垃圾管理条例》（2021年5月1日起施行），将弃土运至经韶关市政府有关规定核准使用的建筑垃圾消纳场，否则招标人有权要求中标人无条件将弃土从违约弃土点运至经韶关市政府有关规定核准使用的建筑垃圾消纳场并扣除违约金3万元人民币/次。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34D4C4A6">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17.4</w:t>
      </w:r>
      <w:r>
        <w:rPr>
          <w:rFonts w:hint="eastAsia" w:ascii="宋体" w:hAnsi="宋体" w:eastAsia="宋体" w:cs="宋体"/>
          <w:b w:val="0"/>
          <w:bCs w:val="0"/>
          <w:snapToGrid w:val="0"/>
          <w:color w:val="auto"/>
          <w:kern w:val="0"/>
          <w:sz w:val="24"/>
          <w:szCs w:val="24"/>
          <w:highlight w:val="none"/>
          <w:lang w:val="en-US" w:eastAsia="zh-CN"/>
        </w:rPr>
        <w:t xml:space="preserve"> 工程竣工验收后15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55145E28">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17.5</w:t>
      </w:r>
      <w:r>
        <w:rPr>
          <w:rFonts w:hint="eastAsia" w:ascii="宋体" w:hAnsi="宋体" w:eastAsia="宋体" w:cs="宋体"/>
          <w:b w:val="0"/>
          <w:bCs w:val="0"/>
          <w:snapToGrid w:val="0"/>
          <w:color w:val="auto"/>
          <w:kern w:val="0"/>
          <w:sz w:val="24"/>
          <w:szCs w:val="24"/>
          <w:highlight w:val="none"/>
          <w:lang w:val="en-US" w:eastAsia="zh-CN"/>
        </w:rPr>
        <w:t xml:space="preserve"> 根据《韶关市工程建设领域农民工工资保证金管理实施细则》（韶人社规〔2023〕 2 号）文件规定，中标人应当自工程取得施工许可证（开工报告批复、开工备案）之日起 20 个工作日内按承包合同工程造价 3%的比例（不超过 500 万元）一次性将工人工资保证金存入银行专用存款账户。逾期未交纳的，招标人将扣留与本项目工人工资保证金等额的工程款（工人工资除外），直至中标人按《韶关市工程建设领域农民工工资保证金管理实施细则》相关文件要求缴纳工人工资保证金。在中标人未按要求缴纳工人工资保证金期间，招标人扣留的工程款将作为工人工资保证金的预备资金，招标人有权将该部分资金用于处理该项目工人工资拖欠等情况的问题。如发生中标人拖欠民工工资并且向政府或招标人索要中标人拖欠工资的，招标人有权使用工人工资保证金或在剩余进度款范围内代中标人向民工支付工资，中标人对招标人垫付工资的人员范围和工资数额均不得提异议。招标人代支的工资除了从当期工程款内直接扣除外,并按招标文件相关约定缴纳违约金。</w:t>
      </w:r>
    </w:p>
    <w:p w14:paraId="1992D592">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一）用人单位应当在工程施工合同签订之日起30日内，在建设项目所在地的银行业金融机构设立工人工资支付专用账户,发包人支付工程款时，将按工程款（不含工人工资）和工人工资两部分分开支付，工人工资支付至专用账户。 </w:t>
      </w:r>
    </w:p>
    <w:p w14:paraId="1C7B8A1B">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（二）用人单位应当在用工之日起 15 日内在专用账户绑定农民工本人具有金融功能的社会保障卡或银行卡实行一人一卡、本人持卡。 </w:t>
      </w:r>
    </w:p>
    <w:p w14:paraId="5CD00E8B">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（三）用人单位应当指定专人负责建设项目施工现场台账管理，真实、准确记录工人名册、劳务合同、劳动合同、工程进度、工时台账、劳务承包款和工人工资支付等信息，并保存两年以上备查。 </w:t>
      </w:r>
    </w:p>
    <w:p w14:paraId="4D01F59F">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四）用人单位应当按照“及时支付，按实结算”的原则，在规定日期前通过银行工人工资支付专用账户将工人工资直接支付到工人的个人银行账户，并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花名册及身份证复印件；（4）劳动合同；（5）委托书（写明委托代发工资情况）；（6）缴纳保证金的凭证；（7）总包企业或承包企业设立工资专用账户的凭证；（8）维权信息告示牌情况。</w:t>
      </w:r>
    </w:p>
    <w:p w14:paraId="1404F3AD">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用人单位未建立、保存用工管理台账，或者伪造相关台账的，按照《广东省劳动保障监察条例》的规定，由人力资源社会保障部门责令改正，并可处以2000元以上20000元以下的人民币罚款。 </w:t>
      </w:r>
    </w:p>
    <w:p w14:paraId="5F0DBCE6">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（五）每次申请工程进度款需提供上期工人工资发放明细表、上期工人工资发放公示等材料。</w:t>
      </w:r>
    </w:p>
    <w:p w14:paraId="644E736B">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（六）中标人应按韶关市住房和城乡建设管理局、韶关市人力资源和社会保障局等职能部门对用工实名制的相关规定,落实工人及相关软硬件设施要求。</w:t>
      </w:r>
    </w:p>
    <w:p w14:paraId="31AD1A4F">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 xml:space="preserve">17.6 </w:t>
      </w:r>
      <w:r>
        <w:rPr>
          <w:rFonts w:hint="eastAsia" w:ascii="宋体" w:hAnsi="宋体" w:eastAsia="宋体" w:cs="宋体"/>
          <w:b w:val="0"/>
          <w:bCs w:val="0"/>
          <w:snapToGrid w:val="0"/>
          <w:color w:val="auto"/>
          <w:kern w:val="0"/>
          <w:sz w:val="24"/>
          <w:szCs w:val="24"/>
          <w:highlight w:val="none"/>
          <w:lang w:val="en-US" w:eastAsia="zh-CN"/>
        </w:rPr>
        <w:t>中标人在收到中标通知书后须积极配合招标人完成施工许可证的办理。</w:t>
      </w:r>
    </w:p>
    <w:p w14:paraId="2987D877">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17.7</w:t>
      </w:r>
      <w:r>
        <w:rPr>
          <w:rFonts w:hint="eastAsia" w:ascii="宋体" w:hAnsi="宋体" w:eastAsia="宋体" w:cs="宋体"/>
          <w:b w:val="0"/>
          <w:bCs w:val="0"/>
          <w:snapToGrid w:val="0"/>
          <w:color w:val="auto"/>
          <w:kern w:val="0"/>
          <w:sz w:val="24"/>
          <w:szCs w:val="24"/>
          <w:highlight w:val="none"/>
          <w:lang w:val="en-US" w:eastAsia="zh-CN"/>
        </w:rPr>
        <w:t xml:space="preserve"> 中标人中标后须响应招标人组织的廉政履约会议，项目经理、法人代表或其授权委托人须参加会议。</w:t>
      </w:r>
    </w:p>
    <w:p w14:paraId="785E4EBC">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17.8</w:t>
      </w:r>
      <w:r>
        <w:rPr>
          <w:rFonts w:hint="eastAsia" w:ascii="宋体" w:hAnsi="宋体" w:eastAsia="宋体" w:cs="宋体"/>
          <w:b w:val="0"/>
          <w:bCs w:val="0"/>
          <w:snapToGrid w:val="0"/>
          <w:color w:val="auto"/>
          <w:kern w:val="0"/>
          <w:sz w:val="24"/>
          <w:szCs w:val="24"/>
          <w:highlight w:val="none"/>
          <w:lang w:val="en-US" w:eastAsia="zh-CN"/>
        </w:rPr>
        <w:t xml:space="preserve"> 中标人在施工期间应严格遵守国家、省、市有关防火和施工安全以及文明施工、夜间施工、环卫城管等规定，建立规章制度和防护措施。否则，由此造成的经济损失和法律责任，均由中标人负责。中标人应按安全施工的要求，采取严格科学的安全措施，确保施工安全和第三者的安全，承担由于自身安全措施不力所造成的事故责任和发生的费用。</w:t>
      </w:r>
    </w:p>
    <w:p w14:paraId="6BEAC3EC">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17.9</w:t>
      </w:r>
      <w:r>
        <w:rPr>
          <w:rFonts w:hint="eastAsia" w:ascii="宋体" w:hAnsi="宋体" w:eastAsia="宋体" w:cs="宋体"/>
          <w:b w:val="0"/>
          <w:bCs w:val="0"/>
          <w:snapToGrid w:val="0"/>
          <w:color w:val="auto"/>
          <w:kern w:val="0"/>
          <w:sz w:val="24"/>
          <w:szCs w:val="24"/>
          <w:highlight w:val="none"/>
          <w:lang w:val="en-US" w:eastAsia="zh-CN"/>
        </w:rPr>
        <w:t xml:space="preserve"> 中标人必须做好施工场地地下、地上管线、构筑物和邻近建筑物、构筑物（包括文物保护建筑）、名树名木（如有）的保护工作。 </w:t>
      </w:r>
    </w:p>
    <w:p w14:paraId="0FF73645">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17.10</w:t>
      </w:r>
      <w:r>
        <w:rPr>
          <w:rFonts w:hint="eastAsia" w:ascii="宋体" w:hAnsi="宋体" w:eastAsia="宋体" w:cs="宋体"/>
          <w:b w:val="0"/>
          <w:bCs w:val="0"/>
          <w:snapToGrid w:val="0"/>
          <w:color w:val="auto"/>
          <w:kern w:val="0"/>
          <w:sz w:val="24"/>
          <w:szCs w:val="24"/>
          <w:highlight w:val="none"/>
          <w:lang w:val="en-US" w:eastAsia="zh-CN"/>
        </w:rPr>
        <w:t xml:space="preserve"> 中标人需按相关规定要求，设置本工程符合相关要求的永久性标牌及规划公示牌，投标人在投标报价时综合考虑在报价内，招标人不另行支付该部分费用。</w:t>
      </w:r>
    </w:p>
    <w:p w14:paraId="56E0BDD3">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17.11</w:t>
      </w:r>
      <w:r>
        <w:rPr>
          <w:rFonts w:hint="eastAsia" w:ascii="宋体" w:hAnsi="宋体" w:eastAsia="宋体" w:cs="宋体"/>
          <w:b w:val="0"/>
          <w:bCs w:val="0"/>
          <w:snapToGrid w:val="0"/>
          <w:color w:val="auto"/>
          <w:kern w:val="0"/>
          <w:sz w:val="24"/>
          <w:szCs w:val="24"/>
          <w:highlight w:val="none"/>
          <w:lang w:val="en-US" w:eastAsia="zh-CN"/>
        </w:rPr>
        <w:t xml:space="preserve"> 中标人须为招标人、全过程造价咨询单位提供现场办公管理的便利。按工程需要 配置办公室、会议室及办公家具、生活设施，配备满足工作需要的办公设备（电脑、打印机、复印机、传真机、办公用品等）。相关费用由中标人负责，招标人不另行支付。</w:t>
      </w:r>
    </w:p>
    <w:p w14:paraId="28AD7251">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17.12</w:t>
      </w:r>
      <w:r>
        <w:rPr>
          <w:rFonts w:hint="eastAsia" w:ascii="宋体" w:hAnsi="宋体" w:eastAsia="宋体" w:cs="宋体"/>
          <w:b w:val="0"/>
          <w:bCs w:val="0"/>
          <w:snapToGrid w:val="0"/>
          <w:color w:val="auto"/>
          <w:kern w:val="0"/>
          <w:sz w:val="24"/>
          <w:szCs w:val="24"/>
          <w:highlight w:val="none"/>
          <w:lang w:val="en-US" w:eastAsia="zh-CN"/>
        </w:rPr>
        <w:t xml:space="preserve"> 中标人负责受施工影响道路的环境卫生、交通组织维护及受损修复，相关费用由中标人负责，招标人不另行支付。</w:t>
      </w:r>
    </w:p>
    <w:p w14:paraId="4ECC43F6">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17.13</w:t>
      </w:r>
      <w:r>
        <w:rPr>
          <w:rFonts w:hint="eastAsia" w:ascii="宋体" w:hAnsi="宋体" w:eastAsia="宋体" w:cs="宋体"/>
          <w:b w:val="0"/>
          <w:bCs w:val="0"/>
          <w:snapToGrid w:val="0"/>
          <w:color w:val="auto"/>
          <w:kern w:val="0"/>
          <w:sz w:val="24"/>
          <w:szCs w:val="24"/>
          <w:highlight w:val="none"/>
          <w:lang w:val="en-US" w:eastAsia="zh-CN"/>
        </w:rPr>
        <w:t xml:space="preserve"> 本工程施工时中标人的施工视频监控系统必须符合韶关市相关规定，并在投标报价中综合考虑，招标人不另行支付该部分费用。 </w:t>
      </w:r>
    </w:p>
    <w:p w14:paraId="4CEFC0F6">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17.14</w:t>
      </w:r>
      <w:r>
        <w:rPr>
          <w:rFonts w:hint="eastAsia" w:ascii="宋体" w:hAnsi="宋体" w:eastAsia="宋体" w:cs="宋体"/>
          <w:b w:val="0"/>
          <w:bCs w:val="0"/>
          <w:snapToGrid w:val="0"/>
          <w:color w:val="auto"/>
          <w:kern w:val="0"/>
          <w:sz w:val="24"/>
          <w:szCs w:val="24"/>
          <w:highlight w:val="none"/>
          <w:lang w:val="en-US" w:eastAsia="zh-CN"/>
        </w:rPr>
        <w:t xml:space="preserve"> 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非中标人原因，工程不能按期开工，或开工后全部停滞，工期按相关规定予以顺延。停工发生后，若可复工时，中标人应在收到招标人发出的复工通知书后3日内开始复工。</w:t>
      </w:r>
    </w:p>
    <w:p w14:paraId="1258748E">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17.15</w:t>
      </w:r>
      <w:r>
        <w:rPr>
          <w:rFonts w:hint="eastAsia" w:ascii="宋体" w:hAnsi="宋体" w:eastAsia="宋体" w:cs="宋体"/>
          <w:b w:val="0"/>
          <w:bCs w:val="0"/>
          <w:snapToGrid w:val="0"/>
          <w:color w:val="auto"/>
          <w:kern w:val="0"/>
          <w:sz w:val="24"/>
          <w:szCs w:val="24"/>
          <w:highlight w:val="none"/>
          <w:lang w:val="en-US" w:eastAsia="zh-CN"/>
        </w:rPr>
        <w:t xml:space="preserve"> 承包人应充分考虑施工对接情况，为本项目的其他参建单位提供工作便利、配合及服务（如水源、电源接口等），并有针对性地组织施工；承包人与为本项目的其他参建单位就协调、配合、服务等不能达成一致的，由监理工程师协调，并遵照监理工程师指令执行；承包人应负责统筹安排本项目范围内的各项工程的协调与配合，确保工程建设有序进行。承包人由此增加的费用应认为已包括在承包人的投标报价之中，发包人不另行支付。</w:t>
      </w:r>
    </w:p>
    <w:p w14:paraId="180EEF8B">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17.16</w:t>
      </w:r>
      <w:r>
        <w:rPr>
          <w:rFonts w:hint="eastAsia" w:ascii="宋体" w:hAnsi="宋体" w:eastAsia="宋体" w:cs="宋体"/>
          <w:b w:val="0"/>
          <w:bCs w:val="0"/>
          <w:snapToGrid w:val="0"/>
          <w:color w:val="auto"/>
          <w:kern w:val="0"/>
          <w:sz w:val="24"/>
          <w:szCs w:val="24"/>
          <w:highlight w:val="none"/>
          <w:lang w:val="en-US" w:eastAsia="zh-CN"/>
        </w:rPr>
        <w:t xml:space="preserve"> 中标人应做好周边设施（含军用光缆、燃气、供电、供水、排水、排污、人行道、路灯、治安监控、交通电警等）的成品保护并及时与周边设施的权属单位协调解决，如因中标人原因导致上述设施发生损坏，中标人无条件按招标人规定的期限内修复，涉及成品保护费、索赔等一切费用全部由中标人自行解决。 </w:t>
      </w:r>
    </w:p>
    <w:p w14:paraId="62A93847">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 xml:space="preserve">17.17 </w:t>
      </w:r>
      <w:r>
        <w:rPr>
          <w:rFonts w:hint="eastAsia" w:ascii="宋体" w:hAnsi="宋体" w:eastAsia="宋体" w:cs="宋体"/>
          <w:b w:val="0"/>
          <w:bCs w:val="0"/>
          <w:snapToGrid w:val="0"/>
          <w:color w:val="auto"/>
          <w:kern w:val="0"/>
          <w:sz w:val="24"/>
          <w:szCs w:val="24"/>
          <w:highlight w:val="none"/>
          <w:lang w:val="en-US" w:eastAsia="zh-CN"/>
        </w:rPr>
        <w:t xml:space="preserve">招标人有权根据本项目建设的实际情况调整建设规模或减少建设内容，如出现因特殊原因取消某子项目的建设，则该子项目未完成的工作内容及费用相应扣减，中标人应在投标报价中综合考虑该因素，中标后不得因此向招标人提出额外的费用补偿或索赔，并且必须按调整后的规模及内容完成工程建设。 </w:t>
      </w:r>
    </w:p>
    <w:p w14:paraId="25E2A513">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 xml:space="preserve">17.18 </w:t>
      </w:r>
      <w:r>
        <w:rPr>
          <w:rFonts w:hint="eastAsia" w:ascii="宋体" w:hAnsi="宋体" w:eastAsia="宋体" w:cs="宋体"/>
          <w:b w:val="0"/>
          <w:bCs w:val="0"/>
          <w:snapToGrid w:val="0"/>
          <w:color w:val="auto"/>
          <w:kern w:val="0"/>
          <w:sz w:val="24"/>
          <w:szCs w:val="24"/>
          <w:highlight w:val="none"/>
          <w:lang w:val="en-US" w:eastAsia="zh-CN"/>
        </w:rPr>
        <w:t xml:space="preserve">根据市政府办相关批复要求，本项目的供水管道施工完成后，清洗、消毒、检测必须按城市供水部门的要求完成，并由中标人缴纳接驳等相关费用，招标人不另行支付该部分费用。 </w:t>
      </w:r>
    </w:p>
    <w:p w14:paraId="23E4A06E">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17.19</w:t>
      </w:r>
      <w:r>
        <w:rPr>
          <w:rFonts w:hint="eastAsia" w:ascii="宋体" w:hAnsi="宋体" w:eastAsia="宋体" w:cs="宋体"/>
          <w:b w:val="0"/>
          <w:bCs w:val="0"/>
          <w:snapToGrid w:val="0"/>
          <w:color w:val="auto"/>
          <w:kern w:val="0"/>
          <w:sz w:val="24"/>
          <w:szCs w:val="24"/>
          <w:highlight w:val="none"/>
          <w:lang w:val="en-US" w:eastAsia="zh-CN"/>
        </w:rPr>
        <w:t xml:space="preserve"> 中标人工程变更的程序和管理按《关于加强市本级政府投资项目财政投资评审监督管理的实施意见》(韶府办发函〔2021〕32 号)意见精神执行，凡不符合本实施意见要求的变更均为无效变更。如项目实施过程中发生了工程变更及工程签证，中标人需根据招标人的《工程变更管理办法》和《工程签证管理办法》完善工程变更签证相关程序。工程变更及工程签证须在发包人确认、会议确定或出具变更图纸后 28 日内，将相关预算报及相关报批表报发包人审批，若超时未申报，视为默认由发包人或委托第三方造价咨询单位出具的预算执行。</w:t>
      </w:r>
    </w:p>
    <w:p w14:paraId="64680DA6">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17.20</w:t>
      </w:r>
      <w:r>
        <w:rPr>
          <w:rFonts w:hint="eastAsia" w:ascii="宋体" w:hAnsi="宋体" w:eastAsia="宋体" w:cs="宋体"/>
          <w:b w:val="0"/>
          <w:bCs w:val="0"/>
          <w:snapToGrid w:val="0"/>
          <w:color w:val="auto"/>
          <w:kern w:val="0"/>
          <w:sz w:val="24"/>
          <w:szCs w:val="24"/>
          <w:highlight w:val="none"/>
          <w:lang w:val="en-US" w:eastAsia="zh-CN"/>
        </w:rPr>
        <w:t xml:space="preserve"> 垂直运输设备基础及围护等配套设施、现场围挡、临时出入口及临时道路等不形成工程实体的临时设施费用，中标人应在投标报价中综合考虑，中标后不得因此向招标人提出额外的费用补偿或索赔。</w:t>
      </w:r>
    </w:p>
    <w:p w14:paraId="48BBD451">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17.21</w:t>
      </w:r>
      <w:r>
        <w:rPr>
          <w:rFonts w:hint="eastAsia" w:ascii="宋体" w:hAnsi="宋体" w:eastAsia="宋体" w:cs="宋体"/>
          <w:b w:val="0"/>
          <w:bCs w:val="0"/>
          <w:snapToGrid w:val="0"/>
          <w:color w:val="auto"/>
          <w:kern w:val="0"/>
          <w:sz w:val="24"/>
          <w:szCs w:val="24"/>
          <w:highlight w:val="none"/>
          <w:lang w:val="en-US" w:eastAsia="zh-CN"/>
        </w:rPr>
        <w:t xml:space="preserve"> 中标人应按照《建设工程质量管理条例》《建设工程质量检测管理办法》和有关技术标准等规定和要求，进行自检和送检工作。在办理施工许可证前提交项目竣工验收备案所需的工程质量检测报告文件事项清单及送检计划。中标人自检所发生的检测费用由中标人自行负责。中标人委托的自检检测机构不得与建设单位委托的检测机构为同一家、存在隶属关系和其他利害关系。 </w:t>
      </w:r>
    </w:p>
    <w:p w14:paraId="09A89ABD">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17.22</w:t>
      </w:r>
      <w:r>
        <w:rPr>
          <w:rFonts w:hint="eastAsia" w:ascii="宋体" w:hAnsi="宋体" w:eastAsia="宋体" w:cs="宋体"/>
          <w:b w:val="0"/>
          <w:bCs w:val="0"/>
          <w:snapToGrid w:val="0"/>
          <w:color w:val="auto"/>
          <w:kern w:val="0"/>
          <w:sz w:val="24"/>
          <w:szCs w:val="24"/>
          <w:highlight w:val="none"/>
          <w:lang w:val="en-US" w:eastAsia="zh-CN"/>
        </w:rPr>
        <w:t xml:space="preserve"> 工程质量保修期按《中华人民共和国建筑法》《建设工程质量管理条例》等相关规定实施。 </w:t>
      </w:r>
    </w:p>
    <w:p w14:paraId="710B230C">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17.23</w:t>
      </w:r>
      <w:r>
        <w:rPr>
          <w:rFonts w:hint="eastAsia" w:ascii="宋体" w:hAnsi="宋体" w:eastAsia="宋体" w:cs="宋体"/>
          <w:b w:val="0"/>
          <w:bCs w:val="0"/>
          <w:snapToGrid w:val="0"/>
          <w:color w:val="auto"/>
          <w:kern w:val="0"/>
          <w:sz w:val="24"/>
          <w:szCs w:val="24"/>
          <w:highlight w:val="none"/>
          <w:lang w:val="en-US" w:eastAsia="zh-CN"/>
        </w:rPr>
        <w:t xml:space="preserve"> 如采用银行保函方式缴纳履约保证金，在保函到期前一个月，中标人须主动办理续期手续或提交新的银行保函；如中标人未及时主动办理续期手续或提交新的银行保函，招标人有权按履约保证金金额扣留进度款（工人工资除外）作为履约保证金，直至中标人提交新的银行保函或达到履约保证金退还条件。 </w:t>
      </w:r>
    </w:p>
    <w:p w14:paraId="54A663ED">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17.24</w:t>
      </w:r>
      <w:r>
        <w:rPr>
          <w:rFonts w:hint="eastAsia" w:ascii="宋体" w:hAnsi="宋体" w:eastAsia="宋体" w:cs="宋体"/>
          <w:b w:val="0"/>
          <w:bCs w:val="0"/>
          <w:snapToGrid w:val="0"/>
          <w:color w:val="auto"/>
          <w:kern w:val="0"/>
          <w:sz w:val="24"/>
          <w:szCs w:val="24"/>
          <w:highlight w:val="none"/>
          <w:lang w:val="en-US" w:eastAsia="zh-CN"/>
        </w:rPr>
        <w:t xml:space="preserve"> 若该项目需要消防验收，中标人需自行委托有资质的第三方消防检测单位进行消防自检并在消防验收时提供该单位检测报告，所需费用由中标人在投标时综合考虑，招标人不再另行增加费用。 </w:t>
      </w:r>
    </w:p>
    <w:p w14:paraId="5E735B74">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17.25</w:t>
      </w:r>
      <w:r>
        <w:rPr>
          <w:rFonts w:hint="eastAsia" w:ascii="宋体" w:hAnsi="宋体" w:eastAsia="宋体" w:cs="宋体"/>
          <w:b w:val="0"/>
          <w:bCs w:val="0"/>
          <w:snapToGrid w:val="0"/>
          <w:color w:val="auto"/>
          <w:kern w:val="0"/>
          <w:sz w:val="24"/>
          <w:szCs w:val="24"/>
          <w:highlight w:val="none"/>
          <w:lang w:val="en-US" w:eastAsia="zh-CN"/>
        </w:rPr>
        <w:t xml:space="preserve"> 工程完工后，为了本项目整体竣工验收的需要，中标人必须在招标人的统筹安排下，与为本项目其他工程服务的单位进行协同配合，做好竣工验收的各项工作，交付的工程必须符合各专业工程的相关要求。 </w:t>
      </w:r>
    </w:p>
    <w:p w14:paraId="4EA8A35C">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17.26</w:t>
      </w:r>
      <w:r>
        <w:rPr>
          <w:rFonts w:hint="eastAsia" w:ascii="宋体" w:hAnsi="宋体" w:eastAsia="宋体" w:cs="宋体"/>
          <w:b w:val="0"/>
          <w:bCs w:val="0"/>
          <w:snapToGrid w:val="0"/>
          <w:color w:val="auto"/>
          <w:kern w:val="0"/>
          <w:sz w:val="24"/>
          <w:szCs w:val="24"/>
          <w:highlight w:val="none"/>
          <w:lang w:val="en-US" w:eastAsia="zh-CN"/>
        </w:rPr>
        <w:t xml:space="preserve"> 对中标人违反《关于加强市本级政府投资项目财政投资评审监督管理的实施意见》(韶府办发函〔2021〕32 号)，造成项目投资失控或浪费的，建设行政主管部门将在市场诚信管理、市场准入、资质管理等方面，依法对其进行相应处理，并责成项目招标人按合同约定予以相应处罚。  </w:t>
      </w:r>
    </w:p>
    <w:p w14:paraId="7C0879A4">
      <w:pPr>
        <w:wordWrap w:val="0"/>
        <w:adjustRightInd w:val="0"/>
        <w:snapToGrid w:val="0"/>
        <w:spacing w:line="360" w:lineRule="auto"/>
        <w:ind w:firstLine="560"/>
        <w:rPr>
          <w:rFonts w:hint="eastAsia" w:ascii="宋体" w:hAnsi="宋体" w:eastAsia="宋体" w:cs="宋体"/>
          <w:b w:val="0"/>
          <w:bCs w:val="0"/>
          <w:snapToGrid w:val="0"/>
          <w:color w:val="auto"/>
          <w:kern w:val="0"/>
          <w:sz w:val="24"/>
          <w:szCs w:val="24"/>
          <w:highlight w:val="none"/>
          <w:lang w:val="en-US" w:eastAsia="zh-CN"/>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b/>
          <w:bCs/>
          <w:snapToGrid w:val="0"/>
          <w:color w:val="auto"/>
          <w:kern w:val="0"/>
          <w:sz w:val="24"/>
          <w:szCs w:val="24"/>
          <w:highlight w:val="none"/>
          <w:lang w:val="en-US" w:eastAsia="zh-CN"/>
        </w:rPr>
        <w:t>17.27</w:t>
      </w:r>
      <w:r>
        <w:rPr>
          <w:rFonts w:hint="eastAsia" w:ascii="宋体" w:hAnsi="宋体" w:eastAsia="宋体" w:cs="宋体"/>
          <w:b w:val="0"/>
          <w:bCs w:val="0"/>
          <w:snapToGrid w:val="0"/>
          <w:color w:val="auto"/>
          <w:kern w:val="0"/>
          <w:sz w:val="24"/>
          <w:szCs w:val="24"/>
          <w:highlight w:val="none"/>
          <w:lang w:val="en-US" w:eastAsia="zh-CN"/>
        </w:rPr>
        <w:t xml:space="preserve"> 中标人如响应招标文件自愿助力百千万工程公益性项目意向，中标后自愿公益捐建（捐赠或配建）专项用于招标人指定或双方协商一致的、与广东省“百千万工程”相关的公益项目，招标人不支付任何费用。</w:t>
      </w:r>
    </w:p>
    <w:p w14:paraId="10B3EAE0">
      <w:pPr>
        <w:spacing w:before="78" w:line="219" w:lineRule="auto"/>
        <w:ind w:left="2923"/>
        <w:outlineLvl w:val="0"/>
        <w:rPr>
          <w:rFonts w:hint="eastAsia" w:ascii="宋体" w:hAnsi="宋体" w:eastAsia="宋体" w:cs="宋体"/>
          <w:color w:val="auto"/>
          <w:sz w:val="24"/>
          <w:szCs w:val="24"/>
          <w:highlight w:val="none"/>
        </w:rPr>
      </w:pPr>
      <w:bookmarkStart w:id="173" w:name="bookmark86"/>
      <w:bookmarkEnd w:id="173"/>
      <w:bookmarkStart w:id="174" w:name="_Toc29824"/>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74"/>
    </w:p>
    <w:p w14:paraId="5C534CD3">
      <w:pPr>
        <w:pStyle w:val="7"/>
        <w:spacing w:line="257" w:lineRule="auto"/>
        <w:rPr>
          <w:rFonts w:hint="eastAsia" w:ascii="宋体" w:hAnsi="宋体" w:eastAsia="宋体" w:cs="宋体"/>
          <w:color w:val="auto"/>
          <w:sz w:val="24"/>
          <w:szCs w:val="24"/>
          <w:highlight w:val="none"/>
        </w:rPr>
      </w:pPr>
    </w:p>
    <w:p w14:paraId="69498346">
      <w:pPr>
        <w:pStyle w:val="7"/>
        <w:spacing w:line="257" w:lineRule="auto"/>
        <w:rPr>
          <w:rFonts w:hint="eastAsia" w:ascii="宋体" w:hAnsi="宋体" w:eastAsia="宋体" w:cs="宋体"/>
          <w:color w:val="auto"/>
          <w:sz w:val="24"/>
          <w:szCs w:val="24"/>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75" w:name="_Toc12529"/>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7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7"/>
        <w:spacing w:line="257" w:lineRule="auto"/>
        <w:rPr>
          <w:rFonts w:hint="eastAsia" w:ascii="宋体" w:hAnsi="宋体" w:eastAsia="宋体" w:cs="宋体"/>
          <w:color w:val="auto"/>
          <w:sz w:val="24"/>
          <w:szCs w:val="24"/>
          <w:highlight w:val="none"/>
        </w:rPr>
      </w:pPr>
    </w:p>
    <w:p w14:paraId="0E04F086">
      <w:pPr>
        <w:pStyle w:val="7"/>
        <w:spacing w:line="257" w:lineRule="auto"/>
        <w:rPr>
          <w:rFonts w:hint="eastAsia" w:ascii="宋体" w:hAnsi="宋体" w:eastAsia="宋体" w:cs="宋体"/>
          <w:color w:val="auto"/>
          <w:sz w:val="24"/>
          <w:szCs w:val="24"/>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76" w:name="bookmark88"/>
      <w:bookmarkEnd w:id="176"/>
      <w:bookmarkStart w:id="177" w:name="_Toc22398"/>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7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7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7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"2.3.1.2"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71317BD3">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2.3.2.1</w:t>
      </w:r>
      <w:r>
        <w:rPr>
          <w:rFonts w:hint="eastAsia" w:ascii="宋体" w:hAnsi="宋体" w:eastAsia="宋体" w:cs="宋体"/>
          <w:snapToGrid w:val="0"/>
          <w:color w:val="auto"/>
          <w:kern w:val="0"/>
          <w:sz w:val="24"/>
          <w:szCs w:val="24"/>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22D63521">
      <w:pPr>
        <w:keepNext w:val="0"/>
        <w:keepLines w:val="0"/>
        <w:pageBreakBefore w:val="0"/>
        <w:kinsoku/>
        <w:wordWrap w:val="0"/>
        <w:overflowPunct/>
        <w:topLinePunct w:val="0"/>
        <w:bidi w:val="0"/>
        <w:adjustRightInd w:val="0"/>
        <w:snapToGrid w:val="0"/>
        <w:spacing w:line="440" w:lineRule="exact"/>
        <w:ind w:firstLine="48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snapToGrid w:val="0"/>
          <w:color w:val="auto"/>
          <w:kern w:val="0"/>
          <w:sz w:val="24"/>
          <w:szCs w:val="24"/>
          <w:highlight w:val="none"/>
          <w:lang w:eastAsia="zh-CN"/>
        </w:rPr>
        <w:t>。</w:t>
      </w:r>
    </w:p>
    <w:p w14:paraId="2B7B72BB">
      <w:pPr>
        <w:keepNext w:val="0"/>
        <w:keepLines w:val="0"/>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对于按照第二章“中标人须知”第4.2条被认定为不平衡报价的清单项目，其综合单价按照以下方法调整：</w:t>
      </w:r>
    </w:p>
    <w:p w14:paraId="21D2DE15">
      <w:pPr>
        <w:keepNext w:val="0"/>
        <w:keepLines w:val="0"/>
        <w:pageBreakBefore w:val="0"/>
        <w:kinsoku/>
        <w:wordWrap w:val="0"/>
        <w:overflowPunct/>
        <w:topLinePunct w:val="0"/>
        <w:bidi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u w:val="single"/>
        </w:rPr>
        <w:t>以</w:t>
      </w:r>
      <w:r>
        <w:rPr>
          <w:rFonts w:hint="eastAsia" w:ascii="宋体" w:hAnsi="宋体" w:eastAsia="宋体" w:cs="宋体"/>
          <w:b/>
          <w:bCs/>
          <w:snapToGrid w:val="0"/>
          <w:color w:val="auto"/>
          <w:kern w:val="0"/>
          <w:sz w:val="24"/>
          <w:szCs w:val="24"/>
          <w:highlight w:val="none"/>
          <w:u w:val="single"/>
          <w:lang w:eastAsia="zh-CN"/>
        </w:rPr>
        <w:t>最高投标限价</w:t>
      </w:r>
      <w:r>
        <w:rPr>
          <w:rFonts w:hint="eastAsia" w:ascii="宋体" w:hAnsi="宋体" w:eastAsia="宋体" w:cs="宋体"/>
          <w:b/>
          <w:bCs/>
          <w:snapToGrid w:val="0"/>
          <w:color w:val="auto"/>
          <w:kern w:val="0"/>
          <w:sz w:val="24"/>
          <w:szCs w:val="24"/>
          <w:highlight w:val="none"/>
          <w:u w:val="single"/>
        </w:rPr>
        <w:t>中的《分部分项工程和单价措施项目清单与计价表》子目相对应综合单价×（1-中标下浮率）。</w:t>
      </w:r>
    </w:p>
    <w:p w14:paraId="0AF1A310">
      <w:pPr>
        <w:keepNext w:val="0"/>
        <w:keepLines w:val="0"/>
        <w:pageBreakBefore w:val="0"/>
        <w:widowControl/>
        <w:suppressLineNumbers w:val="0"/>
        <w:kinsoku/>
        <w:overflowPunct/>
        <w:topLinePunct w:val="0"/>
        <w:bidi w:val="0"/>
        <w:spacing w:line="440" w:lineRule="exact"/>
        <w:ind w:firstLine="480" w:firstLineChars="200"/>
        <w:jc w:val="left"/>
        <w:rPr>
          <w:rFonts w:hint="eastAsia" w:ascii="Times New Roman"/>
          <w:b/>
          <w:bCs/>
          <w:color w:val="auto"/>
          <w:kern w:val="0"/>
          <w:sz w:val="24"/>
          <w:szCs w:val="24"/>
          <w:highlight w:val="none"/>
        </w:rPr>
      </w:pPr>
      <w:r>
        <w:rPr>
          <w:rFonts w:hint="eastAsia" w:hAnsi="宋体"/>
          <w:b/>
          <w:bCs/>
          <w:color w:val="auto"/>
          <w:kern w:val="0"/>
          <w:sz w:val="24"/>
          <w:szCs w:val="24"/>
          <w:highlight w:val="none"/>
        </w:rPr>
        <w:t>中标下浮率</w:t>
      </w:r>
      <w:r>
        <w:rPr>
          <w:rFonts w:hint="eastAsia" w:ascii="Times New Roman"/>
          <w:b/>
          <w:bCs/>
          <w:color w:val="auto"/>
          <w:kern w:val="0"/>
          <w:sz w:val="24"/>
          <w:szCs w:val="24"/>
          <w:highlight w:val="none"/>
        </w:rPr>
        <w:t>=[1-</w:t>
      </w:r>
      <w:r>
        <w:rPr>
          <w:rFonts w:hint="eastAsia" w:hAnsi="宋体"/>
          <w:b/>
          <w:bCs/>
          <w:color w:val="auto"/>
          <w:kern w:val="0"/>
          <w:sz w:val="24"/>
          <w:szCs w:val="24"/>
          <w:highlight w:val="none"/>
        </w:rPr>
        <w:t>（中标价</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中标</w:t>
      </w:r>
      <w:r>
        <w:rPr>
          <w:rFonts w:hint="eastAsia" w:hAnsi="宋体"/>
          <w:b/>
          <w:bCs/>
          <w:color w:val="auto"/>
          <w:kern w:val="0"/>
          <w:sz w:val="24"/>
          <w:szCs w:val="24"/>
          <w:highlight w:val="none"/>
          <w:lang w:eastAsia="zh-CN"/>
        </w:rPr>
        <w:t>安全生产措施费</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暂列金额</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暂估价）</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w:t>
      </w:r>
      <w:r>
        <w:rPr>
          <w:rFonts w:hint="eastAsia" w:hAnsi="宋体"/>
          <w:b/>
          <w:bCs/>
          <w:color w:val="auto"/>
          <w:kern w:val="0"/>
          <w:sz w:val="24"/>
          <w:szCs w:val="24"/>
          <w:highlight w:val="none"/>
          <w:lang w:eastAsia="zh-CN"/>
        </w:rPr>
        <w:t>最高投标限价</w:t>
      </w:r>
      <w:r>
        <w:rPr>
          <w:rFonts w:hint="eastAsia" w:ascii="Times New Roman"/>
          <w:b/>
          <w:bCs/>
          <w:color w:val="auto"/>
          <w:kern w:val="0"/>
          <w:sz w:val="24"/>
          <w:szCs w:val="24"/>
          <w:highlight w:val="none"/>
        </w:rPr>
        <w:t>-</w:t>
      </w:r>
      <w:r>
        <w:rPr>
          <w:rFonts w:hint="eastAsia" w:hAnsi="宋体"/>
          <w:b/>
          <w:bCs/>
          <w:color w:val="auto"/>
          <w:kern w:val="0"/>
          <w:sz w:val="24"/>
          <w:szCs w:val="24"/>
          <w:highlight w:val="none"/>
          <w:lang w:eastAsia="zh-CN"/>
        </w:rPr>
        <w:t>最高投标限价</w:t>
      </w:r>
      <w:r>
        <w:rPr>
          <w:rFonts w:hint="eastAsia" w:hAnsi="宋体"/>
          <w:b/>
          <w:bCs/>
          <w:color w:val="auto"/>
          <w:kern w:val="0"/>
          <w:sz w:val="24"/>
          <w:szCs w:val="24"/>
          <w:highlight w:val="none"/>
          <w:lang w:val="en-US" w:eastAsia="zh-CN"/>
        </w:rPr>
        <w:t>的</w:t>
      </w:r>
      <w:r>
        <w:rPr>
          <w:rFonts w:hint="eastAsia" w:hAnsi="宋体"/>
          <w:b/>
          <w:bCs/>
          <w:color w:val="auto"/>
          <w:kern w:val="0"/>
          <w:sz w:val="24"/>
          <w:szCs w:val="24"/>
          <w:highlight w:val="none"/>
          <w:lang w:eastAsia="zh-CN"/>
        </w:rPr>
        <w:t>安全生产措施费</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暂列金额</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暂估价）</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w:t>
      </w:r>
      <w:r>
        <w:rPr>
          <w:rFonts w:hint="eastAsia" w:ascii="Times New Roman"/>
          <w:b/>
          <w:bCs/>
          <w:color w:val="auto"/>
          <w:kern w:val="0"/>
          <w:sz w:val="24"/>
          <w:szCs w:val="24"/>
          <w:highlight w:val="none"/>
        </w:rPr>
        <w:t>100%</w:t>
      </w:r>
    </w:p>
    <w:p w14:paraId="203D9C79">
      <w:pPr>
        <w:keepNext w:val="0"/>
        <w:keepLines w:val="0"/>
        <w:pageBreakBefore w:val="0"/>
        <w:widowControl/>
        <w:suppressLineNumbers w:val="0"/>
        <w:kinsoku/>
        <w:overflowPunct/>
        <w:topLinePunct w:val="0"/>
        <w:bidi w:val="0"/>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"2.3.3.1"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2"/>
        </w:numPr>
        <w:spacing w:before="78" w:line="360" w:lineRule="auto"/>
        <w:ind w:firstLine="236" w:firstLineChars="100"/>
        <w:rPr>
          <w:rFonts w:hint="eastAsia" w:ascii="宋体" w:hAnsi="宋体" w:eastAsia="宋体" w:cs="宋体"/>
          <w:b w:val="0"/>
          <w:bCs w:val="0"/>
          <w:color w:val="auto"/>
          <w:spacing w:val="-2"/>
          <w:sz w:val="24"/>
          <w:szCs w:val="24"/>
          <w:highlight w:val="none"/>
        </w:rPr>
      </w:pPr>
      <w:r>
        <w:rPr>
          <w:rFonts w:hint="eastAsia" w:ascii="宋体" w:hAnsi="宋体" w:eastAsia="宋体" w:cs="宋体"/>
          <w:b w:val="0"/>
          <w:bCs w:val="0"/>
          <w:color w:val="auto"/>
          <w:spacing w:val="-2"/>
          <w:sz w:val="24"/>
          <w:szCs w:val="24"/>
          <w:highlight w:val="none"/>
          <w:lang w:val="en-US" w:eastAsia="zh-CN"/>
        </w:rPr>
        <w:t xml:space="preserve">已标价工程量清单中有适用于变更工程项目的，采用该项目的单价。但如果被采用的项目属于按照第二章“中标人须知”第4.2条被认定为不平衡报价的清单项目，变更工程项目的单价按照本章 2.3.2.1 的方法调整。 </w:t>
      </w:r>
    </w:p>
    <w:p w14:paraId="607212D6">
      <w:pPr>
        <w:numPr>
          <w:ilvl w:val="0"/>
          <w:numId w:val="0"/>
        </w:numPr>
        <w:spacing w:before="78" w:line="360" w:lineRule="auto"/>
        <w:ind w:firstLine="236" w:firstLineChars="100"/>
        <w:rPr>
          <w:rFonts w:hint="eastAsia" w:ascii="宋体" w:hAnsi="宋体" w:eastAsia="宋体" w:cs="宋体"/>
          <w:color w:val="auto"/>
          <w:sz w:val="24"/>
          <w:szCs w:val="24"/>
          <w:highlight w:val="none"/>
        </w:rPr>
      </w:pPr>
      <w:r>
        <w:rPr>
          <w:rFonts w:hint="eastAsia" w:ascii="宋体" w:hAnsi="宋体" w:eastAsia="宋体" w:cs="宋体"/>
          <w:b w:val="0"/>
          <w:bCs w:val="0"/>
          <w:color w:val="auto"/>
          <w:spacing w:val="-2"/>
          <w:sz w:val="24"/>
          <w:szCs w:val="24"/>
          <w:highlight w:val="none"/>
          <w:lang w:eastAsia="zh-CN"/>
        </w:rPr>
        <w:t>（</w:t>
      </w:r>
      <w:r>
        <w:rPr>
          <w:rFonts w:hint="eastAsia" w:ascii="宋体" w:hAnsi="宋体" w:eastAsia="宋体" w:cs="宋体"/>
          <w:b w:val="0"/>
          <w:bCs w:val="0"/>
          <w:color w:val="auto"/>
          <w:spacing w:val="-2"/>
          <w:sz w:val="24"/>
          <w:szCs w:val="24"/>
          <w:highlight w:val="none"/>
          <w:lang w:val="en-US" w:eastAsia="zh-CN"/>
        </w:rPr>
        <w:t>2</w:t>
      </w:r>
      <w:r>
        <w:rPr>
          <w:rFonts w:hint="eastAsia" w:ascii="宋体" w:hAnsi="宋体" w:eastAsia="宋体" w:cs="宋体"/>
          <w:b w:val="0"/>
          <w:bCs w:val="0"/>
          <w:color w:val="auto"/>
          <w:spacing w:val="-2"/>
          <w:sz w:val="24"/>
          <w:szCs w:val="24"/>
          <w:highlight w:val="none"/>
          <w:lang w:eastAsia="zh-CN"/>
        </w:rPr>
        <w:t>）已标价工程量清单中没有适用但有类似于变更工程项目的，可在合理范围内参照类似项目的单价。但如果被参考的类似项目属于按照第二章“中标人须知”第4.2条被认定为不平衡报价的清单项目，</w:t>
      </w:r>
      <w:r>
        <w:rPr>
          <w:rFonts w:hint="eastAsia" w:ascii="宋体" w:hAnsi="宋体" w:eastAsia="宋体" w:cs="宋体"/>
          <w:b w:val="0"/>
          <w:bCs w:val="0"/>
          <w:color w:val="auto"/>
          <w:spacing w:val="-2"/>
          <w:sz w:val="24"/>
          <w:szCs w:val="24"/>
          <w:highlight w:val="none"/>
          <w:lang w:val="en-US" w:eastAsia="zh-CN"/>
        </w:rPr>
        <w:t>变更工程项目的单价按照本章 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D4B8AD8">
      <w:pPr>
        <w:spacing w:before="145" w:line="309" w:lineRule="auto"/>
        <w:ind w:right="81" w:firstLine="240" w:firstLineChars="100"/>
        <w:rPr>
          <w:rFonts w:hint="eastAsia" w:ascii="Times New Roman"/>
          <w:b/>
          <w:bCs/>
          <w:color w:val="auto"/>
          <w:kern w:val="0"/>
          <w:sz w:val="24"/>
          <w:szCs w:val="24"/>
          <w:highlight w:val="none"/>
        </w:rPr>
      </w:pPr>
      <w:r>
        <w:rPr>
          <w:rFonts w:hint="eastAsia" w:hAnsi="宋体"/>
          <w:b/>
          <w:bCs/>
          <w:color w:val="auto"/>
          <w:kern w:val="0"/>
          <w:sz w:val="24"/>
          <w:szCs w:val="24"/>
          <w:highlight w:val="none"/>
        </w:rPr>
        <w:t>中标下浮率</w:t>
      </w:r>
      <w:r>
        <w:rPr>
          <w:rFonts w:hint="eastAsia" w:ascii="Times New Roman"/>
          <w:b/>
          <w:bCs/>
          <w:color w:val="auto"/>
          <w:kern w:val="0"/>
          <w:sz w:val="24"/>
          <w:szCs w:val="24"/>
          <w:highlight w:val="none"/>
        </w:rPr>
        <w:t>=[1-</w:t>
      </w:r>
      <w:r>
        <w:rPr>
          <w:rFonts w:hint="eastAsia" w:hAnsi="宋体"/>
          <w:b/>
          <w:bCs/>
          <w:color w:val="auto"/>
          <w:kern w:val="0"/>
          <w:sz w:val="24"/>
          <w:szCs w:val="24"/>
          <w:highlight w:val="none"/>
        </w:rPr>
        <w:t>（中标价</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中标</w:t>
      </w:r>
      <w:r>
        <w:rPr>
          <w:rFonts w:hint="eastAsia" w:hAnsi="宋体"/>
          <w:b/>
          <w:bCs/>
          <w:color w:val="auto"/>
          <w:kern w:val="0"/>
          <w:sz w:val="24"/>
          <w:szCs w:val="24"/>
          <w:highlight w:val="none"/>
          <w:lang w:eastAsia="zh-CN"/>
        </w:rPr>
        <w:t>安全生产措施费</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暂列金额</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暂估价）</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w:t>
      </w:r>
      <w:r>
        <w:rPr>
          <w:rFonts w:hint="eastAsia" w:hAnsi="宋体"/>
          <w:b/>
          <w:bCs/>
          <w:color w:val="auto"/>
          <w:kern w:val="0"/>
          <w:sz w:val="24"/>
          <w:szCs w:val="24"/>
          <w:highlight w:val="none"/>
          <w:lang w:eastAsia="zh-CN"/>
        </w:rPr>
        <w:t>最高投标限价</w:t>
      </w:r>
      <w:r>
        <w:rPr>
          <w:rFonts w:hint="eastAsia" w:ascii="Times New Roman"/>
          <w:b/>
          <w:bCs/>
          <w:color w:val="auto"/>
          <w:kern w:val="0"/>
          <w:sz w:val="24"/>
          <w:szCs w:val="24"/>
          <w:highlight w:val="none"/>
        </w:rPr>
        <w:t>-</w:t>
      </w:r>
      <w:r>
        <w:rPr>
          <w:rFonts w:hint="eastAsia" w:hAnsi="宋体"/>
          <w:b/>
          <w:bCs/>
          <w:color w:val="auto"/>
          <w:kern w:val="0"/>
          <w:sz w:val="24"/>
          <w:szCs w:val="24"/>
          <w:highlight w:val="none"/>
          <w:lang w:eastAsia="zh-CN"/>
        </w:rPr>
        <w:t>最高投标限价</w:t>
      </w:r>
      <w:r>
        <w:rPr>
          <w:rFonts w:hint="eastAsia" w:hAnsi="宋体"/>
          <w:b/>
          <w:bCs/>
          <w:color w:val="auto"/>
          <w:kern w:val="0"/>
          <w:sz w:val="24"/>
          <w:szCs w:val="24"/>
          <w:highlight w:val="none"/>
          <w:lang w:val="en-US" w:eastAsia="zh-CN"/>
        </w:rPr>
        <w:t>的</w:t>
      </w:r>
      <w:r>
        <w:rPr>
          <w:rFonts w:hint="eastAsia" w:hAnsi="宋体"/>
          <w:b/>
          <w:bCs/>
          <w:color w:val="auto"/>
          <w:kern w:val="0"/>
          <w:sz w:val="24"/>
          <w:szCs w:val="24"/>
          <w:highlight w:val="none"/>
          <w:lang w:eastAsia="zh-CN"/>
        </w:rPr>
        <w:t>安全生产措施费</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暂列金额</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暂估价）</w:t>
      </w:r>
      <w:r>
        <w:rPr>
          <w:rFonts w:hint="eastAsia" w:ascii="Times New Roman"/>
          <w:b/>
          <w:bCs/>
          <w:color w:val="auto"/>
          <w:kern w:val="0"/>
          <w:sz w:val="24"/>
          <w:szCs w:val="24"/>
          <w:highlight w:val="none"/>
        </w:rPr>
        <w:t>]</w:t>
      </w:r>
      <w:r>
        <w:rPr>
          <w:rFonts w:hint="eastAsia" w:hAnsi="宋体"/>
          <w:b/>
          <w:bCs/>
          <w:color w:val="auto"/>
          <w:kern w:val="0"/>
          <w:sz w:val="24"/>
          <w:szCs w:val="24"/>
          <w:highlight w:val="none"/>
        </w:rPr>
        <w:t>×</w:t>
      </w:r>
      <w:r>
        <w:rPr>
          <w:rFonts w:hint="eastAsia" w:ascii="Times New Roman"/>
          <w:b/>
          <w:bCs/>
          <w:color w:val="auto"/>
          <w:kern w:val="0"/>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r>
        <w:rPr>
          <w:rFonts w:hint="eastAsia" w:ascii="宋体" w:hAnsi="宋体" w:eastAsia="宋体" w:cs="宋体"/>
          <w:color w:val="auto"/>
          <w:spacing w:val="1"/>
          <w:sz w:val="24"/>
          <w:szCs w:val="24"/>
          <w:highlight w:val="none"/>
          <w:lang w:val="en-US" w:eastAsia="zh-CN"/>
        </w:rPr>
        <w:t>。</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"2.3.3.2"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b w:val="0"/>
          <w:bCs w:val="0"/>
          <w:color w:val="auto"/>
          <w:spacing w:val="-3"/>
          <w:sz w:val="24"/>
          <w:szCs w:val="24"/>
          <w:highlight w:val="none"/>
        </w:rPr>
        <w:t>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r>
        <w:rPr>
          <w:rFonts w:hint="eastAsia" w:ascii="宋体" w:hAnsi="宋体" w:eastAsia="宋体" w:cs="宋体"/>
          <w:b w:val="0"/>
          <w:bCs w:val="0"/>
          <w:color w:val="auto"/>
          <w:spacing w:val="-2"/>
          <w:sz w:val="24"/>
          <w:szCs w:val="24"/>
          <w:highlight w:val="none"/>
        </w:rPr>
        <w:t>：</w:t>
      </w:r>
    </w:p>
    <w:p w14:paraId="124A41D3">
      <w:pPr>
        <w:spacing w:before="35" w:line="309" w:lineRule="auto"/>
        <w:ind w:right="81" w:firstLine="480" w:firstLineChars="200"/>
        <w:rPr>
          <w:rFonts w:hint="eastAsia" w:ascii="宋体" w:hAnsi="宋体" w:eastAsia="宋体" w:cs="宋体"/>
          <w:b w:val="0"/>
          <w:bCs w:val="0"/>
          <w:color w:val="auto"/>
          <w:spacing w:val="-3"/>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 w:val="0"/>
          <w:bCs w:val="0"/>
          <w:color w:val="auto"/>
          <w:spacing w:val="-3"/>
          <w:sz w:val="24"/>
          <w:szCs w:val="24"/>
          <w:highlight w:val="none"/>
        </w:rPr>
        <w:t>1）</w:t>
      </w:r>
      <w:r>
        <w:rPr>
          <w:rFonts w:hint="eastAsia" w:ascii="宋体" w:hAnsi="宋体" w:eastAsia="宋体" w:cs="宋体"/>
          <w:b w:val="0"/>
          <w:bCs w:val="0"/>
          <w:color w:val="auto"/>
          <w:spacing w:val="-3"/>
          <w:sz w:val="24"/>
          <w:szCs w:val="24"/>
          <w:highlight w:val="none"/>
          <w:lang w:eastAsia="zh-CN"/>
        </w:rPr>
        <w:t>安全生产措施费</w:t>
      </w:r>
      <w:r>
        <w:rPr>
          <w:rFonts w:hint="eastAsia" w:ascii="宋体" w:hAnsi="宋体" w:eastAsia="宋体" w:cs="宋体"/>
          <w:b w:val="0"/>
          <w:bCs w:val="0"/>
          <w:color w:val="auto"/>
          <w:spacing w:val="-3"/>
          <w:sz w:val="24"/>
          <w:szCs w:val="24"/>
          <w:highlight w:val="none"/>
        </w:rPr>
        <w:t>应按照实际发生变化的措施项目计算。</w:t>
      </w:r>
    </w:p>
    <w:p w14:paraId="32DE9E34">
      <w:pPr>
        <w:spacing w:before="35" w:line="309" w:lineRule="auto"/>
        <w:ind w:right="81" w:firstLine="468" w:firstLineChars="200"/>
        <w:rPr>
          <w:rFonts w:hint="eastAsia" w:ascii="宋体" w:hAnsi="宋体" w:eastAsia="宋体" w:cs="宋体"/>
          <w:b w:val="0"/>
          <w:bCs w:val="0"/>
          <w:color w:val="auto"/>
          <w:spacing w:val="-3"/>
          <w:sz w:val="24"/>
          <w:szCs w:val="24"/>
          <w:highlight w:val="none"/>
        </w:rPr>
      </w:pPr>
      <w:r>
        <w:rPr>
          <w:rFonts w:hint="eastAsia" w:ascii="宋体" w:hAnsi="宋体" w:eastAsia="宋体" w:cs="宋体"/>
          <w:b w:val="0"/>
          <w:bCs w:val="0"/>
          <w:color w:val="auto"/>
          <w:spacing w:val="-3"/>
          <w:sz w:val="24"/>
          <w:szCs w:val="24"/>
          <w:highlight w:val="none"/>
        </w:rPr>
        <w:t>（2）采用单价计算的措施项目费，应按照实际发生变化的措施项目，按本章第2.3.3.1子目的规定确定单价。</w:t>
      </w:r>
    </w:p>
    <w:p w14:paraId="40399E5E">
      <w:pPr>
        <w:spacing w:before="35" w:line="309" w:lineRule="auto"/>
        <w:ind w:right="81" w:firstLine="468" w:firstLineChars="200"/>
        <w:rPr>
          <w:rFonts w:hint="eastAsia" w:ascii="宋体" w:hAnsi="宋体" w:eastAsia="宋体" w:cs="宋体"/>
          <w:b w:val="0"/>
          <w:bCs w:val="0"/>
          <w:color w:val="auto"/>
          <w:spacing w:val="-3"/>
          <w:sz w:val="24"/>
          <w:szCs w:val="24"/>
          <w:highlight w:val="none"/>
        </w:rPr>
      </w:pPr>
      <w:r>
        <w:rPr>
          <w:rFonts w:hint="eastAsia" w:ascii="宋体" w:hAnsi="宋体" w:eastAsia="宋体" w:cs="宋体"/>
          <w:b w:val="0"/>
          <w:bCs w:val="0"/>
          <w:color w:val="auto"/>
          <w:spacing w:val="-3"/>
          <w:sz w:val="24"/>
          <w:szCs w:val="24"/>
          <w:highlight w:val="none"/>
        </w:rPr>
        <w:t>（3）按总价或系数计算的措施项目费，应按照实际发生变化的措施项目费调整并考虑中标下浮率因素，即调整金额＝按照实际变化调整后的金额×（1-中标下浮率）。</w:t>
      </w:r>
    </w:p>
    <w:p w14:paraId="4F5513D4">
      <w:pPr>
        <w:spacing w:before="35" w:line="309" w:lineRule="auto"/>
        <w:ind w:right="81" w:firstLine="468" w:firstLineChars="200"/>
        <w:rPr>
          <w:rFonts w:hint="eastAsia" w:ascii="宋体" w:hAnsi="宋体" w:eastAsia="宋体" w:cs="宋体"/>
          <w:b w:val="0"/>
          <w:bCs w:val="0"/>
          <w:color w:val="auto"/>
          <w:spacing w:val="-3"/>
          <w:sz w:val="24"/>
          <w:szCs w:val="24"/>
          <w:highlight w:val="none"/>
        </w:rPr>
      </w:pPr>
      <w:r>
        <w:rPr>
          <w:rFonts w:hint="eastAsia" w:ascii="宋体" w:hAnsi="宋体" w:eastAsia="宋体" w:cs="宋体"/>
          <w:b w:val="0"/>
          <w:bCs w:val="0"/>
          <w:color w:val="auto"/>
          <w:spacing w:val="-3"/>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b w:val="0"/>
          <w:bCs w:val="0"/>
          <w:color w:val="auto"/>
          <w:spacing w:val="-3"/>
          <w:sz w:val="24"/>
          <w:szCs w:val="24"/>
          <w:highlight w:val="none"/>
        </w:rPr>
        <w:t>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r>
        <w:rPr>
          <w:rFonts w:hint="eastAsia" w:ascii="宋体" w:hAnsi="宋体" w:eastAsia="宋体" w:cs="宋体"/>
          <w:b w:val="0"/>
          <w:bCs w:val="0"/>
          <w:color w:val="auto"/>
          <w:spacing w:val="-2"/>
          <w:sz w:val="24"/>
          <w:szCs w:val="24"/>
          <w:highlight w:val="none"/>
        </w:rPr>
        <w:t>。</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9" w:name="bookmark144"/>
      <w:bookmarkEnd w:id="179"/>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"2.3.5.1"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"2.3.5.2"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"2.3.5.3"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1"/>
          <w:sz w:val="24"/>
          <w:szCs w:val="24"/>
          <w:highlight w:val="none"/>
        </w:rPr>
        <w:t>由于招标工程量清单中措施项目缺项，承包人应将新增措施项目实施方案提交发包人批准后，按照本章第2.3.3.1子目、第2.3.3.2子目的规定调整合同价款。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24"/>
          <w:szCs w:val="24"/>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24"/>
          <w:szCs w:val="24"/>
          <w:highlight w:val="none"/>
        </w:rPr>
        <w:t>1</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b w:val="0"/>
          <w:bCs w:val="0"/>
          <w:color w:val="auto"/>
          <w:spacing w:val="-1"/>
          <w:sz w:val="24"/>
          <w:szCs w:val="24"/>
          <w:highlight w:val="none"/>
        </w:rPr>
        <w:t>本招标项目约定，材料、工程设备单价涨跌风险幅度值A为 5% 。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如果承包人投标报价中材料、工程设备单价（以下简称“中标单价”）低于基准日当月项目所在地工程造价管理机构发布的对应材料、工程设备单价（以下简称“基准单价”），该材料、工程设备的结算单价调整公式为：</w:t>
      </w:r>
    </w:p>
    <w:p w14:paraId="6048D265">
      <w:pPr>
        <w:keepNext w:val="0"/>
        <w:keepLines w:val="0"/>
        <w:pageBreakBefore w:val="0"/>
        <w:kinsoku/>
        <w:wordWrap w:val="0"/>
        <w:overflowPunct/>
        <w:topLinePunct w:val="0"/>
        <w:bidi w:val="0"/>
        <w:adjustRightInd w:val="0"/>
        <w:snapToGrid w:val="0"/>
        <w:spacing w:before="360" w:beforeLines="150" w:after="240" w:afterLines="100"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stroked="f" coordsize="21600,21600">
            <v:path/>
            <v:fill on="f" focussize="0,0"/>
            <v:stroke on="f"/>
            <v:imagedata r:id="rId30" o:title=""/>
            <o:lock v:ext="edit" grouping="f" rotation="f" text="f" aspectratio="t"/>
            <w10:wrap type="none"/>
            <w10:anchorlock/>
          </v:shape>
          <o:OLEObject Type="Embed" ProgID="Equation.KSEE3" ShapeID="_x0000_i1025" DrawAspect="Content" ObjectID="_1468075725" r:id="rId29">
            <o:LockedField>false</o:LockedField>
          </o:OLEObject>
        </w:object>
      </w:r>
    </w:p>
    <w:p w14:paraId="25DA22EB">
      <w:pPr>
        <w:keepNext w:val="0"/>
        <w:keepLines w:val="0"/>
        <w:pageBreakBefore w:val="0"/>
        <w:kinsoku/>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stroked="f" coordsize="21600,21600">
            <v:path/>
            <v:fill on="f" focussize="0,0"/>
            <v:stroke on="f"/>
            <v:imagedata r:id="rId32" o:title=""/>
            <o:lock v:ext="edit" grouping="f" rotation="f" text="f" aspectratio="t"/>
            <w10:wrap type="none"/>
            <w10:anchorlock/>
          </v:shape>
          <o:OLEObject Type="Embed" ProgID="Equation.KSEE3" ShapeID="_x0000_i1026" DrawAspect="Content" ObjectID="_1468075726" r:id="rId31">
            <o:LockedField>false</o:LockedField>
          </o:OLEObject>
        </w:object>
      </w:r>
    </w:p>
    <w:p w14:paraId="7E0926A9">
      <w:pPr>
        <w:keepNext w:val="0"/>
        <w:keepLines w:val="0"/>
        <w:pageBreakBefore w:val="0"/>
        <w:kinsoku/>
        <w:wordWrap w:val="0"/>
        <w:overflowPunct/>
        <w:topLinePunct w:val="0"/>
        <w:bidi w:val="0"/>
        <w:adjustRightInd w:val="0"/>
        <w:snapToGrid w:val="0"/>
        <w:spacing w:before="360" w:beforeLines="150" w:after="240" w:afterLines="100"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stroked="f" coordsize="21600,21600">
            <v:path/>
            <v:fill on="f" focussize="0,0"/>
            <v:stroke on="f"/>
            <v:imagedata r:id="rId34" o:title=""/>
            <o:lock v:ext="edit" grouping="f" rotation="f" text="f" aspectratio="t"/>
            <w10:wrap type="none"/>
            <w10:anchorlock/>
          </v:shape>
          <o:OLEObject Type="Embed" ProgID="Equation.KSEE3" ShapeID="_x0000_i1027" DrawAspect="Content" ObjectID="_1468075727" r:id="rId33">
            <o:LockedField>false</o:LockedField>
          </o:OLEObject>
        </w:object>
      </w:r>
    </w:p>
    <w:p w14:paraId="7E05CD2D">
      <w:pPr>
        <w:keepNext w:val="0"/>
        <w:keepLines w:val="0"/>
        <w:pageBreakBefore w:val="0"/>
        <w:kinsoku/>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stroked="f" coordsize="21600,21600">
            <v:path/>
            <v:fill on="f" focussize="0,0"/>
            <v:stroke on="f"/>
            <v:imagedata r:id="rId36" o:title=""/>
            <o:lock v:ext="edit" grouping="f" rotation="f" text="f" aspectratio="t"/>
            <w10:wrap type="none"/>
            <w10:anchorlock/>
          </v:shape>
          <o:OLEObject Type="Embed" ProgID="Equation.KSEE3" ShapeID="_x0000_i1028" DrawAspect="Content" ObjectID="_1468075728" r:id="rId35">
            <o:LockedField>false</o:LockedField>
          </o:OLEObject>
        </w:object>
      </w:r>
    </w:p>
    <w:p w14:paraId="05B8D56D">
      <w:pPr>
        <w:keepNext w:val="0"/>
        <w:keepLines w:val="0"/>
        <w:pageBreakBefore w:val="0"/>
        <w:kinsoku/>
        <w:wordWrap w:val="0"/>
        <w:overflowPunct/>
        <w:topLinePunct w:val="0"/>
        <w:bidi w:val="0"/>
        <w:adjustRightInd w:val="0"/>
        <w:snapToGrid w:val="0"/>
        <w:spacing w:before="360" w:beforeLines="150" w:after="240" w:afterLines="100"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stroked="f" coordsize="21600,21600">
            <v:path/>
            <v:fill on="f" focussize="0,0"/>
            <v:stroke on="f"/>
            <v:imagedata r:id="rId38" o:title=""/>
            <o:lock v:ext="edit" grouping="f" rotation="f" text="f" aspectratio="t"/>
            <w10:wrap type="none"/>
            <w10:anchorlock/>
          </v:shape>
          <o:OLEObject Type="Embed" ProgID="Equation.KSEE3" ShapeID="_x0000_i1029" DrawAspect="Content" ObjectID="_1468075729" r:id="rId37">
            <o:LockedField>false</o:LockedField>
          </o:OLEObject>
        </w:object>
      </w:r>
    </w:p>
    <w:p w14:paraId="6FA12255">
      <w:pPr>
        <w:keepNext w:val="0"/>
        <w:keepLines w:val="0"/>
        <w:pageBreakBefore w:val="0"/>
        <w:kinsoku/>
        <w:wordWrap w:val="0"/>
        <w:overflowPunct/>
        <w:topLinePunct w:val="0"/>
        <w:bidi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o:title=""/>
            <o:lock v:ext="edit" grouping="f" rotation="f" text="f" aspectratio="t"/>
            <w10:wrap type="none"/>
            <w10:anchorlock/>
          </v:shape>
          <o:OLEObject Type="Embed" ProgID="Equation.KSEE3" ShapeID="_x0000_i1030" DrawAspect="Content" ObjectID="_1468075730" r:id="rId39">
            <o:LockedField>false</o:LockedField>
          </o:OLEObject>
        </w:objec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以上公式中，F1为中标单价；F0为基准单价、指项目所在地工程造价管理机构最高投标限价审定当月发布的材料、工程设备单价； F2为施工当月项目所在地工程造价管理机构发布的材料、工程设备单价；A为合同约定的材料、工程设备单价涨跌风险幅度值。</w:t>
      </w:r>
    </w:p>
    <w:p w14:paraId="3724E93C">
      <w:pPr>
        <w:spacing w:before="121" w:line="308" w:lineRule="auto"/>
        <w:ind w:firstLine="477"/>
        <w:rPr>
          <w:rFonts w:hint="eastAsia" w:ascii="宋体" w:hAnsi="宋体" w:eastAsia="宋体" w:cs="宋体"/>
          <w:b/>
          <w:bCs/>
          <w:color w:val="auto"/>
          <w:spacing w:val="-3"/>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b w:val="0"/>
          <w:bCs w:val="0"/>
          <w:color w:val="auto"/>
          <w:spacing w:val="-3"/>
          <w:sz w:val="24"/>
          <w:szCs w:val="24"/>
          <w:highlight w:val="none"/>
        </w:rPr>
        <w:t>合同履行期间，当《发包人提供材料和工程设备一览表》（详见招标工程量清单）中的材料、工程设备单价发生变化时，由发包人按照实际变化调整，并列入合同价款。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24"/>
          <w:szCs w:val="24"/>
          <w:highlight w:val="none"/>
        </w:rPr>
        <w:t>1</w:t>
      </w:r>
      <w:r>
        <w:rPr>
          <w:rFonts w:hint="eastAsia" w:ascii="宋体" w:hAnsi="宋体" w:eastAsia="宋体" w:cs="宋体"/>
          <w:color w:val="auto"/>
          <w:spacing w:val="26"/>
          <w:position w:val="-1"/>
          <w:sz w:val="24"/>
          <w:szCs w:val="24"/>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24"/>
          <w:szCs w:val="24"/>
          <w:highlight w:val="none"/>
        </w:rPr>
        <w:t>0</w:t>
      </w:r>
      <w:r>
        <w:rPr>
          <w:rFonts w:hint="eastAsia" w:ascii="宋体" w:hAnsi="宋体" w:eastAsia="宋体" w:cs="宋体"/>
          <w:color w:val="auto"/>
          <w:spacing w:val="14"/>
          <w:w w:val="101"/>
          <w:position w:val="-1"/>
          <w:sz w:val="24"/>
          <w:szCs w:val="24"/>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24"/>
          <w:szCs w:val="24"/>
          <w:highlight w:val="none"/>
        </w:rPr>
        <w:t>2</w:t>
      </w:r>
      <w:r>
        <w:rPr>
          <w:rFonts w:hint="eastAsia" w:ascii="宋体" w:hAnsi="宋体" w:eastAsia="宋体" w:cs="宋体"/>
          <w:color w:val="auto"/>
          <w:spacing w:val="12"/>
          <w:position w:val="-1"/>
          <w:sz w:val="24"/>
          <w:szCs w:val="24"/>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10259C7D">
      <w:pPr>
        <w:spacing w:before="153" w:line="315" w:lineRule="auto"/>
        <w:ind w:left="8" w:right="2" w:firstLine="476"/>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"2.3.7.2"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43943CCC">
      <w:pPr>
        <w:spacing w:before="153" w:line="315" w:lineRule="auto"/>
        <w:ind w:left="8" w:right="2" w:firstLine="476"/>
        <w:rPr>
          <w:rFonts w:hint="eastAsia" w:ascii="宋体" w:hAnsi="宋体" w:eastAsia="宋体" w:cs="宋体"/>
          <w:color w:val="auto"/>
          <w:spacing w:val="-8"/>
          <w:sz w:val="24"/>
          <w:szCs w:val="24"/>
          <w:highlight w:val="none"/>
          <w:lang w:eastAsia="zh-CN"/>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8"/>
          <w:sz w:val="24"/>
          <w:szCs w:val="24"/>
          <w:highlight w:val="none"/>
          <w:lang w:val="en-US" w:eastAsia="zh-CN"/>
        </w:rPr>
        <w:t>预算包干费按照分部分项的人工费与施工机具费之和及投标费率计取。本招标项目的预算包干内容包括：施工雨水、污水的排除；因地形影响造成的场内料具二次运输；20 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米以内挖土方的塌方；日间照明施工增加费(不包括地下室和特殊工程)；完工清场后的垃圾外运；地上(地下)设施，建筑物的临时保护设施费和二次加工基地设施费；雨季施工增加费；已完工程及设备保护等</w:t>
      </w:r>
      <w:r>
        <w:rPr>
          <w:rFonts w:hint="eastAsia" w:ascii="宋体" w:hAnsi="宋体" w:eastAsia="宋体" w:cs="宋体"/>
          <w:color w:val="auto"/>
          <w:spacing w:val="-8"/>
          <w:sz w:val="24"/>
          <w:szCs w:val="24"/>
          <w:highlight w:val="none"/>
          <w:lang w:eastAsia="zh-CN"/>
        </w:rPr>
        <w:t>。</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right="38" w:firstLine="478" w:firstLineChars="200"/>
        <w:rPr>
          <w:rFonts w:hint="eastAsia" w:ascii="宋体" w:hAnsi="宋体" w:eastAsia="宋体" w:cs="宋体"/>
          <w:b w:val="0"/>
          <w:bCs w:val="0"/>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lang w:val="en-US" w:eastAsia="zh-CN"/>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 京东、国美、苏宁等大型电商平台查询取其平均价）；若以上方式均无法确定材料价格的，则采用厂商报价或市场询价等方式取得有合法依据的市场价格，报发包人确认</w:t>
      </w:r>
      <w:r>
        <w:rPr>
          <w:rFonts w:hint="eastAsia" w:ascii="宋体" w:hAnsi="宋体" w:eastAsia="宋体" w:cs="宋体"/>
          <w:b w:val="0"/>
          <w:bCs w:val="0"/>
          <w:color w:val="auto"/>
          <w:spacing w:val="-1"/>
          <w:sz w:val="24"/>
          <w:szCs w:val="24"/>
          <w:highlight w:val="none"/>
        </w:rPr>
        <w:t>。</w:t>
      </w:r>
    </w:p>
    <w:p w14:paraId="5DDA4611">
      <w:pPr>
        <w:pStyle w:val="32"/>
        <w:snapToGrid w:val="0"/>
        <w:spacing w:line="440" w:lineRule="exact"/>
        <w:ind w:firstLine="480"/>
        <w:jc w:val="both"/>
        <w:outlineLvl w:val="2"/>
        <w:rPr>
          <w:rStyle w:val="23"/>
          <w:rFonts w:hint="eastAsia" w:ascii="宋体" w:hAnsi="宋体" w:eastAsia="宋体" w:cs="宋体"/>
          <w:b/>
          <w:bCs/>
          <w:color w:val="auto"/>
          <w:sz w:val="24"/>
          <w:szCs w:val="24"/>
          <w:highlight w:val="none"/>
        </w:rPr>
      </w:pPr>
      <w:bookmarkStart w:id="180" w:name="_Toc1816"/>
      <w:bookmarkStart w:id="181" w:name="_Toc24552"/>
      <w:r>
        <w:rPr>
          <w:rStyle w:val="23"/>
          <w:rFonts w:hint="eastAsia" w:ascii="宋体" w:hAnsi="宋体" w:eastAsia="宋体" w:cs="宋体"/>
          <w:b/>
          <w:bCs/>
          <w:color w:val="auto"/>
          <w:sz w:val="24"/>
          <w:szCs w:val="24"/>
          <w:highlight w:val="none"/>
        </w:rPr>
        <w:t>3. 工程付款办法</w:t>
      </w:r>
      <w:bookmarkEnd w:id="180"/>
      <w:bookmarkEnd w:id="181"/>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3.1</w:t>
      </w:r>
      <w:r>
        <w:rPr>
          <w:rFonts w:hint="eastAsia" w:ascii="宋体" w:hAnsi="宋体" w:eastAsia="宋体" w:cs="宋体"/>
          <w:snapToGrid w:val="0"/>
          <w:color w:val="auto"/>
          <w:kern w:val="0"/>
          <w:sz w:val="24"/>
          <w:szCs w:val="24"/>
          <w:highlight w:val="none"/>
          <w:lang w:eastAsia="zh-CN"/>
        </w:rPr>
        <w:t xml:space="preserve"> 本工程</w:t>
      </w:r>
      <w:r>
        <w:rPr>
          <w:rFonts w:hint="eastAsia" w:ascii="宋体" w:hAnsi="宋体" w:eastAsia="宋体" w:cs="宋体"/>
          <w:snapToGrid w:val="0"/>
          <w:color w:val="auto"/>
          <w:kern w:val="0"/>
          <w:sz w:val="24"/>
          <w:szCs w:val="24"/>
          <w:highlight w:val="none"/>
          <w:u w:val="single"/>
          <w:lang w:eastAsia="zh-CN"/>
        </w:rPr>
        <w:t>支付</w:t>
      </w:r>
      <w:r>
        <w:rPr>
          <w:rFonts w:hint="eastAsia" w:ascii="宋体" w:hAnsi="宋体" w:eastAsia="宋体" w:cs="宋体"/>
          <w:snapToGrid w:val="0"/>
          <w:color w:val="auto"/>
          <w:kern w:val="0"/>
          <w:sz w:val="24"/>
          <w:szCs w:val="24"/>
          <w:highlight w:val="none"/>
          <w:lang w:eastAsia="zh-CN"/>
        </w:rPr>
        <w:t>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3.2</w:t>
      </w:r>
      <w:r>
        <w:rPr>
          <w:rFonts w:hint="eastAsia" w:ascii="宋体" w:hAnsi="宋体" w:eastAsia="宋体" w:cs="宋体"/>
          <w:snapToGrid w:val="0"/>
          <w:color w:val="auto"/>
          <w:kern w:val="0"/>
          <w:sz w:val="24"/>
          <w:szCs w:val="24"/>
          <w:highlight w:val="none"/>
          <w:lang w:eastAsia="zh-CN"/>
        </w:rPr>
        <w:t xml:space="preserve"> 施工预付款必须专用于合同工程，并按以下原则支付和抵扣：</w:t>
      </w:r>
    </w:p>
    <w:p w14:paraId="404DB9B7">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3.2.1</w:t>
      </w:r>
      <w:r>
        <w:rPr>
          <w:rFonts w:hint="eastAsia" w:ascii="宋体" w:hAnsi="宋体" w:eastAsia="宋体" w:cs="宋体"/>
          <w:snapToGrid w:val="0"/>
          <w:color w:val="auto"/>
          <w:kern w:val="0"/>
          <w:sz w:val="24"/>
          <w:szCs w:val="24"/>
          <w:highlight w:val="none"/>
          <w:lang w:eastAsia="zh-CN"/>
        </w:rPr>
        <w:t xml:space="preserve"> 施工预付款支付比例为：按施工合同价（暂估价、暂列金额除外）的30%支付。（其中施工合同价的5%直接拨付至农民工工资账户且应留存至最后一期支付进度款时全额扣回）。</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3.2.2</w:t>
      </w:r>
      <w:r>
        <w:rPr>
          <w:rFonts w:hint="eastAsia" w:ascii="宋体" w:hAnsi="宋体" w:eastAsia="宋体" w:cs="宋体"/>
          <w:snapToGrid w:val="0"/>
          <w:color w:val="auto"/>
          <w:kern w:val="0"/>
          <w:sz w:val="24"/>
          <w:szCs w:val="24"/>
          <w:highlight w:val="none"/>
          <w:lang w:eastAsia="zh-CN"/>
        </w:rPr>
        <w:t xml:space="preserve"> 本招标项目</w:t>
      </w:r>
      <w:r>
        <w:rPr>
          <w:rFonts w:hint="eastAsia" w:ascii="宋体" w:hAnsi="宋体" w:eastAsia="宋体" w:cs="宋体"/>
          <w:b/>
          <w:bCs/>
          <w:snapToGrid w:val="0"/>
          <w:color w:val="auto"/>
          <w:kern w:val="0"/>
          <w:sz w:val="24"/>
          <w:szCs w:val="24"/>
          <w:highlight w:val="none"/>
          <w:u w:val="single"/>
          <w:lang w:eastAsia="zh-CN"/>
        </w:rPr>
        <w:t>要求</w:t>
      </w:r>
      <w:r>
        <w:rPr>
          <w:rFonts w:hint="eastAsia" w:ascii="宋体" w:hAnsi="宋体" w:eastAsia="宋体" w:cs="宋体"/>
          <w:snapToGrid w:val="0"/>
          <w:color w:val="auto"/>
          <w:kern w:val="0"/>
          <w:sz w:val="24"/>
          <w:szCs w:val="24"/>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3.2.3</w:t>
      </w:r>
      <w:r>
        <w:rPr>
          <w:rFonts w:hint="eastAsia" w:ascii="宋体" w:hAnsi="宋体" w:eastAsia="宋体" w:cs="宋体"/>
          <w:snapToGrid w:val="0"/>
          <w:color w:val="auto"/>
          <w:kern w:val="0"/>
          <w:sz w:val="24"/>
          <w:szCs w:val="24"/>
          <w:highlight w:val="none"/>
          <w:lang w:eastAsia="zh-CN"/>
        </w:rPr>
        <w:t xml:space="preserve"> 承包人应在签订合同后，</w:t>
      </w:r>
      <w:r>
        <w:rPr>
          <w:rFonts w:hint="eastAsia" w:ascii="宋体" w:hAnsi="宋体" w:eastAsia="宋体" w:cs="宋体"/>
          <w:b/>
          <w:bCs/>
          <w:snapToGrid w:val="0"/>
          <w:color w:val="auto"/>
          <w:kern w:val="0"/>
          <w:sz w:val="24"/>
          <w:szCs w:val="24"/>
          <w:highlight w:val="none"/>
          <w:lang w:eastAsia="zh-CN"/>
        </w:rPr>
        <w:t>在提供符合要求的预付款保函或预付款保险</w:t>
      </w:r>
      <w:r>
        <w:rPr>
          <w:rFonts w:hint="eastAsia" w:ascii="宋体" w:hAnsi="宋体" w:eastAsia="宋体" w:cs="宋体"/>
          <w:snapToGrid w:val="0"/>
          <w:color w:val="auto"/>
          <w:kern w:val="0"/>
          <w:sz w:val="24"/>
          <w:szCs w:val="24"/>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3.2.</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lang w:eastAsia="zh-CN"/>
        </w:rPr>
        <w:t xml:space="preserve"> 发包人没有按时支付预付款的，承包人可催告发包人支付；发包人应配合做好支付工作，但承包人不得以此为理由暂停施工。</w:t>
      </w:r>
    </w:p>
    <w:p w14:paraId="7D6D68A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val="en-US" w:eastAsia="zh-CN"/>
        </w:rPr>
        <w:t>3.2.5</w:t>
      </w:r>
      <w:r>
        <w:rPr>
          <w:rFonts w:hint="eastAsia" w:ascii="宋体" w:hAnsi="宋体" w:eastAsia="宋体" w:cs="宋体"/>
          <w:snapToGrid w:val="0"/>
          <w:color w:val="auto"/>
          <w:kern w:val="0"/>
          <w:sz w:val="24"/>
          <w:szCs w:val="24"/>
          <w:highlight w:val="none"/>
          <w:lang w:val="en-US" w:eastAsia="zh-CN"/>
        </w:rPr>
        <w:t xml:space="preserve"> 预付款应从每支付期应支付给承包人的工程进度款中扣回，每次扣回比例为50%，直到扣回的金额达到合同约定的预付款金额为止。（应付工程进度款分为两部分，其中工人工资按实际支付，不参与扣回，工程款按比例扣回）</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3.3</w:t>
      </w:r>
      <w:r>
        <w:rPr>
          <w:rFonts w:hint="eastAsia" w:ascii="宋体" w:hAnsi="宋体" w:eastAsia="宋体" w:cs="宋体"/>
          <w:snapToGrid w:val="0"/>
          <w:color w:val="auto"/>
          <w:kern w:val="0"/>
          <w:sz w:val="24"/>
          <w:szCs w:val="24"/>
          <w:highlight w:val="none"/>
          <w:lang w:eastAsia="zh-CN"/>
        </w:rPr>
        <w:t xml:space="preserve"> 发包人要按规定设立工程款支付担保。施工过程中按月支付工程进度款：承包人每月按工程实际完成工程量（含变更及增加工程）申报，承包人必须将《已完成工程量报表》和《工程付款申请书》于当月26日前报监理单位核</w:t>
      </w:r>
      <w:bookmarkStart w:id="182" w:name="_Hlt127094354"/>
      <w:bookmarkEnd w:id="182"/>
      <w:r>
        <w:rPr>
          <w:rFonts w:hint="eastAsia" w:ascii="宋体" w:hAnsi="宋体" w:eastAsia="宋体" w:cs="宋体"/>
          <w:snapToGrid w:val="0"/>
          <w:color w:val="auto"/>
          <w:kern w:val="0"/>
          <w:sz w:val="24"/>
          <w:szCs w:val="24"/>
          <w:highlight w:val="none"/>
          <w:lang w:eastAsia="zh-CN"/>
        </w:rPr>
        <w:t>实。经监理单位审核、发包人审定后的工程进度款（指已经按照合同约定，扣除该支付期内因承包人违约而应扣除的管理费），于申报次月支付。</w:t>
      </w:r>
    </w:p>
    <w:p w14:paraId="40BB90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3.4</w:t>
      </w:r>
      <w:r>
        <w:rPr>
          <w:rFonts w:hint="eastAsia" w:ascii="宋体" w:hAnsi="宋体" w:eastAsia="宋体" w:cs="宋体"/>
          <w:snapToGrid w:val="0"/>
          <w:color w:val="auto"/>
          <w:kern w:val="0"/>
          <w:sz w:val="24"/>
          <w:szCs w:val="24"/>
          <w:highlight w:val="none"/>
          <w:lang w:eastAsia="zh-CN"/>
        </w:rPr>
        <w:t xml:space="preserve"> 每月的工程进度款按工程实际完成工程量的</w:t>
      </w:r>
      <w:r>
        <w:rPr>
          <w:rFonts w:hint="eastAsia" w:ascii="宋体" w:hAnsi="宋体" w:eastAsia="宋体" w:cs="宋体"/>
          <w:b/>
          <w:bCs/>
          <w:snapToGrid w:val="0"/>
          <w:color w:val="auto"/>
          <w:kern w:val="0"/>
          <w:sz w:val="24"/>
          <w:szCs w:val="24"/>
          <w:highlight w:val="none"/>
          <w:u w:val="single"/>
          <w:lang w:eastAsia="zh-CN"/>
        </w:rPr>
        <w:t>80%</w:t>
      </w:r>
      <w:r>
        <w:rPr>
          <w:rFonts w:hint="eastAsia" w:ascii="宋体" w:hAnsi="宋体" w:eastAsia="宋体" w:cs="宋体"/>
          <w:snapToGrid w:val="0"/>
          <w:color w:val="auto"/>
          <w:kern w:val="0"/>
          <w:sz w:val="24"/>
          <w:szCs w:val="24"/>
          <w:highlight w:val="none"/>
          <w:lang w:eastAsia="zh-CN"/>
        </w:rPr>
        <w:t>申请支付，工程进度款中的作业工人工资款项由发包人单独足额拨付到承包人的工资专户。</w:t>
      </w:r>
      <w:r>
        <w:rPr>
          <w:rFonts w:hint="eastAsia" w:ascii="宋体" w:hAnsi="宋体" w:eastAsia="宋体" w:cs="宋体"/>
          <w:snapToGrid w:val="0"/>
          <w:color w:val="auto"/>
          <w:kern w:val="0"/>
          <w:sz w:val="24"/>
          <w:szCs w:val="24"/>
          <w:highlight w:val="none"/>
          <w:lang w:val="en-US" w:eastAsia="zh-CN"/>
        </w:rPr>
        <w:t>工程进度款在支付至已完成合格工程量的</w:t>
      </w:r>
      <w:r>
        <w:rPr>
          <w:rFonts w:hint="eastAsia" w:ascii="宋体" w:hAnsi="宋体" w:eastAsia="宋体" w:cs="宋体"/>
          <w:b/>
          <w:bCs/>
          <w:snapToGrid w:val="0"/>
          <w:color w:val="auto"/>
          <w:kern w:val="0"/>
          <w:sz w:val="24"/>
          <w:szCs w:val="24"/>
          <w:highlight w:val="none"/>
          <w:u w:val="single"/>
          <w:lang w:val="en-US" w:eastAsia="zh-CN"/>
        </w:rPr>
        <w:t>80%</w:t>
      </w:r>
      <w:r>
        <w:rPr>
          <w:rFonts w:hint="eastAsia" w:ascii="宋体" w:hAnsi="宋体" w:eastAsia="宋体" w:cs="宋体"/>
          <w:snapToGrid w:val="0"/>
          <w:color w:val="auto"/>
          <w:kern w:val="0"/>
          <w:sz w:val="24"/>
          <w:szCs w:val="24"/>
          <w:highlight w:val="none"/>
          <w:lang w:val="en-US" w:eastAsia="zh-CN"/>
        </w:rPr>
        <w:t>时停止支付。变更的相关工程按主体工程进度款的比例支付。</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w:t>
      </w:r>
      <w:r>
        <w:rPr>
          <w:rFonts w:hint="eastAsia" w:ascii="宋体" w:hAnsi="宋体" w:eastAsia="宋体" w:cs="宋体"/>
          <w:b/>
          <w:bCs/>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eastAsia="zh-CN"/>
        </w:rPr>
        <w:t xml:space="preserve"> 措施项目费中的“</w:t>
      </w:r>
      <w:r>
        <w:rPr>
          <w:rFonts w:hint="eastAsia" w:ascii="宋体" w:hAnsi="宋体" w:eastAsia="宋体" w:cs="宋体"/>
          <w:snapToGrid w:val="0"/>
          <w:color w:val="auto"/>
          <w:kern w:val="0"/>
          <w:sz w:val="24"/>
          <w:szCs w:val="24"/>
          <w:highlight w:val="none"/>
          <w:lang w:val="en-US" w:eastAsia="zh-CN"/>
        </w:rPr>
        <w:t>安全生产措施费</w:t>
      </w:r>
      <w:r>
        <w:rPr>
          <w:rFonts w:hint="eastAsia" w:ascii="宋体" w:hAnsi="宋体" w:eastAsia="宋体" w:cs="宋体"/>
          <w:snapToGrid w:val="0"/>
          <w:color w:val="auto"/>
          <w:kern w:val="0"/>
          <w:sz w:val="24"/>
          <w:szCs w:val="24"/>
          <w:highlight w:val="none"/>
          <w:lang w:eastAsia="zh-CN"/>
        </w:rPr>
        <w:t>”拨付按照《广东省建设工程计价依据（2018）》执行，按照项目所在地的建设行政主管部门有关规定支付。发生一般事故及以上等级重大安全事故的，发包人可扣除承包人金额相当于所有“安全生产措施费”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w:t>
      </w:r>
      <w:r>
        <w:rPr>
          <w:rFonts w:hint="eastAsia" w:ascii="宋体" w:hAnsi="宋体" w:eastAsia="宋体" w:cs="宋体"/>
          <w:b/>
          <w:bCs/>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lang w:eastAsia="zh-CN"/>
        </w:rPr>
        <w:t xml:space="preserve"> 变更工程造价必须经监理单位核实，并经发包人核定后方可支付。</w:t>
      </w:r>
    </w:p>
    <w:p w14:paraId="4E02A03C">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lang w:eastAsia="zh-CN"/>
        </w:rPr>
        <w:t xml:space="preserve"> 最终财政结算审核经韶关市武江区财政局投资评审中心完成审核后，于次月支付至审定总造价的</w:t>
      </w:r>
      <w:r>
        <w:rPr>
          <w:rFonts w:hint="eastAsia" w:ascii="宋体" w:hAnsi="宋体" w:eastAsia="宋体" w:cs="宋体"/>
          <w:b/>
          <w:bCs/>
          <w:snapToGrid w:val="0"/>
          <w:color w:val="auto"/>
          <w:kern w:val="0"/>
          <w:sz w:val="24"/>
          <w:szCs w:val="24"/>
          <w:highlight w:val="none"/>
          <w:u w:val="single"/>
          <w:lang w:eastAsia="zh-CN"/>
        </w:rPr>
        <w:t>97%</w:t>
      </w:r>
      <w:r>
        <w:rPr>
          <w:rFonts w:hint="eastAsia" w:ascii="宋体" w:hAnsi="宋体" w:eastAsia="宋体" w:cs="宋体"/>
          <w:snapToGrid w:val="0"/>
          <w:color w:val="auto"/>
          <w:kern w:val="0"/>
          <w:sz w:val="24"/>
          <w:szCs w:val="24"/>
          <w:highlight w:val="none"/>
          <w:lang w:eastAsia="zh-CN"/>
        </w:rPr>
        <w:t>，剩余</w:t>
      </w:r>
      <w:r>
        <w:rPr>
          <w:rFonts w:hint="eastAsia" w:ascii="宋体" w:hAnsi="宋体" w:eastAsia="宋体" w:cs="宋体"/>
          <w:b/>
          <w:bCs/>
          <w:snapToGrid w:val="0"/>
          <w:color w:val="auto"/>
          <w:kern w:val="0"/>
          <w:sz w:val="24"/>
          <w:szCs w:val="24"/>
          <w:highlight w:val="none"/>
          <w:u w:val="single"/>
          <w:lang w:eastAsia="zh-CN"/>
        </w:rPr>
        <w:t>3%</w:t>
      </w:r>
      <w:r>
        <w:rPr>
          <w:rFonts w:hint="eastAsia" w:ascii="宋体" w:hAnsi="宋体" w:eastAsia="宋体" w:cs="宋体"/>
          <w:b/>
          <w:bCs/>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lang w:eastAsia="zh-CN"/>
        </w:rPr>
        <w:t>转为质量保证金。</w:t>
      </w:r>
    </w:p>
    <w:p w14:paraId="35128F04">
      <w:pPr>
        <w:spacing w:before="240" w:beforeLines="100" w:line="360" w:lineRule="auto"/>
        <w:ind w:firstLine="482" w:firstLineChars="200"/>
        <w:rPr>
          <w:rFonts w:hint="eastAsia" w:ascii="宋体" w:hAnsi="宋体" w:eastAsia="宋体" w:cs="宋体"/>
          <w:bCs/>
          <w:snapToGrid w:val="0"/>
          <w:color w:val="auto"/>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w:t>
      </w:r>
      <w:r>
        <w:rPr>
          <w:rFonts w:hint="eastAsia" w:ascii="宋体" w:hAnsi="宋体" w:eastAsia="宋体" w:cs="宋体"/>
          <w:b/>
          <w:bCs/>
          <w:snapToGrid w:val="0"/>
          <w:color w:val="auto"/>
          <w:kern w:val="0"/>
          <w:sz w:val="24"/>
          <w:szCs w:val="24"/>
          <w:highlight w:val="none"/>
          <w:lang w:val="en-US" w:eastAsia="zh-CN"/>
        </w:rPr>
        <w:t xml:space="preserve">8 </w:t>
      </w:r>
      <w:r>
        <w:rPr>
          <w:rFonts w:hint="eastAsia" w:ascii="宋体" w:hAnsi="宋体" w:eastAsia="宋体" w:cs="宋体"/>
          <w:snapToGrid w:val="0"/>
          <w:color w:val="auto"/>
          <w:kern w:val="0"/>
          <w:sz w:val="24"/>
          <w:szCs w:val="24"/>
          <w:highlight w:val="none"/>
          <w:lang w:eastAsia="zh-CN"/>
        </w:rPr>
        <w:t>本招标项目缺陷责任期为</w:t>
      </w:r>
      <w:r>
        <w:rPr>
          <w:rFonts w:hint="eastAsia" w:ascii="宋体" w:hAnsi="宋体" w:eastAsia="宋体" w:cs="宋体"/>
          <w:snapToGrid w:val="0"/>
          <w:color w:val="auto"/>
          <w:kern w:val="0"/>
          <w:sz w:val="24"/>
          <w:szCs w:val="24"/>
          <w:highlight w:val="none"/>
          <w:u w:val="single"/>
          <w:lang w:val="en-US" w:eastAsia="zh-CN"/>
        </w:rPr>
        <w:t>2</w:t>
      </w:r>
      <w:r>
        <w:rPr>
          <w:rFonts w:hint="eastAsia" w:ascii="宋体" w:hAnsi="宋体" w:eastAsia="宋体" w:cs="宋体"/>
          <w:snapToGrid w:val="0"/>
          <w:color w:val="auto"/>
          <w:kern w:val="0"/>
          <w:sz w:val="24"/>
          <w:szCs w:val="24"/>
          <w:highlight w:val="none"/>
          <w:lang w:eastAsia="zh-CN"/>
        </w:rPr>
        <w:t>年（自通过竣工验收之日起计）。缺陷责任期到期</w:t>
      </w:r>
      <w:r>
        <w:rPr>
          <w:rFonts w:hint="eastAsia" w:ascii="宋体" w:hAnsi="宋体" w:eastAsia="宋体" w:cs="宋体"/>
          <w:snapToGrid w:val="0"/>
          <w:color w:val="auto"/>
          <w:kern w:val="0"/>
          <w:sz w:val="24"/>
          <w:szCs w:val="24"/>
          <w:highlight w:val="none"/>
          <w:lang w:val="en-US" w:eastAsia="zh-CN"/>
        </w:rPr>
        <w:t>后</w:t>
      </w:r>
      <w:r>
        <w:rPr>
          <w:rFonts w:hint="eastAsia" w:ascii="宋体" w:hAnsi="宋体" w:eastAsia="宋体" w:cs="宋体"/>
          <w:snapToGrid w:val="0"/>
          <w:color w:val="auto"/>
          <w:kern w:val="0"/>
          <w:sz w:val="24"/>
          <w:szCs w:val="24"/>
          <w:highlight w:val="none"/>
          <w:lang w:eastAsia="zh-CN"/>
        </w:rPr>
        <w:t>，承包人向发包人申请退还质量保证。发包人收到退还申请后，于</w:t>
      </w:r>
      <w:r>
        <w:rPr>
          <w:rFonts w:hint="eastAsia" w:ascii="宋体" w:hAnsi="宋体" w:eastAsia="宋体" w:cs="宋体"/>
          <w:snapToGrid w:val="0"/>
          <w:color w:val="auto"/>
          <w:kern w:val="0"/>
          <w:sz w:val="24"/>
          <w:szCs w:val="24"/>
          <w:highlight w:val="none"/>
          <w:u w:val="single"/>
          <w:lang w:eastAsia="zh-CN"/>
        </w:rPr>
        <w:t>14</w:t>
      </w:r>
      <w:r>
        <w:rPr>
          <w:rFonts w:hint="eastAsia" w:ascii="宋体" w:hAnsi="宋体" w:eastAsia="宋体" w:cs="宋体"/>
          <w:snapToGrid w:val="0"/>
          <w:color w:val="auto"/>
          <w:kern w:val="0"/>
          <w:sz w:val="24"/>
          <w:szCs w:val="24"/>
          <w:highlight w:val="none"/>
          <w:lang w:eastAsia="zh-CN"/>
        </w:rPr>
        <w:t>天内会同承包人进行核实。经</w:t>
      </w:r>
      <w:r>
        <w:rPr>
          <w:rFonts w:hint="eastAsia" w:ascii="宋体" w:hAnsi="宋体" w:eastAsia="宋体" w:cs="宋体"/>
          <w:bCs/>
          <w:snapToGrid w:val="0"/>
          <w:color w:val="auto"/>
          <w:sz w:val="24"/>
          <w:szCs w:val="24"/>
          <w:highlight w:val="none"/>
          <w:lang w:eastAsia="zh-CN"/>
        </w:rPr>
        <w:t>双方核实且均无异议后，发包人在核实之日起</w:t>
      </w:r>
      <w:r>
        <w:rPr>
          <w:rFonts w:hint="eastAsia" w:ascii="宋体" w:hAnsi="宋体" w:eastAsia="宋体" w:cs="宋体"/>
          <w:bCs/>
          <w:snapToGrid w:val="0"/>
          <w:color w:val="auto"/>
          <w:sz w:val="24"/>
          <w:szCs w:val="24"/>
          <w:highlight w:val="none"/>
          <w:lang w:val="en-US" w:eastAsia="zh-CN"/>
        </w:rPr>
        <w:t>14天</w:t>
      </w:r>
      <w:r>
        <w:rPr>
          <w:rFonts w:hint="eastAsia" w:ascii="宋体" w:hAnsi="宋体" w:eastAsia="宋体" w:cs="宋体"/>
          <w:bCs/>
          <w:snapToGrid w:val="0"/>
          <w:color w:val="auto"/>
          <w:sz w:val="24"/>
          <w:szCs w:val="24"/>
          <w:highlight w:val="none"/>
          <w:lang w:eastAsia="zh-CN"/>
        </w:rPr>
        <w:t>内将应返保证金退还承包人。</w:t>
      </w:r>
    </w:p>
    <w:p w14:paraId="7B410B9A">
      <w:pPr>
        <w:spacing w:before="240" w:beforeLines="100" w:line="360" w:lineRule="auto"/>
        <w:ind w:firstLine="482" w:firstLineChars="200"/>
        <w:rPr>
          <w:rFonts w:hint="eastAsia" w:ascii="宋体" w:hAnsi="宋体" w:eastAsia="宋体" w:cs="宋体"/>
          <w:bCs/>
          <w:snapToGrid w:val="0"/>
          <w:color w:val="auto"/>
          <w:sz w:val="24"/>
          <w:szCs w:val="24"/>
          <w:highlight w:val="none"/>
          <w:lang w:eastAsia="zh-CN"/>
        </w:rPr>
      </w:pPr>
      <w:r>
        <w:rPr>
          <w:rFonts w:hint="eastAsia" w:ascii="宋体" w:hAnsi="宋体" w:eastAsia="宋体" w:cs="宋体"/>
          <w:b/>
          <w:bCs w:val="0"/>
          <w:snapToGrid w:val="0"/>
          <w:color w:val="auto"/>
          <w:sz w:val="24"/>
          <w:szCs w:val="24"/>
          <w:highlight w:val="none"/>
          <w:lang w:eastAsia="zh-CN"/>
        </w:rPr>
        <w:t>3.9 发包人每次支付工程款前，承包人均应提供有效的增值税专用发票。如果承包人无法提供符合要求的发票，由此造成的相应损失由承包人承担。</w:t>
      </w:r>
    </w:p>
    <w:p w14:paraId="79D37AA9">
      <w:pPr>
        <w:spacing w:before="240" w:beforeLines="100" w:line="360" w:lineRule="auto"/>
        <w:ind w:firstLine="482" w:firstLineChars="200"/>
        <w:rPr>
          <w:rFonts w:hint="eastAsia" w:ascii="宋体" w:hAnsi="宋体" w:eastAsia="宋体" w:cs="宋体"/>
          <w:bCs/>
          <w:snapToGrid w:val="0"/>
          <w:color w:val="auto"/>
          <w:sz w:val="24"/>
          <w:szCs w:val="24"/>
          <w:highlight w:val="none"/>
          <w:lang w:eastAsia="zh-CN"/>
        </w:rPr>
      </w:pPr>
      <w:r>
        <w:rPr>
          <w:rFonts w:hint="eastAsia" w:ascii="宋体" w:hAnsi="宋体" w:eastAsia="宋体" w:cs="宋体"/>
          <w:b/>
          <w:bCs w:val="0"/>
          <w:snapToGrid w:val="0"/>
          <w:color w:val="auto"/>
          <w:sz w:val="24"/>
          <w:szCs w:val="24"/>
          <w:highlight w:val="none"/>
          <w:lang w:eastAsia="zh-CN"/>
        </w:rPr>
        <w:t>3.</w:t>
      </w:r>
      <w:r>
        <w:rPr>
          <w:rFonts w:hint="eastAsia" w:ascii="宋体" w:hAnsi="宋体" w:eastAsia="宋体" w:cs="宋体"/>
          <w:b/>
          <w:bCs w:val="0"/>
          <w:snapToGrid w:val="0"/>
          <w:color w:val="auto"/>
          <w:sz w:val="24"/>
          <w:szCs w:val="24"/>
          <w:highlight w:val="none"/>
          <w:lang w:val="en-US" w:eastAsia="zh-CN"/>
        </w:rPr>
        <w:t xml:space="preserve">10 </w:t>
      </w:r>
      <w:r>
        <w:rPr>
          <w:rFonts w:hint="eastAsia" w:ascii="宋体" w:hAnsi="宋体" w:eastAsia="宋体" w:cs="宋体"/>
          <w:bCs/>
          <w:snapToGrid w:val="0"/>
          <w:color w:val="auto"/>
          <w:sz w:val="24"/>
          <w:szCs w:val="24"/>
          <w:highlight w:val="none"/>
          <w:lang w:eastAsia="zh-CN"/>
        </w:rPr>
        <w:t>暂列金额支付方式：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委托的全过程造价咨询公司审核、发包人确认后支付至该部分实际 完成工程量的80％，结算完成审核后支付至审定造价的97% ，剩余3%为工程质量保修金。</w:t>
      </w:r>
    </w:p>
    <w:p w14:paraId="184A088B">
      <w:pPr>
        <w:spacing w:before="240" w:beforeLines="100" w:line="360" w:lineRule="auto"/>
        <w:ind w:firstLine="482" w:firstLineChars="200"/>
        <w:rPr>
          <w:rFonts w:hint="eastAsia" w:ascii="宋体" w:hAnsi="宋体" w:eastAsia="宋体" w:cs="宋体"/>
          <w:bCs/>
          <w:snapToGrid w:val="0"/>
          <w:color w:val="auto"/>
          <w:sz w:val="24"/>
          <w:szCs w:val="24"/>
          <w:highlight w:val="none"/>
          <w:lang w:eastAsia="zh-CN"/>
        </w:rPr>
      </w:pPr>
      <w:r>
        <w:rPr>
          <w:rFonts w:hint="eastAsia" w:ascii="宋体" w:hAnsi="宋体" w:eastAsia="宋体" w:cs="宋体"/>
          <w:b/>
          <w:bCs w:val="0"/>
          <w:snapToGrid w:val="0"/>
          <w:color w:val="auto"/>
          <w:sz w:val="24"/>
          <w:szCs w:val="24"/>
          <w:highlight w:val="none"/>
          <w:lang w:eastAsia="zh-CN"/>
        </w:rPr>
        <w:t>3.11</w:t>
      </w:r>
      <w:r>
        <w:rPr>
          <w:rFonts w:hint="eastAsia" w:ascii="宋体" w:hAnsi="宋体" w:eastAsia="宋体" w:cs="宋体"/>
          <w:bCs/>
          <w:snapToGrid w:val="0"/>
          <w:color w:val="auto"/>
          <w:sz w:val="24"/>
          <w:szCs w:val="24"/>
          <w:highlight w:val="none"/>
          <w:lang w:eastAsia="zh-CN"/>
        </w:rPr>
        <w:t xml:space="preserve"> 材料暂估价、专业工程暂估价支付方式：材料暂估价、专业工程暂估价与每个月的工程进度款一并报送，但需要列明详细项目内容，该部分材料暂估价、专业工程暂估价按该部分实际完成工程量的50%支付，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83" w:name="_Toc25451"/>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83"/>
    </w:p>
    <w:p w14:paraId="362A8826">
      <w:pPr>
        <w:spacing w:before="240" w:beforeLines="100"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 xml:space="preserve"> 4.1承包人必须依照各相关规定做好工人工资支付保证金、工人工资支付专用账户、用工实名制管理工作。</w:t>
      </w:r>
    </w:p>
    <w:p w14:paraId="619E12B3">
      <w:pPr>
        <w:spacing w:before="240" w:beforeLines="100"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（1）施工预付款中已包括施工合同价的5%专用于承包人办理工人工资支付保证金，承包人必须于合同签订后5个工作日内办理完成保证金缴交或免缴手续。</w:t>
      </w:r>
    </w:p>
    <w:p w14:paraId="5887E40B">
      <w:pPr>
        <w:spacing w:before="240" w:beforeLines="100"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（2）承包人已依照相关规定开立工人工资支付专用账户，发包人支付工程进度款时，其中</w:t>
      </w:r>
      <w:r>
        <w:rPr>
          <w:rFonts w:hint="eastAsia" w:ascii="宋体" w:hAnsi="宋体" w:eastAsia="宋体" w:cs="宋体"/>
          <w:bCs/>
          <w:snapToGrid w:val="0"/>
          <w:color w:val="auto"/>
          <w:sz w:val="24"/>
          <w:szCs w:val="24"/>
          <w:highlight w:val="none"/>
          <w:lang w:val="en-US" w:eastAsia="zh-CN"/>
        </w:rPr>
        <w:t>85</w:t>
      </w:r>
      <w:r>
        <w:rPr>
          <w:rFonts w:hint="eastAsia" w:ascii="宋体" w:hAnsi="宋体" w:eastAsia="宋体" w:cs="宋体"/>
          <w:bCs/>
          <w:snapToGrid w:val="0"/>
          <w:color w:val="auto"/>
          <w:sz w:val="24"/>
          <w:szCs w:val="24"/>
          <w:highlight w:val="none"/>
        </w:rPr>
        <w:t>%支付进入本合同协议书载明的承包人账户、其中</w:t>
      </w:r>
      <w:r>
        <w:rPr>
          <w:rFonts w:hint="eastAsia" w:ascii="宋体" w:hAnsi="宋体" w:eastAsia="宋体" w:cs="宋体"/>
          <w:bCs/>
          <w:snapToGrid w:val="0"/>
          <w:color w:val="auto"/>
          <w:sz w:val="24"/>
          <w:szCs w:val="24"/>
          <w:highlight w:val="none"/>
          <w:lang w:val="en-US" w:eastAsia="zh-CN"/>
        </w:rPr>
        <w:t>15</w:t>
      </w:r>
      <w:r>
        <w:rPr>
          <w:rFonts w:hint="eastAsia" w:ascii="宋体" w:hAnsi="宋体" w:eastAsia="宋体" w:cs="宋体"/>
          <w:bCs/>
          <w:snapToGrid w:val="0"/>
          <w:color w:val="auto"/>
          <w:sz w:val="24"/>
          <w:szCs w:val="24"/>
          <w:highlight w:val="none"/>
        </w:rPr>
        <w:t>%支付进入本款载明的工人工资支付专用账户。承包人必须与所有聘用人员签订劳动合同，并按劳动合同约定每月足额通过专用账户发放工资，并按月将工资发放资料提交一份给发包人。</w:t>
      </w:r>
    </w:p>
    <w:p w14:paraId="26C1B204">
      <w:pPr>
        <w:spacing w:before="240" w:beforeLines="100"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（3）承包人应在开工前编制用工实名管理专项方案以及费用使用计划，经监理单位审批后，作为施工合同的组成部分，并依照相关规定做好用工实名信息化化管理。</w:t>
      </w:r>
    </w:p>
    <w:p w14:paraId="4E1E74ED">
      <w:pPr>
        <w:spacing w:before="240" w:beforeLines="100"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4.2承包人除办理用工保险外还须根据</w:t>
      </w:r>
      <w:r>
        <w:rPr>
          <w:rFonts w:hint="eastAsia" w:ascii="宋体" w:hAnsi="宋体" w:eastAsia="宋体" w:cs="宋体"/>
          <w:bCs/>
          <w:snapToGrid w:val="0"/>
          <w:color w:val="auto"/>
          <w:sz w:val="24"/>
          <w:szCs w:val="24"/>
          <w:highlight w:val="none"/>
          <w:lang w:val="en-US" w:eastAsia="zh-CN"/>
        </w:rPr>
        <w:t>韶关市浈江区住房和城乡建设局</w:t>
      </w:r>
      <w:r>
        <w:rPr>
          <w:rFonts w:hint="eastAsia" w:ascii="宋体" w:hAnsi="宋体" w:eastAsia="宋体" w:cs="宋体"/>
          <w:bCs/>
          <w:snapToGrid w:val="0"/>
          <w:color w:val="auto"/>
          <w:sz w:val="24"/>
          <w:szCs w:val="24"/>
          <w:highlight w:val="none"/>
        </w:rPr>
        <w:t>《关于贯彻落实房屋建筑和市政基础设施施工领域安全生产责任保险工作的通知》（2022年1月17日）相关要求落实安全生产责任保险。</w:t>
      </w:r>
    </w:p>
    <w:p w14:paraId="5C9C17A5">
      <w:pPr>
        <w:pStyle w:val="52"/>
        <w:numPr>
          <w:ilvl w:val="0"/>
          <w:numId w:val="3"/>
        </w:numPr>
        <w:spacing w:line="36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其他合同条款由招标人与中标人参考《广东省建设工程标准施工合同》（2009年版）或《建设工程施工合同（示范文本）》（GF-2017-0201）自行协商约定。</w:t>
      </w:r>
    </w:p>
    <w:p w14:paraId="1BE73316">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p>
    <w:p w14:paraId="7B42BE5C">
      <w:pPr>
        <w:pStyle w:val="16"/>
        <w:rPr>
          <w:rFonts w:hint="eastAsia" w:ascii="宋体" w:hAnsi="宋体" w:eastAsia="宋体" w:cs="宋体"/>
          <w:color w:val="auto"/>
          <w:sz w:val="24"/>
          <w:szCs w:val="24"/>
          <w:highlight w:val="none"/>
          <w:lang w:eastAsia="zh-CN"/>
        </w:rPr>
      </w:pPr>
    </w:p>
    <w:p w14:paraId="0E501D03">
      <w:pPr>
        <w:pStyle w:val="16"/>
        <w:rPr>
          <w:rFonts w:hint="eastAsia" w:ascii="宋体" w:hAnsi="宋体" w:eastAsia="宋体" w:cs="宋体"/>
          <w:color w:val="auto"/>
          <w:sz w:val="24"/>
          <w:szCs w:val="24"/>
          <w:highlight w:val="none"/>
          <w:lang w:eastAsia="zh-CN"/>
        </w:rPr>
      </w:pPr>
    </w:p>
    <w:p w14:paraId="00E29B87">
      <w:pPr>
        <w:pStyle w:val="16"/>
        <w:rPr>
          <w:rFonts w:hint="eastAsia" w:ascii="宋体" w:hAnsi="宋体" w:eastAsia="宋体" w:cs="宋体"/>
          <w:color w:val="auto"/>
          <w:sz w:val="24"/>
          <w:szCs w:val="24"/>
          <w:highlight w:val="none"/>
          <w:lang w:eastAsia="zh-CN"/>
        </w:rPr>
      </w:pPr>
    </w:p>
    <w:p w14:paraId="6EE2E99C">
      <w:pPr>
        <w:pStyle w:val="16"/>
        <w:rPr>
          <w:rFonts w:hint="eastAsia" w:ascii="宋体" w:hAnsi="宋体" w:eastAsia="宋体" w:cs="宋体"/>
          <w:color w:val="auto"/>
          <w:sz w:val="24"/>
          <w:szCs w:val="24"/>
          <w:highlight w:val="none"/>
          <w:lang w:eastAsia="zh-CN"/>
        </w:rPr>
      </w:pPr>
    </w:p>
    <w:p w14:paraId="2BDC7F7A">
      <w:pPr>
        <w:rPr>
          <w:rFonts w:hint="eastAsia" w:ascii="宋体" w:hAnsi="宋体" w:eastAsia="宋体" w:cs="宋体"/>
          <w:b/>
          <w:bCs/>
          <w:color w:val="auto"/>
          <w:spacing w:val="-3"/>
          <w:sz w:val="24"/>
          <w:szCs w:val="24"/>
          <w:highlight w:val="none"/>
        </w:rPr>
      </w:pPr>
    </w:p>
    <w:p w14:paraId="0C29F1ED">
      <w:pPr>
        <w:spacing w:before="78" w:line="219" w:lineRule="auto"/>
        <w:ind w:left="3273"/>
        <w:outlineLvl w:val="0"/>
        <w:rPr>
          <w:rFonts w:hint="eastAsia" w:ascii="宋体" w:hAnsi="宋体" w:eastAsia="宋体" w:cs="宋体"/>
          <w:b/>
          <w:bCs/>
          <w:color w:val="auto"/>
          <w:spacing w:val="-3"/>
          <w:sz w:val="24"/>
          <w:szCs w:val="24"/>
          <w:highlight w:val="none"/>
        </w:rPr>
      </w:pPr>
    </w:p>
    <w:p w14:paraId="09D7B964">
      <w:pPr>
        <w:spacing w:before="78" w:line="219" w:lineRule="auto"/>
        <w:ind w:left="3273"/>
        <w:outlineLvl w:val="0"/>
        <w:rPr>
          <w:rFonts w:hint="eastAsia" w:ascii="宋体" w:hAnsi="宋体" w:eastAsia="宋体" w:cs="宋体"/>
          <w:b/>
          <w:bCs/>
          <w:color w:val="auto"/>
          <w:spacing w:val="-3"/>
          <w:sz w:val="24"/>
          <w:szCs w:val="24"/>
          <w:highlight w:val="none"/>
        </w:rPr>
      </w:pPr>
    </w:p>
    <w:p w14:paraId="0BA5EC34">
      <w:pPr>
        <w:spacing w:before="78" w:line="219" w:lineRule="auto"/>
        <w:ind w:left="3273"/>
        <w:outlineLvl w:val="0"/>
        <w:rPr>
          <w:rFonts w:hint="eastAsia" w:ascii="宋体" w:hAnsi="宋体" w:eastAsia="宋体" w:cs="宋体"/>
          <w:b/>
          <w:bCs/>
          <w:color w:val="auto"/>
          <w:spacing w:val="-3"/>
          <w:sz w:val="24"/>
          <w:szCs w:val="24"/>
          <w:highlight w:val="none"/>
        </w:rPr>
      </w:pPr>
    </w:p>
    <w:p w14:paraId="6F94F2CE">
      <w:pPr>
        <w:spacing w:before="78" w:line="219" w:lineRule="auto"/>
        <w:ind w:left="3273"/>
        <w:outlineLvl w:val="0"/>
        <w:rPr>
          <w:rFonts w:hint="eastAsia" w:ascii="宋体" w:hAnsi="宋体" w:eastAsia="宋体" w:cs="宋体"/>
          <w:b/>
          <w:bCs/>
          <w:color w:val="auto"/>
          <w:spacing w:val="-3"/>
          <w:sz w:val="24"/>
          <w:szCs w:val="24"/>
          <w:highlight w:val="none"/>
        </w:rPr>
      </w:pPr>
    </w:p>
    <w:p w14:paraId="14C01A15">
      <w:pPr>
        <w:spacing w:before="78" w:line="219" w:lineRule="auto"/>
        <w:ind w:left="3273"/>
        <w:outlineLvl w:val="0"/>
        <w:rPr>
          <w:rFonts w:hint="eastAsia" w:ascii="宋体" w:hAnsi="宋体" w:eastAsia="宋体" w:cs="宋体"/>
          <w:b/>
          <w:bCs/>
          <w:color w:val="auto"/>
          <w:spacing w:val="-3"/>
          <w:sz w:val="24"/>
          <w:szCs w:val="24"/>
          <w:highlight w:val="none"/>
        </w:rPr>
      </w:pPr>
    </w:p>
    <w:p w14:paraId="56971F00">
      <w:pPr>
        <w:spacing w:before="78" w:line="219" w:lineRule="auto"/>
        <w:ind w:left="3273"/>
        <w:outlineLvl w:val="0"/>
        <w:rPr>
          <w:rFonts w:hint="eastAsia" w:ascii="宋体" w:hAnsi="宋体" w:eastAsia="宋体" w:cs="宋体"/>
          <w:b/>
          <w:bCs/>
          <w:color w:val="auto"/>
          <w:spacing w:val="-3"/>
          <w:sz w:val="24"/>
          <w:szCs w:val="24"/>
          <w:highlight w:val="none"/>
        </w:rPr>
      </w:pPr>
    </w:p>
    <w:p w14:paraId="61FBC6E0">
      <w:pPr>
        <w:spacing w:before="78" w:line="219" w:lineRule="auto"/>
        <w:ind w:left="3273"/>
        <w:outlineLvl w:val="0"/>
        <w:rPr>
          <w:rFonts w:hint="eastAsia" w:ascii="宋体" w:hAnsi="宋体" w:eastAsia="宋体" w:cs="宋体"/>
          <w:b/>
          <w:bCs/>
          <w:color w:val="auto"/>
          <w:spacing w:val="-3"/>
          <w:sz w:val="24"/>
          <w:szCs w:val="24"/>
          <w:highlight w:val="none"/>
        </w:rPr>
      </w:pPr>
    </w:p>
    <w:p w14:paraId="520E3F93">
      <w:pPr>
        <w:spacing w:before="78" w:line="219" w:lineRule="auto"/>
        <w:ind w:left="3273"/>
        <w:outlineLvl w:val="0"/>
        <w:rPr>
          <w:rFonts w:hint="eastAsia" w:ascii="宋体" w:hAnsi="宋体" w:eastAsia="宋体" w:cs="宋体"/>
          <w:b/>
          <w:bCs/>
          <w:color w:val="auto"/>
          <w:spacing w:val="-3"/>
          <w:sz w:val="24"/>
          <w:szCs w:val="24"/>
          <w:highlight w:val="none"/>
        </w:rPr>
      </w:pPr>
    </w:p>
    <w:p w14:paraId="677E1F4B">
      <w:pPr>
        <w:spacing w:before="78" w:line="219" w:lineRule="auto"/>
        <w:ind w:left="3273"/>
        <w:outlineLvl w:val="0"/>
        <w:rPr>
          <w:rFonts w:hint="eastAsia" w:ascii="宋体" w:hAnsi="宋体" w:eastAsia="宋体" w:cs="宋体"/>
          <w:b/>
          <w:bCs/>
          <w:color w:val="auto"/>
          <w:spacing w:val="-3"/>
          <w:sz w:val="24"/>
          <w:szCs w:val="24"/>
          <w:highlight w:val="none"/>
        </w:rPr>
      </w:pPr>
    </w:p>
    <w:p w14:paraId="63124F2A">
      <w:pPr>
        <w:spacing w:before="78" w:line="219" w:lineRule="auto"/>
        <w:ind w:left="3273"/>
        <w:outlineLvl w:val="0"/>
        <w:rPr>
          <w:rFonts w:hint="eastAsia" w:ascii="宋体" w:hAnsi="宋体" w:eastAsia="宋体" w:cs="宋体"/>
          <w:b/>
          <w:bCs/>
          <w:color w:val="auto"/>
          <w:spacing w:val="-3"/>
          <w:sz w:val="24"/>
          <w:szCs w:val="24"/>
          <w:highlight w:val="none"/>
        </w:rPr>
      </w:pPr>
    </w:p>
    <w:p w14:paraId="79209BAC">
      <w:pPr>
        <w:spacing w:before="78" w:line="219" w:lineRule="auto"/>
        <w:ind w:left="3273"/>
        <w:outlineLvl w:val="0"/>
        <w:rPr>
          <w:rFonts w:hint="eastAsia" w:ascii="宋体" w:hAnsi="宋体" w:eastAsia="宋体" w:cs="宋体"/>
          <w:b/>
          <w:bCs/>
          <w:color w:val="auto"/>
          <w:spacing w:val="-3"/>
          <w:sz w:val="24"/>
          <w:szCs w:val="24"/>
          <w:highlight w:val="none"/>
        </w:rPr>
      </w:pPr>
    </w:p>
    <w:p w14:paraId="047C94AA">
      <w:pPr>
        <w:spacing w:before="78" w:line="219" w:lineRule="auto"/>
        <w:ind w:left="3273"/>
        <w:outlineLvl w:val="0"/>
        <w:rPr>
          <w:rFonts w:hint="eastAsia" w:ascii="宋体" w:hAnsi="宋体" w:eastAsia="宋体" w:cs="宋体"/>
          <w:b/>
          <w:bCs/>
          <w:color w:val="auto"/>
          <w:spacing w:val="-3"/>
          <w:sz w:val="24"/>
          <w:szCs w:val="24"/>
          <w:highlight w:val="none"/>
        </w:rPr>
      </w:pPr>
    </w:p>
    <w:p w14:paraId="29F9B284">
      <w:pPr>
        <w:spacing w:before="78" w:line="219" w:lineRule="auto"/>
        <w:ind w:left="3273"/>
        <w:outlineLvl w:val="0"/>
        <w:rPr>
          <w:rFonts w:hint="eastAsia" w:ascii="宋体" w:hAnsi="宋体" w:eastAsia="宋体" w:cs="宋体"/>
          <w:b/>
          <w:bCs/>
          <w:color w:val="auto"/>
          <w:spacing w:val="-3"/>
          <w:sz w:val="24"/>
          <w:szCs w:val="24"/>
          <w:highlight w:val="none"/>
        </w:rPr>
      </w:pPr>
    </w:p>
    <w:p w14:paraId="2286C016">
      <w:pPr>
        <w:spacing w:before="78" w:line="219" w:lineRule="auto"/>
        <w:ind w:left="3273"/>
        <w:outlineLvl w:val="0"/>
        <w:rPr>
          <w:rFonts w:hint="eastAsia" w:ascii="宋体" w:hAnsi="宋体" w:eastAsia="宋体" w:cs="宋体"/>
          <w:b/>
          <w:bCs/>
          <w:color w:val="auto"/>
          <w:spacing w:val="-3"/>
          <w:sz w:val="24"/>
          <w:szCs w:val="24"/>
          <w:highlight w:val="none"/>
        </w:rPr>
      </w:pPr>
    </w:p>
    <w:p w14:paraId="2DB64A2C">
      <w:pPr>
        <w:spacing w:before="78" w:line="219" w:lineRule="auto"/>
        <w:ind w:left="3273"/>
        <w:outlineLvl w:val="0"/>
        <w:rPr>
          <w:rFonts w:hint="eastAsia" w:ascii="宋体" w:hAnsi="宋体" w:eastAsia="宋体" w:cs="宋体"/>
          <w:b/>
          <w:bCs/>
          <w:color w:val="auto"/>
          <w:spacing w:val="-3"/>
          <w:sz w:val="24"/>
          <w:szCs w:val="24"/>
          <w:highlight w:val="none"/>
        </w:rPr>
      </w:pPr>
    </w:p>
    <w:p w14:paraId="139BB6BB">
      <w:pPr>
        <w:spacing w:before="78" w:line="219" w:lineRule="auto"/>
        <w:ind w:left="3273"/>
        <w:outlineLvl w:val="0"/>
        <w:rPr>
          <w:rFonts w:hint="eastAsia" w:ascii="宋体" w:hAnsi="宋体" w:eastAsia="宋体" w:cs="宋体"/>
          <w:b/>
          <w:bCs/>
          <w:color w:val="auto"/>
          <w:spacing w:val="-3"/>
          <w:sz w:val="24"/>
          <w:szCs w:val="24"/>
          <w:highlight w:val="none"/>
        </w:rPr>
      </w:pPr>
    </w:p>
    <w:p w14:paraId="5494B4F9">
      <w:pPr>
        <w:spacing w:before="78" w:line="219" w:lineRule="auto"/>
        <w:ind w:left="3273"/>
        <w:outlineLvl w:val="0"/>
        <w:rPr>
          <w:rFonts w:hint="eastAsia" w:ascii="宋体" w:hAnsi="宋体" w:eastAsia="宋体" w:cs="宋体"/>
          <w:b/>
          <w:bCs/>
          <w:color w:val="auto"/>
          <w:spacing w:val="-3"/>
          <w:sz w:val="24"/>
          <w:szCs w:val="24"/>
          <w:highlight w:val="none"/>
        </w:rPr>
      </w:pPr>
    </w:p>
    <w:p w14:paraId="745A65A7">
      <w:pPr>
        <w:spacing w:before="78" w:line="219" w:lineRule="auto"/>
        <w:ind w:left="3273"/>
        <w:outlineLvl w:val="0"/>
        <w:rPr>
          <w:rFonts w:hint="eastAsia" w:ascii="宋体" w:hAnsi="宋体" w:eastAsia="宋体" w:cs="宋体"/>
          <w:b/>
          <w:bCs/>
          <w:color w:val="auto"/>
          <w:spacing w:val="-3"/>
          <w:sz w:val="24"/>
          <w:szCs w:val="24"/>
          <w:highlight w:val="none"/>
        </w:rPr>
      </w:pPr>
    </w:p>
    <w:p w14:paraId="2D58CA0A">
      <w:pPr>
        <w:spacing w:before="78" w:line="219" w:lineRule="auto"/>
        <w:ind w:left="3273"/>
        <w:outlineLvl w:val="0"/>
        <w:rPr>
          <w:rFonts w:hint="eastAsia" w:ascii="宋体" w:hAnsi="宋体" w:eastAsia="宋体" w:cs="宋体"/>
          <w:b/>
          <w:bCs/>
          <w:color w:val="auto"/>
          <w:spacing w:val="-3"/>
          <w:sz w:val="24"/>
          <w:szCs w:val="24"/>
          <w:highlight w:val="none"/>
        </w:rPr>
      </w:pPr>
    </w:p>
    <w:p w14:paraId="3DBD6E80">
      <w:pPr>
        <w:spacing w:before="78" w:line="219" w:lineRule="auto"/>
        <w:ind w:left="3273"/>
        <w:outlineLvl w:val="0"/>
        <w:rPr>
          <w:rFonts w:hint="eastAsia" w:ascii="宋体" w:hAnsi="宋体" w:eastAsia="宋体" w:cs="宋体"/>
          <w:b/>
          <w:bCs/>
          <w:color w:val="auto"/>
          <w:spacing w:val="-3"/>
          <w:sz w:val="24"/>
          <w:szCs w:val="24"/>
          <w:highlight w:val="none"/>
        </w:rPr>
      </w:pPr>
    </w:p>
    <w:p w14:paraId="64D53AED">
      <w:pPr>
        <w:spacing w:before="78" w:line="219" w:lineRule="auto"/>
        <w:ind w:left="3273"/>
        <w:outlineLvl w:val="0"/>
        <w:rPr>
          <w:rFonts w:hint="eastAsia" w:ascii="宋体" w:hAnsi="宋体" w:eastAsia="宋体" w:cs="宋体"/>
          <w:b/>
          <w:bCs/>
          <w:color w:val="auto"/>
          <w:spacing w:val="-3"/>
          <w:sz w:val="24"/>
          <w:szCs w:val="24"/>
          <w:highlight w:val="none"/>
        </w:rPr>
      </w:pPr>
    </w:p>
    <w:p w14:paraId="7ABE02B8">
      <w:pPr>
        <w:spacing w:before="78" w:line="219" w:lineRule="auto"/>
        <w:ind w:left="3273"/>
        <w:outlineLvl w:val="0"/>
        <w:rPr>
          <w:rFonts w:hint="eastAsia" w:ascii="宋体" w:hAnsi="宋体" w:eastAsia="宋体" w:cs="宋体"/>
          <w:b/>
          <w:bCs/>
          <w:color w:val="auto"/>
          <w:spacing w:val="-3"/>
          <w:sz w:val="24"/>
          <w:szCs w:val="24"/>
          <w:highlight w:val="none"/>
        </w:rPr>
      </w:pPr>
    </w:p>
    <w:p w14:paraId="6534B317">
      <w:pPr>
        <w:spacing w:before="78" w:line="219" w:lineRule="auto"/>
        <w:ind w:left="3273"/>
        <w:outlineLvl w:val="0"/>
        <w:rPr>
          <w:rFonts w:hint="eastAsia" w:ascii="宋体" w:hAnsi="宋体" w:eastAsia="宋体" w:cs="宋体"/>
          <w:b/>
          <w:bCs/>
          <w:color w:val="auto"/>
          <w:spacing w:val="-3"/>
          <w:sz w:val="24"/>
          <w:szCs w:val="24"/>
          <w:highlight w:val="none"/>
        </w:rPr>
      </w:pPr>
    </w:p>
    <w:p w14:paraId="2751BC1A">
      <w:pPr>
        <w:spacing w:before="78" w:line="219" w:lineRule="auto"/>
        <w:ind w:left="3273"/>
        <w:outlineLvl w:val="0"/>
        <w:rPr>
          <w:rFonts w:hint="eastAsia" w:ascii="宋体" w:hAnsi="宋体" w:eastAsia="宋体" w:cs="宋体"/>
          <w:b/>
          <w:bCs/>
          <w:color w:val="auto"/>
          <w:spacing w:val="-3"/>
          <w:sz w:val="24"/>
          <w:szCs w:val="24"/>
          <w:highlight w:val="none"/>
        </w:rPr>
      </w:pPr>
    </w:p>
    <w:p w14:paraId="197C73EE">
      <w:pPr>
        <w:spacing w:before="78" w:line="219" w:lineRule="auto"/>
        <w:ind w:left="3273"/>
        <w:outlineLvl w:val="0"/>
        <w:rPr>
          <w:rFonts w:hint="eastAsia" w:ascii="宋体" w:hAnsi="宋体" w:eastAsia="宋体" w:cs="宋体"/>
          <w:b/>
          <w:bCs/>
          <w:color w:val="auto"/>
          <w:spacing w:val="-3"/>
          <w:sz w:val="24"/>
          <w:szCs w:val="24"/>
          <w:highlight w:val="none"/>
        </w:rPr>
      </w:pPr>
    </w:p>
    <w:p w14:paraId="03E3043D">
      <w:pPr>
        <w:spacing w:before="78" w:line="219" w:lineRule="auto"/>
        <w:ind w:left="3273"/>
        <w:outlineLvl w:val="0"/>
        <w:rPr>
          <w:rFonts w:hint="eastAsia" w:ascii="宋体" w:hAnsi="宋体" w:eastAsia="宋体" w:cs="宋体"/>
          <w:b/>
          <w:bCs/>
          <w:color w:val="auto"/>
          <w:spacing w:val="-3"/>
          <w:sz w:val="24"/>
          <w:szCs w:val="24"/>
          <w:highlight w:val="none"/>
        </w:rPr>
      </w:pPr>
    </w:p>
    <w:p w14:paraId="32263734">
      <w:pPr>
        <w:spacing w:before="78" w:line="219" w:lineRule="auto"/>
        <w:ind w:left="3273"/>
        <w:outlineLvl w:val="0"/>
        <w:rPr>
          <w:rFonts w:hint="eastAsia" w:ascii="宋体" w:hAnsi="宋体" w:eastAsia="宋体" w:cs="宋体"/>
          <w:b/>
          <w:bCs/>
          <w:color w:val="auto"/>
          <w:spacing w:val="-3"/>
          <w:sz w:val="24"/>
          <w:szCs w:val="24"/>
          <w:highlight w:val="none"/>
        </w:rPr>
      </w:pPr>
    </w:p>
    <w:p w14:paraId="2B87CA60">
      <w:pPr>
        <w:spacing w:before="78" w:line="219" w:lineRule="auto"/>
        <w:ind w:left="3273" w:firstLine="940" w:firstLineChars="400"/>
        <w:outlineLvl w:val="0"/>
        <w:rPr>
          <w:rFonts w:hint="eastAsia" w:ascii="宋体" w:hAnsi="宋体" w:eastAsia="宋体" w:cs="宋体"/>
          <w:color w:val="auto"/>
          <w:sz w:val="24"/>
          <w:szCs w:val="24"/>
          <w:highlight w:val="none"/>
        </w:rPr>
      </w:pPr>
      <w:bookmarkStart w:id="184" w:name="_Toc4046"/>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4"/>
    </w:p>
    <w:p w14:paraId="379571EE">
      <w:pPr>
        <w:pStyle w:val="7"/>
        <w:spacing w:line="257" w:lineRule="auto"/>
        <w:rPr>
          <w:rFonts w:hint="eastAsia" w:ascii="宋体" w:hAnsi="宋体" w:eastAsia="宋体" w:cs="宋体"/>
          <w:color w:val="auto"/>
          <w:sz w:val="24"/>
          <w:szCs w:val="24"/>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5" w:name="_Toc32338"/>
      <w:bookmarkStart w:id="186"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5"/>
      <w:bookmarkEnd w:id="186"/>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7" w:name="_Toc16294"/>
      <w:bookmarkStart w:id="188" w:name="_Toc12084"/>
      <w:r>
        <w:rPr>
          <w:rFonts w:hint="eastAsia" w:ascii="宋体" w:hAnsi="宋体" w:eastAsia="宋体" w:cs="宋体"/>
          <w:color w:val="auto"/>
          <w:spacing w:val="-1"/>
          <w:sz w:val="24"/>
          <w:szCs w:val="24"/>
          <w:highlight w:val="none"/>
        </w:rPr>
        <w:t>（14）《建筑与市政工程无障碍通用规范》 GB 55019-2021；</w:t>
      </w:r>
      <w:bookmarkEnd w:id="187"/>
      <w:bookmarkEnd w:id="188"/>
    </w:p>
    <w:p w14:paraId="7B3C5264">
      <w:pPr>
        <w:spacing w:before="153" w:line="219" w:lineRule="auto"/>
        <w:ind w:left="130"/>
        <w:rPr>
          <w:rFonts w:hint="eastAsia" w:ascii="宋体" w:hAnsi="宋体" w:eastAsia="宋体" w:cs="宋体"/>
          <w:color w:val="auto"/>
          <w:spacing w:val="-1"/>
          <w:sz w:val="24"/>
          <w:szCs w:val="24"/>
          <w:highlight w:val="none"/>
        </w:rPr>
      </w:pPr>
      <w:bookmarkStart w:id="189" w:name="_Toc15158"/>
      <w:bookmarkStart w:id="190" w:name="_Toc1177"/>
      <w:r>
        <w:rPr>
          <w:rFonts w:hint="eastAsia" w:ascii="宋体" w:hAnsi="宋体" w:eastAsia="宋体" w:cs="宋体"/>
          <w:color w:val="auto"/>
          <w:spacing w:val="-1"/>
          <w:sz w:val="24"/>
          <w:szCs w:val="24"/>
          <w:highlight w:val="none"/>
        </w:rPr>
        <w:t>（15）《建筑防火通用规范》GB 55037-2022;</w:t>
      </w:r>
      <w:bookmarkEnd w:id="189"/>
      <w:bookmarkEnd w:id="190"/>
    </w:p>
    <w:p w14:paraId="61F141A9">
      <w:pPr>
        <w:spacing w:before="153" w:line="219" w:lineRule="auto"/>
        <w:ind w:left="130"/>
        <w:rPr>
          <w:rFonts w:hint="eastAsia" w:ascii="宋体" w:hAnsi="宋体" w:eastAsia="宋体" w:cs="宋体"/>
          <w:color w:val="auto"/>
          <w:spacing w:val="-1"/>
          <w:sz w:val="24"/>
          <w:szCs w:val="24"/>
          <w:highlight w:val="none"/>
        </w:rPr>
      </w:pPr>
      <w:bookmarkStart w:id="191" w:name="_Toc2461"/>
      <w:bookmarkStart w:id="192" w:name="_Toc24233"/>
      <w:r>
        <w:rPr>
          <w:rFonts w:hint="eastAsia" w:ascii="宋体" w:hAnsi="宋体" w:eastAsia="宋体" w:cs="宋体"/>
          <w:color w:val="auto"/>
          <w:spacing w:val="-1"/>
          <w:sz w:val="24"/>
          <w:szCs w:val="24"/>
          <w:highlight w:val="none"/>
        </w:rPr>
        <w:t>（16）《建筑与市政工程抗震通用规范》GB55002-2001;</w:t>
      </w:r>
      <w:bookmarkEnd w:id="191"/>
      <w:bookmarkEnd w:id="192"/>
    </w:p>
    <w:p w14:paraId="3BC258D5">
      <w:pPr>
        <w:spacing w:before="153" w:line="219" w:lineRule="auto"/>
        <w:ind w:left="130"/>
        <w:rPr>
          <w:rFonts w:hint="eastAsia" w:ascii="宋体" w:hAnsi="宋体" w:eastAsia="宋体" w:cs="宋体"/>
          <w:color w:val="auto"/>
          <w:spacing w:val="-1"/>
          <w:sz w:val="24"/>
          <w:szCs w:val="24"/>
          <w:highlight w:val="none"/>
        </w:rPr>
      </w:pPr>
      <w:bookmarkStart w:id="193" w:name="_Toc5777"/>
      <w:bookmarkStart w:id="194" w:name="_Toc8109"/>
      <w:r>
        <w:rPr>
          <w:rFonts w:hint="eastAsia" w:ascii="宋体" w:hAnsi="宋体" w:eastAsia="宋体" w:cs="宋体"/>
          <w:color w:val="auto"/>
          <w:spacing w:val="-1"/>
          <w:sz w:val="24"/>
          <w:szCs w:val="24"/>
          <w:highlight w:val="none"/>
        </w:rPr>
        <w:t>（17）《建筑与市政地基基础通用规范》GB55003-2001;</w:t>
      </w:r>
      <w:bookmarkEnd w:id="193"/>
      <w:bookmarkEnd w:id="194"/>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7"/>
        <w:spacing w:line="257" w:lineRule="auto"/>
        <w:rPr>
          <w:rFonts w:hint="eastAsia" w:ascii="宋体" w:hAnsi="宋体" w:eastAsia="宋体" w:cs="宋体"/>
          <w:color w:val="auto"/>
          <w:sz w:val="24"/>
          <w:szCs w:val="24"/>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5" w:name="_Toc20077"/>
      <w:bookmarkStart w:id="196"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5"/>
      <w:bookmarkEnd w:id="196"/>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7" w:name="_Toc30781"/>
      <w:bookmarkStart w:id="198" w:name="_Toc8494"/>
      <w:r>
        <w:rPr>
          <w:rFonts w:hint="eastAsia" w:ascii="宋体" w:hAnsi="宋体" w:eastAsia="宋体" w:cs="宋体"/>
          <w:color w:val="auto"/>
          <w:spacing w:val="-2"/>
          <w:sz w:val="24"/>
          <w:szCs w:val="24"/>
          <w:highlight w:val="none"/>
        </w:rPr>
        <w:t>（11）《建筑与市政工程无障碍通用规范》 GB 55019-2021；</w:t>
      </w:r>
      <w:bookmarkEnd w:id="197"/>
      <w:bookmarkEnd w:id="198"/>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9" w:name="_Toc17383"/>
      <w:bookmarkStart w:id="200" w:name="_Toc31143"/>
      <w:r>
        <w:rPr>
          <w:rFonts w:hint="eastAsia" w:ascii="宋体" w:hAnsi="宋体" w:eastAsia="宋体" w:cs="宋体"/>
          <w:color w:val="auto"/>
          <w:spacing w:val="-2"/>
          <w:sz w:val="24"/>
          <w:szCs w:val="24"/>
          <w:highlight w:val="none"/>
        </w:rPr>
        <w:t>（12）《建筑防火通用规范》GB 55037-2022;</w:t>
      </w:r>
      <w:bookmarkEnd w:id="199"/>
      <w:bookmarkEnd w:id="200"/>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1" w:name="_Toc32476"/>
      <w:bookmarkStart w:id="202" w:name="_Toc954"/>
      <w:r>
        <w:rPr>
          <w:rFonts w:hint="eastAsia" w:ascii="宋体" w:hAnsi="宋体" w:eastAsia="宋体" w:cs="宋体"/>
          <w:color w:val="auto"/>
          <w:spacing w:val="-2"/>
          <w:sz w:val="24"/>
          <w:szCs w:val="24"/>
          <w:highlight w:val="none"/>
        </w:rPr>
        <w:t>（13）《建筑与市政工程抗震通用规范》GB55002-2001;</w:t>
      </w:r>
      <w:bookmarkEnd w:id="201"/>
      <w:bookmarkEnd w:id="202"/>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3" w:name="_Toc27898"/>
      <w:bookmarkStart w:id="204" w:name="_Toc7185"/>
      <w:r>
        <w:rPr>
          <w:rFonts w:hint="eastAsia" w:ascii="宋体" w:hAnsi="宋体" w:eastAsia="宋体" w:cs="宋体"/>
          <w:color w:val="auto"/>
          <w:spacing w:val="-2"/>
          <w:sz w:val="24"/>
          <w:szCs w:val="24"/>
          <w:highlight w:val="none"/>
        </w:rPr>
        <w:t>（14）《建筑与市政地基基础通用规范》GB55003-2001;</w:t>
      </w:r>
      <w:bookmarkEnd w:id="203"/>
      <w:bookmarkEnd w:id="204"/>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5" w:name="_Toc17281"/>
      <w:bookmarkStart w:id="206" w:name="_Toc29669"/>
      <w:r>
        <w:rPr>
          <w:rFonts w:hint="eastAsia" w:ascii="宋体" w:hAnsi="宋体" w:eastAsia="宋体" w:cs="宋体"/>
          <w:color w:val="auto"/>
          <w:spacing w:val="-2"/>
          <w:sz w:val="24"/>
          <w:szCs w:val="24"/>
          <w:highlight w:val="none"/>
        </w:rPr>
        <w:t>（15）《城市道路照明设计标准》（CJJ45-2015）；</w:t>
      </w:r>
      <w:bookmarkEnd w:id="205"/>
      <w:bookmarkEnd w:id="206"/>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7" w:name="_Toc31812"/>
      <w:bookmarkStart w:id="208" w:name="_Toc9161"/>
      <w:r>
        <w:rPr>
          <w:rFonts w:hint="eastAsia" w:ascii="宋体" w:hAnsi="宋体" w:eastAsia="宋体" w:cs="宋体"/>
          <w:color w:val="auto"/>
          <w:spacing w:val="-2"/>
          <w:sz w:val="24"/>
          <w:szCs w:val="24"/>
          <w:highlight w:val="none"/>
        </w:rPr>
        <w:t>（16）《低压配电设计规范》（GB50054-2011）；</w:t>
      </w:r>
      <w:bookmarkEnd w:id="207"/>
      <w:bookmarkEnd w:id="208"/>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9" w:name="_Toc18255"/>
      <w:bookmarkStart w:id="210" w:name="_Toc6405"/>
      <w:r>
        <w:rPr>
          <w:rFonts w:hint="eastAsia" w:ascii="宋体" w:hAnsi="宋体" w:eastAsia="宋体" w:cs="宋体"/>
          <w:color w:val="auto"/>
          <w:spacing w:val="-2"/>
          <w:sz w:val="24"/>
          <w:szCs w:val="24"/>
          <w:highlight w:val="none"/>
        </w:rPr>
        <w:t>（17）《城市道路照明工程施工及验收规程》（CJJ89-2012）；</w:t>
      </w:r>
      <w:bookmarkEnd w:id="209"/>
      <w:bookmarkEnd w:id="210"/>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7"/>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z w:val="24"/>
          <w:szCs w:val="24"/>
          <w:highlight w:val="none"/>
        </w:rPr>
      </w:pPr>
    </w:p>
    <w:p w14:paraId="4A164D7E">
      <w:pPr>
        <w:pStyle w:val="7"/>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sz w:val="24"/>
          <w:szCs w:val="24"/>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11" w:name="_Toc9200"/>
      <w:bookmarkStart w:id="212" w:name="_Toc26394"/>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11"/>
      <w:bookmarkEnd w:id="212"/>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sz w:val="24"/>
          <w:szCs w:val="24"/>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3" w:name="bookmark100"/>
      <w:bookmarkEnd w:id="213"/>
      <w:bookmarkStart w:id="214" w:name="bookmark146"/>
      <w:bookmarkEnd w:id="214"/>
      <w:bookmarkStart w:id="215" w:name="_Toc11850"/>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5"/>
    </w:p>
    <w:p w14:paraId="7C6C80E2">
      <w:pPr>
        <w:pStyle w:val="7"/>
        <w:spacing w:line="283" w:lineRule="auto"/>
        <w:rPr>
          <w:rFonts w:hint="eastAsia" w:ascii="宋体" w:hAnsi="宋体" w:eastAsia="宋体" w:cs="宋体"/>
          <w:color w:val="auto"/>
          <w:sz w:val="24"/>
          <w:szCs w:val="24"/>
          <w:highlight w:val="none"/>
        </w:rPr>
      </w:pPr>
    </w:p>
    <w:p w14:paraId="58148A80">
      <w:pPr>
        <w:pStyle w:val="7"/>
        <w:spacing w:line="284" w:lineRule="auto"/>
        <w:rPr>
          <w:rFonts w:hint="eastAsia" w:ascii="宋体" w:hAnsi="宋体" w:eastAsia="宋体" w:cs="宋体"/>
          <w:color w:val="auto"/>
          <w:sz w:val="24"/>
          <w:szCs w:val="24"/>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7"/>
        <w:spacing w:line="265" w:lineRule="auto"/>
        <w:rPr>
          <w:rFonts w:hint="eastAsia" w:ascii="宋体" w:hAnsi="宋体" w:eastAsia="宋体" w:cs="宋体"/>
          <w:color w:val="auto"/>
          <w:sz w:val="24"/>
          <w:szCs w:val="24"/>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6" w:name="_Toc24705"/>
      <w:bookmarkStart w:id="217"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6"/>
      <w:bookmarkEnd w:id="217"/>
    </w:p>
    <w:p w14:paraId="4ADF5856">
      <w:pPr>
        <w:spacing w:before="115" w:line="360" w:lineRule="auto"/>
        <w:ind w:firstLine="493"/>
        <w:jc w:val="both"/>
        <w:rPr>
          <w:rFonts w:hint="eastAsia" w:ascii="宋体" w:hAnsi="宋体" w:eastAsia="宋体" w:cs="宋体"/>
          <w:color w:val="auto"/>
          <w:spacing w:val="-1"/>
          <w:sz w:val="24"/>
          <w:szCs w:val="24"/>
          <w:highlight w:val="none"/>
        </w:rPr>
      </w:pPr>
      <w:bookmarkStart w:id="218" w:name="_Toc9064"/>
      <w:bookmarkStart w:id="219" w:name="_Toc16436"/>
      <w:r>
        <w:rPr>
          <w:rFonts w:hint="eastAsia" w:ascii="宋体" w:hAnsi="宋体" w:eastAsia="宋体" w:cs="宋体"/>
          <w:color w:val="auto"/>
          <w:spacing w:val="-1"/>
          <w:sz w:val="24"/>
          <w:szCs w:val="24"/>
          <w:highlight w:val="none"/>
        </w:rPr>
        <w:t>本工程施工图纸各投标人在全国公共资源交易平台（广东省.韶关市）（https://ygp.gdzwfw.gov.cn/ggzy-portal/#/440200/index）网站上自行下载。</w:t>
      </w:r>
    </w:p>
    <w:p w14:paraId="05E465DE">
      <w:pPr>
        <w:spacing w:before="79" w:line="221" w:lineRule="auto"/>
        <w:ind w:left="705"/>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8"/>
      <w:bookmarkEnd w:id="219"/>
    </w:p>
    <w:p w14:paraId="3D4BF4B7">
      <w:pPr>
        <w:spacing w:before="117" w:line="312" w:lineRule="auto"/>
        <w:ind w:left="231" w:firstLine="474"/>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b w:val="0"/>
          <w:bCs w:val="0"/>
          <w:color w:val="auto"/>
          <w:spacing w:val="-3"/>
          <w:sz w:val="24"/>
          <w:szCs w:val="24"/>
          <w:highlight w:val="none"/>
        </w:rPr>
        <w:t>本工程招标工程量清单及危大工程量清单（若有），各投标人在全国公共资源交易平台（广东省·韶关市）（https://ygp.gdzwfw.gov.cn/ggzy-portal/#/440200/index）网站上自行下载</w:t>
      </w:r>
      <w:r>
        <w:rPr>
          <w:rFonts w:hint="eastAsia" w:ascii="宋体" w:hAnsi="宋体" w:eastAsia="宋体" w:cs="宋体"/>
          <w:b w:val="0"/>
          <w:bCs w:val="0"/>
          <w:color w:val="auto"/>
          <w:spacing w:val="-3"/>
          <w:sz w:val="24"/>
          <w:szCs w:val="24"/>
          <w:highlight w:val="none"/>
          <w:lang w:eastAsia="zh-CN"/>
        </w:rPr>
        <w:t>。</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20" w:name="bookmark147"/>
      <w:bookmarkEnd w:id="220"/>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none"/>
        </w:rPr>
        <w:t>招标工程量清单、</w:t>
      </w:r>
      <w:r>
        <w:rPr>
          <w:rFonts w:hint="eastAsia" w:ascii="宋体" w:hAnsi="宋体" w:eastAsia="宋体" w:cs="宋体"/>
          <w:color w:val="auto"/>
          <w:spacing w:val="-1"/>
          <w:sz w:val="24"/>
          <w:szCs w:val="24"/>
          <w:highlight w:val="none"/>
          <w:u w:val="none"/>
          <w:lang w:eastAsia="zh-CN"/>
        </w:rPr>
        <w:t>最高投标限价</w:t>
      </w:r>
      <w:r>
        <w:rPr>
          <w:rFonts w:hint="eastAsia" w:ascii="宋体" w:hAnsi="宋体" w:eastAsia="宋体" w:cs="宋体"/>
          <w:color w:val="auto"/>
          <w:spacing w:val="-1"/>
          <w:sz w:val="24"/>
          <w:szCs w:val="24"/>
          <w:highlight w:val="none"/>
        </w:rPr>
        <w:t>：</w:t>
      </w:r>
    </w:p>
    <w:p w14:paraId="02362135">
      <w:pPr>
        <w:spacing w:before="123" w:line="36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360"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8"/>
          <w:sz w:val="24"/>
          <w:szCs w:val="24"/>
          <w:highlight w:val="none"/>
          <w:u w:val="single"/>
          <w:lang w:eastAsia="zh-CN"/>
        </w:rPr>
        <w:t>最高投标限价</w:t>
      </w:r>
      <w:r>
        <w:rPr>
          <w:rFonts w:hint="eastAsia" w:ascii="宋体" w:hAnsi="宋体" w:eastAsia="宋体" w:cs="宋体"/>
          <w:color w:val="auto"/>
          <w:spacing w:val="-8"/>
          <w:sz w:val="24"/>
          <w:szCs w:val="24"/>
          <w:highlight w:val="none"/>
          <w:u w:val="single"/>
        </w:rPr>
        <w:t>的</w:t>
      </w:r>
      <w:r>
        <w:rPr>
          <w:rFonts w:hint="eastAsia" w:ascii="宋体" w:hAnsi="宋体" w:eastAsia="宋体" w:cs="宋体"/>
          <w:color w:val="auto"/>
          <w:spacing w:val="-2"/>
          <w:sz w:val="24"/>
          <w:szCs w:val="24"/>
          <w:highlight w:val="none"/>
          <w:u w:val="single"/>
        </w:rPr>
        <w:t>补充和(或)修改文件</w:t>
      </w:r>
      <w:r>
        <w:rPr>
          <w:rFonts w:hint="eastAsia" w:ascii="宋体" w:hAnsi="宋体" w:eastAsia="宋体" w:cs="宋体"/>
          <w:color w:val="auto"/>
          <w:spacing w:val="-2"/>
          <w:sz w:val="24"/>
          <w:szCs w:val="24"/>
          <w:highlight w:val="none"/>
        </w:rPr>
        <w:t>。</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7"/>
        <w:spacing w:line="304" w:lineRule="auto"/>
        <w:rPr>
          <w:rFonts w:hint="eastAsia" w:ascii="宋体" w:hAnsi="宋体" w:eastAsia="宋体" w:cs="宋体"/>
          <w:color w:val="auto"/>
          <w:sz w:val="24"/>
          <w:szCs w:val="24"/>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21" w:name="_Toc21761"/>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21"/>
    </w:p>
    <w:p w14:paraId="0D0857B6">
      <w:pPr>
        <w:pStyle w:val="7"/>
        <w:spacing w:line="302" w:lineRule="auto"/>
        <w:jc w:val="right"/>
        <w:rPr>
          <w:rFonts w:hint="eastAsia" w:ascii="宋体" w:hAnsi="宋体" w:eastAsia="宋体" w:cs="宋体"/>
          <w:color w:val="auto"/>
          <w:sz w:val="24"/>
          <w:szCs w:val="24"/>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22" w:name="_Toc30235"/>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22"/>
    </w:p>
    <w:p w14:paraId="7F1D5484">
      <w:pPr>
        <w:pStyle w:val="7"/>
        <w:spacing w:line="258" w:lineRule="auto"/>
        <w:rPr>
          <w:rFonts w:hint="eastAsia" w:ascii="宋体" w:hAnsi="宋体" w:eastAsia="宋体" w:cs="宋体"/>
          <w:color w:val="auto"/>
          <w:sz w:val="24"/>
          <w:szCs w:val="24"/>
          <w:highlight w:val="none"/>
        </w:rPr>
      </w:pPr>
    </w:p>
    <w:p w14:paraId="2CD8482C">
      <w:pPr>
        <w:pStyle w:val="7"/>
        <w:spacing w:line="259" w:lineRule="auto"/>
        <w:rPr>
          <w:rFonts w:hint="eastAsia" w:ascii="宋体" w:hAnsi="宋体" w:eastAsia="宋体" w:cs="宋体"/>
          <w:color w:val="auto"/>
          <w:sz w:val="24"/>
          <w:szCs w:val="24"/>
          <w:highlight w:val="none"/>
        </w:rPr>
      </w:pPr>
    </w:p>
    <w:p w14:paraId="102EDF3E">
      <w:pPr>
        <w:pStyle w:val="7"/>
        <w:spacing w:line="259" w:lineRule="auto"/>
        <w:rPr>
          <w:rFonts w:hint="eastAsia" w:ascii="宋体" w:hAnsi="宋体" w:eastAsia="宋体" w:cs="宋体"/>
          <w:color w:val="auto"/>
          <w:sz w:val="48"/>
          <w:szCs w:val="48"/>
          <w:highlight w:val="none"/>
        </w:rPr>
      </w:pPr>
    </w:p>
    <w:p w14:paraId="2A72B20C">
      <w:pPr>
        <w:spacing w:before="153" w:line="225" w:lineRule="auto"/>
        <w:ind w:left="-1" w:leftChars="0" w:firstLine="0" w:firstLineChars="0"/>
        <w:jc w:val="center"/>
        <w:rPr>
          <w:rFonts w:hint="eastAsia" w:ascii="宋体" w:hAnsi="宋体" w:eastAsia="宋体" w:cs="宋体"/>
          <w:color w:val="auto"/>
          <w:sz w:val="48"/>
          <w:szCs w:val="48"/>
          <w:highlight w:val="none"/>
        </w:rPr>
      </w:pPr>
      <w:r>
        <w:rPr>
          <w:rFonts w:hint="eastAsia" w:ascii="宋体" w:hAnsi="宋体" w:eastAsia="宋体" w:cs="宋体"/>
          <w:b/>
          <w:bCs/>
          <w:color w:val="auto"/>
          <w:spacing w:val="8"/>
          <w:sz w:val="48"/>
          <w:szCs w:val="48"/>
          <w:highlight w:val="none"/>
          <w:u w:val="single"/>
          <w:lang w:val="en-US" w:eastAsia="zh-CN"/>
        </w:rPr>
        <w:t xml:space="preserve">       </w:t>
      </w:r>
      <w:r>
        <w:rPr>
          <w:rFonts w:hint="eastAsia" w:ascii="宋体" w:hAnsi="宋体" w:eastAsia="宋体" w:cs="宋体"/>
          <w:b/>
          <w:bCs/>
          <w:color w:val="auto"/>
          <w:spacing w:val="8"/>
          <w:sz w:val="48"/>
          <w:szCs w:val="48"/>
          <w:highlight w:val="none"/>
          <w:u w:val="single"/>
        </w:rPr>
        <w:t>（项目名称</w:t>
      </w:r>
      <w:r>
        <w:rPr>
          <w:rFonts w:hint="eastAsia" w:ascii="宋体" w:hAnsi="宋体" w:eastAsia="宋体" w:cs="宋体"/>
          <w:b/>
          <w:bCs/>
          <w:color w:val="auto"/>
          <w:spacing w:val="-32"/>
          <w:sz w:val="48"/>
          <w:szCs w:val="48"/>
          <w:highlight w:val="none"/>
          <w:u w:val="single"/>
        </w:rPr>
        <w:t>）</w:t>
      </w:r>
      <w:r>
        <w:rPr>
          <w:rFonts w:hint="eastAsia" w:ascii="宋体" w:hAnsi="宋体" w:eastAsia="宋体" w:cs="宋体"/>
          <w:b/>
          <w:bCs/>
          <w:color w:val="auto"/>
          <w:spacing w:val="8"/>
          <w:sz w:val="48"/>
          <w:szCs w:val="48"/>
          <w:highlight w:val="none"/>
        </w:rPr>
        <w:t>招标</w:t>
      </w:r>
    </w:p>
    <w:p w14:paraId="5ECD6A12">
      <w:pPr>
        <w:pStyle w:val="7"/>
        <w:spacing w:line="247" w:lineRule="auto"/>
        <w:rPr>
          <w:rFonts w:hint="eastAsia" w:ascii="宋体" w:hAnsi="宋体" w:eastAsia="宋体" w:cs="宋体"/>
          <w:color w:val="auto"/>
          <w:sz w:val="28"/>
          <w:szCs w:val="28"/>
          <w:highlight w:val="none"/>
        </w:rPr>
      </w:pPr>
    </w:p>
    <w:p w14:paraId="54606FEC">
      <w:pPr>
        <w:pStyle w:val="7"/>
        <w:spacing w:line="247" w:lineRule="auto"/>
        <w:rPr>
          <w:rFonts w:hint="eastAsia" w:ascii="宋体" w:hAnsi="宋体" w:eastAsia="宋体" w:cs="宋体"/>
          <w:color w:val="auto"/>
          <w:sz w:val="28"/>
          <w:szCs w:val="28"/>
          <w:highlight w:val="none"/>
        </w:rPr>
      </w:pPr>
    </w:p>
    <w:p w14:paraId="5399F95B">
      <w:pPr>
        <w:pStyle w:val="7"/>
        <w:spacing w:line="247" w:lineRule="auto"/>
        <w:rPr>
          <w:rFonts w:hint="eastAsia" w:ascii="宋体" w:hAnsi="宋体" w:eastAsia="宋体" w:cs="宋体"/>
          <w:color w:val="auto"/>
          <w:sz w:val="28"/>
          <w:szCs w:val="28"/>
          <w:highlight w:val="none"/>
        </w:rPr>
      </w:pPr>
    </w:p>
    <w:p w14:paraId="59ACBFD9">
      <w:pPr>
        <w:pStyle w:val="7"/>
        <w:spacing w:line="248" w:lineRule="auto"/>
        <w:rPr>
          <w:rFonts w:hint="eastAsia" w:ascii="宋体" w:hAnsi="宋体" w:eastAsia="宋体" w:cs="宋体"/>
          <w:color w:val="auto"/>
          <w:sz w:val="28"/>
          <w:szCs w:val="28"/>
          <w:highlight w:val="none"/>
        </w:rPr>
      </w:pPr>
    </w:p>
    <w:p w14:paraId="659F2C43">
      <w:pPr>
        <w:spacing w:before="231" w:line="223" w:lineRule="auto"/>
        <w:jc w:val="center"/>
        <w:rPr>
          <w:rFonts w:hint="eastAsia" w:ascii="宋体" w:hAnsi="宋体" w:eastAsia="宋体" w:cs="宋体"/>
          <w:color w:val="auto"/>
          <w:sz w:val="72"/>
          <w:szCs w:val="72"/>
          <w:highlight w:val="none"/>
        </w:rPr>
      </w:pPr>
      <w:r>
        <w:rPr>
          <w:rFonts w:hint="eastAsia" w:ascii="宋体" w:hAnsi="宋体" w:eastAsia="宋体" w:cs="宋体"/>
          <w:b/>
          <w:bCs/>
          <w:color w:val="auto"/>
          <w:spacing w:val="-26"/>
          <w:sz w:val="72"/>
          <w:szCs w:val="72"/>
          <w:highlight w:val="none"/>
        </w:rPr>
        <w:t>投</w:t>
      </w:r>
      <w:r>
        <w:rPr>
          <w:rFonts w:hint="eastAsia" w:ascii="宋体" w:hAnsi="宋体" w:eastAsia="宋体" w:cs="宋体"/>
          <w:color w:val="auto"/>
          <w:spacing w:val="22"/>
          <w:sz w:val="72"/>
          <w:szCs w:val="72"/>
          <w:highlight w:val="none"/>
        </w:rPr>
        <w:t xml:space="preserve">  </w:t>
      </w:r>
      <w:r>
        <w:rPr>
          <w:rFonts w:hint="eastAsia" w:ascii="宋体" w:hAnsi="宋体" w:eastAsia="宋体" w:cs="宋体"/>
          <w:b/>
          <w:bCs/>
          <w:color w:val="auto"/>
          <w:spacing w:val="-26"/>
          <w:sz w:val="72"/>
          <w:szCs w:val="72"/>
          <w:highlight w:val="none"/>
        </w:rPr>
        <w:t>标</w:t>
      </w:r>
      <w:r>
        <w:rPr>
          <w:rFonts w:hint="eastAsia" w:ascii="宋体" w:hAnsi="宋体" w:eastAsia="宋体" w:cs="宋体"/>
          <w:color w:val="auto"/>
          <w:spacing w:val="23"/>
          <w:sz w:val="72"/>
          <w:szCs w:val="72"/>
          <w:highlight w:val="none"/>
        </w:rPr>
        <w:t xml:space="preserve">  </w:t>
      </w:r>
      <w:r>
        <w:rPr>
          <w:rFonts w:hint="eastAsia" w:ascii="宋体" w:hAnsi="宋体" w:eastAsia="宋体" w:cs="宋体"/>
          <w:b/>
          <w:bCs/>
          <w:color w:val="auto"/>
          <w:spacing w:val="-26"/>
          <w:sz w:val="72"/>
          <w:szCs w:val="72"/>
          <w:highlight w:val="none"/>
        </w:rPr>
        <w:t>文</w:t>
      </w:r>
      <w:r>
        <w:rPr>
          <w:rFonts w:hint="eastAsia" w:ascii="宋体" w:hAnsi="宋体" w:eastAsia="宋体" w:cs="宋体"/>
          <w:color w:val="auto"/>
          <w:spacing w:val="19"/>
          <w:sz w:val="72"/>
          <w:szCs w:val="72"/>
          <w:highlight w:val="none"/>
        </w:rPr>
        <w:t xml:space="preserve">  </w:t>
      </w:r>
      <w:r>
        <w:rPr>
          <w:rFonts w:hint="eastAsia" w:ascii="宋体" w:hAnsi="宋体" w:eastAsia="宋体" w:cs="宋体"/>
          <w:b/>
          <w:bCs/>
          <w:color w:val="auto"/>
          <w:spacing w:val="-26"/>
          <w:sz w:val="72"/>
          <w:szCs w:val="72"/>
          <w:highlight w:val="none"/>
        </w:rPr>
        <w:t>件</w:t>
      </w:r>
    </w:p>
    <w:p w14:paraId="0B131F8C">
      <w:pPr>
        <w:pStyle w:val="7"/>
        <w:spacing w:line="293" w:lineRule="auto"/>
        <w:rPr>
          <w:rFonts w:hint="eastAsia" w:ascii="宋体" w:hAnsi="宋体" w:eastAsia="宋体" w:cs="宋体"/>
          <w:color w:val="auto"/>
          <w:sz w:val="28"/>
          <w:szCs w:val="28"/>
          <w:highlight w:val="none"/>
        </w:rPr>
      </w:pPr>
    </w:p>
    <w:p w14:paraId="324C9182">
      <w:pPr>
        <w:pStyle w:val="7"/>
        <w:spacing w:line="293" w:lineRule="auto"/>
        <w:rPr>
          <w:rFonts w:hint="eastAsia" w:ascii="宋体" w:hAnsi="宋体" w:eastAsia="宋体" w:cs="宋体"/>
          <w:color w:val="auto"/>
          <w:sz w:val="28"/>
          <w:szCs w:val="28"/>
          <w:highlight w:val="none"/>
        </w:rPr>
      </w:pPr>
    </w:p>
    <w:p w14:paraId="7C0F118B">
      <w:pPr>
        <w:spacing w:before="152" w:line="223" w:lineRule="auto"/>
        <w:jc w:val="center"/>
        <w:rPr>
          <w:rFonts w:hint="eastAsia" w:ascii="宋体" w:hAnsi="宋体" w:eastAsia="宋体" w:cs="宋体"/>
          <w:b/>
          <w:bCs/>
          <w:color w:val="auto"/>
          <w:spacing w:val="2"/>
          <w:sz w:val="36"/>
          <w:szCs w:val="36"/>
          <w:highlight w:val="none"/>
        </w:rPr>
      </w:pPr>
      <w:bookmarkStart w:id="223" w:name="bookmark105"/>
      <w:bookmarkEnd w:id="223"/>
      <w:r>
        <w:rPr>
          <w:rFonts w:hint="eastAsia" w:ascii="宋体" w:hAnsi="宋体" w:eastAsia="宋体" w:cs="宋体"/>
          <w:b/>
          <w:bCs/>
          <w:color w:val="auto"/>
          <w:spacing w:val="2"/>
          <w:sz w:val="36"/>
          <w:szCs w:val="36"/>
          <w:highlight w:val="none"/>
        </w:rPr>
        <w:t>（商务标书／经济标书／施工组织设计</w:t>
      </w:r>
      <w:r>
        <w:rPr>
          <w:rFonts w:hint="eastAsia" w:ascii="宋体" w:hAnsi="宋体" w:eastAsia="宋体" w:cs="宋体"/>
          <w:b/>
          <w:bCs/>
          <w:color w:val="auto"/>
          <w:spacing w:val="2"/>
          <w:sz w:val="36"/>
          <w:szCs w:val="36"/>
          <w:highlight w:val="none"/>
          <w:lang w:val="en-US" w:eastAsia="zh-CN"/>
        </w:rPr>
        <w:t>/定标文件</w:t>
      </w:r>
      <w:r>
        <w:rPr>
          <w:rFonts w:hint="eastAsia" w:ascii="宋体" w:hAnsi="宋体" w:eastAsia="宋体" w:cs="宋体"/>
          <w:b/>
          <w:bCs/>
          <w:color w:val="auto"/>
          <w:spacing w:val="2"/>
          <w:sz w:val="36"/>
          <w:szCs w:val="36"/>
          <w:highlight w:val="none"/>
        </w:rPr>
        <w:t>）</w:t>
      </w:r>
    </w:p>
    <w:p w14:paraId="507FE0F9">
      <w:pPr>
        <w:bidi w:val="0"/>
        <w:rPr>
          <w:rFonts w:hint="eastAsia"/>
          <w:color w:val="auto"/>
          <w:sz w:val="28"/>
          <w:szCs w:val="28"/>
          <w:highlight w:val="none"/>
        </w:rPr>
      </w:pPr>
    </w:p>
    <w:p w14:paraId="1258CA34">
      <w:pPr>
        <w:bidi w:val="0"/>
        <w:rPr>
          <w:rFonts w:hint="eastAsia"/>
          <w:color w:val="auto"/>
          <w:sz w:val="28"/>
          <w:szCs w:val="28"/>
          <w:highlight w:val="none"/>
        </w:rPr>
      </w:pPr>
    </w:p>
    <w:p w14:paraId="6011C3D8">
      <w:pPr>
        <w:bidi w:val="0"/>
        <w:rPr>
          <w:rFonts w:hint="eastAsia"/>
          <w:color w:val="auto"/>
          <w:sz w:val="28"/>
          <w:szCs w:val="28"/>
          <w:highlight w:val="none"/>
        </w:rPr>
      </w:pPr>
    </w:p>
    <w:p w14:paraId="082387D7">
      <w:pPr>
        <w:bidi w:val="0"/>
        <w:rPr>
          <w:rFonts w:hint="eastAsia"/>
          <w:color w:val="auto"/>
          <w:sz w:val="28"/>
          <w:szCs w:val="28"/>
          <w:highlight w:val="none"/>
        </w:rPr>
      </w:pPr>
    </w:p>
    <w:p w14:paraId="4555BC89">
      <w:pPr>
        <w:bidi w:val="0"/>
        <w:rPr>
          <w:rFonts w:hint="eastAsia"/>
          <w:color w:val="auto"/>
          <w:sz w:val="28"/>
          <w:szCs w:val="28"/>
          <w:highlight w:val="none"/>
        </w:rPr>
      </w:pPr>
    </w:p>
    <w:p w14:paraId="6AE1DF1B">
      <w:pPr>
        <w:pStyle w:val="5"/>
        <w:rPr>
          <w:rFonts w:hint="eastAsia"/>
        </w:rPr>
      </w:pPr>
    </w:p>
    <w:p w14:paraId="5C158398">
      <w:pPr>
        <w:bidi w:val="0"/>
        <w:rPr>
          <w:rFonts w:hint="eastAsia"/>
          <w:color w:val="auto"/>
          <w:sz w:val="28"/>
          <w:szCs w:val="28"/>
          <w:highlight w:val="none"/>
        </w:rPr>
      </w:pPr>
    </w:p>
    <w:p w14:paraId="215929E0">
      <w:pPr>
        <w:pStyle w:val="42"/>
        <w:widowControl w:val="0"/>
        <w:wordWrap w:val="0"/>
        <w:adjustRightInd w:val="0"/>
        <w:snapToGrid w:val="0"/>
        <w:spacing w:line="360" w:lineRule="auto"/>
        <w:ind w:firstLine="0"/>
        <w:jc w:val="center"/>
        <w:rPr>
          <w:rFonts w:hint="eastAsia" w:ascii="宋体" w:hAnsi="宋体" w:eastAsia="宋体" w:cs="宋体"/>
          <w:bCs/>
          <w:snapToGrid w:val="0"/>
          <w:color w:val="auto"/>
          <w:sz w:val="28"/>
          <w:szCs w:val="28"/>
          <w:highlight w:val="none"/>
        </w:rPr>
      </w:pPr>
      <w:r>
        <w:rPr>
          <w:rFonts w:hint="eastAsia" w:ascii="宋体" w:hAnsi="宋体" w:eastAsia="宋体" w:cs="宋体"/>
          <w:bCs/>
          <w:snapToGrid w:val="0"/>
          <w:color w:val="auto"/>
          <w:sz w:val="28"/>
          <w:szCs w:val="28"/>
          <w:highlight w:val="none"/>
        </w:rPr>
        <w:t>投标人：</w:t>
      </w:r>
      <w:r>
        <w:rPr>
          <w:rFonts w:hint="eastAsia" w:ascii="宋体" w:hAnsi="宋体" w:eastAsia="宋体" w:cs="宋体"/>
          <w:bCs/>
          <w:snapToGrid w:val="0"/>
          <w:color w:val="auto"/>
          <w:sz w:val="28"/>
          <w:szCs w:val="28"/>
          <w:highlight w:val="none"/>
          <w:u w:val="single"/>
        </w:rPr>
        <w:t xml:space="preserve">                                    </w:t>
      </w:r>
      <w:r>
        <w:rPr>
          <w:rFonts w:hint="eastAsia" w:ascii="宋体" w:hAnsi="宋体" w:eastAsia="宋体" w:cs="宋体"/>
          <w:bCs/>
          <w:snapToGrid w:val="0"/>
          <w:color w:val="auto"/>
          <w:sz w:val="28"/>
          <w:szCs w:val="28"/>
          <w:highlight w:val="none"/>
        </w:rPr>
        <w:t>（盖单位章）</w:t>
      </w:r>
    </w:p>
    <w:p w14:paraId="233B75EF">
      <w:pPr>
        <w:pStyle w:val="42"/>
        <w:widowControl w:val="0"/>
        <w:wordWrap w:val="0"/>
        <w:adjustRightInd w:val="0"/>
        <w:snapToGrid w:val="0"/>
        <w:spacing w:line="360" w:lineRule="auto"/>
        <w:ind w:firstLine="0"/>
        <w:jc w:val="center"/>
        <w:rPr>
          <w:rFonts w:hint="eastAsia" w:ascii="宋体" w:hAnsi="宋体" w:eastAsia="宋体" w:cs="宋体"/>
          <w:bCs/>
          <w:snapToGrid w:val="0"/>
          <w:color w:val="auto"/>
          <w:sz w:val="28"/>
          <w:szCs w:val="28"/>
          <w:highlight w:val="none"/>
        </w:rPr>
      </w:pPr>
    </w:p>
    <w:p w14:paraId="33AB8C63">
      <w:pPr>
        <w:pStyle w:val="42"/>
        <w:widowControl w:val="0"/>
        <w:wordWrap w:val="0"/>
        <w:adjustRightInd w:val="0"/>
        <w:snapToGrid w:val="0"/>
        <w:spacing w:line="360" w:lineRule="auto"/>
        <w:ind w:firstLine="0"/>
        <w:jc w:val="center"/>
        <w:rPr>
          <w:rFonts w:hint="eastAsia" w:ascii="宋体" w:hAnsi="宋体" w:eastAsia="宋体" w:cs="宋体"/>
          <w:bCs/>
          <w:snapToGrid w:val="0"/>
          <w:color w:val="auto"/>
          <w:sz w:val="28"/>
          <w:szCs w:val="28"/>
          <w:highlight w:val="none"/>
        </w:rPr>
      </w:pPr>
      <w:r>
        <w:rPr>
          <w:rFonts w:hint="eastAsia" w:ascii="宋体" w:hAnsi="宋体" w:eastAsia="宋体" w:cs="宋体"/>
          <w:bCs/>
          <w:snapToGrid w:val="0"/>
          <w:color w:val="auto"/>
          <w:sz w:val="28"/>
          <w:szCs w:val="28"/>
          <w:highlight w:val="none"/>
        </w:rPr>
        <w:t>法定代表人或其委托代理人：</w:t>
      </w:r>
      <w:r>
        <w:rPr>
          <w:rFonts w:hint="eastAsia" w:ascii="宋体" w:hAnsi="宋体" w:eastAsia="宋体" w:cs="宋体"/>
          <w:bCs/>
          <w:snapToGrid w:val="0"/>
          <w:color w:val="auto"/>
          <w:sz w:val="28"/>
          <w:szCs w:val="28"/>
          <w:highlight w:val="none"/>
          <w:u w:val="single"/>
        </w:rPr>
        <w:t xml:space="preserve">                 </w:t>
      </w:r>
      <w:r>
        <w:rPr>
          <w:rFonts w:hint="eastAsia" w:ascii="宋体" w:hAnsi="宋体" w:eastAsia="宋体" w:cs="宋体"/>
          <w:bCs/>
          <w:snapToGrid w:val="0"/>
          <w:color w:val="auto"/>
          <w:sz w:val="28"/>
          <w:szCs w:val="28"/>
          <w:highlight w:val="none"/>
        </w:rPr>
        <w:t>（签字或盖章）</w:t>
      </w:r>
    </w:p>
    <w:p w14:paraId="37293E27">
      <w:pPr>
        <w:pStyle w:val="42"/>
        <w:widowControl w:val="0"/>
        <w:wordWrap w:val="0"/>
        <w:adjustRightInd w:val="0"/>
        <w:snapToGrid w:val="0"/>
        <w:spacing w:line="360" w:lineRule="auto"/>
        <w:ind w:firstLine="0"/>
        <w:jc w:val="both"/>
        <w:rPr>
          <w:rFonts w:hint="eastAsia" w:ascii="宋体" w:hAnsi="宋体" w:eastAsia="宋体" w:cs="宋体"/>
          <w:bCs/>
          <w:snapToGrid w:val="0"/>
          <w:color w:val="auto"/>
          <w:sz w:val="28"/>
          <w:szCs w:val="28"/>
          <w:highlight w:val="none"/>
          <w:u w:val="single"/>
        </w:rPr>
      </w:pPr>
    </w:p>
    <w:p w14:paraId="2496E2BB">
      <w:pPr>
        <w:pStyle w:val="42"/>
        <w:widowControl w:val="0"/>
        <w:wordWrap w:val="0"/>
        <w:adjustRightInd w:val="0"/>
        <w:snapToGrid w:val="0"/>
        <w:spacing w:line="360" w:lineRule="auto"/>
        <w:ind w:firstLine="0"/>
        <w:jc w:val="center"/>
        <w:rPr>
          <w:rFonts w:hint="eastAsia" w:ascii="宋体" w:hAnsi="宋体" w:eastAsia="宋体" w:cs="宋体"/>
          <w:b/>
          <w:snapToGrid w:val="0"/>
          <w:color w:val="auto"/>
          <w:sz w:val="28"/>
          <w:szCs w:val="28"/>
          <w:highlight w:val="none"/>
        </w:rPr>
      </w:pPr>
      <w:r>
        <w:rPr>
          <w:rFonts w:hint="eastAsia" w:ascii="宋体" w:hAnsi="宋体" w:eastAsia="宋体" w:cs="宋体"/>
          <w:bCs/>
          <w:snapToGrid w:val="0"/>
          <w:color w:val="auto"/>
          <w:sz w:val="28"/>
          <w:szCs w:val="28"/>
          <w:highlight w:val="none"/>
          <w:u w:val="single"/>
        </w:rPr>
        <w:t xml:space="preserve">         </w:t>
      </w:r>
      <w:r>
        <w:rPr>
          <w:rFonts w:hint="eastAsia" w:ascii="宋体" w:hAnsi="宋体" w:eastAsia="宋体" w:cs="宋体"/>
          <w:bCs/>
          <w:snapToGrid w:val="0"/>
          <w:color w:val="auto"/>
          <w:sz w:val="28"/>
          <w:szCs w:val="28"/>
          <w:highlight w:val="none"/>
        </w:rPr>
        <w:t>年</w:t>
      </w:r>
      <w:r>
        <w:rPr>
          <w:rFonts w:hint="eastAsia" w:ascii="宋体" w:hAnsi="宋体" w:eastAsia="宋体" w:cs="宋体"/>
          <w:bCs/>
          <w:snapToGrid w:val="0"/>
          <w:color w:val="auto"/>
          <w:sz w:val="28"/>
          <w:szCs w:val="28"/>
          <w:highlight w:val="none"/>
          <w:u w:val="single"/>
        </w:rPr>
        <w:t xml:space="preserve">      </w:t>
      </w:r>
      <w:r>
        <w:rPr>
          <w:rFonts w:hint="eastAsia" w:ascii="宋体" w:hAnsi="宋体" w:eastAsia="宋体" w:cs="宋体"/>
          <w:bCs/>
          <w:snapToGrid w:val="0"/>
          <w:color w:val="auto"/>
          <w:sz w:val="28"/>
          <w:szCs w:val="28"/>
          <w:highlight w:val="none"/>
        </w:rPr>
        <w:t>月</w:t>
      </w:r>
      <w:r>
        <w:rPr>
          <w:rFonts w:hint="eastAsia" w:ascii="宋体" w:hAnsi="宋体" w:eastAsia="宋体" w:cs="宋体"/>
          <w:bCs/>
          <w:snapToGrid w:val="0"/>
          <w:color w:val="auto"/>
          <w:sz w:val="28"/>
          <w:szCs w:val="28"/>
          <w:highlight w:val="none"/>
          <w:u w:val="single"/>
        </w:rPr>
        <w:t xml:space="preserve">      </w:t>
      </w:r>
      <w:r>
        <w:rPr>
          <w:rFonts w:hint="eastAsia" w:ascii="宋体" w:hAnsi="宋体" w:eastAsia="宋体" w:cs="宋体"/>
          <w:bCs/>
          <w:snapToGrid w:val="0"/>
          <w:color w:val="auto"/>
          <w:sz w:val="28"/>
          <w:szCs w:val="28"/>
          <w:highlight w:val="none"/>
        </w:rPr>
        <w:t>日</w:t>
      </w:r>
    </w:p>
    <w:p w14:paraId="5A1606D9">
      <w:pPr>
        <w:bidi w:val="0"/>
        <w:rPr>
          <w:rFonts w:hint="eastAsia"/>
          <w:color w:val="auto"/>
          <w:sz w:val="24"/>
          <w:szCs w:val="24"/>
          <w:highlight w:val="none"/>
        </w:rPr>
      </w:pPr>
    </w:p>
    <w:p w14:paraId="23E6A84C">
      <w:pPr>
        <w:outlineLvl w:val="9"/>
        <w:rPr>
          <w:rFonts w:hint="eastAsia"/>
          <w:color w:val="auto"/>
          <w:sz w:val="24"/>
          <w:szCs w:val="24"/>
          <w:highlight w:val="none"/>
        </w:rPr>
      </w:pPr>
    </w:p>
    <w:p w14:paraId="5B28AB72">
      <w:pPr>
        <w:spacing w:line="223" w:lineRule="auto"/>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4" w:name="_Toc17082"/>
      <w:r>
        <w:rPr>
          <w:rFonts w:hint="eastAsia" w:ascii="宋体" w:hAnsi="宋体" w:eastAsia="宋体" w:cs="宋体"/>
          <w:b/>
          <w:bCs/>
          <w:color w:val="auto"/>
          <w:spacing w:val="-4"/>
          <w:sz w:val="24"/>
          <w:szCs w:val="24"/>
          <w:highlight w:val="none"/>
        </w:rPr>
        <w:t>格式二 投标函</w:t>
      </w:r>
      <w:bookmarkEnd w:id="224"/>
    </w:p>
    <w:p w14:paraId="3A37F6C7">
      <w:pPr>
        <w:pStyle w:val="7"/>
        <w:spacing w:line="261" w:lineRule="auto"/>
        <w:rPr>
          <w:rFonts w:hint="eastAsia" w:ascii="宋体" w:hAnsi="宋体" w:eastAsia="宋体" w:cs="宋体"/>
          <w:color w:val="auto"/>
          <w:sz w:val="24"/>
          <w:szCs w:val="24"/>
          <w:highlight w:val="none"/>
        </w:rPr>
      </w:pPr>
    </w:p>
    <w:p w14:paraId="45A81B1F">
      <w:pPr>
        <w:spacing w:before="97" w:line="221" w:lineRule="auto"/>
        <w:ind w:left="3799"/>
        <w:outlineLvl w:val="9"/>
        <w:rPr>
          <w:rFonts w:hint="eastAsia" w:ascii="宋体" w:hAnsi="宋体" w:eastAsia="宋体" w:cs="宋体"/>
          <w:color w:val="auto"/>
          <w:sz w:val="24"/>
          <w:szCs w:val="24"/>
          <w:highlight w:val="none"/>
        </w:rPr>
      </w:pPr>
      <w:bookmarkStart w:id="225" w:name="bookmark148"/>
      <w:bookmarkEnd w:id="225"/>
      <w:bookmarkStart w:id="226" w:name="_Toc27397"/>
      <w:bookmarkStart w:id="227" w:name="_Toc297"/>
      <w:bookmarkStart w:id="228" w:name="_Toc317"/>
      <w:r>
        <w:rPr>
          <w:rFonts w:hint="eastAsia" w:ascii="宋体" w:hAnsi="宋体" w:eastAsia="宋体" w:cs="宋体"/>
          <w:b/>
          <w:bCs/>
          <w:color w:val="auto"/>
          <w:spacing w:val="-13"/>
          <w:sz w:val="24"/>
          <w:szCs w:val="24"/>
          <w:highlight w:val="none"/>
        </w:rPr>
        <w:t>投</w:t>
      </w:r>
      <w:r>
        <w:rPr>
          <w:rFonts w:hint="eastAsia" w:ascii="宋体" w:hAnsi="宋体" w:eastAsia="宋体" w:cs="宋体"/>
          <w:color w:val="auto"/>
          <w:spacing w:val="6"/>
          <w:sz w:val="24"/>
          <w:szCs w:val="24"/>
          <w:highlight w:val="none"/>
        </w:rPr>
        <w:t xml:space="preserve">  </w:t>
      </w:r>
      <w:r>
        <w:rPr>
          <w:rFonts w:hint="eastAsia" w:ascii="宋体" w:hAnsi="宋体" w:eastAsia="宋体" w:cs="宋体"/>
          <w:b/>
          <w:bCs/>
          <w:color w:val="auto"/>
          <w:spacing w:val="-13"/>
          <w:sz w:val="24"/>
          <w:szCs w:val="24"/>
          <w:highlight w:val="none"/>
        </w:rPr>
        <w:t>标</w:t>
      </w:r>
      <w:r>
        <w:rPr>
          <w:rFonts w:hint="eastAsia" w:ascii="宋体" w:hAnsi="宋体" w:eastAsia="宋体" w:cs="宋体"/>
          <w:color w:val="auto"/>
          <w:spacing w:val="17"/>
          <w:sz w:val="24"/>
          <w:szCs w:val="24"/>
          <w:highlight w:val="none"/>
        </w:rPr>
        <w:t xml:space="preserve">  </w:t>
      </w:r>
      <w:r>
        <w:rPr>
          <w:rFonts w:hint="eastAsia" w:ascii="宋体" w:hAnsi="宋体" w:eastAsia="宋体" w:cs="宋体"/>
          <w:b/>
          <w:bCs/>
          <w:color w:val="auto"/>
          <w:spacing w:val="-13"/>
          <w:sz w:val="24"/>
          <w:szCs w:val="24"/>
          <w:highlight w:val="none"/>
        </w:rPr>
        <w:t>函</w:t>
      </w:r>
      <w:bookmarkEnd w:id="226"/>
      <w:bookmarkEnd w:id="227"/>
      <w:bookmarkEnd w:id="228"/>
    </w:p>
    <w:p w14:paraId="7874E16E">
      <w:pPr>
        <w:pStyle w:val="7"/>
        <w:spacing w:line="249" w:lineRule="auto"/>
        <w:rPr>
          <w:rFonts w:hint="eastAsia" w:ascii="宋体" w:hAnsi="宋体" w:eastAsia="宋体" w:cs="宋体"/>
          <w:color w:val="auto"/>
          <w:sz w:val="24"/>
          <w:szCs w:val="24"/>
          <w:highlight w:val="none"/>
        </w:rPr>
      </w:pPr>
    </w:p>
    <w:p w14:paraId="75D83E64">
      <w:pPr>
        <w:pStyle w:val="7"/>
        <w:spacing w:line="250" w:lineRule="auto"/>
        <w:rPr>
          <w:rFonts w:hint="eastAsia" w:ascii="宋体" w:hAnsi="宋体" w:eastAsia="宋体" w:cs="宋体"/>
          <w:color w:val="auto"/>
          <w:sz w:val="24"/>
          <w:szCs w:val="24"/>
          <w:highlight w:val="none"/>
        </w:rPr>
      </w:pPr>
    </w:p>
    <w:p w14:paraId="5FC5B2DC">
      <w:pPr>
        <w:pStyle w:val="7"/>
        <w:spacing w:line="250" w:lineRule="auto"/>
        <w:rPr>
          <w:rFonts w:hint="eastAsia" w:ascii="宋体" w:hAnsi="宋体" w:eastAsia="宋体" w:cs="宋体"/>
          <w:color w:val="auto"/>
          <w:sz w:val="24"/>
          <w:szCs w:val="24"/>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7"/>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9" w:name="OLE_LINK34"/>
      <w:r>
        <w:rPr>
          <w:rFonts w:hint="eastAsia" w:ascii="宋体" w:hAnsi="宋体" w:eastAsia="宋体" w:cs="宋体"/>
          <w:color w:val="auto"/>
          <w:sz w:val="24"/>
          <w:szCs w:val="24"/>
          <w:highlight w:val="none"/>
          <w:u w:val="single"/>
          <w:lang w:val="en-US" w:eastAsia="zh-CN"/>
        </w:rPr>
        <w:t xml:space="preserve">     </w:t>
      </w:r>
      <w:bookmarkEnd w:id="229"/>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7"/>
        <w:spacing w:line="276" w:lineRule="auto"/>
        <w:rPr>
          <w:rFonts w:hint="eastAsia" w:ascii="宋体" w:hAnsi="宋体" w:eastAsia="宋体" w:cs="宋体"/>
          <w:color w:val="auto"/>
          <w:sz w:val="24"/>
          <w:szCs w:val="24"/>
          <w:highlight w:val="none"/>
        </w:rPr>
      </w:pPr>
    </w:p>
    <w:p w14:paraId="1831F436">
      <w:pPr>
        <w:pStyle w:val="7"/>
        <w:spacing w:line="277" w:lineRule="auto"/>
        <w:rPr>
          <w:rFonts w:hint="eastAsia" w:ascii="宋体" w:hAnsi="宋体" w:eastAsia="宋体" w:cs="宋体"/>
          <w:color w:val="auto"/>
          <w:sz w:val="24"/>
          <w:szCs w:val="24"/>
          <w:highlight w:val="none"/>
        </w:rPr>
      </w:pPr>
    </w:p>
    <w:p w14:paraId="3AC7C5A8">
      <w:pPr>
        <w:pStyle w:val="7"/>
        <w:spacing w:line="277" w:lineRule="auto"/>
        <w:rPr>
          <w:rFonts w:hint="eastAsia" w:ascii="宋体" w:hAnsi="宋体" w:eastAsia="宋体" w:cs="宋体"/>
          <w:color w:val="auto"/>
          <w:sz w:val="24"/>
          <w:szCs w:val="24"/>
          <w:highlight w:val="none"/>
        </w:rPr>
      </w:pPr>
    </w:p>
    <w:p w14:paraId="21D36DDF">
      <w:pPr>
        <w:spacing w:before="79" w:line="219" w:lineRule="auto"/>
        <w:ind w:firstLine="4148" w:firstLineChars="17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7"/>
        <w:spacing w:line="256" w:lineRule="auto"/>
        <w:jc w:val="right"/>
        <w:rPr>
          <w:rFonts w:hint="eastAsia" w:ascii="宋体" w:hAnsi="宋体" w:eastAsia="宋体" w:cs="宋体"/>
          <w:color w:val="auto"/>
          <w:sz w:val="24"/>
          <w:szCs w:val="24"/>
          <w:highlight w:val="none"/>
        </w:rPr>
      </w:pPr>
    </w:p>
    <w:p w14:paraId="357977FD">
      <w:pPr>
        <w:pStyle w:val="7"/>
        <w:spacing w:line="256" w:lineRule="auto"/>
        <w:jc w:val="right"/>
        <w:rPr>
          <w:rFonts w:hint="eastAsia" w:ascii="宋体" w:hAnsi="宋体" w:eastAsia="宋体" w:cs="宋体"/>
          <w:color w:val="auto"/>
          <w:sz w:val="24"/>
          <w:szCs w:val="24"/>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7"/>
        <w:spacing w:line="257" w:lineRule="auto"/>
        <w:rPr>
          <w:rFonts w:hint="eastAsia" w:ascii="宋体" w:hAnsi="宋体" w:eastAsia="宋体" w:cs="宋体"/>
          <w:color w:val="auto"/>
          <w:sz w:val="24"/>
          <w:szCs w:val="24"/>
          <w:highlight w:val="none"/>
        </w:rPr>
      </w:pPr>
    </w:p>
    <w:p w14:paraId="070C60B1">
      <w:pPr>
        <w:pStyle w:val="7"/>
        <w:spacing w:line="257" w:lineRule="auto"/>
        <w:rPr>
          <w:rFonts w:hint="eastAsia" w:ascii="宋体" w:hAnsi="宋体" w:eastAsia="宋体" w:cs="宋体"/>
          <w:color w:val="auto"/>
          <w:sz w:val="24"/>
          <w:szCs w:val="24"/>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30" w:name="_Toc8647"/>
      <w:r>
        <w:rPr>
          <w:rFonts w:hint="eastAsia" w:ascii="宋体" w:hAnsi="宋体" w:eastAsia="宋体" w:cs="宋体"/>
          <w:b/>
          <w:bCs/>
          <w:color w:val="auto"/>
          <w:spacing w:val="-4"/>
          <w:sz w:val="24"/>
          <w:szCs w:val="24"/>
          <w:highlight w:val="none"/>
        </w:rPr>
        <w:t>格式三 各项承诺一览表</w:t>
      </w:r>
      <w:bookmarkEnd w:id="230"/>
    </w:p>
    <w:p w14:paraId="0D7CCACD">
      <w:pPr>
        <w:pStyle w:val="7"/>
        <w:spacing w:line="254" w:lineRule="auto"/>
        <w:rPr>
          <w:rFonts w:hint="eastAsia" w:ascii="宋体" w:hAnsi="宋体" w:eastAsia="宋体" w:cs="宋体"/>
          <w:color w:val="auto"/>
          <w:sz w:val="24"/>
          <w:szCs w:val="24"/>
          <w:highlight w:val="none"/>
        </w:rPr>
      </w:pPr>
    </w:p>
    <w:p w14:paraId="4A57AF5C">
      <w:pPr>
        <w:spacing w:before="98" w:line="220" w:lineRule="auto"/>
        <w:ind w:left="3581"/>
        <w:outlineLvl w:val="9"/>
        <w:rPr>
          <w:rFonts w:hint="eastAsia" w:ascii="宋体" w:hAnsi="宋体" w:eastAsia="宋体" w:cs="宋体"/>
          <w:color w:val="auto"/>
          <w:sz w:val="24"/>
          <w:szCs w:val="24"/>
          <w:highlight w:val="none"/>
        </w:rPr>
      </w:pPr>
      <w:bookmarkStart w:id="231" w:name="bookmark149"/>
      <w:bookmarkEnd w:id="231"/>
      <w:bookmarkStart w:id="232" w:name="_Toc10326"/>
      <w:bookmarkStart w:id="233" w:name="_Toc4767"/>
      <w:bookmarkStart w:id="234" w:name="_Toc2936"/>
      <w:r>
        <w:rPr>
          <w:rFonts w:hint="eastAsia" w:ascii="宋体" w:hAnsi="宋体" w:eastAsia="宋体" w:cs="宋体"/>
          <w:b/>
          <w:bCs/>
          <w:color w:val="auto"/>
          <w:spacing w:val="-5"/>
          <w:sz w:val="24"/>
          <w:szCs w:val="24"/>
          <w:highlight w:val="none"/>
        </w:rPr>
        <w:t>各项承诺一览表</w:t>
      </w:r>
      <w:bookmarkEnd w:id="232"/>
      <w:bookmarkEnd w:id="233"/>
      <w:bookmarkEnd w:id="234"/>
    </w:p>
    <w:p w14:paraId="1040ACDB">
      <w:pPr>
        <w:spacing w:before="6"/>
        <w:rPr>
          <w:rFonts w:hint="eastAsia" w:ascii="宋体" w:hAnsi="宋体" w:eastAsia="宋体" w:cs="宋体"/>
          <w:color w:val="auto"/>
          <w:sz w:val="24"/>
          <w:szCs w:val="24"/>
          <w:highlight w:val="none"/>
        </w:rPr>
      </w:pPr>
    </w:p>
    <w:tbl>
      <w:tblPr>
        <w:tblStyle w:val="17"/>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764" w:type="dxa"/>
            <w:vAlign w:val="center"/>
          </w:tcPr>
          <w:p w14:paraId="43AFBAA6">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center"/>
          </w:tcPr>
          <w:p w14:paraId="3932ED98">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center"/>
          </w:tcPr>
          <w:p w14:paraId="6926247B">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center"/>
          </w:tcPr>
          <w:p w14:paraId="19484B26">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5" w:hRule="atLeast"/>
        </w:trPr>
        <w:tc>
          <w:tcPr>
            <w:tcW w:w="764" w:type="dxa"/>
            <w:vAlign w:val="center"/>
          </w:tcPr>
          <w:p w14:paraId="0E6E63E4">
            <w:pPr>
              <w:pStyle w:val="24"/>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p>
          <w:p w14:paraId="5968E03B">
            <w:pPr>
              <w:pStyle w:val="24"/>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p>
          <w:p w14:paraId="0F6DB51F">
            <w:pPr>
              <w:pStyle w:val="24"/>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center"/>
          </w:tcPr>
          <w:p w14:paraId="693C2F8C">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center"/>
          </w:tcPr>
          <w:p w14:paraId="17F8556B">
            <w:pPr>
              <w:pStyle w:val="24"/>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center"/>
          </w:tcPr>
          <w:p w14:paraId="3F01A048">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1" w:hRule="atLeast"/>
        </w:trPr>
        <w:tc>
          <w:tcPr>
            <w:tcW w:w="764" w:type="dxa"/>
            <w:vAlign w:val="center"/>
          </w:tcPr>
          <w:p w14:paraId="59167F8E">
            <w:pPr>
              <w:pStyle w:val="24"/>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center"/>
          </w:tcPr>
          <w:p w14:paraId="1DAEEEEA">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center"/>
          </w:tcPr>
          <w:p w14:paraId="43B9FDAD">
            <w:pPr>
              <w:pStyle w:val="24"/>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p>
          <w:p w14:paraId="51E22312">
            <w:pPr>
              <w:pStyle w:val="24"/>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center"/>
          </w:tcPr>
          <w:p w14:paraId="367FAD05">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5" w:hRule="atLeast"/>
        </w:trPr>
        <w:tc>
          <w:tcPr>
            <w:tcW w:w="764" w:type="dxa"/>
            <w:vAlign w:val="center"/>
          </w:tcPr>
          <w:p w14:paraId="19E73C69">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center"/>
          </w:tcPr>
          <w:p w14:paraId="62454EE3">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center"/>
          </w:tcPr>
          <w:p w14:paraId="0DE69FDB">
            <w:pPr>
              <w:pStyle w:val="24"/>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center"/>
          </w:tcPr>
          <w:p w14:paraId="4589066B">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C43D837">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center"/>
          </w:tcPr>
          <w:p w14:paraId="5C7A4BF8">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center"/>
          </w:tcPr>
          <w:p w14:paraId="012273A7">
            <w:pPr>
              <w:pStyle w:val="24"/>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p>
          <w:p w14:paraId="70115F3C">
            <w:pPr>
              <w:pStyle w:val="24"/>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未开工、已开工未竣工）建设工程项目的项目经理。</w:t>
            </w:r>
          </w:p>
        </w:tc>
        <w:tc>
          <w:tcPr>
            <w:tcW w:w="4272" w:type="dxa"/>
            <w:vAlign w:val="center"/>
          </w:tcPr>
          <w:p w14:paraId="39F4F1E7">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项目经理，我方接受招标人或其授权的招标代理机构或其组建的评标委员会依据招标文件作出的相应处理以及有关监督部门作出的</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52E61580">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center"/>
          </w:tcPr>
          <w:p w14:paraId="10BB807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7"/>
                <w:sz w:val="24"/>
                <w:szCs w:val="24"/>
                <w:highlight w:val="none"/>
              </w:rPr>
              <w:t>真实性承诺</w:t>
            </w:r>
          </w:p>
        </w:tc>
        <w:tc>
          <w:tcPr>
            <w:tcW w:w="3107" w:type="dxa"/>
            <w:vAlign w:val="center"/>
          </w:tcPr>
          <w:p w14:paraId="48826E6A">
            <w:pPr>
              <w:pStyle w:val="24"/>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left"/>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center"/>
          </w:tcPr>
          <w:p w14:paraId="1583D5E0">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3E319FF4">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4"/>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67937757">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center"/>
          </w:tcPr>
          <w:p w14:paraId="6794C05C">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center"/>
          </w:tcPr>
          <w:p w14:paraId="2FBE142D">
            <w:pPr>
              <w:pStyle w:val="24"/>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color w:val="auto"/>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KAkGu1QAAAAcBAAAPAAAAAAAAAAEAIAAAACIAAABkcnMvZG93bnJldi54&#10;bWxQSwECFAAUAAAACACHTuJAXpFIZP0BAADQAwAADgAAAAAAAAABACAAAAAkAQAAZHJzL2Uyb0Rv&#10;Yy54bWxQSwUGAAAAAAYABgBZAQAAkwUAAAAA&#10;">
                      <v:fill on="f" focussize="0,0"/>
                      <v:stroke weight="1pt" color="#000000 [3213]" miterlimit="8" joinstyle="miter"/>
                      <v:imagedata o:title=""/>
                      <o:lock v:ext="edit" aspectratio="f"/>
                    </v:line>
                  </w:pict>
                </mc:Fallback>
              </mc:AlternateContent>
            </w:r>
          </w:p>
          <w:p w14:paraId="73473CF0">
            <w:pPr>
              <w:pStyle w:val="24"/>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5F010AA9">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center"/>
          </w:tcPr>
          <w:p w14:paraId="06743F6A">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center"/>
          </w:tcPr>
          <w:p w14:paraId="6339079D">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center"/>
          </w:tcPr>
          <w:p w14:paraId="2AC2D7AD">
            <w:pPr>
              <w:pStyle w:val="24"/>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color w:val="auto"/>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26035</wp:posOffset>
                      </wp:positionV>
                      <wp:extent cx="2714625" cy="1374140"/>
                      <wp:effectExtent l="3175" t="5715" r="6350" b="10795"/>
                      <wp:wrapNone/>
                      <wp:docPr id="24" name="直接连接符 24"/>
                      <wp:cNvGraphicFramePr/>
                      <a:graphic xmlns:a="http://schemas.openxmlformats.org/drawingml/2006/main">
                        <a:graphicData uri="http://schemas.microsoft.com/office/word/2010/wordprocessingShape">
                          <wps:wsp>
                            <wps:cNvCnPr/>
                            <wps:spPr>
                              <a:xfrm flipV="1">
                                <a:off x="4217670" y="3238500"/>
                                <a:ext cx="2714625" cy="137414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2.05pt;height:108.2pt;width:213.75pt;z-index:251661312;mso-width-relative:page;mso-height-relative:page;" filled="f" stroked="t" coordsize="21600,21600" o:gfxdata="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Nt5tK1QAAAAcBAAAPAAAAAAAAAAEAIAAAACIAAABkcnMvZG93bnJl&#10;di54bWxQSwECFAAUAAAACACHTuJAA1C1SQACAADQAwAADgAAAAAAAAABACAAAAAkAQAAZHJzL2Uy&#10;b0RvYy54bWxQSwUGAAAAAAYABgBZAQAAlgUAAAAA&#10;">
                      <v:fill on="f" focussize="0,0"/>
                      <v:stroke weight="1pt" color="#000000 [3213]" miterlimit="8" joinstyle="miter"/>
                      <v:imagedata o:title=""/>
                      <o:lock v:ext="edit" aspectratio="f"/>
                    </v:line>
                  </w:pict>
                </mc:Fallback>
              </mc:AlternateContent>
            </w:r>
          </w:p>
          <w:p w14:paraId="7C9BB7EC">
            <w:pPr>
              <w:pStyle w:val="24"/>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p>
          <w:p w14:paraId="51A5536F">
            <w:pPr>
              <w:pStyle w:val="24"/>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D5C170A">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center"/>
          </w:tcPr>
          <w:p w14:paraId="4D741FFC">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center"/>
          </w:tcPr>
          <w:p w14:paraId="2F2EF5F6">
            <w:pPr>
              <w:pStyle w:val="24"/>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left"/>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center"/>
          </w:tcPr>
          <w:p w14:paraId="20F3BAEB">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如果我方未在招标文件规定的时限内全额提交履约保证，我方接受招标人依据招标文件作出的相应处理以及有关监督部门作出的行政处罚，并承担由此引起的一切法律后</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E8D2FFB">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center"/>
          </w:tcPr>
          <w:p w14:paraId="59127F03">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center"/>
          </w:tcPr>
          <w:p w14:paraId="45DF0271">
            <w:pPr>
              <w:pStyle w:val="24"/>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left"/>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center"/>
          </w:tcPr>
          <w:p w14:paraId="193F81D5">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4392" w:firstLineChars="18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7"/>
        <w:spacing w:line="297" w:lineRule="auto"/>
        <w:jc w:val="right"/>
        <w:rPr>
          <w:rFonts w:hint="eastAsia" w:ascii="宋体" w:hAnsi="宋体" w:eastAsia="宋体" w:cs="宋体"/>
          <w:color w:val="auto"/>
          <w:sz w:val="24"/>
          <w:szCs w:val="24"/>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sz w:val="24"/>
          <w:szCs w:val="24"/>
          <w:highlight w:val="none"/>
        </w:rPr>
      </w:pPr>
    </w:p>
    <w:p w14:paraId="07DB3461">
      <w:pPr>
        <w:spacing w:before="78" w:line="220" w:lineRule="auto"/>
        <w:ind w:firstLine="5280" w:firstLineChars="2200"/>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5" w:name="_Toc30680"/>
      <w:r>
        <w:rPr>
          <w:rFonts w:hint="eastAsia" w:ascii="宋体" w:hAnsi="宋体" w:eastAsia="宋体" w:cs="宋体"/>
          <w:b/>
          <w:bCs/>
          <w:color w:val="auto"/>
          <w:spacing w:val="-4"/>
          <w:sz w:val="24"/>
          <w:szCs w:val="24"/>
          <w:highlight w:val="none"/>
        </w:rPr>
        <w:t>格式四 授权委托书</w:t>
      </w:r>
      <w:bookmarkEnd w:id="235"/>
    </w:p>
    <w:p w14:paraId="6CD0F9BB">
      <w:pPr>
        <w:pStyle w:val="7"/>
        <w:spacing w:line="351" w:lineRule="auto"/>
        <w:rPr>
          <w:rFonts w:hint="eastAsia" w:ascii="宋体" w:hAnsi="宋体" w:eastAsia="宋体" w:cs="宋体"/>
          <w:color w:val="auto"/>
          <w:sz w:val="24"/>
          <w:szCs w:val="24"/>
          <w:highlight w:val="none"/>
        </w:rPr>
      </w:pPr>
    </w:p>
    <w:p w14:paraId="18A875F0">
      <w:pPr>
        <w:pStyle w:val="7"/>
        <w:spacing w:line="351" w:lineRule="auto"/>
        <w:rPr>
          <w:rFonts w:hint="eastAsia" w:ascii="宋体" w:hAnsi="宋体" w:eastAsia="宋体" w:cs="宋体"/>
          <w:color w:val="auto"/>
          <w:sz w:val="24"/>
          <w:szCs w:val="24"/>
          <w:highlight w:val="none"/>
        </w:rPr>
      </w:pPr>
    </w:p>
    <w:p w14:paraId="7EF079A3">
      <w:pPr>
        <w:spacing w:before="97" w:line="219" w:lineRule="auto"/>
        <w:ind w:left="3786"/>
        <w:rPr>
          <w:rFonts w:hint="eastAsia" w:ascii="宋体" w:hAnsi="宋体" w:eastAsia="宋体" w:cs="宋体"/>
          <w:color w:val="auto"/>
          <w:sz w:val="24"/>
          <w:szCs w:val="24"/>
          <w:highlight w:val="none"/>
        </w:rPr>
      </w:pPr>
      <w:bookmarkStart w:id="236" w:name="bookmark151"/>
      <w:bookmarkEnd w:id="236"/>
      <w:r>
        <w:rPr>
          <w:rFonts w:hint="eastAsia" w:ascii="宋体" w:hAnsi="宋体" w:eastAsia="宋体" w:cs="宋体"/>
          <w:b/>
          <w:bCs/>
          <w:color w:val="auto"/>
          <w:spacing w:val="-5"/>
          <w:sz w:val="24"/>
          <w:szCs w:val="24"/>
          <w:highlight w:val="none"/>
        </w:rPr>
        <w:t>授权委托书</w:t>
      </w:r>
    </w:p>
    <w:p w14:paraId="473B7E5C">
      <w:pPr>
        <w:pStyle w:val="7"/>
        <w:spacing w:line="250" w:lineRule="auto"/>
        <w:rPr>
          <w:rFonts w:hint="eastAsia" w:ascii="宋体" w:hAnsi="宋体" w:eastAsia="宋体" w:cs="宋体"/>
          <w:color w:val="auto"/>
          <w:sz w:val="24"/>
          <w:szCs w:val="24"/>
          <w:highlight w:val="none"/>
        </w:rPr>
      </w:pPr>
    </w:p>
    <w:p w14:paraId="72DA4D73">
      <w:pPr>
        <w:pStyle w:val="7"/>
        <w:spacing w:line="250" w:lineRule="auto"/>
        <w:rPr>
          <w:rFonts w:hint="eastAsia" w:ascii="宋体" w:hAnsi="宋体" w:eastAsia="宋体" w:cs="宋体"/>
          <w:color w:val="auto"/>
          <w:sz w:val="24"/>
          <w:szCs w:val="24"/>
          <w:highlight w:val="none"/>
        </w:rPr>
      </w:pPr>
    </w:p>
    <w:p w14:paraId="18BC7C34">
      <w:pPr>
        <w:pStyle w:val="7"/>
        <w:spacing w:line="251" w:lineRule="auto"/>
        <w:rPr>
          <w:rFonts w:hint="eastAsia" w:ascii="宋体" w:hAnsi="宋体" w:eastAsia="宋体" w:cs="宋体"/>
          <w:color w:val="auto"/>
          <w:sz w:val="24"/>
          <w:szCs w:val="24"/>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本人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lang w:eastAsia="zh-CN"/>
        </w:rPr>
        <w:t>（姓名）系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lang w:eastAsia="zh-CN"/>
        </w:rPr>
        <w:t>（投标人名称）的法定代表人，现委托</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lang w:eastAsia="zh-CN"/>
        </w:rPr>
        <w:t>（项目名称）</w:t>
      </w:r>
      <w:r>
        <w:rPr>
          <w:rFonts w:hint="eastAsia" w:ascii="宋体" w:hAnsi="宋体" w:eastAsia="宋体" w:cs="宋体"/>
          <w:snapToGrid w:val="0"/>
          <w:color w:val="auto"/>
          <w:kern w:val="0"/>
          <w:sz w:val="24"/>
          <w:szCs w:val="24"/>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w:t>
      </w:r>
      <w:r>
        <w:rPr>
          <w:rFonts w:hint="eastAsia" w:ascii="宋体" w:hAnsi="宋体" w:eastAsia="宋体" w:cs="宋体"/>
          <w:color w:val="auto"/>
          <w:spacing w:val="-9"/>
          <w:sz w:val="24"/>
          <w:szCs w:val="24"/>
          <w:highlight w:val="none"/>
          <w:u w:val="single"/>
        </w:rPr>
        <w:t>至投标有效期的期满之日止。</w:t>
      </w:r>
      <w:r>
        <w:rPr>
          <w:rFonts w:hint="eastAsia" w:ascii="宋体" w:hAnsi="宋体" w:eastAsia="宋体" w:cs="宋体"/>
          <w:color w:val="auto"/>
          <w:spacing w:val="15"/>
          <w:sz w:val="24"/>
          <w:szCs w:val="24"/>
          <w:highlight w:val="none"/>
          <w:u w:val="singl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7"/>
        <w:spacing w:line="276" w:lineRule="auto"/>
        <w:rPr>
          <w:rFonts w:hint="eastAsia" w:ascii="宋体" w:hAnsi="宋体" w:eastAsia="宋体" w:cs="宋体"/>
          <w:color w:val="auto"/>
          <w:sz w:val="24"/>
          <w:szCs w:val="24"/>
          <w:highlight w:val="none"/>
        </w:rPr>
      </w:pPr>
    </w:p>
    <w:p w14:paraId="2A536516">
      <w:pPr>
        <w:pStyle w:val="7"/>
        <w:spacing w:line="277" w:lineRule="auto"/>
        <w:rPr>
          <w:rFonts w:hint="eastAsia" w:ascii="宋体" w:hAnsi="宋体" w:eastAsia="宋体" w:cs="宋体"/>
          <w:color w:val="auto"/>
          <w:sz w:val="24"/>
          <w:szCs w:val="24"/>
          <w:highlight w:val="none"/>
        </w:rPr>
      </w:pPr>
    </w:p>
    <w:p w14:paraId="1CDFB82E">
      <w:pPr>
        <w:pStyle w:val="7"/>
        <w:spacing w:line="277" w:lineRule="auto"/>
        <w:rPr>
          <w:rFonts w:hint="eastAsia" w:ascii="宋体" w:hAnsi="宋体" w:eastAsia="宋体" w:cs="宋体"/>
          <w:color w:val="auto"/>
          <w:sz w:val="24"/>
          <w:szCs w:val="24"/>
          <w:highlight w:val="none"/>
        </w:rPr>
      </w:pPr>
    </w:p>
    <w:p w14:paraId="63BD962A">
      <w:pPr>
        <w:spacing w:before="78" w:line="240"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57132AE9">
      <w:pPr>
        <w:pStyle w:val="7"/>
        <w:spacing w:line="240" w:lineRule="auto"/>
        <w:jc w:val="right"/>
        <w:rPr>
          <w:rFonts w:hint="eastAsia" w:ascii="宋体" w:hAnsi="宋体" w:eastAsia="宋体" w:cs="宋体"/>
          <w:color w:val="auto"/>
          <w:sz w:val="24"/>
          <w:szCs w:val="24"/>
          <w:highlight w:val="none"/>
        </w:rPr>
      </w:pPr>
    </w:p>
    <w:p w14:paraId="32FCF699">
      <w:pPr>
        <w:pStyle w:val="7"/>
        <w:spacing w:line="240" w:lineRule="auto"/>
        <w:jc w:val="right"/>
        <w:rPr>
          <w:rFonts w:hint="eastAsia" w:ascii="宋体" w:hAnsi="宋体" w:eastAsia="宋体" w:cs="宋体"/>
          <w:color w:val="auto"/>
          <w:sz w:val="24"/>
          <w:szCs w:val="24"/>
          <w:highlight w:val="none"/>
        </w:rPr>
      </w:pPr>
    </w:p>
    <w:p w14:paraId="0C20E36F">
      <w:pPr>
        <w:spacing w:before="79" w:line="240"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6B89A96E">
      <w:pPr>
        <w:pStyle w:val="7"/>
        <w:spacing w:line="240" w:lineRule="auto"/>
        <w:jc w:val="both"/>
        <w:rPr>
          <w:rFonts w:hint="eastAsia" w:ascii="宋体" w:hAnsi="宋体" w:eastAsia="宋体" w:cs="宋体"/>
          <w:color w:val="auto"/>
          <w:sz w:val="24"/>
          <w:szCs w:val="24"/>
          <w:highlight w:val="none"/>
        </w:rPr>
      </w:pPr>
    </w:p>
    <w:p w14:paraId="52524FDC">
      <w:pPr>
        <w:pStyle w:val="7"/>
        <w:spacing w:line="240" w:lineRule="auto"/>
        <w:jc w:val="right"/>
        <w:rPr>
          <w:rFonts w:hint="eastAsia" w:ascii="宋体" w:hAnsi="宋体" w:eastAsia="宋体" w:cs="宋体"/>
          <w:color w:val="auto"/>
          <w:sz w:val="24"/>
          <w:szCs w:val="24"/>
          <w:highlight w:val="none"/>
        </w:rPr>
      </w:pPr>
    </w:p>
    <w:p w14:paraId="414B89CB">
      <w:pPr>
        <w:spacing w:before="78" w:line="240"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7"/>
        <w:spacing w:line="240" w:lineRule="auto"/>
        <w:jc w:val="right"/>
        <w:rPr>
          <w:rFonts w:hint="eastAsia" w:ascii="宋体" w:hAnsi="宋体" w:eastAsia="宋体" w:cs="宋体"/>
          <w:color w:val="auto"/>
          <w:sz w:val="24"/>
          <w:szCs w:val="24"/>
          <w:highlight w:val="none"/>
        </w:rPr>
      </w:pPr>
    </w:p>
    <w:p w14:paraId="635562C0">
      <w:pPr>
        <w:pStyle w:val="7"/>
        <w:spacing w:line="240" w:lineRule="auto"/>
        <w:jc w:val="right"/>
        <w:rPr>
          <w:rFonts w:hint="eastAsia" w:ascii="宋体" w:hAnsi="宋体" w:eastAsia="宋体" w:cs="宋体"/>
          <w:color w:val="auto"/>
          <w:sz w:val="24"/>
          <w:szCs w:val="24"/>
          <w:highlight w:val="none"/>
        </w:rPr>
      </w:pPr>
    </w:p>
    <w:p w14:paraId="27218817">
      <w:pPr>
        <w:spacing w:before="78" w:line="240" w:lineRule="auto"/>
        <w:ind w:firstLine="6000" w:firstLineChars="2500"/>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3A4AD89C">
      <w:pPr>
        <w:spacing w:before="69"/>
        <w:rPr>
          <w:rFonts w:hint="eastAsia" w:ascii="宋体" w:hAnsi="宋体" w:eastAsia="宋体" w:cs="宋体"/>
          <w:color w:val="auto"/>
          <w:sz w:val="24"/>
          <w:szCs w:val="24"/>
          <w:highlight w:val="none"/>
        </w:rPr>
      </w:pPr>
    </w:p>
    <w:p w14:paraId="363508E1">
      <w:pPr>
        <w:spacing w:before="69"/>
        <w:rPr>
          <w:rFonts w:hint="eastAsia" w:ascii="宋体" w:hAnsi="宋体" w:eastAsia="宋体" w:cs="宋体"/>
          <w:color w:val="auto"/>
          <w:sz w:val="24"/>
          <w:szCs w:val="24"/>
          <w:highlight w:val="none"/>
        </w:rPr>
      </w:pPr>
    </w:p>
    <w:tbl>
      <w:tblPr>
        <w:tblStyle w:val="17"/>
        <w:tblW w:w="5253"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253"/>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904" w:hRule="atLeast"/>
        </w:trPr>
        <w:tc>
          <w:tcPr>
            <w:tcW w:w="5253" w:type="dxa"/>
            <w:vAlign w:val="top"/>
          </w:tcPr>
          <w:p w14:paraId="49F11E44">
            <w:pPr>
              <w:pStyle w:val="24"/>
              <w:spacing w:line="245" w:lineRule="auto"/>
              <w:rPr>
                <w:rFonts w:hint="eastAsia" w:ascii="宋体" w:hAnsi="宋体" w:eastAsia="宋体" w:cs="宋体"/>
                <w:color w:val="auto"/>
                <w:sz w:val="24"/>
                <w:szCs w:val="24"/>
                <w:highlight w:val="none"/>
              </w:rPr>
            </w:pPr>
          </w:p>
          <w:p w14:paraId="6375CF52">
            <w:pPr>
              <w:pStyle w:val="24"/>
              <w:spacing w:line="245" w:lineRule="auto"/>
              <w:rPr>
                <w:rFonts w:hint="eastAsia" w:ascii="宋体" w:hAnsi="宋体" w:eastAsia="宋体" w:cs="宋体"/>
                <w:color w:val="auto"/>
                <w:sz w:val="24"/>
                <w:szCs w:val="24"/>
                <w:highlight w:val="none"/>
              </w:rPr>
            </w:pPr>
          </w:p>
          <w:p w14:paraId="761F0736">
            <w:pPr>
              <w:pStyle w:val="24"/>
              <w:spacing w:line="246" w:lineRule="auto"/>
              <w:rPr>
                <w:rFonts w:hint="eastAsia" w:ascii="宋体" w:hAnsi="宋体" w:eastAsia="宋体" w:cs="宋体"/>
                <w:color w:val="auto"/>
                <w:sz w:val="24"/>
                <w:szCs w:val="24"/>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7"/>
        <w:rPr>
          <w:rFonts w:hint="eastAsia" w:ascii="宋体" w:hAnsi="宋体" w:eastAsia="宋体" w:cs="宋体"/>
          <w:color w:val="auto"/>
          <w:sz w:val="24"/>
          <w:szCs w:val="24"/>
          <w:highlight w:val="none"/>
        </w:rPr>
      </w:pPr>
    </w:p>
    <w:p w14:paraId="2F0066E9">
      <w:pPr>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7" w:name="_Toc5673"/>
      <w:r>
        <w:rPr>
          <w:rFonts w:hint="eastAsia" w:ascii="宋体" w:hAnsi="宋体" w:eastAsia="宋体" w:cs="宋体"/>
          <w:b/>
          <w:bCs/>
          <w:color w:val="auto"/>
          <w:spacing w:val="-4"/>
          <w:sz w:val="24"/>
          <w:szCs w:val="24"/>
          <w:highlight w:val="none"/>
        </w:rPr>
        <w:t>格式五 法定代表人身份证明</w:t>
      </w:r>
      <w:bookmarkEnd w:id="237"/>
    </w:p>
    <w:p w14:paraId="2DA7024D">
      <w:pPr>
        <w:pStyle w:val="7"/>
        <w:spacing w:line="350" w:lineRule="auto"/>
        <w:rPr>
          <w:rFonts w:hint="eastAsia" w:ascii="宋体" w:hAnsi="宋体" w:eastAsia="宋体" w:cs="宋体"/>
          <w:color w:val="auto"/>
          <w:sz w:val="24"/>
          <w:szCs w:val="24"/>
          <w:highlight w:val="none"/>
        </w:rPr>
      </w:pPr>
    </w:p>
    <w:p w14:paraId="0868334D">
      <w:pPr>
        <w:pStyle w:val="7"/>
        <w:spacing w:line="350" w:lineRule="auto"/>
        <w:rPr>
          <w:rFonts w:hint="eastAsia" w:ascii="宋体" w:hAnsi="宋体" w:eastAsia="宋体" w:cs="宋体"/>
          <w:color w:val="auto"/>
          <w:sz w:val="24"/>
          <w:szCs w:val="24"/>
          <w:highlight w:val="none"/>
        </w:rPr>
      </w:pPr>
    </w:p>
    <w:p w14:paraId="5209C7D3">
      <w:pPr>
        <w:spacing w:before="98" w:line="220" w:lineRule="auto"/>
        <w:ind w:left="3183"/>
        <w:rPr>
          <w:rFonts w:hint="eastAsia" w:ascii="宋体" w:hAnsi="宋体" w:eastAsia="宋体" w:cs="宋体"/>
          <w:color w:val="auto"/>
          <w:sz w:val="24"/>
          <w:szCs w:val="24"/>
          <w:highlight w:val="none"/>
        </w:rPr>
      </w:pPr>
      <w:bookmarkStart w:id="238" w:name="bookmark152"/>
      <w:bookmarkEnd w:id="238"/>
      <w:r>
        <w:rPr>
          <w:rFonts w:hint="eastAsia" w:ascii="宋体" w:hAnsi="宋体" w:eastAsia="宋体" w:cs="宋体"/>
          <w:b/>
          <w:bCs/>
          <w:color w:val="auto"/>
          <w:spacing w:val="-4"/>
          <w:sz w:val="24"/>
          <w:szCs w:val="24"/>
          <w:highlight w:val="none"/>
        </w:rPr>
        <w:t>法定代表人身份证明</w:t>
      </w:r>
    </w:p>
    <w:p w14:paraId="136F935F">
      <w:pPr>
        <w:pStyle w:val="7"/>
        <w:spacing w:line="250" w:lineRule="auto"/>
        <w:rPr>
          <w:rFonts w:hint="eastAsia" w:ascii="宋体" w:hAnsi="宋体" w:eastAsia="宋体" w:cs="宋体"/>
          <w:color w:val="auto"/>
          <w:sz w:val="24"/>
          <w:szCs w:val="24"/>
          <w:highlight w:val="none"/>
        </w:rPr>
      </w:pPr>
    </w:p>
    <w:p w14:paraId="2E1E9E2A">
      <w:pPr>
        <w:pStyle w:val="7"/>
        <w:spacing w:line="250" w:lineRule="auto"/>
        <w:rPr>
          <w:rFonts w:hint="eastAsia" w:ascii="宋体" w:hAnsi="宋体" w:eastAsia="宋体" w:cs="宋体"/>
          <w:color w:val="auto"/>
          <w:sz w:val="24"/>
          <w:szCs w:val="24"/>
          <w:highlight w:val="none"/>
        </w:rPr>
      </w:pPr>
    </w:p>
    <w:p w14:paraId="6ABEAEB7">
      <w:pPr>
        <w:pStyle w:val="7"/>
        <w:spacing w:line="251" w:lineRule="auto"/>
        <w:rPr>
          <w:rFonts w:hint="eastAsia" w:ascii="宋体" w:hAnsi="宋体" w:eastAsia="宋体" w:cs="宋体"/>
          <w:color w:val="auto"/>
          <w:sz w:val="24"/>
          <w:szCs w:val="24"/>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7"/>
        <w:spacing w:line="277" w:lineRule="auto"/>
        <w:rPr>
          <w:rFonts w:hint="eastAsia" w:ascii="宋体" w:hAnsi="宋体" w:eastAsia="宋体" w:cs="宋体"/>
          <w:color w:val="auto"/>
          <w:sz w:val="24"/>
          <w:szCs w:val="24"/>
          <w:highlight w:val="none"/>
        </w:rPr>
      </w:pPr>
    </w:p>
    <w:p w14:paraId="6D7B4DE3">
      <w:pPr>
        <w:pStyle w:val="7"/>
        <w:spacing w:line="277" w:lineRule="auto"/>
        <w:rPr>
          <w:rFonts w:hint="eastAsia" w:ascii="宋体" w:hAnsi="宋体" w:eastAsia="宋体" w:cs="宋体"/>
          <w:color w:val="auto"/>
          <w:sz w:val="24"/>
          <w:szCs w:val="24"/>
          <w:highlight w:val="none"/>
        </w:rPr>
      </w:pPr>
    </w:p>
    <w:p w14:paraId="2D9D6E99">
      <w:pPr>
        <w:pStyle w:val="7"/>
        <w:spacing w:line="278" w:lineRule="auto"/>
        <w:rPr>
          <w:rFonts w:hint="eastAsia" w:ascii="宋体" w:hAnsi="宋体" w:eastAsia="宋体" w:cs="宋体"/>
          <w:color w:val="auto"/>
          <w:sz w:val="24"/>
          <w:szCs w:val="24"/>
          <w:highlight w:val="none"/>
        </w:rPr>
      </w:pPr>
    </w:p>
    <w:p w14:paraId="6F4B4B3A">
      <w:pPr>
        <w:spacing w:before="78"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1110A429">
      <w:pPr>
        <w:pStyle w:val="7"/>
        <w:spacing w:line="317" w:lineRule="auto"/>
        <w:jc w:val="right"/>
        <w:rPr>
          <w:rFonts w:hint="eastAsia" w:ascii="宋体" w:hAnsi="宋体" w:eastAsia="宋体" w:cs="宋体"/>
          <w:color w:val="auto"/>
          <w:sz w:val="24"/>
          <w:szCs w:val="24"/>
          <w:highlight w:val="none"/>
        </w:rPr>
      </w:pPr>
    </w:p>
    <w:p w14:paraId="0997B4DF">
      <w:pPr>
        <w:spacing w:before="79"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7"/>
        <w:spacing w:line="257" w:lineRule="auto"/>
        <w:jc w:val="right"/>
        <w:rPr>
          <w:rFonts w:hint="eastAsia" w:ascii="宋体" w:hAnsi="宋体" w:eastAsia="宋体" w:cs="宋体"/>
          <w:color w:val="auto"/>
          <w:sz w:val="24"/>
          <w:szCs w:val="24"/>
          <w:highlight w:val="none"/>
        </w:rPr>
      </w:pPr>
    </w:p>
    <w:p w14:paraId="407142E8">
      <w:pPr>
        <w:pStyle w:val="7"/>
        <w:spacing w:line="257" w:lineRule="auto"/>
        <w:jc w:val="right"/>
        <w:rPr>
          <w:rFonts w:hint="eastAsia" w:ascii="宋体" w:hAnsi="宋体" w:eastAsia="宋体" w:cs="宋体"/>
          <w:color w:val="auto"/>
          <w:sz w:val="24"/>
          <w:szCs w:val="24"/>
          <w:highlight w:val="none"/>
        </w:rPr>
      </w:pPr>
    </w:p>
    <w:p w14:paraId="0A27F30D">
      <w:pPr>
        <w:pStyle w:val="7"/>
        <w:spacing w:line="254" w:lineRule="auto"/>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BF375B2">
      <w:pPr>
        <w:pStyle w:val="7"/>
        <w:spacing w:line="254" w:lineRule="auto"/>
        <w:rPr>
          <w:rFonts w:hint="eastAsia" w:ascii="宋体" w:hAnsi="宋体" w:eastAsia="宋体" w:cs="宋体"/>
          <w:color w:val="auto"/>
          <w:sz w:val="24"/>
          <w:szCs w:val="24"/>
          <w:highlight w:val="none"/>
        </w:rPr>
      </w:pPr>
    </w:p>
    <w:p w14:paraId="03AC5067">
      <w:pPr>
        <w:pStyle w:val="7"/>
        <w:spacing w:line="254" w:lineRule="auto"/>
        <w:rPr>
          <w:rFonts w:hint="eastAsia" w:ascii="宋体" w:hAnsi="宋体" w:eastAsia="宋体" w:cs="宋体"/>
          <w:color w:val="auto"/>
          <w:sz w:val="24"/>
          <w:szCs w:val="24"/>
          <w:highlight w:val="none"/>
        </w:rPr>
      </w:pPr>
    </w:p>
    <w:p w14:paraId="36A90F84">
      <w:pPr>
        <w:pStyle w:val="7"/>
        <w:spacing w:line="254" w:lineRule="auto"/>
        <w:rPr>
          <w:rFonts w:hint="eastAsia" w:ascii="宋体" w:hAnsi="宋体" w:eastAsia="宋体" w:cs="宋体"/>
          <w:color w:val="auto"/>
          <w:sz w:val="24"/>
          <w:szCs w:val="24"/>
          <w:highlight w:val="none"/>
        </w:rPr>
      </w:pPr>
    </w:p>
    <w:p w14:paraId="259164D9">
      <w:pPr>
        <w:pStyle w:val="7"/>
        <w:spacing w:line="254" w:lineRule="auto"/>
        <w:rPr>
          <w:rFonts w:hint="eastAsia" w:ascii="宋体" w:hAnsi="宋体" w:eastAsia="宋体" w:cs="宋体"/>
          <w:color w:val="auto"/>
          <w:sz w:val="24"/>
          <w:szCs w:val="24"/>
          <w:highlight w:val="none"/>
        </w:rPr>
      </w:pPr>
    </w:p>
    <w:p w14:paraId="0C625CC7">
      <w:pPr>
        <w:pStyle w:val="7"/>
        <w:spacing w:line="255" w:lineRule="auto"/>
        <w:rPr>
          <w:rFonts w:hint="eastAsia" w:ascii="宋体" w:hAnsi="宋体" w:eastAsia="宋体" w:cs="宋体"/>
          <w:color w:val="auto"/>
          <w:sz w:val="24"/>
          <w:szCs w:val="24"/>
          <w:highlight w:val="none"/>
        </w:rPr>
      </w:pPr>
    </w:p>
    <w:p w14:paraId="1979E48F">
      <w:pPr>
        <w:pStyle w:val="7"/>
        <w:spacing w:line="255" w:lineRule="auto"/>
        <w:rPr>
          <w:rFonts w:hint="eastAsia" w:ascii="宋体" w:hAnsi="宋体" w:eastAsia="宋体" w:cs="宋体"/>
          <w:color w:val="auto"/>
          <w:sz w:val="24"/>
          <w:szCs w:val="24"/>
          <w:highlight w:val="none"/>
        </w:rPr>
      </w:pPr>
    </w:p>
    <w:p w14:paraId="6E23282B">
      <w:pPr>
        <w:pStyle w:val="7"/>
        <w:spacing w:before="1" w:line="2510" w:lineRule="exact"/>
        <w:ind w:firstLine="2534"/>
        <w:rPr>
          <w:rFonts w:hint="eastAsia" w:ascii="宋体" w:hAnsi="宋体" w:eastAsia="宋体" w:cs="宋体"/>
          <w:color w:val="auto"/>
          <w:sz w:val="24"/>
          <w:szCs w:val="24"/>
          <w:highlight w:val="none"/>
        </w:rPr>
      </w:pPr>
      <w:r>
        <w:rPr>
          <w:rFonts w:hint="eastAsia" w:ascii="宋体" w:hAnsi="宋体" w:eastAsia="宋体" w:cs="宋体"/>
          <w:color w:val="auto"/>
          <w:position w:val="-50"/>
          <w:sz w:val="24"/>
          <w:szCs w:val="24"/>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sz w:val="24"/>
          <w:szCs w:val="24"/>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9" w:name="_Toc11031"/>
      <w:r>
        <w:rPr>
          <w:rFonts w:hint="eastAsia" w:ascii="宋体" w:hAnsi="宋体" w:eastAsia="宋体" w:cs="宋体"/>
          <w:b/>
          <w:bCs/>
          <w:color w:val="auto"/>
          <w:spacing w:val="-4"/>
          <w:sz w:val="24"/>
          <w:szCs w:val="24"/>
          <w:highlight w:val="none"/>
        </w:rPr>
        <w:t>格式六 联合体协议书</w:t>
      </w:r>
      <w:bookmarkEnd w:id="239"/>
    </w:p>
    <w:p w14:paraId="7ABDF3E8">
      <w:pPr>
        <w:pStyle w:val="42"/>
        <w:widowControl w:val="0"/>
        <w:wordWrap w:val="0"/>
        <w:adjustRightInd w:val="0"/>
        <w:snapToGrid w:val="0"/>
        <w:spacing w:before="240" w:after="240" w:line="440" w:lineRule="exact"/>
        <w:ind w:firstLine="0"/>
        <w:jc w:val="center"/>
        <w:rPr>
          <w:rFonts w:hint="eastAsia" w:ascii="Times New Roman"/>
          <w:snapToGrid w:val="0"/>
          <w:color w:val="auto"/>
          <w:sz w:val="24"/>
          <w:szCs w:val="24"/>
          <w:highlight w:val="none"/>
        </w:rPr>
      </w:pPr>
      <w:bookmarkStart w:id="240" w:name="bookmark153"/>
      <w:bookmarkEnd w:id="240"/>
      <w:r>
        <w:rPr>
          <w:rFonts w:hint="eastAsia" w:ascii="Times New Roman"/>
          <w:b/>
          <w:snapToGrid w:val="0"/>
          <w:color w:val="auto"/>
          <w:sz w:val="24"/>
          <w:szCs w:val="24"/>
          <w:highlight w:val="none"/>
        </w:rPr>
        <w:t>联合体协议书</w:t>
      </w:r>
    </w:p>
    <w:p w14:paraId="67B38D4F">
      <w:pPr>
        <w:pStyle w:val="42"/>
        <w:widowControl w:val="0"/>
        <w:wordWrap w:val="0"/>
        <w:adjustRightInd w:val="0"/>
        <w:snapToGrid w:val="0"/>
        <w:spacing w:line="440" w:lineRule="exact"/>
        <w:rPr>
          <w:rFonts w:hint="eastAsia" w:ascii="Times New Roman"/>
          <w:snapToGrid w:val="0"/>
          <w:color w:val="auto"/>
          <w:sz w:val="24"/>
          <w:szCs w:val="24"/>
          <w:highlight w:val="none"/>
        </w:rPr>
      </w:pPr>
    </w:p>
    <w:p w14:paraId="6ED761E6">
      <w:pPr>
        <w:pStyle w:val="42"/>
        <w:widowControl w:val="0"/>
        <w:wordWrap w:val="0"/>
        <w:adjustRightInd w:val="0"/>
        <w:snapToGrid w:val="0"/>
        <w:spacing w:line="440" w:lineRule="exact"/>
        <w:rPr>
          <w:rFonts w:hint="eastAsia" w:ascii="Times New Roman"/>
          <w:snapToGrid w:val="0"/>
          <w:color w:val="auto"/>
          <w:sz w:val="24"/>
          <w:szCs w:val="24"/>
          <w:highlight w:val="none"/>
          <w:u w:val="single"/>
        </w:rPr>
      </w:pPr>
      <w:r>
        <w:rPr>
          <w:rFonts w:hint="eastAsia" w:ascii="Times New Roman"/>
          <w:snapToGrid w:val="0"/>
          <w:color w:val="auto"/>
          <w:sz w:val="24"/>
          <w:szCs w:val="24"/>
          <w:highlight w:val="none"/>
        </w:rPr>
        <w:t>牵头人名称：</w:t>
      </w:r>
      <w:r>
        <w:rPr>
          <w:rFonts w:hint="eastAsia" w:ascii="Times New Roman"/>
          <w:snapToGrid w:val="0"/>
          <w:color w:val="auto"/>
          <w:sz w:val="24"/>
          <w:szCs w:val="24"/>
          <w:highlight w:val="none"/>
          <w:u w:val="single"/>
        </w:rPr>
        <w:t xml:space="preserve">                                                  </w:t>
      </w:r>
    </w:p>
    <w:p w14:paraId="29E16455">
      <w:pPr>
        <w:pStyle w:val="42"/>
        <w:widowControl w:val="0"/>
        <w:wordWrap w:val="0"/>
        <w:adjustRightInd w:val="0"/>
        <w:snapToGrid w:val="0"/>
        <w:spacing w:line="440" w:lineRule="exact"/>
        <w:rPr>
          <w:rFonts w:hint="eastAsia" w:ascii="Times New Roman"/>
          <w:snapToGrid w:val="0"/>
          <w:color w:val="auto"/>
          <w:sz w:val="24"/>
          <w:szCs w:val="24"/>
          <w:highlight w:val="none"/>
          <w:u w:val="single"/>
        </w:rPr>
      </w:pPr>
      <w:r>
        <w:rPr>
          <w:rFonts w:hint="eastAsia" w:ascii="Times New Roman"/>
          <w:snapToGrid w:val="0"/>
          <w:color w:val="auto"/>
          <w:sz w:val="24"/>
          <w:szCs w:val="24"/>
          <w:highlight w:val="none"/>
        </w:rPr>
        <w:t>法定代表人：</w:t>
      </w:r>
      <w:r>
        <w:rPr>
          <w:rFonts w:hint="eastAsia" w:ascii="Times New Roman"/>
          <w:snapToGrid w:val="0"/>
          <w:color w:val="auto"/>
          <w:sz w:val="24"/>
          <w:szCs w:val="24"/>
          <w:highlight w:val="none"/>
          <w:u w:val="single"/>
        </w:rPr>
        <w:t xml:space="preserve">                                                  </w:t>
      </w:r>
    </w:p>
    <w:p w14:paraId="1EC67533">
      <w:pPr>
        <w:pStyle w:val="42"/>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4"/>
          <w:szCs w:val="24"/>
          <w:highlight w:val="none"/>
        </w:rPr>
        <w:t>法定住所：</w:t>
      </w:r>
      <w:r>
        <w:rPr>
          <w:rFonts w:hint="eastAsia" w:ascii="Times New Roman"/>
          <w:snapToGrid w:val="0"/>
          <w:color w:val="auto"/>
          <w:sz w:val="24"/>
          <w:szCs w:val="24"/>
          <w:highlight w:val="none"/>
          <w:u w:val="single"/>
        </w:rPr>
        <w:t xml:space="preserve">                                                    </w:t>
      </w:r>
    </w:p>
    <w:p w14:paraId="542F8F69">
      <w:pPr>
        <w:pStyle w:val="42"/>
        <w:widowControl w:val="0"/>
        <w:wordWrap w:val="0"/>
        <w:adjustRightInd w:val="0"/>
        <w:snapToGrid w:val="0"/>
        <w:spacing w:line="440" w:lineRule="exact"/>
        <w:rPr>
          <w:rFonts w:hint="eastAsia" w:ascii="Times New Roman"/>
          <w:snapToGrid w:val="0"/>
          <w:color w:val="auto"/>
          <w:sz w:val="24"/>
          <w:szCs w:val="24"/>
          <w:highlight w:val="none"/>
        </w:rPr>
      </w:pPr>
    </w:p>
    <w:p w14:paraId="3698623E">
      <w:pPr>
        <w:pStyle w:val="42"/>
        <w:widowControl w:val="0"/>
        <w:wordWrap w:val="0"/>
        <w:adjustRightInd w:val="0"/>
        <w:snapToGrid w:val="0"/>
        <w:spacing w:line="440" w:lineRule="exact"/>
        <w:rPr>
          <w:rFonts w:hint="eastAsia" w:ascii="Times New Roman"/>
          <w:snapToGrid w:val="0"/>
          <w:color w:val="auto"/>
          <w:sz w:val="24"/>
          <w:szCs w:val="24"/>
          <w:highlight w:val="none"/>
          <w:u w:val="single"/>
        </w:rPr>
      </w:pPr>
      <w:r>
        <w:rPr>
          <w:rFonts w:hint="eastAsia" w:ascii="Times New Roman"/>
          <w:snapToGrid w:val="0"/>
          <w:color w:val="auto"/>
          <w:sz w:val="24"/>
          <w:szCs w:val="24"/>
          <w:highlight w:val="none"/>
        </w:rPr>
        <w:t>成员二名称：</w:t>
      </w:r>
      <w:r>
        <w:rPr>
          <w:rFonts w:hint="eastAsia" w:ascii="Times New Roman"/>
          <w:snapToGrid w:val="0"/>
          <w:color w:val="auto"/>
          <w:sz w:val="24"/>
          <w:szCs w:val="24"/>
          <w:highlight w:val="none"/>
          <w:u w:val="single"/>
        </w:rPr>
        <w:t xml:space="preserve">                                                  </w:t>
      </w:r>
    </w:p>
    <w:p w14:paraId="39C1DC68">
      <w:pPr>
        <w:pStyle w:val="42"/>
        <w:widowControl w:val="0"/>
        <w:wordWrap w:val="0"/>
        <w:adjustRightInd w:val="0"/>
        <w:snapToGrid w:val="0"/>
        <w:spacing w:line="440" w:lineRule="exact"/>
        <w:rPr>
          <w:rFonts w:hint="eastAsia" w:ascii="Times New Roman"/>
          <w:snapToGrid w:val="0"/>
          <w:color w:val="auto"/>
          <w:sz w:val="24"/>
          <w:szCs w:val="24"/>
          <w:highlight w:val="none"/>
          <w:u w:val="single"/>
        </w:rPr>
      </w:pPr>
      <w:r>
        <w:rPr>
          <w:rFonts w:hint="eastAsia" w:ascii="Times New Roman"/>
          <w:snapToGrid w:val="0"/>
          <w:color w:val="auto"/>
          <w:sz w:val="24"/>
          <w:szCs w:val="24"/>
          <w:highlight w:val="none"/>
        </w:rPr>
        <w:t>法定代表人：</w:t>
      </w:r>
      <w:r>
        <w:rPr>
          <w:rFonts w:hint="eastAsia" w:ascii="Times New Roman"/>
          <w:snapToGrid w:val="0"/>
          <w:color w:val="auto"/>
          <w:sz w:val="24"/>
          <w:szCs w:val="24"/>
          <w:highlight w:val="none"/>
          <w:u w:val="single"/>
        </w:rPr>
        <w:t xml:space="preserve">                                                  </w:t>
      </w:r>
    </w:p>
    <w:p w14:paraId="04FA155D">
      <w:pPr>
        <w:pStyle w:val="42"/>
        <w:widowControl w:val="0"/>
        <w:wordWrap w:val="0"/>
        <w:adjustRightInd w:val="0"/>
        <w:snapToGrid w:val="0"/>
        <w:spacing w:line="440" w:lineRule="exact"/>
        <w:rPr>
          <w:rFonts w:hint="eastAsia" w:ascii="Times New Roman"/>
          <w:snapToGrid w:val="0"/>
          <w:color w:val="auto"/>
          <w:sz w:val="24"/>
          <w:szCs w:val="24"/>
          <w:highlight w:val="none"/>
          <w:u w:val="single"/>
        </w:rPr>
      </w:pPr>
      <w:r>
        <w:rPr>
          <w:rFonts w:hint="eastAsia" w:ascii="Times New Roman"/>
          <w:snapToGrid w:val="0"/>
          <w:color w:val="auto"/>
          <w:sz w:val="24"/>
          <w:szCs w:val="24"/>
          <w:highlight w:val="none"/>
        </w:rPr>
        <w:t>法定住所：</w:t>
      </w:r>
      <w:r>
        <w:rPr>
          <w:rFonts w:hint="eastAsia" w:ascii="Times New Roman"/>
          <w:snapToGrid w:val="0"/>
          <w:color w:val="auto"/>
          <w:sz w:val="24"/>
          <w:szCs w:val="24"/>
          <w:highlight w:val="none"/>
          <w:u w:val="single"/>
        </w:rPr>
        <w:t xml:space="preserve">                                                    </w:t>
      </w:r>
    </w:p>
    <w:p w14:paraId="64D09BF6">
      <w:pPr>
        <w:pStyle w:val="42"/>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4"/>
          <w:szCs w:val="24"/>
          <w:highlight w:val="none"/>
        </w:rPr>
        <w:t>……</w:t>
      </w:r>
    </w:p>
    <w:p w14:paraId="5829BD46">
      <w:pPr>
        <w:pStyle w:val="42"/>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4"/>
          <w:szCs w:val="24"/>
          <w:highlight w:val="none"/>
        </w:rPr>
        <w:t>上述各成员单位经过友好协商，自愿组成联合体，共同参加</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（项目名称）（以下简称“本项目”）的施工投标并争取赢得本项目施工承包合同（以下简称合同）。现就联合体投标事宜订立如下协议：</w:t>
      </w:r>
    </w:p>
    <w:p w14:paraId="798676E2">
      <w:pPr>
        <w:pStyle w:val="42"/>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1．</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（某成员单位名称）为联合体牵头人。</w:t>
      </w:r>
    </w:p>
    <w:p w14:paraId="01E885DA">
      <w:pPr>
        <w:pStyle w:val="42"/>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3DA479B2">
      <w:pPr>
        <w:pStyle w:val="42"/>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529066ED">
      <w:pPr>
        <w:pStyle w:val="42"/>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4．联合体各成员单位内部的职责分工如下：</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。按照本条上述分工，联合体成员单位各自所承担的合同工作量比例如下：</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w:t>
      </w:r>
    </w:p>
    <w:p w14:paraId="2E973AD0">
      <w:pPr>
        <w:pStyle w:val="42"/>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5．投标工作和联合体在中标后工程实施过程中的有关费用按各自承担的工作量分摊。</w:t>
      </w:r>
    </w:p>
    <w:p w14:paraId="62429283">
      <w:pPr>
        <w:pStyle w:val="42"/>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6．联合体中标后，本联合体协议是合同的附件，对联合体各成员单位有合同约束力。</w:t>
      </w:r>
    </w:p>
    <w:p w14:paraId="60E4914C">
      <w:pPr>
        <w:pStyle w:val="42"/>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7．本协议书自签署之日起生效，联合体未中标或者中标时合同履行完毕后自动失效。</w:t>
      </w:r>
    </w:p>
    <w:p w14:paraId="00C12510">
      <w:pPr>
        <w:pStyle w:val="42"/>
        <w:widowControl w:val="0"/>
        <w:wordWrap w:val="0"/>
        <w:adjustRightInd w:val="0"/>
        <w:snapToGrid w:val="0"/>
        <w:spacing w:line="440" w:lineRule="exact"/>
        <w:ind w:firstLine="0"/>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8．本协议书一式</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份，联合体成员和招标人各执一份。</w:t>
      </w:r>
    </w:p>
    <w:p w14:paraId="030DD113">
      <w:pPr>
        <w:pStyle w:val="42"/>
        <w:widowControl w:val="0"/>
        <w:wordWrap w:val="0"/>
        <w:adjustRightInd w:val="0"/>
        <w:snapToGrid w:val="0"/>
        <w:spacing w:line="440" w:lineRule="exact"/>
        <w:rPr>
          <w:rFonts w:hint="eastAsia" w:ascii="Times New Roman"/>
          <w:snapToGrid w:val="0"/>
          <w:color w:val="auto"/>
          <w:sz w:val="24"/>
          <w:szCs w:val="24"/>
          <w:highlight w:val="none"/>
        </w:rPr>
      </w:pPr>
    </w:p>
    <w:p w14:paraId="4DE9AB06">
      <w:pPr>
        <w:pStyle w:val="42"/>
        <w:widowControl w:val="0"/>
        <w:wordWrap w:val="0"/>
        <w:adjustRightInd w:val="0"/>
        <w:snapToGrid w:val="0"/>
        <w:spacing w:line="440" w:lineRule="exact"/>
        <w:rPr>
          <w:rFonts w:hint="eastAsia" w:ascii="Times New Roman"/>
          <w:snapToGrid w:val="0"/>
          <w:color w:val="auto"/>
          <w:sz w:val="24"/>
          <w:szCs w:val="24"/>
          <w:highlight w:val="none"/>
        </w:rPr>
      </w:pPr>
    </w:p>
    <w:p w14:paraId="4B871801">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牵头人名称：</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（盖单位章）</w:t>
      </w:r>
    </w:p>
    <w:p w14:paraId="788714CA">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w:t>
      </w:r>
    </w:p>
    <w:p w14:paraId="2DADDF61">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p>
    <w:p w14:paraId="4A1168E2">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法定代表人或其委托代理人：</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（签字或盖章）</w:t>
      </w:r>
    </w:p>
    <w:p w14:paraId="44333AE0">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p>
    <w:p w14:paraId="6B8D6B37">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p>
    <w:p w14:paraId="155890C6">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w:t>
      </w:r>
    </w:p>
    <w:p w14:paraId="6B127173">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p>
    <w:p w14:paraId="20EDF54E">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p>
    <w:p w14:paraId="2D11AA33">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成员二名称：</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（盖单位章）</w:t>
      </w:r>
    </w:p>
    <w:p w14:paraId="75138677">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p>
    <w:p w14:paraId="32419BAD">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p>
    <w:p w14:paraId="33ACFD80">
      <w:pPr>
        <w:pStyle w:val="42"/>
        <w:widowControl w:val="0"/>
        <w:wordWrap w:val="0"/>
        <w:adjustRightInd w:val="0"/>
        <w:snapToGrid w:val="0"/>
        <w:spacing w:line="440" w:lineRule="exact"/>
        <w:jc w:val="right"/>
        <w:rPr>
          <w:rFonts w:hint="eastAsia" w:ascii="Times New Roman"/>
          <w:snapToGrid w:val="0"/>
          <w:color w:val="auto"/>
          <w:sz w:val="24"/>
          <w:szCs w:val="24"/>
          <w:highlight w:val="none"/>
        </w:rPr>
      </w:pPr>
      <w:r>
        <w:rPr>
          <w:rFonts w:hint="eastAsia" w:ascii="Times New Roman"/>
          <w:snapToGrid w:val="0"/>
          <w:color w:val="auto"/>
          <w:sz w:val="24"/>
          <w:szCs w:val="24"/>
          <w:highlight w:val="none"/>
        </w:rPr>
        <w:t>　　　　　法定代表人或其委托代理人：</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（签字或盖章）</w:t>
      </w:r>
    </w:p>
    <w:p w14:paraId="70D3CF15">
      <w:pPr>
        <w:pStyle w:val="42"/>
        <w:widowControl w:val="0"/>
        <w:wordWrap w:val="0"/>
        <w:adjustRightInd w:val="0"/>
        <w:snapToGrid w:val="0"/>
        <w:spacing w:line="440" w:lineRule="exact"/>
        <w:rPr>
          <w:rFonts w:hint="eastAsia" w:ascii="Times New Roman"/>
          <w:snapToGrid w:val="0"/>
          <w:color w:val="auto"/>
          <w:sz w:val="24"/>
          <w:szCs w:val="24"/>
          <w:highlight w:val="none"/>
        </w:rPr>
      </w:pPr>
      <w:r>
        <w:rPr>
          <w:rFonts w:hint="eastAsia" w:ascii="Times New Roman"/>
          <w:snapToGrid w:val="0"/>
          <w:color w:val="auto"/>
          <w:sz w:val="24"/>
          <w:szCs w:val="24"/>
          <w:highlight w:val="none"/>
        </w:rPr>
        <w:t>　　　　　　      ……</w:t>
      </w:r>
    </w:p>
    <w:p w14:paraId="0CCF231A">
      <w:pPr>
        <w:pStyle w:val="42"/>
        <w:widowControl w:val="0"/>
        <w:wordWrap w:val="0"/>
        <w:adjustRightInd w:val="0"/>
        <w:snapToGrid w:val="0"/>
        <w:spacing w:line="440" w:lineRule="exact"/>
        <w:rPr>
          <w:rFonts w:hint="eastAsia" w:ascii="Times New Roman"/>
          <w:snapToGrid w:val="0"/>
          <w:color w:val="auto"/>
          <w:sz w:val="24"/>
          <w:szCs w:val="24"/>
          <w:highlight w:val="none"/>
        </w:rPr>
      </w:pPr>
    </w:p>
    <w:p w14:paraId="59D167C8">
      <w:pPr>
        <w:pStyle w:val="42"/>
        <w:widowControl w:val="0"/>
        <w:wordWrap w:val="0"/>
        <w:adjustRightInd w:val="0"/>
        <w:snapToGrid w:val="0"/>
        <w:spacing w:line="440" w:lineRule="exact"/>
        <w:jc w:val="center"/>
        <w:rPr>
          <w:rFonts w:hint="eastAsia" w:ascii="Times New Roman"/>
          <w:snapToGrid w:val="0"/>
          <w:color w:val="auto"/>
          <w:sz w:val="24"/>
          <w:szCs w:val="24"/>
          <w:highlight w:val="none"/>
        </w:rPr>
      </w:pPr>
      <w:r>
        <w:rPr>
          <w:rFonts w:hint="eastAsia" w:ascii="Times New Roman"/>
          <w:snapToGrid w:val="0"/>
          <w:color w:val="auto"/>
          <w:sz w:val="24"/>
          <w:szCs w:val="24"/>
          <w:highlight w:val="none"/>
        </w:rPr>
        <w:t xml:space="preserve">                                 </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年</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月</w:t>
      </w:r>
      <w:r>
        <w:rPr>
          <w:rFonts w:hint="eastAsia" w:ascii="Times New Roman"/>
          <w:snapToGrid w:val="0"/>
          <w:color w:val="auto"/>
          <w:sz w:val="24"/>
          <w:szCs w:val="24"/>
          <w:highlight w:val="none"/>
          <w:u w:val="single"/>
        </w:rPr>
        <w:t xml:space="preserve">     </w:t>
      </w:r>
      <w:r>
        <w:rPr>
          <w:rFonts w:hint="eastAsia" w:ascii="Times New Roman"/>
          <w:snapToGrid w:val="0"/>
          <w:color w:val="auto"/>
          <w:sz w:val="24"/>
          <w:szCs w:val="24"/>
          <w:highlight w:val="none"/>
        </w:rPr>
        <w:t>日</w:t>
      </w:r>
    </w:p>
    <w:p w14:paraId="79122F8F">
      <w:pPr>
        <w:pStyle w:val="42"/>
        <w:widowControl w:val="0"/>
        <w:wordWrap w:val="0"/>
        <w:adjustRightInd w:val="0"/>
        <w:snapToGrid w:val="0"/>
        <w:spacing w:line="440" w:lineRule="exact"/>
        <w:jc w:val="center"/>
        <w:rPr>
          <w:rFonts w:hint="eastAsia" w:ascii="Times New Roman"/>
          <w:snapToGrid w:val="0"/>
          <w:color w:val="auto"/>
          <w:sz w:val="24"/>
          <w:szCs w:val="24"/>
          <w:highlight w:val="none"/>
        </w:rPr>
      </w:pPr>
    </w:p>
    <w:p w14:paraId="14E65D43">
      <w:pPr>
        <w:pStyle w:val="42"/>
        <w:widowControl w:val="0"/>
        <w:wordWrap w:val="0"/>
        <w:adjustRightInd w:val="0"/>
        <w:snapToGrid w:val="0"/>
        <w:spacing w:line="440" w:lineRule="exact"/>
        <w:rPr>
          <w:rFonts w:hint="eastAsia" w:ascii="宋体" w:hAnsi="宋体" w:eastAsia="宋体" w:cs="宋体"/>
          <w:color w:val="auto"/>
          <w:sz w:val="24"/>
          <w:szCs w:val="24"/>
          <w:highlight w:val="none"/>
        </w:rPr>
      </w:pPr>
      <w:r>
        <w:rPr>
          <w:rFonts w:hint="eastAsia" w:ascii="Times New Roman"/>
          <w:snapToGrid w:val="0"/>
          <w:color w:val="auto"/>
          <w:sz w:val="24"/>
          <w:szCs w:val="24"/>
          <w:highlight w:val="none"/>
        </w:rPr>
        <w:t>说明：《联合体协议书》由委托代理人签字或盖章的，应附法定代表人签字或盖章的授权委托书。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4"/>
          <w:szCs w:val="24"/>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1" w:name="_Toc26718"/>
      <w:r>
        <w:rPr>
          <w:rFonts w:hint="eastAsia" w:ascii="宋体" w:hAnsi="宋体" w:eastAsia="宋体" w:cs="宋体"/>
          <w:b/>
          <w:bCs/>
          <w:color w:val="auto"/>
          <w:spacing w:val="-4"/>
          <w:sz w:val="24"/>
          <w:szCs w:val="24"/>
          <w:highlight w:val="none"/>
        </w:rPr>
        <w:t>格式七 投标人基本情况表</w:t>
      </w:r>
      <w:bookmarkEnd w:id="241"/>
    </w:p>
    <w:p w14:paraId="365D949B">
      <w:pPr>
        <w:spacing w:before="333" w:line="219" w:lineRule="auto"/>
        <w:ind w:left="3350" w:firstLine="693" w:firstLineChars="300"/>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投标人基本情况表</w:t>
      </w:r>
    </w:p>
    <w:p w14:paraId="2CD970DC">
      <w:pPr>
        <w:spacing w:line="239" w:lineRule="exact"/>
        <w:rPr>
          <w:rFonts w:hint="eastAsia" w:ascii="宋体" w:hAnsi="宋体" w:eastAsia="宋体" w:cs="宋体"/>
          <w:color w:val="auto"/>
          <w:sz w:val="24"/>
          <w:szCs w:val="24"/>
          <w:highlight w:val="none"/>
        </w:rPr>
      </w:pPr>
    </w:p>
    <w:tbl>
      <w:tblPr>
        <w:tblStyle w:val="17"/>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keepNext w:val="0"/>
              <w:keepLines w:val="0"/>
              <w:pageBreakBefore w:val="0"/>
              <w:widowControl/>
              <w:kinsoku w:val="0"/>
              <w:wordWrap/>
              <w:overflowPunct/>
              <w:topLinePunct w:val="0"/>
              <w:autoSpaceDE w:val="0"/>
              <w:autoSpaceDN w:val="0"/>
              <w:bidi w:val="0"/>
              <w:adjustRightInd w:val="0"/>
              <w:snapToGrid w:val="0"/>
              <w:spacing w:before="149" w:line="28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4"/>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4"/>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hint="eastAsia" w:ascii="宋体" w:hAnsi="宋体" w:eastAsia="宋体" w:cs="宋体"/>
                <w:color w:val="auto"/>
                <w:sz w:val="24"/>
                <w:szCs w:val="24"/>
                <w:highlight w:val="none"/>
              </w:rPr>
            </w:pPr>
          </w:p>
        </w:tc>
        <w:tc>
          <w:tcPr>
            <w:tcW w:w="1354" w:type="dxa"/>
            <w:gridSpan w:val="2"/>
            <w:vAlign w:val="top"/>
          </w:tcPr>
          <w:p w14:paraId="031EC2C9">
            <w:pPr>
              <w:keepNext w:val="0"/>
              <w:keepLines w:val="0"/>
              <w:pageBreakBefore w:val="0"/>
              <w:widowControl/>
              <w:kinsoku w:val="0"/>
              <w:wordWrap/>
              <w:overflowPunct/>
              <w:topLinePunct w:val="0"/>
              <w:autoSpaceDE w:val="0"/>
              <w:autoSpaceDN w:val="0"/>
              <w:bidi w:val="0"/>
              <w:adjustRightInd w:val="0"/>
              <w:snapToGrid w:val="0"/>
              <w:spacing w:before="144" w:line="280" w:lineRule="exact"/>
              <w:ind w:left="2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4"/>
              <w:keepNext w:val="0"/>
              <w:keepLines w:val="0"/>
              <w:pageBreakBefore w:val="0"/>
              <w:widowControl/>
              <w:kinsoku w:val="0"/>
              <w:wordWrap/>
              <w:overflowPunct/>
              <w:topLinePunct w:val="0"/>
              <w:autoSpaceDE w:val="0"/>
              <w:autoSpaceDN w:val="0"/>
              <w:bidi w:val="0"/>
              <w:adjustRightInd w:val="0"/>
              <w:snapToGrid w:val="0"/>
              <w:spacing w:line="280" w:lineRule="exact"/>
              <w:jc w:val="center"/>
              <w:textAlignment w:val="baseline"/>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3917AF4F">
            <w:pPr>
              <w:keepNext w:val="0"/>
              <w:keepLines w:val="0"/>
              <w:pageBreakBefore w:val="0"/>
              <w:widowControl/>
              <w:kinsoku w:val="0"/>
              <w:wordWrap/>
              <w:overflowPunct/>
              <w:topLinePunct w:val="0"/>
              <w:autoSpaceDE w:val="0"/>
              <w:autoSpaceDN w:val="0"/>
              <w:bidi w:val="0"/>
              <w:adjustRightInd w:val="0"/>
              <w:snapToGrid w:val="0"/>
              <w:spacing w:before="144" w:line="280" w:lineRule="exact"/>
              <w:ind w:firstLine="254" w:firstLineChars="100"/>
              <w:jc w:val="both"/>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联系人</w:t>
            </w:r>
          </w:p>
        </w:tc>
        <w:tc>
          <w:tcPr>
            <w:tcW w:w="2709" w:type="dxa"/>
            <w:gridSpan w:val="2"/>
            <w:vAlign w:val="top"/>
          </w:tcPr>
          <w:p w14:paraId="74C76AE1">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1354" w:type="dxa"/>
            <w:gridSpan w:val="2"/>
            <w:vAlign w:val="top"/>
          </w:tcPr>
          <w:p w14:paraId="65D93497">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电  话</w:t>
            </w:r>
          </w:p>
        </w:tc>
        <w:tc>
          <w:tcPr>
            <w:tcW w:w="2601" w:type="dxa"/>
            <w:gridSpan w:val="3"/>
            <w:vAlign w:val="top"/>
          </w:tcPr>
          <w:p w14:paraId="275175F8">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975" w:type="dxa"/>
            <w:vAlign w:val="top"/>
          </w:tcPr>
          <w:p w14:paraId="42FC9B75">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传  真</w:t>
            </w:r>
          </w:p>
        </w:tc>
        <w:tc>
          <w:tcPr>
            <w:tcW w:w="2709" w:type="dxa"/>
            <w:gridSpan w:val="2"/>
            <w:vAlign w:val="top"/>
          </w:tcPr>
          <w:p w14:paraId="7E63A544">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1354" w:type="dxa"/>
            <w:gridSpan w:val="2"/>
            <w:vAlign w:val="top"/>
          </w:tcPr>
          <w:p w14:paraId="6612B606">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电子邮箱</w:t>
            </w:r>
          </w:p>
        </w:tc>
        <w:tc>
          <w:tcPr>
            <w:tcW w:w="2601" w:type="dxa"/>
            <w:gridSpan w:val="3"/>
            <w:vAlign w:val="top"/>
          </w:tcPr>
          <w:p w14:paraId="5F4345F5">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单位性质</w:t>
            </w:r>
          </w:p>
        </w:tc>
        <w:tc>
          <w:tcPr>
            <w:tcW w:w="7639" w:type="dxa"/>
            <w:gridSpan w:val="8"/>
            <w:vAlign w:val="top"/>
          </w:tcPr>
          <w:p w14:paraId="1E0E32B6">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姓名</w:t>
            </w:r>
          </w:p>
        </w:tc>
        <w:tc>
          <w:tcPr>
            <w:tcW w:w="1837" w:type="dxa"/>
            <w:vAlign w:val="top"/>
          </w:tcPr>
          <w:p w14:paraId="091073F5">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1183" w:type="dxa"/>
            <w:gridSpan w:val="2"/>
            <w:vAlign w:val="top"/>
          </w:tcPr>
          <w:p w14:paraId="4A11ACAE">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770" w:type="dxa"/>
            <w:vAlign w:val="top"/>
          </w:tcPr>
          <w:p w14:paraId="5C8E96FC">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电话</w:t>
            </w:r>
          </w:p>
        </w:tc>
        <w:tc>
          <w:tcPr>
            <w:tcW w:w="1548" w:type="dxa"/>
            <w:vAlign w:val="top"/>
          </w:tcPr>
          <w:p w14:paraId="6AD0C2BC">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成立时间</w:t>
            </w:r>
          </w:p>
        </w:tc>
        <w:tc>
          <w:tcPr>
            <w:tcW w:w="2812" w:type="dxa"/>
            <w:gridSpan w:val="2"/>
            <w:vAlign w:val="top"/>
          </w:tcPr>
          <w:p w14:paraId="4BAD1642">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4827" w:type="dxa"/>
            <w:gridSpan w:val="6"/>
            <w:vAlign w:val="top"/>
          </w:tcPr>
          <w:p w14:paraId="30D24B75">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员工总人数（个）：</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企业资质  类型和等级</w:t>
            </w:r>
          </w:p>
        </w:tc>
        <w:tc>
          <w:tcPr>
            <w:tcW w:w="2812" w:type="dxa"/>
            <w:gridSpan w:val="2"/>
            <w:vAlign w:val="top"/>
          </w:tcPr>
          <w:p w14:paraId="782B0B60">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1183" w:type="dxa"/>
            <w:gridSpan w:val="2"/>
            <w:vMerge w:val="restart"/>
            <w:tcBorders>
              <w:bottom w:val="nil"/>
            </w:tcBorders>
            <w:vAlign w:val="top"/>
          </w:tcPr>
          <w:p w14:paraId="7A69FEFC">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p w14:paraId="02C0E7FA">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p w14:paraId="1FBAEACC">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p w14:paraId="64C94A08">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p w14:paraId="69BBE9A7">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p w14:paraId="7C094C19">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其中</w:t>
            </w:r>
          </w:p>
        </w:tc>
        <w:tc>
          <w:tcPr>
            <w:tcW w:w="2096" w:type="dxa"/>
            <w:gridSpan w:val="3"/>
            <w:vAlign w:val="top"/>
          </w:tcPr>
          <w:p w14:paraId="010F104F">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项目经理</w:t>
            </w:r>
          </w:p>
        </w:tc>
        <w:tc>
          <w:tcPr>
            <w:tcW w:w="1548" w:type="dxa"/>
            <w:vAlign w:val="top"/>
          </w:tcPr>
          <w:p w14:paraId="67C64A1C">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营业执照号</w:t>
            </w:r>
          </w:p>
        </w:tc>
        <w:tc>
          <w:tcPr>
            <w:tcW w:w="2812" w:type="dxa"/>
            <w:gridSpan w:val="2"/>
            <w:vAlign w:val="top"/>
          </w:tcPr>
          <w:p w14:paraId="4431F67B">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1183" w:type="dxa"/>
            <w:gridSpan w:val="2"/>
            <w:vMerge w:val="continue"/>
            <w:tcBorders>
              <w:top w:val="nil"/>
              <w:bottom w:val="nil"/>
            </w:tcBorders>
            <w:vAlign w:val="top"/>
          </w:tcPr>
          <w:p w14:paraId="425F8241">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2096" w:type="dxa"/>
            <w:gridSpan w:val="3"/>
            <w:vAlign w:val="top"/>
          </w:tcPr>
          <w:p w14:paraId="52E9EE82">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1183" w:type="dxa"/>
            <w:gridSpan w:val="2"/>
            <w:vMerge w:val="continue"/>
            <w:tcBorders>
              <w:top w:val="nil"/>
              <w:bottom w:val="nil"/>
            </w:tcBorders>
            <w:vAlign w:val="top"/>
          </w:tcPr>
          <w:p w14:paraId="0C4A9705">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2096" w:type="dxa"/>
            <w:gridSpan w:val="3"/>
            <w:vAlign w:val="top"/>
          </w:tcPr>
          <w:p w14:paraId="4B26D2D4">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中级职称人员</w:t>
            </w:r>
          </w:p>
        </w:tc>
        <w:tc>
          <w:tcPr>
            <w:tcW w:w="1548" w:type="dxa"/>
            <w:vAlign w:val="top"/>
          </w:tcPr>
          <w:p w14:paraId="262A2EE0">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基本账户开户银行</w:t>
            </w:r>
          </w:p>
        </w:tc>
        <w:tc>
          <w:tcPr>
            <w:tcW w:w="2812" w:type="dxa"/>
            <w:gridSpan w:val="2"/>
            <w:vAlign w:val="top"/>
          </w:tcPr>
          <w:p w14:paraId="45553C43">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1183" w:type="dxa"/>
            <w:gridSpan w:val="2"/>
            <w:vMerge w:val="continue"/>
            <w:tcBorders>
              <w:top w:val="nil"/>
              <w:bottom w:val="nil"/>
            </w:tcBorders>
            <w:vAlign w:val="top"/>
          </w:tcPr>
          <w:p w14:paraId="56532354">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2096" w:type="dxa"/>
            <w:gridSpan w:val="3"/>
            <w:vAlign w:val="top"/>
          </w:tcPr>
          <w:p w14:paraId="5A3DA22F">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初级职称人员</w:t>
            </w:r>
          </w:p>
        </w:tc>
        <w:tc>
          <w:tcPr>
            <w:tcW w:w="1548" w:type="dxa"/>
            <w:vAlign w:val="top"/>
          </w:tcPr>
          <w:p w14:paraId="184D3D43">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基本账户银行账号</w:t>
            </w:r>
          </w:p>
        </w:tc>
        <w:tc>
          <w:tcPr>
            <w:tcW w:w="2812" w:type="dxa"/>
            <w:gridSpan w:val="2"/>
            <w:vAlign w:val="top"/>
          </w:tcPr>
          <w:p w14:paraId="5B1DD5F7">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1183" w:type="dxa"/>
            <w:gridSpan w:val="2"/>
            <w:vMerge w:val="continue"/>
            <w:tcBorders>
              <w:top w:val="nil"/>
            </w:tcBorders>
            <w:vAlign w:val="top"/>
          </w:tcPr>
          <w:p w14:paraId="03520BE5">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c>
          <w:tcPr>
            <w:tcW w:w="2096" w:type="dxa"/>
            <w:gridSpan w:val="3"/>
            <w:vAlign w:val="top"/>
          </w:tcPr>
          <w:p w14:paraId="5C48DB8B">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技术员</w:t>
            </w:r>
          </w:p>
        </w:tc>
        <w:tc>
          <w:tcPr>
            <w:tcW w:w="1548" w:type="dxa"/>
            <w:vAlign w:val="top"/>
          </w:tcPr>
          <w:p w14:paraId="773ECE69">
            <w:pPr>
              <w:keepNext w:val="0"/>
              <w:keepLines w:val="0"/>
              <w:pageBreakBefore w:val="0"/>
              <w:widowControl/>
              <w:kinsoku w:val="0"/>
              <w:wordWrap/>
              <w:overflowPunct/>
              <w:topLinePunct w:val="0"/>
              <w:autoSpaceDE w:val="0"/>
              <w:autoSpaceDN w:val="0"/>
              <w:bidi w:val="0"/>
              <w:adjustRightInd w:val="0"/>
              <w:snapToGrid w:val="0"/>
              <w:spacing w:before="144" w:line="280" w:lineRule="exact"/>
              <w:jc w:val="center"/>
              <w:textAlignment w:val="baseline"/>
              <w:rPr>
                <w:rFonts w:hint="eastAsia" w:ascii="宋体" w:hAnsi="宋体" w:eastAsia="宋体" w:cs="宋体"/>
                <w:color w:val="auto"/>
                <w:spacing w:val="7"/>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keepNext w:val="0"/>
              <w:keepLines w:val="0"/>
              <w:pageBreakBefore w:val="0"/>
              <w:widowControl/>
              <w:kinsoku w:val="0"/>
              <w:wordWrap/>
              <w:overflowPunct/>
              <w:topLinePunct w:val="0"/>
              <w:autoSpaceDE w:val="0"/>
              <w:autoSpaceDN w:val="0"/>
              <w:bidi w:val="0"/>
              <w:adjustRightInd w:val="0"/>
              <w:snapToGrid w:val="0"/>
              <w:spacing w:before="65" w:line="280" w:lineRule="exact"/>
              <w:ind w:left="33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4"/>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6" w:hRule="atLeast"/>
        </w:trPr>
        <w:tc>
          <w:tcPr>
            <w:tcW w:w="1620" w:type="dxa"/>
            <w:vAlign w:val="top"/>
          </w:tcPr>
          <w:p w14:paraId="3B43F663">
            <w:pPr>
              <w:pStyle w:val="24"/>
              <w:keepNext w:val="0"/>
              <w:keepLines w:val="0"/>
              <w:pageBreakBefore w:val="0"/>
              <w:widowControl/>
              <w:kinsoku w:val="0"/>
              <w:wordWrap/>
              <w:overflowPunct/>
              <w:topLinePunct w:val="0"/>
              <w:autoSpaceDE w:val="0"/>
              <w:autoSpaceDN w:val="0"/>
              <w:bidi w:val="0"/>
              <w:adjustRightInd w:val="0"/>
              <w:snapToGrid w:val="0"/>
              <w:spacing w:line="260" w:lineRule="exact"/>
              <w:textAlignment w:val="baseline"/>
              <w:rPr>
                <w:rFonts w:hint="eastAsia" w:ascii="宋体" w:hAnsi="宋体" w:eastAsia="宋体" w:cs="宋体"/>
                <w:color w:val="auto"/>
                <w:sz w:val="24"/>
                <w:szCs w:val="24"/>
                <w:highlight w:val="none"/>
              </w:rPr>
            </w:pPr>
          </w:p>
          <w:p w14:paraId="598814F5">
            <w:pPr>
              <w:pStyle w:val="24"/>
              <w:keepNext w:val="0"/>
              <w:keepLines w:val="0"/>
              <w:pageBreakBefore w:val="0"/>
              <w:widowControl/>
              <w:kinsoku w:val="0"/>
              <w:wordWrap/>
              <w:overflowPunct/>
              <w:topLinePunct w:val="0"/>
              <w:autoSpaceDE w:val="0"/>
              <w:autoSpaceDN w:val="0"/>
              <w:bidi w:val="0"/>
              <w:adjustRightInd w:val="0"/>
              <w:snapToGrid w:val="0"/>
              <w:spacing w:line="260" w:lineRule="exact"/>
              <w:textAlignment w:val="baseline"/>
              <w:rPr>
                <w:rFonts w:hint="eastAsia" w:ascii="宋体" w:hAnsi="宋体" w:eastAsia="宋体" w:cs="宋体"/>
                <w:color w:val="auto"/>
                <w:sz w:val="24"/>
                <w:szCs w:val="24"/>
                <w:highlight w:val="none"/>
              </w:rPr>
            </w:pPr>
          </w:p>
          <w:p w14:paraId="52A98BFF">
            <w:pPr>
              <w:keepNext w:val="0"/>
              <w:keepLines w:val="0"/>
              <w:pageBreakBefore w:val="0"/>
              <w:widowControl/>
              <w:kinsoku w:val="0"/>
              <w:wordWrap/>
              <w:overflowPunct/>
              <w:topLinePunct w:val="0"/>
              <w:autoSpaceDE w:val="0"/>
              <w:autoSpaceDN w:val="0"/>
              <w:bidi w:val="0"/>
              <w:adjustRightInd w:val="0"/>
              <w:snapToGrid w:val="0"/>
              <w:spacing w:before="65" w:line="26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keepNext w:val="0"/>
              <w:keepLines w:val="0"/>
              <w:pageBreakBefore w:val="0"/>
              <w:widowControl/>
              <w:kinsoku w:val="0"/>
              <w:wordWrap/>
              <w:overflowPunct/>
              <w:topLinePunct w:val="0"/>
              <w:autoSpaceDE w:val="0"/>
              <w:autoSpaceDN w:val="0"/>
              <w:bidi w:val="0"/>
              <w:adjustRightInd w:val="0"/>
              <w:snapToGrid w:val="0"/>
              <w:spacing w:before="168" w:line="260" w:lineRule="exact"/>
              <w:ind w:left="11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keepNext w:val="0"/>
              <w:keepLines w:val="0"/>
              <w:pageBreakBefore w:val="0"/>
              <w:widowControl/>
              <w:kinsoku w:val="0"/>
              <w:wordWrap/>
              <w:overflowPunct/>
              <w:topLinePunct w:val="0"/>
              <w:autoSpaceDE w:val="0"/>
              <w:autoSpaceDN w:val="0"/>
              <w:bidi w:val="0"/>
              <w:adjustRightInd w:val="0"/>
              <w:snapToGrid w:val="0"/>
              <w:spacing w:before="81" w:line="260" w:lineRule="exact"/>
              <w:ind w:left="1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keepNext w:val="0"/>
              <w:keepLines w:val="0"/>
              <w:pageBreakBefore w:val="0"/>
              <w:widowControl/>
              <w:kinsoku w:val="0"/>
              <w:wordWrap/>
              <w:overflowPunct/>
              <w:topLinePunct w:val="0"/>
              <w:autoSpaceDE w:val="0"/>
              <w:autoSpaceDN w:val="0"/>
              <w:bidi w:val="0"/>
              <w:adjustRightInd w:val="0"/>
              <w:snapToGrid w:val="0"/>
              <w:spacing w:before="81" w:line="260" w:lineRule="exact"/>
              <w:ind w:left="1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keepNext w:val="0"/>
              <w:keepLines w:val="0"/>
              <w:pageBreakBefore w:val="0"/>
              <w:widowControl/>
              <w:kinsoku w:val="0"/>
              <w:wordWrap/>
              <w:overflowPunct/>
              <w:topLinePunct w:val="0"/>
              <w:autoSpaceDE w:val="0"/>
              <w:autoSpaceDN w:val="0"/>
              <w:bidi w:val="0"/>
              <w:adjustRightInd w:val="0"/>
              <w:snapToGrid w:val="0"/>
              <w:spacing w:before="81" w:line="260" w:lineRule="exact"/>
              <w:ind w:left="1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1620" w:type="dxa"/>
            <w:vAlign w:val="top"/>
          </w:tcPr>
          <w:p w14:paraId="0B1A642B">
            <w:pPr>
              <w:keepNext w:val="0"/>
              <w:keepLines w:val="0"/>
              <w:pageBreakBefore w:val="0"/>
              <w:widowControl/>
              <w:kinsoku w:val="0"/>
              <w:wordWrap/>
              <w:overflowPunct/>
              <w:topLinePunct w:val="0"/>
              <w:autoSpaceDE w:val="0"/>
              <w:autoSpaceDN w:val="0"/>
              <w:bidi w:val="0"/>
              <w:adjustRightInd w:val="0"/>
              <w:snapToGrid w:val="0"/>
              <w:spacing w:before="235" w:line="280" w:lineRule="exact"/>
              <w:ind w:left="54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4"/>
              <w:keepNext w:val="0"/>
              <w:keepLines w:val="0"/>
              <w:pageBreakBefore w:val="0"/>
              <w:widowControl/>
              <w:kinsoku w:val="0"/>
              <w:wordWrap/>
              <w:overflowPunct/>
              <w:topLinePunct w:val="0"/>
              <w:autoSpaceDE w:val="0"/>
              <w:autoSpaceDN w:val="0"/>
              <w:bidi w:val="0"/>
              <w:adjustRightInd w:val="0"/>
              <w:snapToGrid w:val="0"/>
              <w:spacing w:line="280" w:lineRule="exact"/>
              <w:textAlignment w:val="baseline"/>
              <w:rPr>
                <w:rFonts w:hint="eastAsia" w:ascii="宋体" w:hAnsi="宋体" w:eastAsia="宋体" w:cs="宋体"/>
                <w:color w:val="auto"/>
                <w:sz w:val="24"/>
                <w:szCs w:val="24"/>
                <w:highlight w:val="none"/>
              </w:rPr>
            </w:pPr>
          </w:p>
        </w:tc>
      </w:tr>
    </w:tbl>
    <w:p w14:paraId="608E648E">
      <w:pPr>
        <w:keepNext w:val="0"/>
        <w:keepLines w:val="0"/>
        <w:pageBreakBefore w:val="0"/>
        <w:widowControl/>
        <w:kinsoku w:val="0"/>
        <w:wordWrap/>
        <w:overflowPunct/>
        <w:topLinePunct w:val="0"/>
        <w:autoSpaceDE w:val="0"/>
        <w:autoSpaceDN w:val="0"/>
        <w:bidi w:val="0"/>
        <w:adjustRightInd w:val="0"/>
        <w:snapToGrid w:val="0"/>
        <w:spacing w:before="140" w:line="26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60" w:lineRule="exact"/>
        <w:textAlignment w:val="baseline"/>
        <w:outlineLvl w:val="9"/>
        <w:rPr>
          <w:rFonts w:hint="eastAsia" w:ascii="宋体" w:hAnsi="宋体" w:eastAsia="宋体" w:cs="宋体"/>
          <w:color w:val="auto"/>
          <w:spacing w:val="4"/>
          <w:sz w:val="21"/>
          <w:szCs w:val="21"/>
          <w:highlight w:val="none"/>
        </w:rPr>
      </w:pPr>
      <w:bookmarkStart w:id="242" w:name="_Toc14048"/>
      <w:bookmarkStart w:id="243" w:name="_Toc5131"/>
      <w:r>
        <w:rPr>
          <w:rFonts w:hint="eastAsia" w:ascii="宋体" w:hAnsi="宋体" w:eastAsia="宋体" w:cs="宋体"/>
          <w:color w:val="auto"/>
          <w:spacing w:val="4"/>
          <w:sz w:val="21"/>
          <w:szCs w:val="21"/>
          <w:highlight w:val="none"/>
        </w:rPr>
        <w:t>1 ．《投标人基本情况表》后应附以下资料：</w:t>
      </w:r>
      <w:bookmarkEnd w:id="242"/>
      <w:bookmarkEnd w:id="243"/>
    </w:p>
    <w:p w14:paraId="56BD52AA">
      <w:pPr>
        <w:keepNext w:val="0"/>
        <w:keepLines w:val="0"/>
        <w:pageBreakBefore w:val="0"/>
        <w:widowControl/>
        <w:kinsoku w:val="0"/>
        <w:wordWrap/>
        <w:overflowPunct/>
        <w:topLinePunct w:val="0"/>
        <w:autoSpaceDE w:val="0"/>
        <w:autoSpaceDN w:val="0"/>
        <w:bidi w:val="0"/>
        <w:adjustRightInd w:val="0"/>
        <w:snapToGrid w:val="0"/>
        <w:spacing w:before="153" w:line="260" w:lineRule="exact"/>
        <w:textAlignment w:val="baseline"/>
        <w:rPr>
          <w:rFonts w:hint="eastAsia" w:ascii="宋体" w:hAnsi="宋体" w:eastAsia="宋体" w:cs="宋体"/>
          <w:color w:val="auto"/>
          <w:spacing w:val="6"/>
          <w:sz w:val="21"/>
          <w:szCs w:val="21"/>
          <w:highlight w:val="none"/>
        </w:rPr>
      </w:pPr>
      <w:r>
        <w:rPr>
          <w:rFonts w:hint="eastAsia" w:ascii="宋体" w:hAnsi="宋体" w:eastAsia="宋体" w:cs="宋体"/>
          <w:color w:val="auto"/>
          <w:spacing w:val="9"/>
          <w:sz w:val="21"/>
          <w:szCs w:val="21"/>
          <w:highlight w:val="none"/>
          <w:lang w:eastAsia="zh-CN"/>
        </w:rPr>
        <w:t>（1）企业营业执照、资质证书、安全生产许可证的（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60" w:lineRule="exact"/>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lang w:eastAsia="zh-CN"/>
        </w:rPr>
        <w:t>（2）</w:t>
      </w:r>
      <w:r>
        <w:rPr>
          <w:rFonts w:hint="eastAsia" w:ascii="宋体" w:hAnsi="宋体" w:eastAsia="宋体" w:cs="宋体"/>
          <w:color w:val="auto"/>
          <w:spacing w:val="9"/>
          <w:sz w:val="21"/>
          <w:szCs w:val="21"/>
          <w:highlight w:val="none"/>
        </w:rPr>
        <w:t>“进粤企业和人员诚信信息登记平台</w:t>
      </w:r>
      <w:r>
        <w:rPr>
          <w:rFonts w:hint="eastAsia" w:ascii="宋体" w:hAnsi="宋体" w:eastAsia="宋体" w:cs="宋体"/>
          <w:color w:val="auto"/>
          <w:spacing w:val="-72"/>
          <w:sz w:val="21"/>
          <w:szCs w:val="21"/>
          <w:highlight w:val="none"/>
        </w:rPr>
        <w:t xml:space="preserve"> </w:t>
      </w:r>
      <w:r>
        <w:rPr>
          <w:rFonts w:hint="eastAsia" w:ascii="宋体" w:hAnsi="宋体" w:eastAsia="宋体" w:cs="宋体"/>
          <w:color w:val="auto"/>
          <w:spacing w:val="8"/>
          <w:sz w:val="21"/>
          <w:szCs w:val="21"/>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60" w:lineRule="exact"/>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lang w:eastAsia="zh-CN"/>
        </w:rPr>
        <w:t>（3）</w:t>
      </w:r>
      <w:r>
        <w:rPr>
          <w:rFonts w:hint="eastAsia" w:ascii="宋体" w:hAnsi="宋体" w:eastAsia="宋体" w:cs="宋体"/>
          <w:color w:val="auto"/>
          <w:spacing w:val="8"/>
          <w:sz w:val="21"/>
          <w:szCs w:val="21"/>
          <w:highlight w:val="none"/>
        </w:rPr>
        <w:t>《法人和非法人组织公共信用信息报告》打印件（在“信用中国</w:t>
      </w:r>
      <w:r>
        <w:rPr>
          <w:rFonts w:hint="eastAsia" w:ascii="宋体" w:hAnsi="宋体" w:eastAsia="宋体" w:cs="宋体"/>
          <w:color w:val="auto"/>
          <w:spacing w:val="-70"/>
          <w:sz w:val="21"/>
          <w:szCs w:val="21"/>
          <w:highlight w:val="none"/>
        </w:rPr>
        <w:t xml:space="preserve"> </w:t>
      </w:r>
      <w:r>
        <w:rPr>
          <w:rFonts w:hint="eastAsia" w:ascii="宋体" w:hAnsi="宋体" w:eastAsia="宋体" w:cs="宋体"/>
          <w:color w:val="auto"/>
          <w:spacing w:val="8"/>
          <w:sz w:val="21"/>
          <w:szCs w:val="21"/>
          <w:highlight w:val="none"/>
        </w:rPr>
        <w:t>”网站企业查询界面</w:t>
      </w:r>
      <w:r>
        <w:rPr>
          <w:rFonts w:hint="eastAsia" w:ascii="宋体" w:hAnsi="宋体" w:eastAsia="宋体" w:cs="宋体"/>
          <w:color w:val="auto"/>
          <w:spacing w:val="7"/>
          <w:sz w:val="21"/>
          <w:szCs w:val="21"/>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60" w:lineRule="exact"/>
        <w:textAlignment w:val="baseline"/>
        <w:rPr>
          <w:rFonts w:hint="eastAsia" w:ascii="宋体" w:hAnsi="宋体" w:eastAsia="宋体" w:cs="宋体"/>
          <w:color w:val="auto"/>
          <w:spacing w:val="4"/>
          <w:sz w:val="21"/>
          <w:szCs w:val="21"/>
          <w:highlight w:val="none"/>
        </w:rPr>
      </w:pPr>
      <w:r>
        <w:rPr>
          <w:rFonts w:hint="eastAsia" w:ascii="宋体" w:hAnsi="宋体" w:eastAsia="宋体" w:cs="宋体"/>
          <w:color w:val="auto"/>
          <w:spacing w:val="9"/>
          <w:sz w:val="21"/>
          <w:szCs w:val="21"/>
          <w:highlight w:val="none"/>
        </w:rPr>
        <w:t>2</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9"/>
          <w:sz w:val="21"/>
          <w:szCs w:val="21"/>
          <w:highlight w:val="none"/>
        </w:rPr>
        <w:t>．联合体投标的，联合体成员单位均应填写《投标人基本情况</w:t>
      </w:r>
      <w:r>
        <w:rPr>
          <w:rFonts w:hint="eastAsia" w:ascii="宋体" w:hAnsi="宋体" w:eastAsia="宋体" w:cs="宋体"/>
          <w:color w:val="auto"/>
          <w:spacing w:val="8"/>
          <w:sz w:val="21"/>
          <w:szCs w:val="21"/>
          <w:highlight w:val="none"/>
        </w:rPr>
        <w:t>表》并提供以上所需资料。</w:t>
      </w:r>
    </w:p>
    <w:p w14:paraId="13D14E7E">
      <w:pPr>
        <w:keepNext w:val="0"/>
        <w:keepLines w:val="0"/>
        <w:pageBreakBefore w:val="0"/>
        <w:widowControl/>
        <w:kinsoku w:val="0"/>
        <w:wordWrap/>
        <w:overflowPunct/>
        <w:topLinePunct w:val="0"/>
        <w:autoSpaceDE w:val="0"/>
        <w:autoSpaceDN w:val="0"/>
        <w:bidi w:val="0"/>
        <w:adjustRightInd w:val="0"/>
        <w:snapToGrid w:val="0"/>
        <w:spacing w:line="260" w:lineRule="exact"/>
        <w:textAlignment w:val="baseline"/>
        <w:rPr>
          <w:rFonts w:hint="eastAsia" w:ascii="宋体" w:hAnsi="宋体" w:eastAsia="宋体" w:cs="宋体"/>
          <w:b/>
          <w:bCs/>
          <w:color w:val="auto"/>
          <w:spacing w:val="-4"/>
          <w:sz w:val="21"/>
          <w:szCs w:val="21"/>
          <w:highlight w:val="none"/>
        </w:rPr>
      </w:pPr>
      <w:r>
        <w:rPr>
          <w:rFonts w:hint="eastAsia" w:ascii="宋体" w:hAnsi="宋体" w:eastAsia="宋体" w:cs="宋体"/>
          <w:b/>
          <w:bCs/>
          <w:color w:val="auto"/>
          <w:spacing w:val="-4"/>
          <w:sz w:val="21"/>
          <w:szCs w:val="21"/>
          <w:highlight w:val="none"/>
        </w:rPr>
        <w:br w:type="page"/>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4" w:name="_Toc6466"/>
      <w:r>
        <w:rPr>
          <w:rFonts w:hint="eastAsia" w:ascii="宋体" w:hAnsi="宋体" w:eastAsia="宋体" w:cs="宋体"/>
          <w:b/>
          <w:bCs/>
          <w:color w:val="auto"/>
          <w:spacing w:val="-4"/>
          <w:sz w:val="24"/>
          <w:szCs w:val="24"/>
          <w:highlight w:val="none"/>
        </w:rPr>
        <w:t>格式八 项目经理简历表</w:t>
      </w:r>
      <w:bookmarkEnd w:id="244"/>
    </w:p>
    <w:p w14:paraId="1DBA7B98">
      <w:pPr>
        <w:pStyle w:val="7"/>
        <w:spacing w:line="444" w:lineRule="auto"/>
        <w:rPr>
          <w:rFonts w:hint="eastAsia" w:ascii="宋体" w:hAnsi="宋体" w:eastAsia="宋体" w:cs="宋体"/>
          <w:color w:val="auto"/>
          <w:sz w:val="24"/>
          <w:szCs w:val="24"/>
          <w:highlight w:val="none"/>
        </w:rPr>
      </w:pPr>
    </w:p>
    <w:p w14:paraId="0CAE90B5">
      <w:pPr>
        <w:spacing w:before="97" w:line="219" w:lineRule="auto"/>
        <w:ind w:left="3538"/>
        <w:outlineLvl w:val="9"/>
        <w:rPr>
          <w:rFonts w:hint="eastAsia" w:ascii="宋体" w:hAnsi="宋体" w:eastAsia="宋体" w:cs="宋体"/>
          <w:color w:val="auto"/>
          <w:sz w:val="24"/>
          <w:szCs w:val="24"/>
          <w:highlight w:val="none"/>
        </w:rPr>
      </w:pPr>
      <w:bookmarkStart w:id="245" w:name="bookmark156"/>
      <w:bookmarkEnd w:id="245"/>
      <w:bookmarkStart w:id="246" w:name="bookmark89"/>
      <w:bookmarkEnd w:id="246"/>
      <w:bookmarkStart w:id="247" w:name="_Toc31533"/>
      <w:bookmarkStart w:id="248" w:name="_Toc24489"/>
      <w:r>
        <w:rPr>
          <w:rFonts w:hint="eastAsia" w:ascii="宋体" w:hAnsi="宋体" w:eastAsia="宋体" w:cs="宋体"/>
          <w:b/>
          <w:bCs/>
          <w:color w:val="auto"/>
          <w:spacing w:val="-5"/>
          <w:sz w:val="24"/>
          <w:szCs w:val="24"/>
          <w:highlight w:val="none"/>
        </w:rPr>
        <w:t>项目经理简历表</w:t>
      </w:r>
      <w:bookmarkEnd w:id="247"/>
      <w:bookmarkEnd w:id="248"/>
    </w:p>
    <w:p w14:paraId="59593258">
      <w:pPr>
        <w:spacing w:line="240" w:lineRule="exact"/>
        <w:rPr>
          <w:rFonts w:hint="eastAsia" w:ascii="宋体" w:hAnsi="宋体" w:eastAsia="宋体" w:cs="宋体"/>
          <w:color w:val="auto"/>
          <w:sz w:val="24"/>
          <w:szCs w:val="24"/>
          <w:highlight w:val="none"/>
        </w:rPr>
      </w:pPr>
    </w:p>
    <w:tbl>
      <w:tblPr>
        <w:tblStyle w:val="17"/>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4"/>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4"/>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4"/>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4"/>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4"/>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4"/>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4"/>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4"/>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4"/>
              <w:rPr>
                <w:rFonts w:hint="eastAsia" w:ascii="宋体" w:hAnsi="宋体" w:eastAsia="宋体" w:cs="宋体"/>
                <w:color w:val="auto"/>
                <w:sz w:val="24"/>
                <w:szCs w:val="24"/>
                <w:highlight w:val="none"/>
              </w:rPr>
            </w:pPr>
          </w:p>
        </w:tc>
        <w:tc>
          <w:tcPr>
            <w:tcW w:w="2037" w:type="dxa"/>
            <w:gridSpan w:val="2"/>
            <w:vAlign w:val="top"/>
          </w:tcPr>
          <w:p w14:paraId="78888A3B">
            <w:pPr>
              <w:pStyle w:val="24"/>
              <w:rPr>
                <w:rFonts w:hint="eastAsia" w:ascii="宋体" w:hAnsi="宋体" w:eastAsia="宋体" w:cs="宋体"/>
                <w:color w:val="auto"/>
                <w:sz w:val="24"/>
                <w:szCs w:val="24"/>
                <w:highlight w:val="none"/>
              </w:rPr>
            </w:pPr>
          </w:p>
        </w:tc>
        <w:tc>
          <w:tcPr>
            <w:tcW w:w="2062" w:type="dxa"/>
            <w:vAlign w:val="top"/>
          </w:tcPr>
          <w:p w14:paraId="74289F65">
            <w:pPr>
              <w:pStyle w:val="24"/>
              <w:rPr>
                <w:rFonts w:hint="eastAsia" w:ascii="宋体" w:hAnsi="宋体" w:eastAsia="宋体" w:cs="宋体"/>
                <w:color w:val="auto"/>
                <w:sz w:val="24"/>
                <w:szCs w:val="24"/>
                <w:highlight w:val="none"/>
              </w:rPr>
            </w:pPr>
          </w:p>
        </w:tc>
        <w:tc>
          <w:tcPr>
            <w:tcW w:w="1798" w:type="dxa"/>
            <w:vAlign w:val="top"/>
          </w:tcPr>
          <w:p w14:paraId="22429141">
            <w:pPr>
              <w:pStyle w:val="24"/>
              <w:rPr>
                <w:rFonts w:hint="eastAsia" w:ascii="宋体" w:hAnsi="宋体" w:eastAsia="宋体" w:cs="宋体"/>
                <w:color w:val="auto"/>
                <w:sz w:val="24"/>
                <w:szCs w:val="24"/>
                <w:highlight w:val="none"/>
              </w:rPr>
            </w:pPr>
          </w:p>
        </w:tc>
        <w:tc>
          <w:tcPr>
            <w:tcW w:w="1398" w:type="dxa"/>
            <w:vAlign w:val="top"/>
          </w:tcPr>
          <w:p w14:paraId="0CCA428D">
            <w:pPr>
              <w:pStyle w:val="24"/>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4"/>
              <w:rPr>
                <w:rFonts w:hint="eastAsia" w:ascii="宋体" w:hAnsi="宋体" w:eastAsia="宋体" w:cs="宋体"/>
                <w:color w:val="auto"/>
                <w:sz w:val="24"/>
                <w:szCs w:val="24"/>
                <w:highlight w:val="none"/>
              </w:rPr>
            </w:pPr>
          </w:p>
        </w:tc>
        <w:tc>
          <w:tcPr>
            <w:tcW w:w="2037" w:type="dxa"/>
            <w:gridSpan w:val="2"/>
            <w:vAlign w:val="top"/>
          </w:tcPr>
          <w:p w14:paraId="6061C8EF">
            <w:pPr>
              <w:pStyle w:val="24"/>
              <w:rPr>
                <w:rFonts w:hint="eastAsia" w:ascii="宋体" w:hAnsi="宋体" w:eastAsia="宋体" w:cs="宋体"/>
                <w:color w:val="auto"/>
                <w:sz w:val="24"/>
                <w:szCs w:val="24"/>
                <w:highlight w:val="none"/>
              </w:rPr>
            </w:pPr>
          </w:p>
        </w:tc>
        <w:tc>
          <w:tcPr>
            <w:tcW w:w="2062" w:type="dxa"/>
            <w:vAlign w:val="top"/>
          </w:tcPr>
          <w:p w14:paraId="37C2C8FD">
            <w:pPr>
              <w:pStyle w:val="24"/>
              <w:rPr>
                <w:rFonts w:hint="eastAsia" w:ascii="宋体" w:hAnsi="宋体" w:eastAsia="宋体" w:cs="宋体"/>
                <w:color w:val="auto"/>
                <w:sz w:val="24"/>
                <w:szCs w:val="24"/>
                <w:highlight w:val="none"/>
              </w:rPr>
            </w:pPr>
          </w:p>
        </w:tc>
        <w:tc>
          <w:tcPr>
            <w:tcW w:w="1798" w:type="dxa"/>
            <w:vAlign w:val="top"/>
          </w:tcPr>
          <w:p w14:paraId="35838BEB">
            <w:pPr>
              <w:pStyle w:val="24"/>
              <w:rPr>
                <w:rFonts w:hint="eastAsia" w:ascii="宋体" w:hAnsi="宋体" w:eastAsia="宋体" w:cs="宋体"/>
                <w:color w:val="auto"/>
                <w:sz w:val="24"/>
                <w:szCs w:val="24"/>
                <w:highlight w:val="none"/>
              </w:rPr>
            </w:pPr>
          </w:p>
        </w:tc>
        <w:tc>
          <w:tcPr>
            <w:tcW w:w="1398" w:type="dxa"/>
            <w:vAlign w:val="top"/>
          </w:tcPr>
          <w:p w14:paraId="1A7FF52A">
            <w:pPr>
              <w:pStyle w:val="24"/>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4"/>
              <w:rPr>
                <w:rFonts w:hint="eastAsia" w:ascii="宋体" w:hAnsi="宋体" w:eastAsia="宋体" w:cs="宋体"/>
                <w:color w:val="auto"/>
                <w:sz w:val="24"/>
                <w:szCs w:val="24"/>
                <w:highlight w:val="none"/>
              </w:rPr>
            </w:pPr>
          </w:p>
        </w:tc>
        <w:tc>
          <w:tcPr>
            <w:tcW w:w="2037" w:type="dxa"/>
            <w:gridSpan w:val="2"/>
            <w:vAlign w:val="top"/>
          </w:tcPr>
          <w:p w14:paraId="49395E10">
            <w:pPr>
              <w:pStyle w:val="24"/>
              <w:rPr>
                <w:rFonts w:hint="eastAsia" w:ascii="宋体" w:hAnsi="宋体" w:eastAsia="宋体" w:cs="宋体"/>
                <w:color w:val="auto"/>
                <w:sz w:val="24"/>
                <w:szCs w:val="24"/>
                <w:highlight w:val="none"/>
              </w:rPr>
            </w:pPr>
          </w:p>
        </w:tc>
        <w:tc>
          <w:tcPr>
            <w:tcW w:w="2062" w:type="dxa"/>
            <w:vAlign w:val="top"/>
          </w:tcPr>
          <w:p w14:paraId="38C89432">
            <w:pPr>
              <w:pStyle w:val="24"/>
              <w:rPr>
                <w:rFonts w:hint="eastAsia" w:ascii="宋体" w:hAnsi="宋体" w:eastAsia="宋体" w:cs="宋体"/>
                <w:color w:val="auto"/>
                <w:sz w:val="24"/>
                <w:szCs w:val="24"/>
                <w:highlight w:val="none"/>
              </w:rPr>
            </w:pPr>
          </w:p>
        </w:tc>
        <w:tc>
          <w:tcPr>
            <w:tcW w:w="1798" w:type="dxa"/>
            <w:vAlign w:val="top"/>
          </w:tcPr>
          <w:p w14:paraId="5214B6C3">
            <w:pPr>
              <w:pStyle w:val="24"/>
              <w:rPr>
                <w:rFonts w:hint="eastAsia" w:ascii="宋体" w:hAnsi="宋体" w:eastAsia="宋体" w:cs="宋体"/>
                <w:color w:val="auto"/>
                <w:sz w:val="24"/>
                <w:szCs w:val="24"/>
                <w:highlight w:val="none"/>
              </w:rPr>
            </w:pPr>
          </w:p>
        </w:tc>
        <w:tc>
          <w:tcPr>
            <w:tcW w:w="1398" w:type="dxa"/>
            <w:vAlign w:val="top"/>
          </w:tcPr>
          <w:p w14:paraId="359AD966">
            <w:pPr>
              <w:pStyle w:val="24"/>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4"/>
              <w:rPr>
                <w:rFonts w:hint="eastAsia" w:ascii="宋体" w:hAnsi="宋体" w:eastAsia="宋体" w:cs="宋体"/>
                <w:color w:val="auto"/>
                <w:sz w:val="24"/>
                <w:szCs w:val="24"/>
                <w:highlight w:val="none"/>
              </w:rPr>
            </w:pPr>
          </w:p>
        </w:tc>
        <w:tc>
          <w:tcPr>
            <w:tcW w:w="2037" w:type="dxa"/>
            <w:gridSpan w:val="2"/>
            <w:vAlign w:val="top"/>
          </w:tcPr>
          <w:p w14:paraId="13591C1A">
            <w:pPr>
              <w:pStyle w:val="24"/>
              <w:rPr>
                <w:rFonts w:hint="eastAsia" w:ascii="宋体" w:hAnsi="宋体" w:eastAsia="宋体" w:cs="宋体"/>
                <w:color w:val="auto"/>
                <w:sz w:val="24"/>
                <w:szCs w:val="24"/>
                <w:highlight w:val="none"/>
              </w:rPr>
            </w:pPr>
          </w:p>
        </w:tc>
        <w:tc>
          <w:tcPr>
            <w:tcW w:w="2062" w:type="dxa"/>
            <w:vAlign w:val="top"/>
          </w:tcPr>
          <w:p w14:paraId="7E190888">
            <w:pPr>
              <w:pStyle w:val="24"/>
              <w:rPr>
                <w:rFonts w:hint="eastAsia" w:ascii="宋体" w:hAnsi="宋体" w:eastAsia="宋体" w:cs="宋体"/>
                <w:color w:val="auto"/>
                <w:sz w:val="24"/>
                <w:szCs w:val="24"/>
                <w:highlight w:val="none"/>
              </w:rPr>
            </w:pPr>
          </w:p>
        </w:tc>
        <w:tc>
          <w:tcPr>
            <w:tcW w:w="1798" w:type="dxa"/>
            <w:vAlign w:val="top"/>
          </w:tcPr>
          <w:p w14:paraId="465A33C8">
            <w:pPr>
              <w:pStyle w:val="24"/>
              <w:rPr>
                <w:rFonts w:hint="eastAsia" w:ascii="宋体" w:hAnsi="宋体" w:eastAsia="宋体" w:cs="宋体"/>
                <w:color w:val="auto"/>
                <w:sz w:val="24"/>
                <w:szCs w:val="24"/>
                <w:highlight w:val="none"/>
              </w:rPr>
            </w:pPr>
          </w:p>
        </w:tc>
        <w:tc>
          <w:tcPr>
            <w:tcW w:w="1398" w:type="dxa"/>
            <w:vAlign w:val="top"/>
          </w:tcPr>
          <w:p w14:paraId="3E8CFEF8">
            <w:pPr>
              <w:pStyle w:val="24"/>
              <w:rPr>
                <w:rFonts w:hint="eastAsia" w:ascii="宋体" w:hAnsi="宋体" w:eastAsia="宋体" w:cs="宋体"/>
                <w:color w:val="auto"/>
                <w:sz w:val="24"/>
                <w:szCs w:val="24"/>
                <w:highlight w:val="none"/>
              </w:rPr>
            </w:pPr>
          </w:p>
        </w:tc>
      </w:tr>
    </w:tbl>
    <w:p w14:paraId="31E2A55D">
      <w:pPr>
        <w:pStyle w:val="7"/>
        <w:spacing w:line="315" w:lineRule="auto"/>
        <w:rPr>
          <w:rFonts w:hint="eastAsia" w:ascii="宋体" w:hAnsi="宋体" w:eastAsia="宋体" w:cs="宋体"/>
          <w:color w:val="auto"/>
          <w:sz w:val="24"/>
          <w:szCs w:val="24"/>
          <w:highlight w:val="none"/>
        </w:rPr>
      </w:pPr>
    </w:p>
    <w:p w14:paraId="4A488FFC">
      <w:pPr>
        <w:spacing w:before="78" w:line="220" w:lineRule="auto"/>
        <w:ind w:firstLine="6396" w:firstLineChars="260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7"/>
        <w:spacing w:line="256" w:lineRule="auto"/>
        <w:rPr>
          <w:rFonts w:hint="eastAsia" w:ascii="宋体" w:hAnsi="宋体" w:eastAsia="宋体" w:cs="宋体"/>
          <w:color w:val="auto"/>
          <w:sz w:val="24"/>
          <w:szCs w:val="24"/>
          <w:highlight w:val="none"/>
        </w:rPr>
      </w:pPr>
    </w:p>
    <w:p w14:paraId="04095A12">
      <w:pPr>
        <w:pStyle w:val="7"/>
        <w:spacing w:line="254"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39040016">
      <w:pPr>
        <w:spacing w:before="78" w:line="220" w:lineRule="auto"/>
        <w:ind w:left="4226"/>
        <w:jc w:val="center"/>
        <w:rPr>
          <w:rFonts w:hint="eastAsia" w:ascii="宋体" w:hAnsi="宋体" w:eastAsia="宋体" w:cs="宋体"/>
          <w:color w:val="auto"/>
          <w:sz w:val="24"/>
          <w:szCs w:val="24"/>
          <w:highlight w:val="none"/>
        </w:rPr>
      </w:pPr>
    </w:p>
    <w:p w14:paraId="09DFFC47">
      <w:pPr>
        <w:pStyle w:val="7"/>
        <w:spacing w:line="241" w:lineRule="auto"/>
        <w:rPr>
          <w:rFonts w:hint="eastAsia" w:ascii="宋体" w:hAnsi="宋体" w:eastAsia="宋体" w:cs="宋体"/>
          <w:color w:val="auto"/>
          <w:sz w:val="24"/>
          <w:szCs w:val="24"/>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49" w:name="_Toc1942"/>
      <w:bookmarkStart w:id="250" w:name="_Toc25271"/>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49"/>
      <w:bookmarkEnd w:id="250"/>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3．B类安全生产考核合格证书彩色扫描件或广东省建筑施工企业管理人员安全生产考核系统考</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bookmarkStart w:id="251" w:name="OLE_LINK38"/>
      <w:bookmarkEnd w:id="251"/>
      <w:r>
        <w:rPr>
          <w:rFonts w:hint="eastAsia" w:ascii="宋体" w:hAnsi="宋体" w:eastAsia="宋体" w:cs="宋体"/>
          <w:color w:val="auto"/>
          <w:sz w:val="24"/>
          <w:szCs w:val="24"/>
          <w:highlight w:val="none"/>
          <w:lang w:eastAsia="zh-CN"/>
        </w:rPr>
        <w:t>其中必须有2026年8月）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4"/>
          <w:szCs w:val="24"/>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2" w:name="_Toc30109"/>
      <w:r>
        <w:rPr>
          <w:rFonts w:hint="eastAsia" w:ascii="宋体" w:hAnsi="宋体" w:eastAsia="宋体" w:cs="宋体"/>
          <w:b/>
          <w:bCs/>
          <w:color w:val="auto"/>
          <w:spacing w:val="-4"/>
          <w:sz w:val="24"/>
          <w:szCs w:val="24"/>
          <w:highlight w:val="none"/>
        </w:rPr>
        <w:t>格式九 项目经理任职声明</w:t>
      </w:r>
      <w:bookmarkEnd w:id="252"/>
    </w:p>
    <w:p w14:paraId="612F2BD3">
      <w:pPr>
        <w:pStyle w:val="7"/>
        <w:spacing w:line="350" w:lineRule="auto"/>
        <w:rPr>
          <w:rFonts w:hint="eastAsia" w:ascii="宋体" w:hAnsi="宋体" w:eastAsia="宋体" w:cs="宋体"/>
          <w:color w:val="auto"/>
          <w:sz w:val="24"/>
          <w:szCs w:val="24"/>
          <w:highlight w:val="none"/>
        </w:rPr>
      </w:pPr>
    </w:p>
    <w:p w14:paraId="64BA9CAE">
      <w:pPr>
        <w:pStyle w:val="7"/>
        <w:spacing w:line="350" w:lineRule="auto"/>
        <w:rPr>
          <w:rFonts w:hint="eastAsia" w:ascii="宋体" w:hAnsi="宋体" w:eastAsia="宋体" w:cs="宋体"/>
          <w:color w:val="auto"/>
          <w:sz w:val="24"/>
          <w:szCs w:val="24"/>
          <w:highlight w:val="none"/>
        </w:rPr>
      </w:pPr>
    </w:p>
    <w:p w14:paraId="2CD81D3B">
      <w:pPr>
        <w:spacing w:before="98" w:line="220" w:lineRule="auto"/>
        <w:ind w:left="3338"/>
        <w:rPr>
          <w:rFonts w:hint="eastAsia" w:ascii="宋体" w:hAnsi="宋体" w:eastAsia="宋体" w:cs="宋体"/>
          <w:color w:val="auto"/>
          <w:sz w:val="24"/>
          <w:szCs w:val="24"/>
          <w:highlight w:val="none"/>
        </w:rPr>
      </w:pPr>
      <w:bookmarkStart w:id="253" w:name="bookmark157"/>
      <w:bookmarkEnd w:id="253"/>
      <w:r>
        <w:rPr>
          <w:rFonts w:hint="eastAsia" w:ascii="宋体" w:hAnsi="宋体" w:eastAsia="宋体" w:cs="宋体"/>
          <w:b/>
          <w:bCs/>
          <w:color w:val="auto"/>
          <w:spacing w:val="-5"/>
          <w:sz w:val="24"/>
          <w:szCs w:val="24"/>
          <w:highlight w:val="none"/>
        </w:rPr>
        <w:t>项目经理任职声明</w:t>
      </w:r>
    </w:p>
    <w:p w14:paraId="5E27ED4C">
      <w:pPr>
        <w:pStyle w:val="7"/>
        <w:spacing w:line="250" w:lineRule="auto"/>
        <w:rPr>
          <w:rFonts w:hint="eastAsia" w:ascii="宋体" w:hAnsi="宋体" w:eastAsia="宋体" w:cs="宋体"/>
          <w:color w:val="auto"/>
          <w:sz w:val="24"/>
          <w:szCs w:val="24"/>
          <w:highlight w:val="none"/>
        </w:rPr>
      </w:pPr>
    </w:p>
    <w:p w14:paraId="2F282189">
      <w:pPr>
        <w:pStyle w:val="7"/>
        <w:spacing w:line="250" w:lineRule="auto"/>
        <w:rPr>
          <w:rFonts w:hint="eastAsia" w:ascii="宋体" w:hAnsi="宋体" w:eastAsia="宋体" w:cs="宋体"/>
          <w:color w:val="auto"/>
          <w:sz w:val="24"/>
          <w:szCs w:val="24"/>
          <w:highlight w:val="none"/>
        </w:rPr>
      </w:pPr>
    </w:p>
    <w:p w14:paraId="5C8AA10A">
      <w:pPr>
        <w:pStyle w:val="7"/>
        <w:spacing w:line="251" w:lineRule="auto"/>
        <w:rPr>
          <w:rFonts w:hint="eastAsia" w:ascii="宋体" w:hAnsi="宋体" w:eastAsia="宋体" w:cs="宋体"/>
          <w:color w:val="auto"/>
          <w:sz w:val="24"/>
          <w:szCs w:val="24"/>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DA21651">
      <w:pPr>
        <w:spacing w:before="155" w:line="480" w:lineRule="auto"/>
        <w:ind w:firstLine="480"/>
        <w:rPr>
          <w:rFonts w:hint="eastAsia" w:ascii="宋体" w:hAnsi="宋体" w:eastAsia="宋体" w:cs="宋体"/>
          <w:color w:val="auto"/>
          <w:spacing w:val="-2"/>
          <w:sz w:val="24"/>
          <w:szCs w:val="24"/>
          <w:highlight w:val="none"/>
        </w:rPr>
      </w:pPr>
    </w:p>
    <w:p w14:paraId="0904F3EC">
      <w:pPr>
        <w:spacing w:before="155" w:line="48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480"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7"/>
        <w:spacing w:line="391" w:lineRule="auto"/>
        <w:rPr>
          <w:rFonts w:hint="eastAsia" w:ascii="宋体" w:hAnsi="宋体" w:eastAsia="宋体" w:cs="宋体"/>
          <w:color w:val="auto"/>
          <w:sz w:val="24"/>
          <w:szCs w:val="24"/>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7"/>
        <w:spacing w:line="316" w:lineRule="auto"/>
        <w:rPr>
          <w:rFonts w:hint="eastAsia" w:ascii="宋体" w:hAnsi="宋体" w:eastAsia="宋体" w:cs="宋体"/>
          <w:color w:val="auto"/>
          <w:sz w:val="24"/>
          <w:szCs w:val="24"/>
          <w:highlight w:val="none"/>
        </w:rPr>
      </w:pPr>
    </w:p>
    <w:p w14:paraId="166EE9AC">
      <w:pPr>
        <w:pStyle w:val="7"/>
        <w:spacing w:line="317" w:lineRule="auto"/>
        <w:rPr>
          <w:rFonts w:hint="eastAsia" w:ascii="宋体" w:hAnsi="宋体" w:eastAsia="宋体" w:cs="宋体"/>
          <w:color w:val="auto"/>
          <w:sz w:val="24"/>
          <w:szCs w:val="24"/>
          <w:highlight w:val="none"/>
        </w:rPr>
      </w:pPr>
    </w:p>
    <w:p w14:paraId="708846AD">
      <w:pPr>
        <w:pStyle w:val="7"/>
        <w:spacing w:line="317" w:lineRule="auto"/>
        <w:rPr>
          <w:rFonts w:hint="eastAsia" w:ascii="宋体" w:hAnsi="宋体" w:eastAsia="宋体" w:cs="宋体"/>
          <w:color w:val="auto"/>
          <w:sz w:val="24"/>
          <w:szCs w:val="24"/>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38491E5D">
      <w:pPr>
        <w:pStyle w:val="7"/>
        <w:spacing w:line="317" w:lineRule="auto"/>
        <w:rPr>
          <w:rFonts w:hint="eastAsia" w:ascii="宋体" w:hAnsi="宋体" w:eastAsia="宋体" w:cs="宋体"/>
          <w:color w:val="auto"/>
          <w:sz w:val="24"/>
          <w:szCs w:val="24"/>
          <w:highlight w:val="none"/>
        </w:rPr>
      </w:pPr>
    </w:p>
    <w:p w14:paraId="2845CC21">
      <w:pPr>
        <w:pStyle w:val="7"/>
        <w:spacing w:line="317" w:lineRule="auto"/>
        <w:rPr>
          <w:rFonts w:hint="eastAsia" w:ascii="宋体" w:hAnsi="宋体" w:eastAsia="宋体" w:cs="宋体"/>
          <w:color w:val="auto"/>
          <w:sz w:val="24"/>
          <w:szCs w:val="24"/>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7"/>
        <w:spacing w:line="257" w:lineRule="auto"/>
        <w:rPr>
          <w:rFonts w:hint="eastAsia" w:ascii="宋体" w:hAnsi="宋体" w:eastAsia="宋体" w:cs="宋体"/>
          <w:color w:val="auto"/>
          <w:sz w:val="24"/>
          <w:szCs w:val="24"/>
          <w:highlight w:val="none"/>
        </w:rPr>
      </w:pPr>
    </w:p>
    <w:p w14:paraId="24BB67B8">
      <w:pPr>
        <w:pStyle w:val="7"/>
        <w:spacing w:line="257" w:lineRule="auto"/>
        <w:rPr>
          <w:rFonts w:hint="eastAsia" w:ascii="宋体" w:hAnsi="宋体" w:eastAsia="宋体" w:cs="宋体"/>
          <w:color w:val="auto"/>
          <w:sz w:val="24"/>
          <w:szCs w:val="24"/>
          <w:highlight w:val="none"/>
        </w:rPr>
      </w:pPr>
    </w:p>
    <w:p w14:paraId="1DEB93F9">
      <w:pPr>
        <w:pStyle w:val="7"/>
        <w:spacing w:line="254" w:lineRule="auto"/>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9C55D77">
      <w:pPr>
        <w:spacing w:line="220" w:lineRule="auto"/>
        <w:rPr>
          <w:rFonts w:hint="eastAsia" w:ascii="宋体" w:hAnsi="宋体" w:eastAsia="宋体" w:cs="宋体"/>
          <w:color w:val="auto"/>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4" w:name="_Toc22506"/>
      <w:r>
        <w:rPr>
          <w:rFonts w:hint="eastAsia" w:ascii="宋体" w:hAnsi="宋体" w:eastAsia="宋体" w:cs="宋体"/>
          <w:b/>
          <w:bCs/>
          <w:color w:val="auto"/>
          <w:spacing w:val="-4"/>
          <w:sz w:val="24"/>
          <w:szCs w:val="24"/>
          <w:highlight w:val="none"/>
        </w:rPr>
        <w:t>格式十 项目技术负责人简历表</w:t>
      </w:r>
      <w:bookmarkEnd w:id="254"/>
    </w:p>
    <w:p w14:paraId="675D0539">
      <w:pPr>
        <w:pStyle w:val="7"/>
        <w:spacing w:line="444" w:lineRule="auto"/>
        <w:rPr>
          <w:rFonts w:hint="eastAsia" w:ascii="宋体" w:hAnsi="宋体" w:eastAsia="宋体" w:cs="宋体"/>
          <w:color w:val="auto"/>
          <w:sz w:val="24"/>
          <w:szCs w:val="24"/>
          <w:highlight w:val="none"/>
        </w:rPr>
      </w:pPr>
    </w:p>
    <w:p w14:paraId="0EE5F1FB">
      <w:pPr>
        <w:spacing w:before="97" w:line="219" w:lineRule="auto"/>
        <w:ind w:left="3087" w:firstLine="932" w:firstLineChars="400"/>
        <w:outlineLvl w:val="9"/>
        <w:rPr>
          <w:rFonts w:hint="eastAsia" w:ascii="宋体" w:hAnsi="宋体" w:eastAsia="宋体" w:cs="宋体"/>
          <w:color w:val="auto"/>
          <w:sz w:val="24"/>
          <w:szCs w:val="24"/>
          <w:highlight w:val="none"/>
        </w:rPr>
      </w:pPr>
      <w:bookmarkStart w:id="255" w:name="_Toc25712"/>
      <w:bookmarkStart w:id="256" w:name="_Toc1553"/>
      <w:r>
        <w:rPr>
          <w:rFonts w:hint="eastAsia" w:ascii="宋体" w:hAnsi="宋体" w:eastAsia="宋体" w:cs="宋体"/>
          <w:b/>
          <w:bCs/>
          <w:color w:val="auto"/>
          <w:spacing w:val="-4"/>
          <w:sz w:val="24"/>
          <w:szCs w:val="24"/>
          <w:highlight w:val="none"/>
        </w:rPr>
        <w:t>项目技术负责人简历表</w:t>
      </w:r>
      <w:bookmarkEnd w:id="255"/>
      <w:bookmarkEnd w:id="256"/>
    </w:p>
    <w:p w14:paraId="0C4EC7B8">
      <w:pPr>
        <w:spacing w:line="240" w:lineRule="exact"/>
        <w:rPr>
          <w:rFonts w:hint="eastAsia" w:ascii="宋体" w:hAnsi="宋体" w:eastAsia="宋体" w:cs="宋体"/>
          <w:color w:val="auto"/>
          <w:sz w:val="24"/>
          <w:szCs w:val="24"/>
          <w:highlight w:val="none"/>
        </w:rPr>
      </w:pPr>
    </w:p>
    <w:tbl>
      <w:tblPr>
        <w:tblStyle w:val="17"/>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4"/>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4"/>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4"/>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4"/>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4"/>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4"/>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4"/>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4"/>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4"/>
              <w:rPr>
                <w:rFonts w:hint="eastAsia" w:ascii="宋体" w:hAnsi="宋体" w:eastAsia="宋体" w:cs="宋体"/>
                <w:color w:val="auto"/>
                <w:sz w:val="24"/>
                <w:szCs w:val="24"/>
                <w:highlight w:val="none"/>
              </w:rPr>
            </w:pPr>
          </w:p>
        </w:tc>
        <w:tc>
          <w:tcPr>
            <w:tcW w:w="2021" w:type="dxa"/>
            <w:gridSpan w:val="2"/>
            <w:vAlign w:val="top"/>
          </w:tcPr>
          <w:p w14:paraId="270436EC">
            <w:pPr>
              <w:pStyle w:val="24"/>
              <w:rPr>
                <w:rFonts w:hint="eastAsia" w:ascii="宋体" w:hAnsi="宋体" w:eastAsia="宋体" w:cs="宋体"/>
                <w:color w:val="auto"/>
                <w:sz w:val="24"/>
                <w:szCs w:val="24"/>
                <w:highlight w:val="none"/>
              </w:rPr>
            </w:pPr>
          </w:p>
        </w:tc>
        <w:tc>
          <w:tcPr>
            <w:tcW w:w="2047" w:type="dxa"/>
            <w:vAlign w:val="top"/>
          </w:tcPr>
          <w:p w14:paraId="254FE938">
            <w:pPr>
              <w:pStyle w:val="24"/>
              <w:rPr>
                <w:rFonts w:hint="eastAsia" w:ascii="宋体" w:hAnsi="宋体" w:eastAsia="宋体" w:cs="宋体"/>
                <w:color w:val="auto"/>
                <w:sz w:val="24"/>
                <w:szCs w:val="24"/>
                <w:highlight w:val="none"/>
              </w:rPr>
            </w:pPr>
          </w:p>
        </w:tc>
        <w:tc>
          <w:tcPr>
            <w:tcW w:w="1783" w:type="dxa"/>
            <w:vAlign w:val="top"/>
          </w:tcPr>
          <w:p w14:paraId="355EA15C">
            <w:pPr>
              <w:pStyle w:val="24"/>
              <w:rPr>
                <w:rFonts w:hint="eastAsia" w:ascii="宋体" w:hAnsi="宋体" w:eastAsia="宋体" w:cs="宋体"/>
                <w:color w:val="auto"/>
                <w:sz w:val="24"/>
                <w:szCs w:val="24"/>
                <w:highlight w:val="none"/>
              </w:rPr>
            </w:pPr>
          </w:p>
        </w:tc>
        <w:tc>
          <w:tcPr>
            <w:tcW w:w="1386" w:type="dxa"/>
            <w:vAlign w:val="top"/>
          </w:tcPr>
          <w:p w14:paraId="3A063067">
            <w:pPr>
              <w:pStyle w:val="24"/>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4"/>
              <w:rPr>
                <w:rFonts w:hint="eastAsia" w:ascii="宋体" w:hAnsi="宋体" w:eastAsia="宋体" w:cs="宋体"/>
                <w:color w:val="auto"/>
                <w:sz w:val="24"/>
                <w:szCs w:val="24"/>
                <w:highlight w:val="none"/>
              </w:rPr>
            </w:pPr>
          </w:p>
        </w:tc>
        <w:tc>
          <w:tcPr>
            <w:tcW w:w="2021" w:type="dxa"/>
            <w:gridSpan w:val="2"/>
            <w:vAlign w:val="top"/>
          </w:tcPr>
          <w:p w14:paraId="4FF33181">
            <w:pPr>
              <w:pStyle w:val="24"/>
              <w:rPr>
                <w:rFonts w:hint="eastAsia" w:ascii="宋体" w:hAnsi="宋体" w:eastAsia="宋体" w:cs="宋体"/>
                <w:color w:val="auto"/>
                <w:sz w:val="24"/>
                <w:szCs w:val="24"/>
                <w:highlight w:val="none"/>
              </w:rPr>
            </w:pPr>
          </w:p>
        </w:tc>
        <w:tc>
          <w:tcPr>
            <w:tcW w:w="2047" w:type="dxa"/>
            <w:vAlign w:val="top"/>
          </w:tcPr>
          <w:p w14:paraId="7DB0E2CE">
            <w:pPr>
              <w:pStyle w:val="24"/>
              <w:rPr>
                <w:rFonts w:hint="eastAsia" w:ascii="宋体" w:hAnsi="宋体" w:eastAsia="宋体" w:cs="宋体"/>
                <w:color w:val="auto"/>
                <w:sz w:val="24"/>
                <w:szCs w:val="24"/>
                <w:highlight w:val="none"/>
              </w:rPr>
            </w:pPr>
          </w:p>
        </w:tc>
        <w:tc>
          <w:tcPr>
            <w:tcW w:w="1783" w:type="dxa"/>
            <w:vAlign w:val="top"/>
          </w:tcPr>
          <w:p w14:paraId="026AE2C4">
            <w:pPr>
              <w:pStyle w:val="24"/>
              <w:rPr>
                <w:rFonts w:hint="eastAsia" w:ascii="宋体" w:hAnsi="宋体" w:eastAsia="宋体" w:cs="宋体"/>
                <w:color w:val="auto"/>
                <w:sz w:val="24"/>
                <w:szCs w:val="24"/>
                <w:highlight w:val="none"/>
              </w:rPr>
            </w:pPr>
          </w:p>
        </w:tc>
        <w:tc>
          <w:tcPr>
            <w:tcW w:w="1386" w:type="dxa"/>
            <w:vAlign w:val="top"/>
          </w:tcPr>
          <w:p w14:paraId="371023C5">
            <w:pPr>
              <w:pStyle w:val="24"/>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4"/>
              <w:rPr>
                <w:rFonts w:hint="eastAsia" w:ascii="宋体" w:hAnsi="宋体" w:eastAsia="宋体" w:cs="宋体"/>
                <w:color w:val="auto"/>
                <w:sz w:val="24"/>
                <w:szCs w:val="24"/>
                <w:highlight w:val="none"/>
              </w:rPr>
            </w:pPr>
          </w:p>
        </w:tc>
        <w:tc>
          <w:tcPr>
            <w:tcW w:w="2021" w:type="dxa"/>
            <w:gridSpan w:val="2"/>
            <w:vAlign w:val="top"/>
          </w:tcPr>
          <w:p w14:paraId="5DC4416F">
            <w:pPr>
              <w:pStyle w:val="24"/>
              <w:rPr>
                <w:rFonts w:hint="eastAsia" w:ascii="宋体" w:hAnsi="宋体" w:eastAsia="宋体" w:cs="宋体"/>
                <w:color w:val="auto"/>
                <w:sz w:val="24"/>
                <w:szCs w:val="24"/>
                <w:highlight w:val="none"/>
              </w:rPr>
            </w:pPr>
          </w:p>
        </w:tc>
        <w:tc>
          <w:tcPr>
            <w:tcW w:w="2047" w:type="dxa"/>
            <w:vAlign w:val="top"/>
          </w:tcPr>
          <w:p w14:paraId="2AF0F04E">
            <w:pPr>
              <w:pStyle w:val="24"/>
              <w:rPr>
                <w:rFonts w:hint="eastAsia" w:ascii="宋体" w:hAnsi="宋体" w:eastAsia="宋体" w:cs="宋体"/>
                <w:color w:val="auto"/>
                <w:sz w:val="24"/>
                <w:szCs w:val="24"/>
                <w:highlight w:val="none"/>
              </w:rPr>
            </w:pPr>
          </w:p>
        </w:tc>
        <w:tc>
          <w:tcPr>
            <w:tcW w:w="1783" w:type="dxa"/>
            <w:vAlign w:val="top"/>
          </w:tcPr>
          <w:p w14:paraId="400EE5B7">
            <w:pPr>
              <w:pStyle w:val="24"/>
              <w:rPr>
                <w:rFonts w:hint="eastAsia" w:ascii="宋体" w:hAnsi="宋体" w:eastAsia="宋体" w:cs="宋体"/>
                <w:color w:val="auto"/>
                <w:sz w:val="24"/>
                <w:szCs w:val="24"/>
                <w:highlight w:val="none"/>
              </w:rPr>
            </w:pPr>
          </w:p>
        </w:tc>
        <w:tc>
          <w:tcPr>
            <w:tcW w:w="1386" w:type="dxa"/>
            <w:vAlign w:val="top"/>
          </w:tcPr>
          <w:p w14:paraId="1734BD0B">
            <w:pPr>
              <w:pStyle w:val="24"/>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4"/>
              <w:rPr>
                <w:rFonts w:hint="eastAsia" w:ascii="宋体" w:hAnsi="宋体" w:eastAsia="宋体" w:cs="宋体"/>
                <w:color w:val="auto"/>
                <w:sz w:val="24"/>
                <w:szCs w:val="24"/>
                <w:highlight w:val="none"/>
              </w:rPr>
            </w:pPr>
          </w:p>
        </w:tc>
        <w:tc>
          <w:tcPr>
            <w:tcW w:w="1610" w:type="dxa"/>
            <w:gridSpan w:val="2"/>
            <w:vAlign w:val="top"/>
          </w:tcPr>
          <w:p w14:paraId="698F5787">
            <w:pPr>
              <w:pStyle w:val="24"/>
              <w:rPr>
                <w:rFonts w:hint="eastAsia" w:ascii="宋体" w:hAnsi="宋体" w:eastAsia="宋体" w:cs="宋体"/>
                <w:color w:val="auto"/>
                <w:sz w:val="24"/>
                <w:szCs w:val="24"/>
                <w:highlight w:val="none"/>
              </w:rPr>
            </w:pPr>
          </w:p>
        </w:tc>
        <w:tc>
          <w:tcPr>
            <w:tcW w:w="2021" w:type="dxa"/>
            <w:gridSpan w:val="2"/>
            <w:vAlign w:val="top"/>
          </w:tcPr>
          <w:p w14:paraId="69858A0D">
            <w:pPr>
              <w:pStyle w:val="24"/>
              <w:rPr>
                <w:rFonts w:hint="eastAsia" w:ascii="宋体" w:hAnsi="宋体" w:eastAsia="宋体" w:cs="宋体"/>
                <w:color w:val="auto"/>
                <w:sz w:val="24"/>
                <w:szCs w:val="24"/>
                <w:highlight w:val="none"/>
              </w:rPr>
            </w:pPr>
          </w:p>
        </w:tc>
        <w:tc>
          <w:tcPr>
            <w:tcW w:w="2047" w:type="dxa"/>
            <w:vAlign w:val="top"/>
          </w:tcPr>
          <w:p w14:paraId="2BD7DCDB">
            <w:pPr>
              <w:pStyle w:val="24"/>
              <w:rPr>
                <w:rFonts w:hint="eastAsia" w:ascii="宋体" w:hAnsi="宋体" w:eastAsia="宋体" w:cs="宋体"/>
                <w:color w:val="auto"/>
                <w:sz w:val="24"/>
                <w:szCs w:val="24"/>
                <w:highlight w:val="none"/>
              </w:rPr>
            </w:pPr>
          </w:p>
        </w:tc>
        <w:tc>
          <w:tcPr>
            <w:tcW w:w="1783" w:type="dxa"/>
            <w:vAlign w:val="top"/>
          </w:tcPr>
          <w:p w14:paraId="4D125A3E">
            <w:pPr>
              <w:pStyle w:val="24"/>
              <w:rPr>
                <w:rFonts w:hint="eastAsia" w:ascii="宋体" w:hAnsi="宋体" w:eastAsia="宋体" w:cs="宋体"/>
                <w:color w:val="auto"/>
                <w:sz w:val="24"/>
                <w:szCs w:val="24"/>
                <w:highlight w:val="none"/>
              </w:rPr>
            </w:pPr>
          </w:p>
        </w:tc>
        <w:tc>
          <w:tcPr>
            <w:tcW w:w="1386" w:type="dxa"/>
            <w:vAlign w:val="top"/>
          </w:tcPr>
          <w:p w14:paraId="39C6E406">
            <w:pPr>
              <w:pStyle w:val="24"/>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4"/>
              <w:rPr>
                <w:rFonts w:hint="eastAsia" w:ascii="宋体" w:hAnsi="宋体" w:eastAsia="宋体" w:cs="宋体"/>
                <w:color w:val="auto"/>
                <w:sz w:val="24"/>
                <w:szCs w:val="24"/>
                <w:highlight w:val="none"/>
              </w:rPr>
            </w:pPr>
          </w:p>
        </w:tc>
        <w:tc>
          <w:tcPr>
            <w:tcW w:w="1610" w:type="dxa"/>
            <w:gridSpan w:val="2"/>
            <w:vAlign w:val="top"/>
          </w:tcPr>
          <w:p w14:paraId="51FAB6E2">
            <w:pPr>
              <w:pStyle w:val="24"/>
              <w:rPr>
                <w:rFonts w:hint="eastAsia" w:ascii="宋体" w:hAnsi="宋体" w:eastAsia="宋体" w:cs="宋体"/>
                <w:color w:val="auto"/>
                <w:sz w:val="24"/>
                <w:szCs w:val="24"/>
                <w:highlight w:val="none"/>
              </w:rPr>
            </w:pPr>
          </w:p>
        </w:tc>
        <w:tc>
          <w:tcPr>
            <w:tcW w:w="2021" w:type="dxa"/>
            <w:gridSpan w:val="2"/>
            <w:vAlign w:val="top"/>
          </w:tcPr>
          <w:p w14:paraId="61875FD1">
            <w:pPr>
              <w:pStyle w:val="24"/>
              <w:rPr>
                <w:rFonts w:hint="eastAsia" w:ascii="宋体" w:hAnsi="宋体" w:eastAsia="宋体" w:cs="宋体"/>
                <w:color w:val="auto"/>
                <w:sz w:val="24"/>
                <w:szCs w:val="24"/>
                <w:highlight w:val="none"/>
              </w:rPr>
            </w:pPr>
          </w:p>
        </w:tc>
        <w:tc>
          <w:tcPr>
            <w:tcW w:w="2047" w:type="dxa"/>
            <w:vAlign w:val="top"/>
          </w:tcPr>
          <w:p w14:paraId="404E5FF7">
            <w:pPr>
              <w:pStyle w:val="24"/>
              <w:rPr>
                <w:rFonts w:hint="eastAsia" w:ascii="宋体" w:hAnsi="宋体" w:eastAsia="宋体" w:cs="宋体"/>
                <w:color w:val="auto"/>
                <w:sz w:val="24"/>
                <w:szCs w:val="24"/>
                <w:highlight w:val="none"/>
              </w:rPr>
            </w:pPr>
          </w:p>
        </w:tc>
        <w:tc>
          <w:tcPr>
            <w:tcW w:w="1783" w:type="dxa"/>
            <w:vAlign w:val="top"/>
          </w:tcPr>
          <w:p w14:paraId="6ADD1E7F">
            <w:pPr>
              <w:pStyle w:val="24"/>
              <w:rPr>
                <w:rFonts w:hint="eastAsia" w:ascii="宋体" w:hAnsi="宋体" w:eastAsia="宋体" w:cs="宋体"/>
                <w:color w:val="auto"/>
                <w:sz w:val="24"/>
                <w:szCs w:val="24"/>
                <w:highlight w:val="none"/>
              </w:rPr>
            </w:pPr>
          </w:p>
        </w:tc>
        <w:tc>
          <w:tcPr>
            <w:tcW w:w="1386" w:type="dxa"/>
            <w:vAlign w:val="top"/>
          </w:tcPr>
          <w:p w14:paraId="384217C7">
            <w:pPr>
              <w:pStyle w:val="24"/>
              <w:rPr>
                <w:rFonts w:hint="eastAsia" w:ascii="宋体" w:hAnsi="宋体" w:eastAsia="宋体" w:cs="宋体"/>
                <w:color w:val="auto"/>
                <w:sz w:val="24"/>
                <w:szCs w:val="24"/>
                <w:highlight w:val="none"/>
              </w:rPr>
            </w:pPr>
          </w:p>
        </w:tc>
      </w:tr>
    </w:tbl>
    <w:p w14:paraId="02839B71">
      <w:pPr>
        <w:pStyle w:val="7"/>
        <w:spacing w:line="315" w:lineRule="auto"/>
        <w:rPr>
          <w:rFonts w:hint="eastAsia" w:ascii="宋体" w:hAnsi="宋体" w:eastAsia="宋体" w:cs="宋体"/>
          <w:color w:val="auto"/>
          <w:sz w:val="24"/>
          <w:szCs w:val="24"/>
          <w:highlight w:val="none"/>
        </w:rPr>
      </w:pPr>
    </w:p>
    <w:p w14:paraId="75FEC917">
      <w:pPr>
        <w:pStyle w:val="7"/>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7"/>
        <w:spacing w:line="256" w:lineRule="auto"/>
        <w:jc w:val="right"/>
        <w:rPr>
          <w:rFonts w:hint="eastAsia" w:ascii="宋体" w:hAnsi="宋体" w:eastAsia="宋体" w:cs="宋体"/>
          <w:color w:val="auto"/>
          <w:sz w:val="24"/>
          <w:szCs w:val="24"/>
          <w:highlight w:val="none"/>
        </w:rPr>
      </w:pPr>
    </w:p>
    <w:p w14:paraId="48AD0385">
      <w:pPr>
        <w:pStyle w:val="7"/>
        <w:spacing w:line="257" w:lineRule="auto"/>
        <w:jc w:val="right"/>
        <w:rPr>
          <w:rFonts w:hint="eastAsia" w:ascii="宋体" w:hAnsi="宋体" w:eastAsia="宋体" w:cs="宋体"/>
          <w:color w:val="auto"/>
          <w:sz w:val="24"/>
          <w:szCs w:val="24"/>
          <w:highlight w:val="none"/>
        </w:rPr>
      </w:pPr>
    </w:p>
    <w:p w14:paraId="50CB5F37">
      <w:pPr>
        <w:pStyle w:val="7"/>
        <w:spacing w:line="254" w:lineRule="auto"/>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6401AF0B">
      <w:pPr>
        <w:spacing w:before="65" w:line="228" w:lineRule="auto"/>
        <w:rPr>
          <w:rFonts w:hint="eastAsia" w:ascii="宋体" w:hAnsi="宋体" w:eastAsia="宋体" w:cs="宋体"/>
          <w:color w:val="auto"/>
          <w:spacing w:val="9"/>
          <w:sz w:val="24"/>
          <w:szCs w:val="24"/>
          <w:highlight w:val="none"/>
        </w:rPr>
      </w:pPr>
    </w:p>
    <w:p w14:paraId="01408BD7">
      <w:pPr>
        <w:spacing w:before="65"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至少1个月</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lang w:eastAsia="zh-CN"/>
        </w:rPr>
        <w:t>其中必须有2026年8月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57" w:name="_Toc15771"/>
      <w:r>
        <w:rPr>
          <w:rFonts w:hint="eastAsia" w:ascii="宋体" w:hAnsi="宋体" w:eastAsia="宋体" w:cs="宋体"/>
          <w:b/>
          <w:bCs/>
          <w:color w:val="auto"/>
          <w:spacing w:val="-4"/>
          <w:sz w:val="24"/>
          <w:szCs w:val="24"/>
          <w:highlight w:val="none"/>
        </w:rPr>
        <w:t>格式十一 项目管理机构组成表</w:t>
      </w:r>
      <w:bookmarkEnd w:id="257"/>
    </w:p>
    <w:p w14:paraId="555428D3">
      <w:pPr>
        <w:pStyle w:val="7"/>
        <w:spacing w:line="351" w:lineRule="auto"/>
        <w:rPr>
          <w:rFonts w:hint="eastAsia" w:ascii="宋体" w:hAnsi="宋体" w:eastAsia="宋体" w:cs="宋体"/>
          <w:color w:val="auto"/>
          <w:sz w:val="24"/>
          <w:szCs w:val="24"/>
          <w:highlight w:val="none"/>
        </w:rPr>
      </w:pPr>
    </w:p>
    <w:p w14:paraId="162B07EA">
      <w:pPr>
        <w:pStyle w:val="7"/>
        <w:spacing w:line="351" w:lineRule="auto"/>
        <w:rPr>
          <w:rFonts w:hint="eastAsia" w:ascii="宋体" w:hAnsi="宋体" w:eastAsia="宋体" w:cs="宋体"/>
          <w:color w:val="auto"/>
          <w:sz w:val="24"/>
          <w:szCs w:val="24"/>
          <w:highlight w:val="none"/>
        </w:rPr>
      </w:pPr>
    </w:p>
    <w:p w14:paraId="3C7DD617">
      <w:pPr>
        <w:spacing w:before="97" w:line="219" w:lineRule="auto"/>
        <w:ind w:left="3200"/>
        <w:outlineLvl w:val="9"/>
        <w:rPr>
          <w:rFonts w:hint="eastAsia" w:ascii="宋体" w:hAnsi="宋体" w:eastAsia="宋体" w:cs="宋体"/>
          <w:color w:val="auto"/>
          <w:sz w:val="24"/>
          <w:szCs w:val="24"/>
          <w:highlight w:val="none"/>
        </w:rPr>
      </w:pPr>
      <w:bookmarkStart w:id="258" w:name="bookmark158"/>
      <w:bookmarkEnd w:id="258"/>
      <w:bookmarkStart w:id="259" w:name="_Toc28765"/>
      <w:bookmarkStart w:id="260" w:name="_Toc19973"/>
      <w:r>
        <w:rPr>
          <w:rFonts w:hint="eastAsia" w:ascii="宋体" w:hAnsi="宋体" w:eastAsia="宋体" w:cs="宋体"/>
          <w:b/>
          <w:bCs/>
          <w:color w:val="auto"/>
          <w:spacing w:val="-4"/>
          <w:sz w:val="24"/>
          <w:szCs w:val="24"/>
          <w:highlight w:val="none"/>
        </w:rPr>
        <w:t>项目管理机构组成表</w:t>
      </w:r>
      <w:bookmarkEnd w:id="259"/>
      <w:bookmarkEnd w:id="260"/>
    </w:p>
    <w:p w14:paraId="1EDDD763">
      <w:pPr>
        <w:spacing w:before="7"/>
        <w:rPr>
          <w:rFonts w:hint="eastAsia" w:ascii="宋体" w:hAnsi="宋体" w:eastAsia="宋体" w:cs="宋体"/>
          <w:color w:val="auto"/>
          <w:sz w:val="24"/>
          <w:szCs w:val="24"/>
          <w:highlight w:val="none"/>
        </w:rPr>
      </w:pPr>
    </w:p>
    <w:tbl>
      <w:tblPr>
        <w:tblStyle w:val="17"/>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4"/>
              <w:rPr>
                <w:rFonts w:hint="eastAsia" w:ascii="宋体" w:hAnsi="宋体" w:eastAsia="宋体" w:cs="宋体"/>
                <w:color w:val="auto"/>
                <w:sz w:val="24"/>
                <w:szCs w:val="24"/>
                <w:highlight w:val="none"/>
              </w:rPr>
            </w:pPr>
          </w:p>
        </w:tc>
        <w:tc>
          <w:tcPr>
            <w:tcW w:w="1017" w:type="dxa"/>
            <w:vAlign w:val="top"/>
          </w:tcPr>
          <w:p w14:paraId="4EA01CAF">
            <w:pPr>
              <w:pStyle w:val="24"/>
              <w:rPr>
                <w:rFonts w:hint="eastAsia" w:ascii="宋体" w:hAnsi="宋体" w:eastAsia="宋体" w:cs="宋体"/>
                <w:color w:val="auto"/>
                <w:sz w:val="24"/>
                <w:szCs w:val="24"/>
                <w:highlight w:val="none"/>
              </w:rPr>
            </w:pPr>
          </w:p>
        </w:tc>
        <w:tc>
          <w:tcPr>
            <w:tcW w:w="1002" w:type="dxa"/>
            <w:vAlign w:val="top"/>
          </w:tcPr>
          <w:p w14:paraId="784E4E86">
            <w:pPr>
              <w:pStyle w:val="24"/>
              <w:rPr>
                <w:rFonts w:hint="eastAsia" w:ascii="宋体" w:hAnsi="宋体" w:eastAsia="宋体" w:cs="宋体"/>
                <w:color w:val="auto"/>
                <w:sz w:val="24"/>
                <w:szCs w:val="24"/>
                <w:highlight w:val="none"/>
              </w:rPr>
            </w:pPr>
          </w:p>
        </w:tc>
        <w:tc>
          <w:tcPr>
            <w:tcW w:w="1551" w:type="dxa"/>
            <w:vAlign w:val="top"/>
          </w:tcPr>
          <w:p w14:paraId="5F4F3964">
            <w:pPr>
              <w:pStyle w:val="24"/>
              <w:rPr>
                <w:rFonts w:hint="eastAsia" w:ascii="宋体" w:hAnsi="宋体" w:eastAsia="宋体" w:cs="宋体"/>
                <w:color w:val="auto"/>
                <w:sz w:val="24"/>
                <w:szCs w:val="24"/>
                <w:highlight w:val="none"/>
              </w:rPr>
            </w:pPr>
          </w:p>
        </w:tc>
        <w:tc>
          <w:tcPr>
            <w:tcW w:w="1926" w:type="dxa"/>
            <w:vAlign w:val="top"/>
          </w:tcPr>
          <w:p w14:paraId="7E0A4FFA">
            <w:pPr>
              <w:pStyle w:val="24"/>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center"/>
          </w:tcPr>
          <w:p w14:paraId="2ACB0DD0">
            <w:pPr>
              <w:spacing w:before="187" w:line="195" w:lineRule="auto"/>
              <w:ind w:left="243"/>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center"/>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4"/>
              <w:rPr>
                <w:rFonts w:hint="eastAsia" w:ascii="宋体" w:hAnsi="宋体" w:eastAsia="宋体" w:cs="宋体"/>
                <w:color w:val="auto"/>
                <w:sz w:val="24"/>
                <w:szCs w:val="24"/>
                <w:highlight w:val="none"/>
              </w:rPr>
            </w:pPr>
          </w:p>
        </w:tc>
        <w:tc>
          <w:tcPr>
            <w:tcW w:w="1017" w:type="dxa"/>
            <w:vAlign w:val="top"/>
          </w:tcPr>
          <w:p w14:paraId="13CFB6FB">
            <w:pPr>
              <w:pStyle w:val="24"/>
              <w:rPr>
                <w:rFonts w:hint="eastAsia" w:ascii="宋体" w:hAnsi="宋体" w:eastAsia="宋体" w:cs="宋体"/>
                <w:color w:val="auto"/>
                <w:sz w:val="24"/>
                <w:szCs w:val="24"/>
                <w:highlight w:val="none"/>
              </w:rPr>
            </w:pPr>
          </w:p>
        </w:tc>
        <w:tc>
          <w:tcPr>
            <w:tcW w:w="1002" w:type="dxa"/>
            <w:vAlign w:val="top"/>
          </w:tcPr>
          <w:p w14:paraId="01708B9A">
            <w:pPr>
              <w:pStyle w:val="24"/>
              <w:rPr>
                <w:rFonts w:hint="eastAsia" w:ascii="宋体" w:hAnsi="宋体" w:eastAsia="宋体" w:cs="宋体"/>
                <w:color w:val="auto"/>
                <w:sz w:val="24"/>
                <w:szCs w:val="24"/>
                <w:highlight w:val="none"/>
              </w:rPr>
            </w:pPr>
          </w:p>
        </w:tc>
        <w:tc>
          <w:tcPr>
            <w:tcW w:w="1551" w:type="dxa"/>
            <w:vAlign w:val="top"/>
          </w:tcPr>
          <w:p w14:paraId="2DA12024">
            <w:pPr>
              <w:pStyle w:val="24"/>
              <w:rPr>
                <w:rFonts w:hint="eastAsia" w:ascii="宋体" w:hAnsi="宋体" w:eastAsia="宋体" w:cs="宋体"/>
                <w:color w:val="auto"/>
                <w:sz w:val="24"/>
                <w:szCs w:val="24"/>
                <w:highlight w:val="none"/>
              </w:rPr>
            </w:pPr>
          </w:p>
        </w:tc>
        <w:tc>
          <w:tcPr>
            <w:tcW w:w="1926" w:type="dxa"/>
            <w:vAlign w:val="top"/>
          </w:tcPr>
          <w:p w14:paraId="7E36E9CF">
            <w:pPr>
              <w:pStyle w:val="24"/>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4"/>
              <w:rPr>
                <w:rFonts w:hint="eastAsia" w:ascii="宋体" w:hAnsi="宋体" w:eastAsia="宋体" w:cs="宋体"/>
                <w:color w:val="auto"/>
                <w:sz w:val="24"/>
                <w:szCs w:val="24"/>
                <w:highlight w:val="none"/>
              </w:rPr>
            </w:pPr>
          </w:p>
        </w:tc>
        <w:tc>
          <w:tcPr>
            <w:tcW w:w="1017" w:type="dxa"/>
            <w:vAlign w:val="top"/>
          </w:tcPr>
          <w:p w14:paraId="7B9FA270">
            <w:pPr>
              <w:pStyle w:val="24"/>
              <w:rPr>
                <w:rFonts w:hint="eastAsia" w:ascii="宋体" w:hAnsi="宋体" w:eastAsia="宋体" w:cs="宋体"/>
                <w:color w:val="auto"/>
                <w:sz w:val="24"/>
                <w:szCs w:val="24"/>
                <w:highlight w:val="none"/>
              </w:rPr>
            </w:pPr>
          </w:p>
        </w:tc>
        <w:tc>
          <w:tcPr>
            <w:tcW w:w="1002" w:type="dxa"/>
            <w:vAlign w:val="top"/>
          </w:tcPr>
          <w:p w14:paraId="1060A9BD">
            <w:pPr>
              <w:pStyle w:val="24"/>
              <w:rPr>
                <w:rFonts w:hint="eastAsia" w:ascii="宋体" w:hAnsi="宋体" w:eastAsia="宋体" w:cs="宋体"/>
                <w:color w:val="auto"/>
                <w:sz w:val="24"/>
                <w:szCs w:val="24"/>
                <w:highlight w:val="none"/>
              </w:rPr>
            </w:pPr>
          </w:p>
        </w:tc>
        <w:tc>
          <w:tcPr>
            <w:tcW w:w="1551" w:type="dxa"/>
            <w:vAlign w:val="top"/>
          </w:tcPr>
          <w:p w14:paraId="5301968F">
            <w:pPr>
              <w:pStyle w:val="24"/>
              <w:rPr>
                <w:rFonts w:hint="eastAsia" w:ascii="宋体" w:hAnsi="宋体" w:eastAsia="宋体" w:cs="宋体"/>
                <w:color w:val="auto"/>
                <w:sz w:val="24"/>
                <w:szCs w:val="24"/>
                <w:highlight w:val="none"/>
              </w:rPr>
            </w:pPr>
          </w:p>
        </w:tc>
        <w:tc>
          <w:tcPr>
            <w:tcW w:w="1926" w:type="dxa"/>
            <w:vAlign w:val="top"/>
          </w:tcPr>
          <w:p w14:paraId="6D41F555">
            <w:pPr>
              <w:pStyle w:val="24"/>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4"/>
              <w:rPr>
                <w:rFonts w:hint="eastAsia" w:ascii="宋体" w:hAnsi="宋体" w:eastAsia="宋体" w:cs="宋体"/>
                <w:color w:val="auto"/>
                <w:sz w:val="24"/>
                <w:szCs w:val="24"/>
                <w:highlight w:val="none"/>
              </w:rPr>
            </w:pPr>
          </w:p>
        </w:tc>
        <w:tc>
          <w:tcPr>
            <w:tcW w:w="1017" w:type="dxa"/>
            <w:vAlign w:val="top"/>
          </w:tcPr>
          <w:p w14:paraId="34BD54A5">
            <w:pPr>
              <w:pStyle w:val="24"/>
              <w:rPr>
                <w:rFonts w:hint="eastAsia" w:ascii="宋体" w:hAnsi="宋体" w:eastAsia="宋体" w:cs="宋体"/>
                <w:color w:val="auto"/>
                <w:sz w:val="24"/>
                <w:szCs w:val="24"/>
                <w:highlight w:val="none"/>
              </w:rPr>
            </w:pPr>
          </w:p>
        </w:tc>
        <w:tc>
          <w:tcPr>
            <w:tcW w:w="1002" w:type="dxa"/>
            <w:vAlign w:val="top"/>
          </w:tcPr>
          <w:p w14:paraId="35F0DD07">
            <w:pPr>
              <w:pStyle w:val="24"/>
              <w:rPr>
                <w:rFonts w:hint="eastAsia" w:ascii="宋体" w:hAnsi="宋体" w:eastAsia="宋体" w:cs="宋体"/>
                <w:color w:val="auto"/>
                <w:sz w:val="24"/>
                <w:szCs w:val="24"/>
                <w:highlight w:val="none"/>
              </w:rPr>
            </w:pPr>
          </w:p>
        </w:tc>
        <w:tc>
          <w:tcPr>
            <w:tcW w:w="1551" w:type="dxa"/>
            <w:vAlign w:val="top"/>
          </w:tcPr>
          <w:p w14:paraId="267F23C7">
            <w:pPr>
              <w:pStyle w:val="24"/>
              <w:rPr>
                <w:rFonts w:hint="eastAsia" w:ascii="宋体" w:hAnsi="宋体" w:eastAsia="宋体" w:cs="宋体"/>
                <w:color w:val="auto"/>
                <w:sz w:val="24"/>
                <w:szCs w:val="24"/>
                <w:highlight w:val="none"/>
              </w:rPr>
            </w:pPr>
          </w:p>
        </w:tc>
        <w:tc>
          <w:tcPr>
            <w:tcW w:w="1926" w:type="dxa"/>
            <w:vAlign w:val="top"/>
          </w:tcPr>
          <w:p w14:paraId="20919564">
            <w:pPr>
              <w:pStyle w:val="24"/>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4"/>
              <w:rPr>
                <w:rFonts w:hint="eastAsia" w:ascii="宋体" w:hAnsi="宋体" w:eastAsia="宋体" w:cs="宋体"/>
                <w:color w:val="auto"/>
                <w:sz w:val="24"/>
                <w:szCs w:val="24"/>
                <w:highlight w:val="none"/>
              </w:rPr>
            </w:pPr>
          </w:p>
        </w:tc>
        <w:tc>
          <w:tcPr>
            <w:tcW w:w="1017" w:type="dxa"/>
            <w:vAlign w:val="top"/>
          </w:tcPr>
          <w:p w14:paraId="28C0AB4F">
            <w:pPr>
              <w:pStyle w:val="24"/>
              <w:rPr>
                <w:rFonts w:hint="eastAsia" w:ascii="宋体" w:hAnsi="宋体" w:eastAsia="宋体" w:cs="宋体"/>
                <w:color w:val="auto"/>
                <w:sz w:val="24"/>
                <w:szCs w:val="24"/>
                <w:highlight w:val="none"/>
              </w:rPr>
            </w:pPr>
          </w:p>
        </w:tc>
        <w:tc>
          <w:tcPr>
            <w:tcW w:w="1002" w:type="dxa"/>
            <w:vAlign w:val="top"/>
          </w:tcPr>
          <w:p w14:paraId="4F2CE8AB">
            <w:pPr>
              <w:pStyle w:val="24"/>
              <w:rPr>
                <w:rFonts w:hint="eastAsia" w:ascii="宋体" w:hAnsi="宋体" w:eastAsia="宋体" w:cs="宋体"/>
                <w:color w:val="auto"/>
                <w:sz w:val="24"/>
                <w:szCs w:val="24"/>
                <w:highlight w:val="none"/>
              </w:rPr>
            </w:pPr>
          </w:p>
        </w:tc>
        <w:tc>
          <w:tcPr>
            <w:tcW w:w="1551" w:type="dxa"/>
            <w:vAlign w:val="top"/>
          </w:tcPr>
          <w:p w14:paraId="0E48A750">
            <w:pPr>
              <w:pStyle w:val="24"/>
              <w:rPr>
                <w:rFonts w:hint="eastAsia" w:ascii="宋体" w:hAnsi="宋体" w:eastAsia="宋体" w:cs="宋体"/>
                <w:color w:val="auto"/>
                <w:sz w:val="24"/>
                <w:szCs w:val="24"/>
                <w:highlight w:val="none"/>
              </w:rPr>
            </w:pPr>
          </w:p>
        </w:tc>
        <w:tc>
          <w:tcPr>
            <w:tcW w:w="1926" w:type="dxa"/>
            <w:vAlign w:val="top"/>
          </w:tcPr>
          <w:p w14:paraId="23F7D129">
            <w:pPr>
              <w:pStyle w:val="24"/>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4"/>
              <w:rPr>
                <w:rFonts w:hint="eastAsia" w:ascii="宋体" w:hAnsi="宋体" w:eastAsia="宋体" w:cs="宋体"/>
                <w:color w:val="auto"/>
                <w:sz w:val="24"/>
                <w:szCs w:val="24"/>
                <w:highlight w:val="none"/>
              </w:rPr>
            </w:pPr>
          </w:p>
        </w:tc>
        <w:tc>
          <w:tcPr>
            <w:tcW w:w="1017" w:type="dxa"/>
            <w:vAlign w:val="top"/>
          </w:tcPr>
          <w:p w14:paraId="22CBD8CF">
            <w:pPr>
              <w:pStyle w:val="24"/>
              <w:rPr>
                <w:rFonts w:hint="eastAsia" w:ascii="宋体" w:hAnsi="宋体" w:eastAsia="宋体" w:cs="宋体"/>
                <w:color w:val="auto"/>
                <w:sz w:val="24"/>
                <w:szCs w:val="24"/>
                <w:highlight w:val="none"/>
              </w:rPr>
            </w:pPr>
          </w:p>
        </w:tc>
        <w:tc>
          <w:tcPr>
            <w:tcW w:w="1002" w:type="dxa"/>
            <w:vAlign w:val="top"/>
          </w:tcPr>
          <w:p w14:paraId="215EF28A">
            <w:pPr>
              <w:pStyle w:val="24"/>
              <w:rPr>
                <w:rFonts w:hint="eastAsia" w:ascii="宋体" w:hAnsi="宋体" w:eastAsia="宋体" w:cs="宋体"/>
                <w:color w:val="auto"/>
                <w:sz w:val="24"/>
                <w:szCs w:val="24"/>
                <w:highlight w:val="none"/>
              </w:rPr>
            </w:pPr>
          </w:p>
        </w:tc>
        <w:tc>
          <w:tcPr>
            <w:tcW w:w="1551" w:type="dxa"/>
            <w:vAlign w:val="top"/>
          </w:tcPr>
          <w:p w14:paraId="4B59D5A3">
            <w:pPr>
              <w:pStyle w:val="24"/>
              <w:rPr>
                <w:rFonts w:hint="eastAsia" w:ascii="宋体" w:hAnsi="宋体" w:eastAsia="宋体" w:cs="宋体"/>
                <w:color w:val="auto"/>
                <w:sz w:val="24"/>
                <w:szCs w:val="24"/>
                <w:highlight w:val="none"/>
              </w:rPr>
            </w:pPr>
          </w:p>
        </w:tc>
        <w:tc>
          <w:tcPr>
            <w:tcW w:w="1926" w:type="dxa"/>
            <w:vAlign w:val="top"/>
          </w:tcPr>
          <w:p w14:paraId="6D3A902C">
            <w:pPr>
              <w:pStyle w:val="24"/>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4"/>
              <w:rPr>
                <w:rFonts w:hint="eastAsia" w:ascii="宋体" w:hAnsi="宋体" w:eastAsia="宋体" w:cs="宋体"/>
                <w:color w:val="auto"/>
                <w:sz w:val="24"/>
                <w:szCs w:val="24"/>
                <w:highlight w:val="none"/>
              </w:rPr>
            </w:pPr>
          </w:p>
        </w:tc>
        <w:tc>
          <w:tcPr>
            <w:tcW w:w="1017" w:type="dxa"/>
            <w:vAlign w:val="top"/>
          </w:tcPr>
          <w:p w14:paraId="6F5A3CD1">
            <w:pPr>
              <w:pStyle w:val="24"/>
              <w:rPr>
                <w:rFonts w:hint="eastAsia" w:ascii="宋体" w:hAnsi="宋体" w:eastAsia="宋体" w:cs="宋体"/>
                <w:color w:val="auto"/>
                <w:sz w:val="24"/>
                <w:szCs w:val="24"/>
                <w:highlight w:val="none"/>
              </w:rPr>
            </w:pPr>
          </w:p>
        </w:tc>
        <w:tc>
          <w:tcPr>
            <w:tcW w:w="1002" w:type="dxa"/>
            <w:vAlign w:val="top"/>
          </w:tcPr>
          <w:p w14:paraId="0A3F0696">
            <w:pPr>
              <w:pStyle w:val="24"/>
              <w:rPr>
                <w:rFonts w:hint="eastAsia" w:ascii="宋体" w:hAnsi="宋体" w:eastAsia="宋体" w:cs="宋体"/>
                <w:color w:val="auto"/>
                <w:sz w:val="24"/>
                <w:szCs w:val="24"/>
                <w:highlight w:val="none"/>
              </w:rPr>
            </w:pPr>
          </w:p>
        </w:tc>
        <w:tc>
          <w:tcPr>
            <w:tcW w:w="1551" w:type="dxa"/>
            <w:vAlign w:val="top"/>
          </w:tcPr>
          <w:p w14:paraId="33CF7C3A">
            <w:pPr>
              <w:pStyle w:val="24"/>
              <w:rPr>
                <w:rFonts w:hint="eastAsia" w:ascii="宋体" w:hAnsi="宋体" w:eastAsia="宋体" w:cs="宋体"/>
                <w:color w:val="auto"/>
                <w:sz w:val="24"/>
                <w:szCs w:val="24"/>
                <w:highlight w:val="none"/>
              </w:rPr>
            </w:pPr>
          </w:p>
        </w:tc>
        <w:tc>
          <w:tcPr>
            <w:tcW w:w="1926" w:type="dxa"/>
            <w:vAlign w:val="top"/>
          </w:tcPr>
          <w:p w14:paraId="2FDF9A49">
            <w:pPr>
              <w:pStyle w:val="24"/>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4"/>
              <w:rPr>
                <w:rFonts w:hint="eastAsia" w:ascii="宋体" w:hAnsi="宋体" w:eastAsia="宋体" w:cs="宋体"/>
                <w:color w:val="auto"/>
                <w:sz w:val="24"/>
                <w:szCs w:val="24"/>
                <w:highlight w:val="none"/>
              </w:rPr>
            </w:pPr>
          </w:p>
        </w:tc>
        <w:tc>
          <w:tcPr>
            <w:tcW w:w="1567" w:type="dxa"/>
            <w:vAlign w:val="top"/>
          </w:tcPr>
          <w:p w14:paraId="6B481C93">
            <w:pPr>
              <w:pStyle w:val="24"/>
              <w:rPr>
                <w:rFonts w:hint="eastAsia" w:ascii="宋体" w:hAnsi="宋体" w:eastAsia="宋体" w:cs="宋体"/>
                <w:color w:val="auto"/>
                <w:sz w:val="24"/>
                <w:szCs w:val="24"/>
                <w:highlight w:val="none"/>
              </w:rPr>
            </w:pPr>
          </w:p>
        </w:tc>
        <w:tc>
          <w:tcPr>
            <w:tcW w:w="1017" w:type="dxa"/>
            <w:vAlign w:val="top"/>
          </w:tcPr>
          <w:p w14:paraId="2186C8F6">
            <w:pPr>
              <w:pStyle w:val="24"/>
              <w:rPr>
                <w:rFonts w:hint="eastAsia" w:ascii="宋体" w:hAnsi="宋体" w:eastAsia="宋体" w:cs="宋体"/>
                <w:color w:val="auto"/>
                <w:sz w:val="24"/>
                <w:szCs w:val="24"/>
                <w:highlight w:val="none"/>
              </w:rPr>
            </w:pPr>
          </w:p>
        </w:tc>
        <w:tc>
          <w:tcPr>
            <w:tcW w:w="1002" w:type="dxa"/>
            <w:vAlign w:val="top"/>
          </w:tcPr>
          <w:p w14:paraId="458500AA">
            <w:pPr>
              <w:pStyle w:val="24"/>
              <w:rPr>
                <w:rFonts w:hint="eastAsia" w:ascii="宋体" w:hAnsi="宋体" w:eastAsia="宋体" w:cs="宋体"/>
                <w:color w:val="auto"/>
                <w:sz w:val="24"/>
                <w:szCs w:val="24"/>
                <w:highlight w:val="none"/>
              </w:rPr>
            </w:pPr>
          </w:p>
        </w:tc>
        <w:tc>
          <w:tcPr>
            <w:tcW w:w="1551" w:type="dxa"/>
            <w:vAlign w:val="top"/>
          </w:tcPr>
          <w:p w14:paraId="69CC634F">
            <w:pPr>
              <w:pStyle w:val="24"/>
              <w:rPr>
                <w:rFonts w:hint="eastAsia" w:ascii="宋体" w:hAnsi="宋体" w:eastAsia="宋体" w:cs="宋体"/>
                <w:color w:val="auto"/>
                <w:sz w:val="24"/>
                <w:szCs w:val="24"/>
                <w:highlight w:val="none"/>
              </w:rPr>
            </w:pPr>
          </w:p>
        </w:tc>
        <w:tc>
          <w:tcPr>
            <w:tcW w:w="1926" w:type="dxa"/>
            <w:vAlign w:val="top"/>
          </w:tcPr>
          <w:p w14:paraId="0E3F8717">
            <w:pPr>
              <w:pStyle w:val="24"/>
              <w:rPr>
                <w:rFonts w:hint="eastAsia" w:ascii="宋体" w:hAnsi="宋体" w:eastAsia="宋体" w:cs="宋体"/>
                <w:color w:val="auto"/>
                <w:sz w:val="24"/>
                <w:szCs w:val="24"/>
                <w:highlight w:val="none"/>
              </w:rPr>
            </w:pPr>
          </w:p>
        </w:tc>
      </w:tr>
    </w:tbl>
    <w:p w14:paraId="2C506F4A">
      <w:pPr>
        <w:pStyle w:val="7"/>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）职称证彩色扫描件；（如有）</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至少1个月</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lang w:eastAsia="zh-CN"/>
        </w:rPr>
        <w:t>其中必须有2026年8月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10"/>
          <w:sz w:val="24"/>
          <w:szCs w:val="24"/>
          <w:highlight w:val="none"/>
        </w:rPr>
        <w:t>拟派</w:t>
      </w:r>
      <w:r>
        <w:rPr>
          <w:rFonts w:hint="eastAsia" w:ascii="宋体" w:hAnsi="宋体" w:eastAsia="宋体" w:cs="宋体"/>
          <w:color w:val="auto"/>
          <w:spacing w:val="10"/>
          <w:sz w:val="24"/>
          <w:szCs w:val="24"/>
          <w:highlight w:val="none"/>
          <w:lang w:val="en-US" w:eastAsia="zh-CN"/>
        </w:rPr>
        <w:t>人员</w:t>
      </w:r>
      <w:r>
        <w:rPr>
          <w:rFonts w:hint="eastAsia" w:ascii="宋体" w:hAnsi="宋体" w:eastAsia="宋体" w:cs="宋体"/>
          <w:color w:val="auto"/>
          <w:spacing w:val="10"/>
          <w:sz w:val="24"/>
          <w:szCs w:val="24"/>
          <w:highlight w:val="none"/>
        </w:rPr>
        <w:t>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7"/>
        <w:spacing w:line="248" w:lineRule="auto"/>
        <w:rPr>
          <w:rFonts w:hint="eastAsia" w:ascii="宋体" w:hAnsi="宋体" w:eastAsia="宋体" w:cs="宋体"/>
          <w:color w:val="auto"/>
          <w:sz w:val="24"/>
          <w:szCs w:val="24"/>
          <w:highlight w:val="none"/>
        </w:rPr>
      </w:pPr>
    </w:p>
    <w:p w14:paraId="67BB345D">
      <w:pPr>
        <w:pStyle w:val="7"/>
        <w:spacing w:line="248" w:lineRule="auto"/>
        <w:rPr>
          <w:rFonts w:hint="eastAsia" w:ascii="宋体" w:hAnsi="宋体" w:eastAsia="宋体" w:cs="宋体"/>
          <w:color w:val="auto"/>
          <w:sz w:val="24"/>
          <w:szCs w:val="24"/>
          <w:highlight w:val="none"/>
        </w:rPr>
      </w:pPr>
    </w:p>
    <w:p w14:paraId="74406F4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1" w:name="_Toc20141"/>
      <w:r>
        <w:rPr>
          <w:rFonts w:hint="eastAsia" w:ascii="宋体" w:hAnsi="宋体" w:eastAsia="宋体" w:cs="宋体"/>
          <w:b/>
          <w:bCs/>
          <w:color w:val="auto"/>
          <w:spacing w:val="-4"/>
          <w:sz w:val="24"/>
          <w:szCs w:val="24"/>
          <w:highlight w:val="none"/>
        </w:rPr>
        <w:t>格式十二 建造师查询页（有效期+建造师签字）</w:t>
      </w:r>
      <w:bookmarkEnd w:id="261"/>
    </w:p>
    <w:p w14:paraId="7E4612B5">
      <w:pPr>
        <w:outlineLvl w:val="9"/>
        <w:rPr>
          <w:rFonts w:hint="eastAsia" w:ascii="宋体" w:hAnsi="宋体" w:eastAsia="宋体" w:cs="宋体"/>
          <w:color w:val="auto"/>
          <w:sz w:val="24"/>
          <w:szCs w:val="24"/>
          <w:highlight w:val="none"/>
        </w:rPr>
      </w:pPr>
    </w:p>
    <w:p w14:paraId="3172F0C9">
      <w:pPr>
        <w:spacing w:line="220" w:lineRule="auto"/>
        <w:rPr>
          <w:rFonts w:hint="eastAsia" w:ascii="宋体" w:hAnsi="宋体" w:eastAsia="宋体" w:cs="宋体"/>
          <w:color w:val="auto"/>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position w:val="-235"/>
          <w:sz w:val="24"/>
          <w:szCs w:val="24"/>
          <w:highlight w:val="none"/>
        </w:rPr>
        <w:drawing>
          <wp:anchor distT="0" distB="0" distL="114300" distR="114300" simplePos="0" relativeHeight="251662336" behindDoc="0" locked="0" layoutInCell="1" allowOverlap="1">
            <wp:simplePos x="0" y="0"/>
            <wp:positionH relativeFrom="column">
              <wp:posOffset>476250</wp:posOffset>
            </wp:positionH>
            <wp:positionV relativeFrom="paragraph">
              <wp:posOffset>120015</wp:posOffset>
            </wp:positionV>
            <wp:extent cx="5562600" cy="7791450"/>
            <wp:effectExtent l="0" t="0" r="0" b="0"/>
            <wp:wrapNone/>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5562600" cy="7791450"/>
                    </a:xfrm>
                    <a:prstGeom prst="rect">
                      <a:avLst/>
                    </a:prstGeom>
                    <a:noFill/>
                    <a:ln>
                      <a:noFill/>
                    </a:ln>
                  </pic:spPr>
                </pic:pic>
              </a:graphicData>
            </a:graphic>
          </wp:anchor>
        </w:drawing>
      </w:r>
    </w:p>
    <w:p w14:paraId="135EB9FF">
      <w:pPr>
        <w:spacing w:line="10744" w:lineRule="exact"/>
        <w:rPr>
          <w:rFonts w:hint="eastAsia" w:ascii="宋体" w:hAnsi="宋体" w:eastAsia="宋体" w:cs="宋体"/>
          <w:color w:val="auto"/>
          <w:sz w:val="24"/>
          <w:szCs w:val="24"/>
          <w:highlight w:val="none"/>
        </w:rPr>
      </w:pPr>
      <w:r>
        <w:rPr>
          <w:rFonts w:hint="eastAsia" w:ascii="宋体" w:hAnsi="宋体" w:eastAsia="宋体" w:cs="宋体"/>
          <w:color w:val="auto"/>
          <w:position w:val="-214"/>
          <w:sz w:val="24"/>
          <w:szCs w:val="24"/>
          <w:highlight w:val="none"/>
        </w:rPr>
        <w:drawing>
          <wp:anchor distT="0" distB="0" distL="114300" distR="114300" simplePos="0" relativeHeight="251663360" behindDoc="0" locked="0" layoutInCell="1" allowOverlap="1">
            <wp:simplePos x="0" y="0"/>
            <wp:positionH relativeFrom="column">
              <wp:posOffset>445135</wp:posOffset>
            </wp:positionH>
            <wp:positionV relativeFrom="paragraph">
              <wp:posOffset>592455</wp:posOffset>
            </wp:positionV>
            <wp:extent cx="5640070" cy="6375400"/>
            <wp:effectExtent l="0" t="0" r="17780" b="6350"/>
            <wp:wrapNone/>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5640070" cy="6375400"/>
                    </a:xfrm>
                    <a:prstGeom prst="rect">
                      <a:avLst/>
                    </a:prstGeom>
                    <a:noFill/>
                    <a:ln>
                      <a:noFill/>
                    </a:ln>
                  </pic:spPr>
                </pic:pic>
              </a:graphicData>
            </a:graphic>
          </wp:anchor>
        </w:drawing>
      </w:r>
    </w:p>
    <w:p w14:paraId="0BA8F6B0">
      <w:pPr>
        <w:spacing w:line="10744" w:lineRule="exact"/>
        <w:rPr>
          <w:rFonts w:hint="eastAsia" w:ascii="宋体" w:hAnsi="宋体" w:eastAsia="宋体" w:cs="宋体"/>
          <w:color w:val="auto"/>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E5C7A39">
      <w:pPr>
        <w:spacing w:before="78" w:line="220" w:lineRule="auto"/>
        <w:outlineLvl w:val="2"/>
        <w:rPr>
          <w:rFonts w:hint="eastAsia" w:ascii="宋体" w:hAnsi="宋体" w:eastAsia="宋体" w:cs="宋体"/>
          <w:b/>
          <w:bCs/>
          <w:color w:val="auto"/>
          <w:spacing w:val="-4"/>
          <w:sz w:val="24"/>
          <w:szCs w:val="24"/>
          <w:highlight w:val="none"/>
          <w:lang w:eastAsia="zh-CN"/>
        </w:rPr>
      </w:pPr>
      <w:bookmarkStart w:id="262" w:name="_Toc29393"/>
      <w:bookmarkStart w:id="263" w:name="_Toc23866"/>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sz w:val="24"/>
          <w:szCs w:val="24"/>
          <w:highlight w:val="none"/>
        </w:rPr>
        <w:t>危险性较大的分部分项工程清单及超过一定规模的危险性较大的分部分项工程清单</w:t>
      </w:r>
      <w:bookmarkEnd w:id="262"/>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lang w:val="en-US" w:eastAsia="zh-CN"/>
        </w:rPr>
        <w:t>若有</w:t>
      </w:r>
      <w:r>
        <w:rPr>
          <w:rFonts w:hint="eastAsia" w:ascii="宋体" w:hAnsi="宋体" w:eastAsia="宋体" w:cs="宋体"/>
          <w:b/>
          <w:bCs/>
          <w:color w:val="auto"/>
          <w:spacing w:val="-4"/>
          <w:sz w:val="24"/>
          <w:szCs w:val="24"/>
          <w:highlight w:val="none"/>
          <w:lang w:eastAsia="zh-CN"/>
        </w:rPr>
        <w:t>）</w:t>
      </w:r>
      <w:bookmarkEnd w:id="263"/>
    </w:p>
    <w:p w14:paraId="3C5C2E22">
      <w:pPr>
        <w:pStyle w:val="7"/>
        <w:spacing w:line="269" w:lineRule="auto"/>
        <w:rPr>
          <w:rFonts w:hint="eastAsia" w:ascii="宋体" w:hAnsi="宋体" w:eastAsia="宋体" w:cs="宋体"/>
          <w:color w:val="auto"/>
          <w:sz w:val="24"/>
          <w:szCs w:val="24"/>
          <w:highlight w:val="none"/>
        </w:rPr>
      </w:pPr>
    </w:p>
    <w:p w14:paraId="7E498456">
      <w:pPr>
        <w:tabs>
          <w:tab w:val="left" w:pos="2940"/>
        </w:tabs>
        <w:spacing w:before="101" w:line="377" w:lineRule="auto"/>
        <w:ind w:left="3877" w:leftChars="175" w:right="41" w:hanging="3509" w:hangingChars="1189"/>
        <w:rPr>
          <w:rFonts w:hint="eastAsia" w:ascii="宋体" w:hAnsi="宋体" w:eastAsia="宋体" w:cs="宋体"/>
          <w:color w:val="auto"/>
          <w:sz w:val="28"/>
          <w:szCs w:val="28"/>
          <w:highlight w:val="none"/>
        </w:rPr>
      </w:pPr>
      <w:bookmarkStart w:id="264" w:name="bookmark160"/>
      <w:bookmarkEnd w:id="264"/>
      <w:bookmarkStart w:id="265" w:name="OLE_LINK41"/>
      <w:r>
        <w:rPr>
          <w:rFonts w:hint="eastAsia" w:ascii="宋体" w:hAnsi="宋体" w:eastAsia="宋体" w:cs="宋体"/>
          <w:b/>
          <w:bCs/>
          <w:color w:val="auto"/>
          <w:spacing w:val="7"/>
          <w:sz w:val="28"/>
          <w:szCs w:val="28"/>
          <w:highlight w:val="none"/>
        </w:rPr>
        <w:t>危险性较大的分部分项工程清单及超过一定规模的危险性较大的</w:t>
      </w:r>
      <w:r>
        <w:rPr>
          <w:rFonts w:hint="eastAsia" w:ascii="宋体" w:hAnsi="宋体" w:eastAsia="宋体" w:cs="宋体"/>
          <w:b/>
          <w:bCs/>
          <w:color w:val="auto"/>
          <w:spacing w:val="5"/>
          <w:sz w:val="28"/>
          <w:szCs w:val="28"/>
          <w:highlight w:val="none"/>
        </w:rPr>
        <w:t>分部分项工程清单</w:t>
      </w:r>
    </w:p>
    <w:bookmarkEnd w:id="265"/>
    <w:p w14:paraId="4D6014F8">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628E5987">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4A4811B7">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09534A4C">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20DE3DC6">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0E4CA5BD">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123F0657">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7A4FCE0F">
      <w:pPr>
        <w:spacing w:before="208" w:line="301" w:lineRule="auto"/>
        <w:ind w:firstLine="48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tbl>
      <w:tblPr>
        <w:tblStyle w:val="17"/>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6B83E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3521F30">
            <w:pPr>
              <w:keepNext w:val="0"/>
              <w:keepLines w:val="0"/>
              <w:pageBreakBefore w:val="0"/>
              <w:widowControl/>
              <w:kinsoku w:val="0"/>
              <w:wordWrap/>
              <w:overflowPunct/>
              <w:topLinePunct w:val="0"/>
              <w:autoSpaceDE w:val="0"/>
              <w:autoSpaceDN w:val="0"/>
              <w:bidi w:val="0"/>
              <w:adjustRightInd w:val="0"/>
              <w:snapToGrid w:val="0"/>
              <w:spacing w:before="133" w:line="320" w:lineRule="exact"/>
              <w:ind w:firstLine="235" w:firstLineChars="100"/>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1BB53792">
            <w:pPr>
              <w:keepNext w:val="0"/>
              <w:keepLines w:val="0"/>
              <w:pageBreakBefore w:val="0"/>
              <w:widowControl/>
              <w:kinsoku w:val="0"/>
              <w:wordWrap/>
              <w:overflowPunct/>
              <w:topLinePunct w:val="0"/>
              <w:autoSpaceDE w:val="0"/>
              <w:autoSpaceDN w:val="0"/>
              <w:bidi w:val="0"/>
              <w:adjustRightInd w:val="0"/>
              <w:snapToGrid w:val="0"/>
              <w:spacing w:before="133" w:line="320" w:lineRule="exact"/>
              <w:ind w:left="206" w:leftChars="0"/>
              <w:textAlignment w:val="baseline"/>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1884C4B8">
            <w:pPr>
              <w:keepNext w:val="0"/>
              <w:keepLines w:val="0"/>
              <w:pageBreakBefore w:val="0"/>
              <w:widowControl/>
              <w:kinsoku w:val="0"/>
              <w:wordWrap/>
              <w:overflowPunct/>
              <w:topLinePunct w:val="0"/>
              <w:autoSpaceDE w:val="0"/>
              <w:autoSpaceDN w:val="0"/>
              <w:bidi w:val="0"/>
              <w:adjustRightInd w:val="0"/>
              <w:snapToGrid w:val="0"/>
              <w:spacing w:before="133" w:line="320" w:lineRule="exact"/>
              <w:ind w:left="205" w:leftChars="0"/>
              <w:textAlignment w:val="baseline"/>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25CE645C">
            <w:pPr>
              <w:keepNext w:val="0"/>
              <w:keepLines w:val="0"/>
              <w:pageBreakBefore w:val="0"/>
              <w:widowControl/>
              <w:kinsoku w:val="0"/>
              <w:wordWrap/>
              <w:overflowPunct/>
              <w:topLinePunct w:val="0"/>
              <w:autoSpaceDE w:val="0"/>
              <w:autoSpaceDN w:val="0"/>
              <w:bidi w:val="0"/>
              <w:adjustRightInd w:val="0"/>
              <w:snapToGrid w:val="0"/>
              <w:spacing w:before="133" w:line="320" w:lineRule="exact"/>
              <w:ind w:left="360" w:left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37530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2288A7">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120" w:left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6392F204">
            <w:pPr>
              <w:keepNext w:val="0"/>
              <w:keepLines w:val="0"/>
              <w:pageBreakBefore w:val="0"/>
              <w:widowControl/>
              <w:kinsoku w:val="0"/>
              <w:wordWrap/>
              <w:overflowPunct/>
              <w:topLinePunct w:val="0"/>
              <w:autoSpaceDE w:val="0"/>
              <w:autoSpaceDN w:val="0"/>
              <w:bidi w:val="0"/>
              <w:adjustRightInd w:val="0"/>
              <w:snapToGrid w:val="0"/>
              <w:spacing w:before="128" w:line="320" w:lineRule="exact"/>
              <w:jc w:val="center"/>
              <w:textAlignment w:val="baseline"/>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6" w:name="OLE_LINK39"/>
            <w:r>
              <w:rPr>
                <w:rFonts w:hint="eastAsia" w:ascii="宋体" w:hAnsi="宋体" w:eastAsia="宋体" w:cs="宋体"/>
                <w:color w:val="auto"/>
                <w:spacing w:val="5"/>
                <w:sz w:val="24"/>
                <w:szCs w:val="24"/>
                <w:highlight w:val="none"/>
              </w:rPr>
              <w:t xml:space="preserve">  </w:t>
            </w:r>
            <w:bookmarkEnd w:id="266"/>
            <w:r>
              <w:rPr>
                <w:rFonts w:hint="eastAsia" w:ascii="宋体" w:hAnsi="宋体" w:eastAsia="宋体" w:cs="宋体"/>
                <w:color w:val="auto"/>
                <w:spacing w:val="-19"/>
                <w:w w:val="94"/>
                <w:sz w:val="24"/>
                <w:szCs w:val="24"/>
                <w:highlight w:val="none"/>
              </w:rPr>
              <w:t>)</w:t>
            </w:r>
          </w:p>
        </w:tc>
        <w:tc>
          <w:tcPr>
            <w:tcW w:w="1294" w:type="dxa"/>
            <w:vAlign w:val="top"/>
          </w:tcPr>
          <w:p w14:paraId="6B67991C">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367" w:leftChars="0"/>
              <w:textAlignment w:val="baseline"/>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9C42971">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4D964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3C0D892">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35" w:leftChars="0" w:right="68" w:rightChars="0" w:hanging="8"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2894B56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3FD8B29">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96" w:leftChars="0"/>
              <w:textAlignment w:val="baseline"/>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11A3B3F">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56F93BAB">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leftChars="0"/>
              <w:textAlignment w:val="baseline"/>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FD7A1A4">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0F62C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953C032">
            <w:pPr>
              <w:keepNext w:val="0"/>
              <w:keepLines w:val="0"/>
              <w:pageBreakBefore w:val="0"/>
              <w:widowControl/>
              <w:kinsoku w:val="0"/>
              <w:wordWrap/>
              <w:overflowPunct/>
              <w:topLinePunct w:val="0"/>
              <w:autoSpaceDE w:val="0"/>
              <w:autoSpaceDN w:val="0"/>
              <w:bidi w:val="0"/>
              <w:adjustRightInd w:val="0"/>
              <w:snapToGrid w:val="0"/>
              <w:spacing w:before="132" w:line="320" w:lineRule="exact"/>
              <w:ind w:left="116" w:right="108" w:firstLine="11"/>
              <w:jc w:val="both"/>
              <w:textAlignment w:val="baseline"/>
              <w:rPr>
                <w:rFonts w:hint="eastAsia" w:ascii="宋体" w:hAnsi="宋体" w:eastAsia="宋体" w:cs="宋体"/>
                <w:color w:val="auto"/>
                <w:sz w:val="24"/>
                <w:szCs w:val="24"/>
                <w:highlight w:val="none"/>
              </w:rPr>
            </w:pPr>
            <w:bookmarkStart w:id="267" w:name="bookmark161"/>
            <w:bookmarkEnd w:id="267"/>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787311A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7DFA31F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6DF6C02F">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5F52191D">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8" w:name="OLE_LINK40"/>
            <w:r>
              <w:rPr>
                <w:rFonts w:hint="eastAsia" w:ascii="宋体" w:hAnsi="宋体" w:eastAsia="宋体" w:cs="宋体"/>
                <w:color w:val="auto"/>
                <w:spacing w:val="2"/>
                <w:sz w:val="24"/>
                <w:szCs w:val="24"/>
                <w:highlight w:val="none"/>
              </w:rPr>
              <w:t xml:space="preserve">     </w:t>
            </w:r>
            <w:bookmarkEnd w:id="268"/>
            <w:r>
              <w:rPr>
                <w:rFonts w:hint="eastAsia" w:ascii="宋体" w:hAnsi="宋体" w:eastAsia="宋体" w:cs="宋体"/>
                <w:color w:val="auto"/>
                <w:spacing w:val="-19"/>
                <w:w w:val="94"/>
                <w:sz w:val="24"/>
                <w:szCs w:val="24"/>
                <w:highlight w:val="none"/>
              </w:rPr>
              <w:t>)</w:t>
            </w:r>
          </w:p>
        </w:tc>
        <w:tc>
          <w:tcPr>
            <w:tcW w:w="1294" w:type="dxa"/>
            <w:vAlign w:val="top"/>
          </w:tcPr>
          <w:p w14:paraId="1A4905AB">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6C328D2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627DC37">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6880FBDE">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436E38F">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5CFDB4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92B995B">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1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3F169764">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16838D">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4C2001">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1D2A4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C68CE9B">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123" w:right="25"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6A0A98E0">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2CEB003C">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F3E6B5C">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66FC31C3">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A49695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2525D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A05C3ED">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15" w:right="105" w:firstLine="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6E3319BE">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0B4609F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0EE594FC">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D3A5CBF">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C2F2061">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216AB37A">
            <w:pPr>
              <w:keepNext w:val="0"/>
              <w:keepLines w:val="0"/>
              <w:pageBreakBefore w:val="0"/>
              <w:widowControl/>
              <w:kinsoku w:val="0"/>
              <w:wordWrap/>
              <w:overflowPunct/>
              <w:topLinePunct w:val="0"/>
              <w:autoSpaceDE w:val="0"/>
              <w:autoSpaceDN w:val="0"/>
              <w:bidi w:val="0"/>
              <w:adjustRightInd w:val="0"/>
              <w:snapToGrid w:val="0"/>
              <w:spacing w:before="78" w:line="32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1E5BF43">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6ACD2EE1">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42E4FAC">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5B08B4F">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F2FDD93">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23A934F0">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12A7D57">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07CE3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ADA4080">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117" w:right="168" w:firstLine="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54BF7B56">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EA4E46E">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34F21AE">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6A2A6A47">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4505FEA">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069AF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9AD1F10">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3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AF473E4">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ADD283">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36E5283">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7E1CF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D4D03B">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44" w:right="168" w:hanging="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392C8373">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075A669">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FF11DE2">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0E07ACF8">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4DE4D">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6413D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E72489F">
            <w:pPr>
              <w:keepNext w:val="0"/>
              <w:keepLines w:val="0"/>
              <w:pageBreakBefore w:val="0"/>
              <w:widowControl/>
              <w:kinsoku w:val="0"/>
              <w:wordWrap/>
              <w:overflowPunct/>
              <w:topLinePunct w:val="0"/>
              <w:autoSpaceDE w:val="0"/>
              <w:autoSpaceDN w:val="0"/>
              <w:bidi w:val="0"/>
              <w:adjustRightInd w:val="0"/>
              <w:snapToGrid w:val="0"/>
              <w:spacing w:before="132"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7F51AAA7">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3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12B30A6">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4A1BCAF">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4F50D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27E8D87">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2A649997">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5C6813">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6ACBE22">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165DC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D1B4FC">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3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1F6E262A">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48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2829CA">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2D22DBD">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32E43F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73CB036">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117" w:right="168" w:firstLine="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2F51644B">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DF60C96">
            <w:pPr>
              <w:keepNext w:val="0"/>
              <w:keepLines w:val="0"/>
              <w:pageBreakBefore w:val="0"/>
              <w:widowControl/>
              <w:kinsoku w:val="0"/>
              <w:wordWrap/>
              <w:overflowPunct/>
              <w:topLinePunct w:val="0"/>
              <w:autoSpaceDE w:val="0"/>
              <w:autoSpaceDN w:val="0"/>
              <w:bidi w:val="0"/>
              <w:adjustRightInd w:val="0"/>
              <w:snapToGrid w:val="0"/>
              <w:spacing w:before="78" w:line="32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FD9B40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267C01FD">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D74476">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6F29A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8E8E13C">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71265D0B">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24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305117">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C08ECF3">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2DA24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BAEAEA2">
            <w:pPr>
              <w:keepNext w:val="0"/>
              <w:keepLines w:val="0"/>
              <w:pageBreakBefore w:val="0"/>
              <w:widowControl/>
              <w:kinsoku w:val="0"/>
              <w:wordWrap/>
              <w:overflowPunct/>
              <w:topLinePunct w:val="0"/>
              <w:autoSpaceDE w:val="0"/>
              <w:autoSpaceDN w:val="0"/>
              <w:bidi w:val="0"/>
              <w:adjustRightInd w:val="0"/>
              <w:snapToGrid w:val="0"/>
              <w:spacing w:before="132"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38975531">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24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3DB001">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E10508C">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366CA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3E32DCB">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0908166D">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0E6E4BB">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070704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187F5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8B2F3D6">
            <w:pPr>
              <w:keepNext w:val="0"/>
              <w:keepLines w:val="0"/>
              <w:pageBreakBefore w:val="0"/>
              <w:widowControl/>
              <w:kinsoku w:val="0"/>
              <w:wordWrap/>
              <w:overflowPunct/>
              <w:topLinePunct w:val="0"/>
              <w:autoSpaceDE w:val="0"/>
              <w:autoSpaceDN w:val="0"/>
              <w:bidi w:val="0"/>
              <w:adjustRightInd w:val="0"/>
              <w:snapToGrid w:val="0"/>
              <w:spacing w:before="132"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EBF9D6C">
            <w:pPr>
              <w:keepNext w:val="0"/>
              <w:keepLines w:val="0"/>
              <w:pageBreakBefore w:val="0"/>
              <w:widowControl/>
              <w:kinsoku w:val="0"/>
              <w:wordWrap/>
              <w:overflowPunct/>
              <w:topLinePunct w:val="0"/>
              <w:autoSpaceDE w:val="0"/>
              <w:autoSpaceDN w:val="0"/>
              <w:bidi w:val="0"/>
              <w:adjustRightInd w:val="0"/>
              <w:snapToGrid w:val="0"/>
              <w:spacing w:before="132" w:line="320" w:lineRule="exact"/>
              <w:ind w:left="24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54BECE8">
            <w:pPr>
              <w:keepNext w:val="0"/>
              <w:keepLines w:val="0"/>
              <w:pageBreakBefore w:val="0"/>
              <w:widowControl/>
              <w:kinsoku w:val="0"/>
              <w:wordWrap/>
              <w:overflowPunct/>
              <w:topLinePunct w:val="0"/>
              <w:autoSpaceDE w:val="0"/>
              <w:autoSpaceDN w:val="0"/>
              <w:bidi w:val="0"/>
              <w:adjustRightInd w:val="0"/>
              <w:snapToGrid w:val="0"/>
              <w:spacing w:before="132"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BA0B923">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0652A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FEA42EE">
            <w:pPr>
              <w:keepNext w:val="0"/>
              <w:keepLines w:val="0"/>
              <w:pageBreakBefore w:val="0"/>
              <w:widowControl/>
              <w:kinsoku w:val="0"/>
              <w:wordWrap/>
              <w:overflowPunct/>
              <w:topLinePunct w:val="0"/>
              <w:autoSpaceDE w:val="0"/>
              <w:autoSpaceDN w:val="0"/>
              <w:bidi w:val="0"/>
              <w:adjustRightInd w:val="0"/>
              <w:snapToGrid w:val="0"/>
              <w:spacing w:before="133"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595C73D0">
            <w:pPr>
              <w:keepNext w:val="0"/>
              <w:keepLines w:val="0"/>
              <w:pageBreakBefore w:val="0"/>
              <w:widowControl/>
              <w:kinsoku w:val="0"/>
              <w:wordWrap/>
              <w:overflowPunct/>
              <w:topLinePunct w:val="0"/>
              <w:autoSpaceDE w:val="0"/>
              <w:autoSpaceDN w:val="0"/>
              <w:bidi w:val="0"/>
              <w:adjustRightInd w:val="0"/>
              <w:snapToGrid w:val="0"/>
              <w:spacing w:before="132"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2B7190">
            <w:pPr>
              <w:keepNext w:val="0"/>
              <w:keepLines w:val="0"/>
              <w:pageBreakBefore w:val="0"/>
              <w:widowControl/>
              <w:kinsoku w:val="0"/>
              <w:wordWrap/>
              <w:overflowPunct/>
              <w:topLinePunct w:val="0"/>
              <w:autoSpaceDE w:val="0"/>
              <w:autoSpaceDN w:val="0"/>
              <w:bidi w:val="0"/>
              <w:adjustRightInd w:val="0"/>
              <w:snapToGrid w:val="0"/>
              <w:spacing w:before="132"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C499D1">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26314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1B3E8F">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20"/>
              <w:textAlignment w:val="baseline"/>
              <w:rPr>
                <w:rFonts w:hint="eastAsia" w:ascii="宋体" w:hAnsi="宋体" w:eastAsia="宋体" w:cs="宋体"/>
                <w:color w:val="auto"/>
                <w:sz w:val="24"/>
                <w:szCs w:val="24"/>
                <w:highlight w:val="none"/>
              </w:rPr>
            </w:pPr>
            <w:bookmarkStart w:id="269" w:name="bookmark162"/>
            <w:bookmarkEnd w:id="269"/>
            <w:r>
              <w:rPr>
                <w:rFonts w:hint="eastAsia" w:ascii="宋体" w:hAnsi="宋体" w:eastAsia="宋体" w:cs="宋体"/>
                <w:color w:val="auto"/>
                <w:spacing w:val="-3"/>
                <w:sz w:val="24"/>
                <w:szCs w:val="24"/>
                <w:highlight w:val="none"/>
              </w:rPr>
              <w:t>五、拆除工程</w:t>
            </w:r>
          </w:p>
        </w:tc>
        <w:tc>
          <w:tcPr>
            <w:tcW w:w="1294" w:type="dxa"/>
            <w:vAlign w:val="top"/>
          </w:tcPr>
          <w:p w14:paraId="5B2C7C8E">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48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185A873">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6EAD81">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483824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64E9A8C">
            <w:pPr>
              <w:keepNext w:val="0"/>
              <w:keepLines w:val="0"/>
              <w:pageBreakBefore w:val="0"/>
              <w:widowControl/>
              <w:kinsoku w:val="0"/>
              <w:wordWrap/>
              <w:overflowPunct/>
              <w:topLinePunct w:val="0"/>
              <w:autoSpaceDE w:val="0"/>
              <w:autoSpaceDN w:val="0"/>
              <w:bidi w:val="0"/>
              <w:adjustRightInd w:val="0"/>
              <w:snapToGrid w:val="0"/>
              <w:spacing w:before="126" w:line="320" w:lineRule="exact"/>
              <w:ind w:left="117" w:right="16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3E8ABA52">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482F0E5">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F18FAB">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6400CF3">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B51D52D">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27243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FD18EF0">
            <w:pPr>
              <w:keepNext w:val="0"/>
              <w:keepLines w:val="0"/>
              <w:pageBreakBefore w:val="0"/>
              <w:widowControl/>
              <w:kinsoku w:val="0"/>
              <w:wordWrap/>
              <w:overflowPunct/>
              <w:topLinePunct w:val="0"/>
              <w:autoSpaceDE w:val="0"/>
              <w:autoSpaceDN w:val="0"/>
              <w:bidi w:val="0"/>
              <w:adjustRightInd w:val="0"/>
              <w:snapToGrid w:val="0"/>
              <w:spacing w:before="126" w:line="320" w:lineRule="exact"/>
              <w:ind w:left="35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4E9B6B9">
            <w:pPr>
              <w:keepNext w:val="0"/>
              <w:keepLines w:val="0"/>
              <w:pageBreakBefore w:val="0"/>
              <w:widowControl/>
              <w:kinsoku w:val="0"/>
              <w:wordWrap/>
              <w:overflowPunct/>
              <w:topLinePunct w:val="0"/>
              <w:autoSpaceDE w:val="0"/>
              <w:autoSpaceDN w:val="0"/>
              <w:bidi w:val="0"/>
              <w:adjustRightInd w:val="0"/>
              <w:snapToGrid w:val="0"/>
              <w:spacing w:before="126"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F09C901">
            <w:pPr>
              <w:keepNext w:val="0"/>
              <w:keepLines w:val="0"/>
              <w:pageBreakBefore w:val="0"/>
              <w:widowControl/>
              <w:kinsoku w:val="0"/>
              <w:wordWrap/>
              <w:overflowPunct/>
              <w:topLinePunct w:val="0"/>
              <w:autoSpaceDE w:val="0"/>
              <w:autoSpaceDN w:val="0"/>
              <w:bidi w:val="0"/>
              <w:adjustRightInd w:val="0"/>
              <w:snapToGrid w:val="0"/>
              <w:spacing w:before="126"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0B9BECE">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0F21F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55A5D44">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119" w:right="168" w:hanging="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5578BEE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0BF0E5D5">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A0ADA3">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8BF55AC">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0FDF98A">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14B45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9D2983">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1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6FD14C5C">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454AE8">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721E4F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26EF5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7D1E2F8">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2B7DF685">
            <w:pPr>
              <w:keepNext w:val="0"/>
              <w:keepLines w:val="0"/>
              <w:pageBreakBefore w:val="0"/>
              <w:widowControl/>
              <w:kinsoku w:val="0"/>
              <w:wordWrap/>
              <w:overflowPunct/>
              <w:topLinePunct w:val="0"/>
              <w:autoSpaceDE w:val="0"/>
              <w:autoSpaceDN w:val="0"/>
              <w:bidi w:val="0"/>
              <w:adjustRightInd w:val="0"/>
              <w:snapToGrid w:val="0"/>
              <w:spacing w:before="127"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F3D9B72">
            <w:pPr>
              <w:keepNext w:val="0"/>
              <w:keepLines w:val="0"/>
              <w:pageBreakBefore w:val="0"/>
              <w:widowControl/>
              <w:kinsoku w:val="0"/>
              <w:wordWrap/>
              <w:overflowPunct/>
              <w:topLinePunct w:val="0"/>
              <w:autoSpaceDE w:val="0"/>
              <w:autoSpaceDN w:val="0"/>
              <w:bidi w:val="0"/>
              <w:adjustRightInd w:val="0"/>
              <w:snapToGrid w:val="0"/>
              <w:spacing w:before="127"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5EBA66">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47A86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03AA95A">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0A16EB27">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562BE2">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3E21267">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6FCDE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5BDF13D">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1C15BFF7">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7874835">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B8ABDA">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7264F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C72574E">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3D8E8673">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55B946F">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C12FB8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55F39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162B43">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77CCAC15">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2D842B9">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99FE57D">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0CC39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3208C28">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17" w:right="168" w:firstLine="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38E68CFE">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0D0DE4E7">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31163E66">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9498C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501A0BB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3D26E08A">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34635B6">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7CA70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4E7C78B">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15" w:right="108" w:firstLine="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2DB31EB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561C5F06">
            <w:pPr>
              <w:keepNext w:val="0"/>
              <w:keepLines w:val="0"/>
              <w:pageBreakBefore w:val="0"/>
              <w:widowControl/>
              <w:kinsoku w:val="0"/>
              <w:wordWrap/>
              <w:overflowPunct/>
              <w:topLinePunct w:val="0"/>
              <w:autoSpaceDE w:val="0"/>
              <w:autoSpaceDN w:val="0"/>
              <w:bidi w:val="0"/>
              <w:adjustRightInd w:val="0"/>
              <w:snapToGrid w:val="0"/>
              <w:spacing w:before="78" w:line="320" w:lineRule="exact"/>
              <w:ind w:left="20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58B2C3EE">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63E72B31">
            <w:pPr>
              <w:keepNext w:val="0"/>
              <w:keepLines w:val="0"/>
              <w:pageBreakBefore w:val="0"/>
              <w:widowControl/>
              <w:kinsoku w:val="0"/>
              <w:wordWrap/>
              <w:overflowPunct/>
              <w:topLinePunct w:val="0"/>
              <w:autoSpaceDE w:val="0"/>
              <w:autoSpaceDN w:val="0"/>
              <w:bidi w:val="0"/>
              <w:adjustRightInd w:val="0"/>
              <w:snapToGrid w:val="0"/>
              <w:spacing w:before="78" w:line="320" w:lineRule="exact"/>
              <w:ind w:left="11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1499010">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82C6D3C">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01D94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AC0241E">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2FEC353B">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E7E61">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5EB0B">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0B8B9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325B718">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17" w:right="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66FF9F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735F8F74">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06C8CEF">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26CC73E">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4548B36">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75B4D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46DBAC9">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1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30FB17D9">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71BFBBD">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233CF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3379C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606E450">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123" w:right="25"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42998F4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25D7650E">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F1314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57DCB47F">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7986F4D">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01A2F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610DBC3">
            <w:pPr>
              <w:keepNext w:val="0"/>
              <w:keepLines w:val="0"/>
              <w:pageBreakBefore w:val="0"/>
              <w:widowControl/>
              <w:kinsoku w:val="0"/>
              <w:wordWrap/>
              <w:overflowPunct/>
              <w:topLinePunct w:val="0"/>
              <w:autoSpaceDE w:val="0"/>
              <w:autoSpaceDN w:val="0"/>
              <w:bidi w:val="0"/>
              <w:adjustRightInd w:val="0"/>
              <w:snapToGrid w:val="0"/>
              <w:spacing w:before="132" w:line="320" w:lineRule="exact"/>
              <w:ind w:left="116" w:right="6" w:firstLine="1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9CD3D40">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03D9C2C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57B261EA">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390ADA9A">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5F3BF4">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716C7993">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2777541B">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7370DA0D">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FE6DABD">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0D329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E59DD4B">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501B12E9">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E938E44">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4E0B51B">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35894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EF2E30C">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0F9B9E26">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c>
          <w:tcPr>
            <w:tcW w:w="1294" w:type="dxa"/>
            <w:vAlign w:val="top"/>
          </w:tcPr>
          <w:p w14:paraId="3FE84D90">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c>
          <w:tcPr>
            <w:tcW w:w="2428" w:type="dxa"/>
            <w:vAlign w:val="top"/>
          </w:tcPr>
          <w:p w14:paraId="3E7980BF">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343B4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CDA0B1A">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3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6BA75C44">
            <w:pPr>
              <w:keepNext w:val="0"/>
              <w:keepLines w:val="0"/>
              <w:pageBreakBefore w:val="0"/>
              <w:widowControl/>
              <w:kinsoku w:val="0"/>
              <w:wordWrap/>
              <w:overflowPunct/>
              <w:topLinePunct w:val="0"/>
              <w:autoSpaceDE w:val="0"/>
              <w:autoSpaceDN w:val="0"/>
              <w:bidi w:val="0"/>
              <w:adjustRightInd w:val="0"/>
              <w:snapToGrid w:val="0"/>
              <w:spacing w:before="127" w:line="32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A6C7EAE">
            <w:pPr>
              <w:keepNext w:val="0"/>
              <w:keepLines w:val="0"/>
              <w:pageBreakBefore w:val="0"/>
              <w:widowControl/>
              <w:kinsoku w:val="0"/>
              <w:wordWrap/>
              <w:overflowPunct/>
              <w:topLinePunct w:val="0"/>
              <w:autoSpaceDE w:val="0"/>
              <w:autoSpaceDN w:val="0"/>
              <w:bidi w:val="0"/>
              <w:adjustRightInd w:val="0"/>
              <w:snapToGrid w:val="0"/>
              <w:spacing w:before="127"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25EF9E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73F6E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10F8F3A">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44" w:right="168" w:hanging="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0558D4D0">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6201CE8C">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1F0391E">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6F05CD2">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6864E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1AC46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0A435CF">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15" w:right="105" w:firstLine="1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26E2ECA3">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59D97F1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64FDB935">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823415C">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316F2FD4">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6DD9C625">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37623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43E0A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0CBD1F4">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13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5291357A">
            <w:pPr>
              <w:keepNext w:val="0"/>
              <w:keepLines w:val="0"/>
              <w:pageBreakBefore w:val="0"/>
              <w:widowControl/>
              <w:kinsoku w:val="0"/>
              <w:wordWrap/>
              <w:overflowPunct/>
              <w:topLinePunct w:val="0"/>
              <w:autoSpaceDE w:val="0"/>
              <w:autoSpaceDN w:val="0"/>
              <w:bidi w:val="0"/>
              <w:adjustRightInd w:val="0"/>
              <w:snapToGrid w:val="0"/>
              <w:spacing w:before="127"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48068D4">
            <w:pPr>
              <w:keepNext w:val="0"/>
              <w:keepLines w:val="0"/>
              <w:pageBreakBefore w:val="0"/>
              <w:widowControl/>
              <w:kinsoku w:val="0"/>
              <w:wordWrap/>
              <w:overflowPunct/>
              <w:topLinePunct w:val="0"/>
              <w:autoSpaceDE w:val="0"/>
              <w:autoSpaceDN w:val="0"/>
              <w:bidi w:val="0"/>
              <w:adjustRightInd w:val="0"/>
              <w:snapToGrid w:val="0"/>
              <w:spacing w:before="127"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6E9D83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70C36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BDEAD9F">
            <w:pPr>
              <w:keepNext w:val="0"/>
              <w:keepLines w:val="0"/>
              <w:pageBreakBefore w:val="0"/>
              <w:widowControl/>
              <w:kinsoku w:val="0"/>
              <w:wordWrap/>
              <w:overflowPunct/>
              <w:topLinePunct w:val="0"/>
              <w:autoSpaceDE w:val="0"/>
              <w:autoSpaceDN w:val="0"/>
              <w:bidi w:val="0"/>
              <w:adjustRightInd w:val="0"/>
              <w:snapToGrid w:val="0"/>
              <w:spacing w:before="128" w:line="320" w:lineRule="exact"/>
              <w:ind w:left="117" w:right="168" w:firstLine="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51B003B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2268068C">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5BB5E1">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022CDD31">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AF3F81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1807F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8365204">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16" w:right="105" w:firstLine="1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1BA5434F">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7D20CB22">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5E9442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EE75C81">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F3E27BC">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50E36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DAC2F47">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15" w:right="168" w:firstLine="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373FC6F2">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97924FA">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5C46AC0">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0402C6C3">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11F486">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3DD13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27F3714">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4FACEA19">
            <w:pPr>
              <w:keepNext w:val="0"/>
              <w:keepLines w:val="0"/>
              <w:pageBreakBefore w:val="0"/>
              <w:widowControl/>
              <w:kinsoku w:val="0"/>
              <w:wordWrap/>
              <w:overflowPunct/>
              <w:topLinePunct w:val="0"/>
              <w:autoSpaceDE w:val="0"/>
              <w:autoSpaceDN w:val="0"/>
              <w:bidi w:val="0"/>
              <w:adjustRightInd w:val="0"/>
              <w:snapToGrid w:val="0"/>
              <w:spacing w:before="158" w:line="32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0C14EBD">
            <w:pPr>
              <w:keepNext w:val="0"/>
              <w:keepLines w:val="0"/>
              <w:pageBreakBefore w:val="0"/>
              <w:widowControl/>
              <w:kinsoku w:val="0"/>
              <w:wordWrap/>
              <w:overflowPunct/>
              <w:topLinePunct w:val="0"/>
              <w:autoSpaceDE w:val="0"/>
              <w:autoSpaceDN w:val="0"/>
              <w:bidi w:val="0"/>
              <w:adjustRightInd w:val="0"/>
              <w:snapToGrid w:val="0"/>
              <w:spacing w:before="15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565B8C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5F693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9DF0BBA">
            <w:pPr>
              <w:keepNext w:val="0"/>
              <w:keepLines w:val="0"/>
              <w:pageBreakBefore w:val="0"/>
              <w:widowControl/>
              <w:kinsoku w:val="0"/>
              <w:wordWrap/>
              <w:overflowPunct/>
              <w:topLinePunct w:val="0"/>
              <w:autoSpaceDE w:val="0"/>
              <w:autoSpaceDN w:val="0"/>
              <w:bidi w:val="0"/>
              <w:adjustRightInd w:val="0"/>
              <w:snapToGrid w:val="0"/>
              <w:spacing w:before="132" w:line="320" w:lineRule="exact"/>
              <w:ind w:left="115" w:right="168" w:firstLine="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812A0A7">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5881B3E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717031E0">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E29B0AC">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3EAE7ED">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77C0CE7">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F23104C">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3B7686EC">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BF45F87">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60BC0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C3E819">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17" w:right="168" w:firstLine="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0BD043A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78D374DB">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923B58F">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04E26809">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5E99B2">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1BFD8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CBD8E3E">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2342BF16">
            <w:pPr>
              <w:keepNext w:val="0"/>
              <w:keepLines w:val="0"/>
              <w:pageBreakBefore w:val="0"/>
              <w:widowControl/>
              <w:kinsoku w:val="0"/>
              <w:wordWrap/>
              <w:overflowPunct/>
              <w:topLinePunct w:val="0"/>
              <w:autoSpaceDE w:val="0"/>
              <w:autoSpaceDN w:val="0"/>
              <w:bidi w:val="0"/>
              <w:adjustRightInd w:val="0"/>
              <w:snapToGrid w:val="0"/>
              <w:spacing w:before="140"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9F9FE11">
            <w:pPr>
              <w:keepNext w:val="0"/>
              <w:keepLines w:val="0"/>
              <w:pageBreakBefore w:val="0"/>
              <w:widowControl/>
              <w:kinsoku w:val="0"/>
              <w:wordWrap/>
              <w:overflowPunct/>
              <w:topLinePunct w:val="0"/>
              <w:autoSpaceDE w:val="0"/>
              <w:autoSpaceDN w:val="0"/>
              <w:bidi w:val="0"/>
              <w:adjustRightInd w:val="0"/>
              <w:snapToGrid w:val="0"/>
              <w:spacing w:before="140"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E02DEB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30B64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52BA37">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19" w:right="168" w:hanging="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2CEDF6BB">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1D5972A">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BBF2C32">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5E3CD99C">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E8C8A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32BD2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1EC8DE7">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11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22869FE9">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B7EA804">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1F16CBB">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627324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315C229">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115" w:right="168" w:firstLine="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3507964">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10F3DF5C">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9844E3">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86EB6CB">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3FDF6FD">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5B832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09A239">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73B69D6B">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D167B31">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1480FF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39AA0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5422197">
            <w:pPr>
              <w:keepNext w:val="0"/>
              <w:keepLines w:val="0"/>
              <w:pageBreakBefore w:val="0"/>
              <w:widowControl/>
              <w:kinsoku w:val="0"/>
              <w:wordWrap/>
              <w:overflowPunct/>
              <w:topLinePunct w:val="0"/>
              <w:autoSpaceDE w:val="0"/>
              <w:autoSpaceDN w:val="0"/>
              <w:bidi w:val="0"/>
              <w:adjustRightInd w:val="0"/>
              <w:snapToGrid w:val="0"/>
              <w:spacing w:before="131" w:line="320" w:lineRule="exact"/>
              <w:ind w:left="11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264B4286">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c>
          <w:tcPr>
            <w:tcW w:w="1294" w:type="dxa"/>
            <w:vAlign w:val="top"/>
          </w:tcPr>
          <w:p w14:paraId="46F997D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c>
          <w:tcPr>
            <w:tcW w:w="2428" w:type="dxa"/>
            <w:vAlign w:val="top"/>
          </w:tcPr>
          <w:p w14:paraId="6CA89B9F">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088A3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60E5B66">
            <w:pPr>
              <w:keepNext w:val="0"/>
              <w:keepLines w:val="0"/>
              <w:pageBreakBefore w:val="0"/>
              <w:widowControl/>
              <w:kinsoku w:val="0"/>
              <w:wordWrap/>
              <w:overflowPunct/>
              <w:topLinePunct w:val="0"/>
              <w:autoSpaceDE w:val="0"/>
              <w:autoSpaceDN w:val="0"/>
              <w:bidi w:val="0"/>
              <w:adjustRightInd w:val="0"/>
              <w:snapToGrid w:val="0"/>
              <w:spacing w:before="127" w:line="320" w:lineRule="exact"/>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63A009B9">
            <w:pPr>
              <w:keepNext w:val="0"/>
              <w:keepLines w:val="0"/>
              <w:pageBreakBefore w:val="0"/>
              <w:widowControl/>
              <w:kinsoku w:val="0"/>
              <w:wordWrap/>
              <w:overflowPunct/>
              <w:topLinePunct w:val="0"/>
              <w:autoSpaceDE w:val="0"/>
              <w:autoSpaceDN w:val="0"/>
              <w:bidi w:val="0"/>
              <w:adjustRightInd w:val="0"/>
              <w:snapToGrid w:val="0"/>
              <w:spacing w:before="127"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A63DDFF">
            <w:pPr>
              <w:keepNext w:val="0"/>
              <w:keepLines w:val="0"/>
              <w:pageBreakBefore w:val="0"/>
              <w:widowControl/>
              <w:kinsoku w:val="0"/>
              <w:wordWrap/>
              <w:overflowPunct/>
              <w:topLinePunct w:val="0"/>
              <w:autoSpaceDE w:val="0"/>
              <w:autoSpaceDN w:val="0"/>
              <w:bidi w:val="0"/>
              <w:adjustRightInd w:val="0"/>
              <w:snapToGrid w:val="0"/>
              <w:spacing w:before="127"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894CDA">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670CB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F504DC">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0573C6F3">
            <w:pPr>
              <w:keepNext w:val="0"/>
              <w:keepLines w:val="0"/>
              <w:pageBreakBefore w:val="0"/>
              <w:widowControl/>
              <w:kinsoku w:val="0"/>
              <w:wordWrap/>
              <w:overflowPunct/>
              <w:topLinePunct w:val="0"/>
              <w:autoSpaceDE w:val="0"/>
              <w:autoSpaceDN w:val="0"/>
              <w:bidi w:val="0"/>
              <w:adjustRightInd w:val="0"/>
              <w:snapToGrid w:val="0"/>
              <w:spacing w:before="163"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2B2826B">
            <w:pPr>
              <w:keepNext w:val="0"/>
              <w:keepLines w:val="0"/>
              <w:pageBreakBefore w:val="0"/>
              <w:widowControl/>
              <w:kinsoku w:val="0"/>
              <w:wordWrap/>
              <w:overflowPunct/>
              <w:topLinePunct w:val="0"/>
              <w:autoSpaceDE w:val="0"/>
              <w:autoSpaceDN w:val="0"/>
              <w:bidi w:val="0"/>
              <w:adjustRightInd w:val="0"/>
              <w:snapToGrid w:val="0"/>
              <w:spacing w:before="163"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C1F1C0C">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02B8D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914CA14">
            <w:pPr>
              <w:keepNext w:val="0"/>
              <w:keepLines w:val="0"/>
              <w:pageBreakBefore w:val="0"/>
              <w:widowControl/>
              <w:kinsoku w:val="0"/>
              <w:wordWrap/>
              <w:overflowPunct/>
              <w:topLinePunct w:val="0"/>
              <w:autoSpaceDE w:val="0"/>
              <w:autoSpaceDN w:val="0"/>
              <w:bidi w:val="0"/>
              <w:adjustRightInd w:val="0"/>
              <w:snapToGrid w:val="0"/>
              <w:spacing w:before="130" w:line="320" w:lineRule="exact"/>
              <w:ind w:left="115" w:right="25" w:firstLine="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097DE287">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1FAED4A">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0082CCE">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26F2BE5A">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6E4F99">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r w14:paraId="1B0BD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C0310A4">
            <w:pPr>
              <w:keepNext w:val="0"/>
              <w:keepLines w:val="0"/>
              <w:pageBreakBefore w:val="0"/>
              <w:widowControl/>
              <w:kinsoku w:val="0"/>
              <w:wordWrap/>
              <w:overflowPunct/>
              <w:topLinePunct w:val="0"/>
              <w:autoSpaceDE w:val="0"/>
              <w:autoSpaceDN w:val="0"/>
              <w:bidi w:val="0"/>
              <w:adjustRightInd w:val="0"/>
              <w:snapToGrid w:val="0"/>
              <w:spacing w:before="129" w:line="320" w:lineRule="exact"/>
              <w:ind w:left="117" w:right="168" w:firstLine="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653C471D">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7DA1AAC8">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792D9402">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62DDCC5">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49BA8F8A">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p w14:paraId="3BD718F1">
            <w:pPr>
              <w:keepNext w:val="0"/>
              <w:keepLines w:val="0"/>
              <w:pageBreakBefore w:val="0"/>
              <w:widowControl/>
              <w:kinsoku w:val="0"/>
              <w:wordWrap/>
              <w:overflowPunct/>
              <w:topLinePunct w:val="0"/>
              <w:autoSpaceDE w:val="0"/>
              <w:autoSpaceDN w:val="0"/>
              <w:bidi w:val="0"/>
              <w:adjustRightInd w:val="0"/>
              <w:snapToGrid w:val="0"/>
              <w:spacing w:before="78" w:line="320" w:lineRule="exact"/>
              <w:ind w:left="36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C3CA67B">
            <w:pPr>
              <w:pStyle w:val="24"/>
              <w:keepNext w:val="0"/>
              <w:keepLines w:val="0"/>
              <w:pageBreakBefore w:val="0"/>
              <w:widowControl/>
              <w:kinsoku w:val="0"/>
              <w:wordWrap/>
              <w:overflowPunct/>
              <w:topLinePunct w:val="0"/>
              <w:autoSpaceDE w:val="0"/>
              <w:autoSpaceDN w:val="0"/>
              <w:bidi w:val="0"/>
              <w:adjustRightInd w:val="0"/>
              <w:snapToGrid w:val="0"/>
              <w:spacing w:line="320" w:lineRule="exact"/>
              <w:textAlignment w:val="baseline"/>
              <w:rPr>
                <w:rFonts w:hint="eastAsia" w:ascii="宋体" w:hAnsi="宋体" w:eastAsia="宋体" w:cs="宋体"/>
                <w:color w:val="auto"/>
                <w:sz w:val="24"/>
                <w:szCs w:val="24"/>
                <w:highlight w:val="none"/>
              </w:rPr>
            </w:pPr>
          </w:p>
        </w:tc>
      </w:tr>
    </w:tbl>
    <w:p w14:paraId="579DE87A">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5CE3DA5C">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3536E9CA">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665F02F3">
      <w:pPr>
        <w:rPr>
          <w:color w:val="auto"/>
          <w:sz w:val="24"/>
          <w:szCs w:val="24"/>
          <w:highlight w:val="none"/>
        </w:rPr>
      </w:pPr>
    </w:p>
    <w:p w14:paraId="73D06C34">
      <w:pPr>
        <w:pStyle w:val="16"/>
        <w:rPr>
          <w:rFonts w:hint="eastAsia" w:ascii="宋体" w:hAnsi="宋体" w:eastAsia="宋体" w:cs="宋体"/>
          <w:b/>
          <w:bCs/>
          <w:color w:val="auto"/>
          <w:spacing w:val="-4"/>
          <w:sz w:val="24"/>
          <w:szCs w:val="24"/>
          <w:highlight w:val="none"/>
        </w:rPr>
      </w:pPr>
    </w:p>
    <w:p w14:paraId="0BF3C7A9">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70" w:name="_Toc5049"/>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4"/>
          <w:szCs w:val="24"/>
          <w:highlight w:val="none"/>
        </w:rPr>
        <w:t>投标保证金信用承诺函</w:t>
      </w:r>
      <w:bookmarkEnd w:id="270"/>
    </w:p>
    <w:p w14:paraId="4FA8B08B">
      <w:pPr>
        <w:spacing w:before="140" w:line="604" w:lineRule="exact"/>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4"/>
          <w:position w:val="3"/>
          <w:sz w:val="24"/>
          <w:szCs w:val="24"/>
          <w:highlight w:val="none"/>
        </w:rPr>
        <w:t>投标保证金信用承诺函</w:t>
      </w:r>
    </w:p>
    <w:p w14:paraId="551571E0">
      <w:pPr>
        <w:pStyle w:val="7"/>
        <w:spacing w:line="408" w:lineRule="auto"/>
        <w:rPr>
          <w:rFonts w:hint="eastAsia" w:ascii="宋体" w:hAnsi="宋体" w:eastAsia="宋体" w:cs="宋体"/>
          <w:color w:val="auto"/>
          <w:sz w:val="24"/>
          <w:szCs w:val="24"/>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7"/>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7"/>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7"/>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6"/>
        <w:rPr>
          <w:rFonts w:hint="eastAsia" w:ascii="宋体" w:hAnsi="宋体" w:eastAsia="宋体" w:cs="宋体"/>
          <w:color w:val="auto"/>
          <w:sz w:val="24"/>
          <w:szCs w:val="24"/>
          <w:highlight w:val="none"/>
        </w:rPr>
      </w:pPr>
    </w:p>
    <w:p w14:paraId="3CFA9197">
      <w:pPr>
        <w:pStyle w:val="16"/>
        <w:rPr>
          <w:rFonts w:hint="eastAsia" w:ascii="宋体" w:hAnsi="宋体" w:eastAsia="宋体" w:cs="宋体"/>
          <w:color w:val="auto"/>
          <w:spacing w:val="8"/>
          <w:sz w:val="24"/>
          <w:szCs w:val="24"/>
          <w:highlight w:val="none"/>
          <w:lang w:eastAsia="zh-CN"/>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1" w:name="_Toc4983"/>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1"/>
    </w:p>
    <w:tbl>
      <w:tblPr>
        <w:tblStyle w:val="17"/>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center"/>
          </w:tcPr>
          <w:p w14:paraId="24FB1F0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2624" w:type="dxa"/>
            <w:gridSpan w:val="2"/>
            <w:vAlign w:val="center"/>
          </w:tcPr>
          <w:p w14:paraId="0CEAB9E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center"/>
          </w:tcPr>
          <w:p w14:paraId="3FF8FF0B">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2624" w:type="dxa"/>
            <w:gridSpan w:val="2"/>
            <w:vAlign w:val="center"/>
          </w:tcPr>
          <w:p w14:paraId="261766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center"/>
          </w:tcPr>
          <w:p w14:paraId="668497E6">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2624" w:type="dxa"/>
            <w:gridSpan w:val="2"/>
            <w:vAlign w:val="center"/>
          </w:tcPr>
          <w:p w14:paraId="6FE90DC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center"/>
          </w:tcPr>
          <w:p w14:paraId="000B4605">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c>
          <w:tcPr>
            <w:tcW w:w="1499" w:type="dxa"/>
            <w:gridSpan w:val="2"/>
            <w:vAlign w:val="center"/>
          </w:tcPr>
          <w:p w14:paraId="3D60D1A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center"/>
          </w:tcPr>
          <w:p w14:paraId="7B412076">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center"/>
          </w:tcPr>
          <w:p w14:paraId="567918A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center"/>
          </w:tcPr>
          <w:p w14:paraId="21E26167">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0EC2119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center"/>
          </w:tcPr>
          <w:p w14:paraId="76A61080">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1A81F5E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center"/>
          </w:tcPr>
          <w:p w14:paraId="0177F328">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456665A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center"/>
          </w:tcPr>
          <w:p w14:paraId="41F7CEAC">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09C47EB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center"/>
          </w:tcPr>
          <w:p w14:paraId="6FF8B91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center"/>
          </w:tcPr>
          <w:p w14:paraId="28B25A0D">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c>
          <w:tcPr>
            <w:tcW w:w="1771" w:type="dxa"/>
            <w:gridSpan w:val="2"/>
            <w:vAlign w:val="center"/>
          </w:tcPr>
          <w:p w14:paraId="4F42E60F">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c>
          <w:tcPr>
            <w:tcW w:w="1637" w:type="dxa"/>
            <w:vAlign w:val="center"/>
          </w:tcPr>
          <w:p w14:paraId="3C09D08F">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center"/>
          </w:tcPr>
          <w:p w14:paraId="5B0FF1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center"/>
          </w:tcPr>
          <w:p w14:paraId="0D3F050A">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c>
          <w:tcPr>
            <w:tcW w:w="1771" w:type="dxa"/>
            <w:gridSpan w:val="2"/>
            <w:vAlign w:val="center"/>
          </w:tcPr>
          <w:p w14:paraId="745FD79F">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c>
          <w:tcPr>
            <w:tcW w:w="1637" w:type="dxa"/>
            <w:vAlign w:val="center"/>
          </w:tcPr>
          <w:p w14:paraId="2EFE754E">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center"/>
          </w:tcPr>
          <w:p w14:paraId="3DF57AC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center"/>
          </w:tcPr>
          <w:p w14:paraId="54C3FBF3">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c>
          <w:tcPr>
            <w:tcW w:w="1771" w:type="dxa"/>
            <w:gridSpan w:val="2"/>
            <w:vAlign w:val="center"/>
          </w:tcPr>
          <w:p w14:paraId="40E0E057">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c>
          <w:tcPr>
            <w:tcW w:w="1637" w:type="dxa"/>
            <w:vAlign w:val="center"/>
          </w:tcPr>
          <w:p w14:paraId="28B42581">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center"/>
          </w:tcPr>
          <w:p w14:paraId="4F52795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center"/>
          </w:tcPr>
          <w:p w14:paraId="47EB6644">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c>
          <w:tcPr>
            <w:tcW w:w="1771" w:type="dxa"/>
            <w:gridSpan w:val="2"/>
            <w:vAlign w:val="center"/>
          </w:tcPr>
          <w:p w14:paraId="6D54D719">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c>
          <w:tcPr>
            <w:tcW w:w="1637" w:type="dxa"/>
            <w:vAlign w:val="center"/>
          </w:tcPr>
          <w:p w14:paraId="75E6A05C">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center"/>
          </w:tcPr>
          <w:p w14:paraId="6D36533C">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198C1B4E">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161C02DA">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57AB557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center"/>
          </w:tcPr>
          <w:p w14:paraId="57B0800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center"/>
          </w:tcPr>
          <w:p w14:paraId="0440D7A1">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107CC9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center"/>
          </w:tcPr>
          <w:p w14:paraId="396C35BA">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c>
          <w:tcPr>
            <w:tcW w:w="1683" w:type="dxa"/>
            <w:gridSpan w:val="2"/>
            <w:vAlign w:val="center"/>
          </w:tcPr>
          <w:p w14:paraId="5328A3CB">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0C2B5A86">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06A559B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center"/>
          </w:tcPr>
          <w:p w14:paraId="655901F3">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0F1E1751">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3ABE9DD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center"/>
          </w:tcPr>
          <w:p w14:paraId="453382F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center"/>
          </w:tcPr>
          <w:p w14:paraId="2C206521">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tc>
        <w:tc>
          <w:tcPr>
            <w:tcW w:w="1683" w:type="dxa"/>
            <w:gridSpan w:val="2"/>
            <w:vAlign w:val="center"/>
          </w:tcPr>
          <w:p w14:paraId="7AC1377A">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1E023FA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center"/>
          </w:tcPr>
          <w:p w14:paraId="209D4A82">
            <w:pPr>
              <w:pStyle w:val="24"/>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p>
          <w:p w14:paraId="459BFBA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2" w:name="bookmark107"/>
      <w:bookmarkEnd w:id="272"/>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sz w:val="24"/>
          <w:szCs w:val="24"/>
          <w:highlight w:val="none"/>
          <w:lang w:val="en-US" w:eastAsia="zh-CN"/>
        </w:rPr>
      </w:pPr>
      <w:bookmarkStart w:id="273" w:name="_Toc3970"/>
      <w:bookmarkStart w:id="274" w:name="_Toc3449"/>
      <w:r>
        <w:rPr>
          <w:rStyle w:val="23"/>
          <w:rFonts w:hint="eastAsia" w:ascii="Times New Roman" w:hAnsi="宋体" w:eastAsia="宋体" w:cs="Times New Roman"/>
          <w:b/>
          <w:bCs/>
          <w:color w:val="auto"/>
          <w:kern w:val="0"/>
          <w:sz w:val="24"/>
          <w:szCs w:val="24"/>
          <w:highlight w:val="none"/>
          <w:lang w:val="en-US" w:eastAsia="zh-CN" w:bidi="ar-SA"/>
        </w:rPr>
        <w:t xml:space="preserve">格式十六 </w:t>
      </w:r>
      <w:bookmarkEnd w:id="273"/>
      <w:r>
        <w:rPr>
          <w:rStyle w:val="23"/>
          <w:rFonts w:hint="eastAsia" w:ascii="Times New Roman" w:hAnsi="宋体" w:eastAsia="宋体" w:cs="Times New Roman"/>
          <w:b/>
          <w:bCs/>
          <w:color w:val="auto"/>
          <w:kern w:val="0"/>
          <w:sz w:val="24"/>
          <w:szCs w:val="24"/>
          <w:highlight w:val="none"/>
          <w:lang w:val="en-US" w:eastAsia="zh-CN" w:bidi="ar-SA"/>
        </w:rPr>
        <w:t>定标文件封面</w:t>
      </w:r>
      <w:bookmarkEnd w:id="274"/>
    </w:p>
    <w:p w14:paraId="037668B9">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b/>
          <w:bCs/>
          <w:color w:val="auto"/>
          <w:spacing w:val="0"/>
          <w:sz w:val="24"/>
          <w:szCs w:val="24"/>
          <w:highlight w:val="none"/>
          <w:u w:val="single"/>
          <w:lang w:val="en-US" w:eastAsia="zh-CN"/>
        </w:rPr>
      </w:pPr>
    </w:p>
    <w:p w14:paraId="28D329B3">
      <w:pPr>
        <w:keepNext w:val="0"/>
        <w:keepLines w:val="0"/>
        <w:pageBreakBefore w:val="0"/>
        <w:wordWrap w:val="0"/>
        <w:overflowPunct/>
        <w:topLinePunct w:val="0"/>
        <w:bidi w:val="0"/>
        <w:spacing w:before="153" w:line="225" w:lineRule="auto"/>
        <w:ind w:left="-1" w:leftChars="0" w:firstLine="0" w:firstLineChars="0"/>
        <w:jc w:val="center"/>
        <w:rPr>
          <w:rFonts w:hint="eastAsia" w:ascii="宋体" w:hAnsi="宋体" w:eastAsia="宋体" w:cs="宋体"/>
          <w:color w:val="auto"/>
          <w:spacing w:val="0"/>
          <w:sz w:val="52"/>
          <w:szCs w:val="52"/>
          <w:highlight w:val="none"/>
        </w:rPr>
      </w:pPr>
      <w:r>
        <w:rPr>
          <w:rFonts w:hint="eastAsia" w:ascii="宋体" w:hAnsi="宋体" w:eastAsia="宋体" w:cs="宋体"/>
          <w:b/>
          <w:bCs/>
          <w:color w:val="auto"/>
          <w:spacing w:val="0"/>
          <w:sz w:val="52"/>
          <w:szCs w:val="52"/>
          <w:highlight w:val="none"/>
          <w:u w:val="single"/>
          <w:lang w:val="en-US" w:eastAsia="zh-CN"/>
        </w:rPr>
        <w:t xml:space="preserve">    </w:t>
      </w:r>
      <w:r>
        <w:rPr>
          <w:rFonts w:hint="eastAsia" w:ascii="宋体" w:hAnsi="宋体" w:eastAsia="宋体" w:cs="宋体"/>
          <w:b/>
          <w:bCs/>
          <w:color w:val="auto"/>
          <w:spacing w:val="0"/>
          <w:sz w:val="52"/>
          <w:szCs w:val="52"/>
          <w:highlight w:val="none"/>
          <w:u w:val="single"/>
        </w:rPr>
        <w:t>（项目名称）</w:t>
      </w:r>
      <w:r>
        <w:rPr>
          <w:rFonts w:hint="eastAsia" w:ascii="宋体" w:hAnsi="宋体" w:eastAsia="宋体" w:cs="宋体"/>
          <w:b/>
          <w:bCs/>
          <w:color w:val="auto"/>
          <w:spacing w:val="0"/>
          <w:sz w:val="52"/>
          <w:szCs w:val="52"/>
          <w:highlight w:val="none"/>
          <w:u w:val="none"/>
          <w:lang w:val="en-US" w:eastAsia="zh-CN"/>
        </w:rPr>
        <w:t>施工</w:t>
      </w:r>
      <w:r>
        <w:rPr>
          <w:rFonts w:hint="eastAsia" w:ascii="宋体" w:hAnsi="宋体" w:eastAsia="宋体" w:cs="宋体"/>
          <w:b/>
          <w:bCs/>
          <w:color w:val="auto"/>
          <w:spacing w:val="0"/>
          <w:sz w:val="52"/>
          <w:szCs w:val="52"/>
          <w:highlight w:val="none"/>
        </w:rPr>
        <w:t>招标</w:t>
      </w:r>
    </w:p>
    <w:p w14:paraId="3A78CA2F">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sz w:val="24"/>
          <w:szCs w:val="24"/>
          <w:highlight w:val="none"/>
        </w:rPr>
      </w:pPr>
    </w:p>
    <w:p w14:paraId="7AD59DF3">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sz w:val="24"/>
          <w:szCs w:val="24"/>
          <w:highlight w:val="none"/>
        </w:rPr>
      </w:pPr>
    </w:p>
    <w:p w14:paraId="586F1425">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sz w:val="24"/>
          <w:szCs w:val="24"/>
          <w:highlight w:val="none"/>
        </w:rPr>
      </w:pPr>
    </w:p>
    <w:p w14:paraId="43C3E641">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sz w:val="24"/>
          <w:szCs w:val="24"/>
          <w:highlight w:val="none"/>
        </w:rPr>
      </w:pPr>
    </w:p>
    <w:p w14:paraId="7C9D8589">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sz w:val="24"/>
          <w:szCs w:val="24"/>
          <w:highlight w:val="none"/>
        </w:rPr>
      </w:pPr>
    </w:p>
    <w:p w14:paraId="6AE0B3FF">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sz w:val="24"/>
          <w:szCs w:val="24"/>
          <w:highlight w:val="none"/>
        </w:rPr>
      </w:pPr>
    </w:p>
    <w:p w14:paraId="7CC6864C">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sz w:val="24"/>
          <w:szCs w:val="24"/>
          <w:highlight w:val="none"/>
        </w:rPr>
      </w:pPr>
    </w:p>
    <w:p w14:paraId="604705F4">
      <w:pPr>
        <w:pStyle w:val="7"/>
        <w:keepNext w:val="0"/>
        <w:keepLines w:val="0"/>
        <w:pageBreakBefore w:val="0"/>
        <w:wordWrap w:val="0"/>
        <w:overflowPunct/>
        <w:topLinePunct w:val="0"/>
        <w:bidi w:val="0"/>
        <w:spacing w:line="247" w:lineRule="auto"/>
        <w:rPr>
          <w:rFonts w:hint="eastAsia" w:ascii="宋体" w:hAnsi="宋体" w:eastAsia="宋体" w:cs="宋体"/>
          <w:color w:val="auto"/>
          <w:spacing w:val="0"/>
          <w:sz w:val="24"/>
          <w:szCs w:val="24"/>
          <w:highlight w:val="none"/>
        </w:rPr>
      </w:pPr>
    </w:p>
    <w:p w14:paraId="03EF797F">
      <w:pPr>
        <w:pStyle w:val="7"/>
        <w:keepNext w:val="0"/>
        <w:keepLines w:val="0"/>
        <w:pageBreakBefore w:val="0"/>
        <w:wordWrap w:val="0"/>
        <w:overflowPunct/>
        <w:topLinePunct w:val="0"/>
        <w:bidi w:val="0"/>
        <w:spacing w:line="248" w:lineRule="auto"/>
        <w:rPr>
          <w:rFonts w:hint="eastAsia" w:ascii="宋体" w:hAnsi="宋体" w:eastAsia="宋体" w:cs="宋体"/>
          <w:color w:val="auto"/>
          <w:spacing w:val="0"/>
          <w:sz w:val="24"/>
          <w:szCs w:val="24"/>
          <w:highlight w:val="none"/>
        </w:rPr>
      </w:pPr>
    </w:p>
    <w:p w14:paraId="4944BE40">
      <w:pPr>
        <w:keepNext w:val="0"/>
        <w:keepLines w:val="0"/>
        <w:pageBreakBefore w:val="0"/>
        <w:wordWrap w:val="0"/>
        <w:overflowPunct/>
        <w:topLinePunct w:val="0"/>
        <w:bidi w:val="0"/>
        <w:spacing w:before="231" w:line="223" w:lineRule="auto"/>
        <w:jc w:val="center"/>
        <w:rPr>
          <w:rFonts w:hint="eastAsia" w:ascii="宋体" w:hAnsi="宋体" w:eastAsia="宋体" w:cs="宋体"/>
          <w:color w:val="auto"/>
          <w:spacing w:val="0"/>
          <w:sz w:val="72"/>
          <w:szCs w:val="72"/>
          <w:highlight w:val="none"/>
        </w:rPr>
      </w:pPr>
      <w:r>
        <w:rPr>
          <w:rFonts w:hint="eastAsia" w:ascii="宋体" w:hAnsi="宋体" w:eastAsia="宋体" w:cs="宋体"/>
          <w:b/>
          <w:bCs/>
          <w:color w:val="auto"/>
          <w:spacing w:val="0"/>
          <w:sz w:val="72"/>
          <w:szCs w:val="72"/>
          <w:highlight w:val="none"/>
          <w:lang w:val="en-US" w:eastAsia="zh-CN"/>
        </w:rPr>
        <w:t>定</w:t>
      </w:r>
      <w:r>
        <w:rPr>
          <w:rFonts w:hint="eastAsia" w:ascii="宋体" w:hAnsi="宋体" w:eastAsia="宋体" w:cs="宋体"/>
          <w:color w:val="auto"/>
          <w:spacing w:val="0"/>
          <w:sz w:val="72"/>
          <w:szCs w:val="72"/>
          <w:highlight w:val="none"/>
        </w:rPr>
        <w:t xml:space="preserve">  </w:t>
      </w:r>
      <w:r>
        <w:rPr>
          <w:rFonts w:hint="eastAsia" w:ascii="宋体" w:hAnsi="宋体" w:eastAsia="宋体" w:cs="宋体"/>
          <w:b/>
          <w:bCs/>
          <w:color w:val="auto"/>
          <w:spacing w:val="0"/>
          <w:sz w:val="72"/>
          <w:szCs w:val="72"/>
          <w:highlight w:val="none"/>
        </w:rPr>
        <w:t>标</w:t>
      </w:r>
      <w:r>
        <w:rPr>
          <w:rFonts w:hint="eastAsia" w:ascii="宋体" w:hAnsi="宋体" w:eastAsia="宋体" w:cs="宋体"/>
          <w:color w:val="auto"/>
          <w:spacing w:val="0"/>
          <w:sz w:val="72"/>
          <w:szCs w:val="72"/>
          <w:highlight w:val="none"/>
        </w:rPr>
        <w:t xml:space="preserve">  </w:t>
      </w:r>
      <w:r>
        <w:rPr>
          <w:rFonts w:hint="eastAsia" w:ascii="宋体" w:hAnsi="宋体" w:eastAsia="宋体" w:cs="宋体"/>
          <w:b/>
          <w:bCs/>
          <w:color w:val="auto"/>
          <w:spacing w:val="0"/>
          <w:sz w:val="72"/>
          <w:szCs w:val="72"/>
          <w:highlight w:val="none"/>
        </w:rPr>
        <w:t>文</w:t>
      </w:r>
      <w:r>
        <w:rPr>
          <w:rFonts w:hint="eastAsia" w:ascii="宋体" w:hAnsi="宋体" w:eastAsia="宋体" w:cs="宋体"/>
          <w:color w:val="auto"/>
          <w:spacing w:val="0"/>
          <w:sz w:val="72"/>
          <w:szCs w:val="72"/>
          <w:highlight w:val="none"/>
        </w:rPr>
        <w:t xml:space="preserve">  </w:t>
      </w:r>
      <w:r>
        <w:rPr>
          <w:rFonts w:hint="eastAsia" w:ascii="宋体" w:hAnsi="宋体" w:eastAsia="宋体" w:cs="宋体"/>
          <w:b/>
          <w:bCs/>
          <w:color w:val="auto"/>
          <w:spacing w:val="0"/>
          <w:sz w:val="72"/>
          <w:szCs w:val="72"/>
          <w:highlight w:val="none"/>
        </w:rPr>
        <w:t>件</w:t>
      </w:r>
    </w:p>
    <w:p w14:paraId="00A1771B">
      <w:pPr>
        <w:pStyle w:val="7"/>
        <w:keepNext w:val="0"/>
        <w:keepLines w:val="0"/>
        <w:pageBreakBefore w:val="0"/>
        <w:wordWrap w:val="0"/>
        <w:overflowPunct/>
        <w:topLinePunct w:val="0"/>
        <w:bidi w:val="0"/>
        <w:spacing w:line="293" w:lineRule="auto"/>
        <w:rPr>
          <w:rFonts w:hint="eastAsia" w:ascii="宋体" w:hAnsi="宋体" w:eastAsia="宋体" w:cs="宋体"/>
          <w:color w:val="auto"/>
          <w:spacing w:val="0"/>
          <w:sz w:val="24"/>
          <w:szCs w:val="24"/>
          <w:highlight w:val="none"/>
        </w:rPr>
      </w:pPr>
    </w:p>
    <w:p w14:paraId="0C409A07">
      <w:pPr>
        <w:pStyle w:val="7"/>
        <w:keepNext w:val="0"/>
        <w:keepLines w:val="0"/>
        <w:pageBreakBefore w:val="0"/>
        <w:wordWrap w:val="0"/>
        <w:overflowPunct/>
        <w:topLinePunct w:val="0"/>
        <w:bidi w:val="0"/>
        <w:spacing w:line="293" w:lineRule="auto"/>
        <w:rPr>
          <w:rFonts w:hint="eastAsia" w:ascii="宋体" w:hAnsi="宋体" w:eastAsia="宋体" w:cs="宋体"/>
          <w:color w:val="auto"/>
          <w:spacing w:val="0"/>
          <w:sz w:val="24"/>
          <w:szCs w:val="24"/>
          <w:highlight w:val="none"/>
        </w:rPr>
      </w:pPr>
    </w:p>
    <w:p w14:paraId="49E76458">
      <w:pPr>
        <w:keepNext w:val="0"/>
        <w:keepLines w:val="0"/>
        <w:pageBreakBefore w:val="0"/>
        <w:wordWrap w:val="0"/>
        <w:overflowPunct/>
        <w:topLinePunct w:val="0"/>
        <w:bidi w:val="0"/>
        <w:rPr>
          <w:rFonts w:hint="eastAsia"/>
          <w:color w:val="auto"/>
          <w:spacing w:val="0"/>
          <w:sz w:val="24"/>
          <w:szCs w:val="24"/>
          <w:highlight w:val="none"/>
        </w:rPr>
      </w:pPr>
    </w:p>
    <w:p w14:paraId="5472E38F">
      <w:pPr>
        <w:keepNext w:val="0"/>
        <w:keepLines w:val="0"/>
        <w:pageBreakBefore w:val="0"/>
        <w:wordWrap w:val="0"/>
        <w:overflowPunct/>
        <w:topLinePunct w:val="0"/>
        <w:bidi w:val="0"/>
        <w:rPr>
          <w:rFonts w:hint="eastAsia"/>
          <w:color w:val="auto"/>
          <w:spacing w:val="0"/>
          <w:sz w:val="24"/>
          <w:szCs w:val="24"/>
          <w:highlight w:val="none"/>
        </w:rPr>
      </w:pPr>
    </w:p>
    <w:p w14:paraId="0834D83C">
      <w:pPr>
        <w:keepNext w:val="0"/>
        <w:keepLines w:val="0"/>
        <w:pageBreakBefore w:val="0"/>
        <w:wordWrap w:val="0"/>
        <w:overflowPunct/>
        <w:topLinePunct w:val="0"/>
        <w:bidi w:val="0"/>
        <w:rPr>
          <w:rFonts w:hint="eastAsia"/>
          <w:color w:val="auto"/>
          <w:spacing w:val="0"/>
          <w:sz w:val="24"/>
          <w:szCs w:val="24"/>
          <w:highlight w:val="none"/>
        </w:rPr>
      </w:pPr>
    </w:p>
    <w:p w14:paraId="34D736C6">
      <w:pPr>
        <w:keepNext w:val="0"/>
        <w:keepLines w:val="0"/>
        <w:pageBreakBefore w:val="0"/>
        <w:wordWrap w:val="0"/>
        <w:overflowPunct/>
        <w:topLinePunct w:val="0"/>
        <w:bidi w:val="0"/>
        <w:rPr>
          <w:rFonts w:hint="eastAsia"/>
          <w:color w:val="auto"/>
          <w:spacing w:val="0"/>
          <w:sz w:val="24"/>
          <w:szCs w:val="24"/>
          <w:highlight w:val="none"/>
        </w:rPr>
      </w:pPr>
    </w:p>
    <w:p w14:paraId="30D7943B">
      <w:pPr>
        <w:keepNext w:val="0"/>
        <w:keepLines w:val="0"/>
        <w:pageBreakBefore w:val="0"/>
        <w:wordWrap w:val="0"/>
        <w:overflowPunct/>
        <w:topLinePunct w:val="0"/>
        <w:bidi w:val="0"/>
        <w:rPr>
          <w:rFonts w:hint="eastAsia"/>
          <w:color w:val="auto"/>
          <w:spacing w:val="0"/>
          <w:sz w:val="24"/>
          <w:szCs w:val="24"/>
          <w:highlight w:val="none"/>
        </w:rPr>
      </w:pPr>
    </w:p>
    <w:p w14:paraId="4FEE1ED6">
      <w:pPr>
        <w:keepNext w:val="0"/>
        <w:keepLines w:val="0"/>
        <w:pageBreakBefore w:val="0"/>
        <w:wordWrap w:val="0"/>
        <w:overflowPunct/>
        <w:topLinePunct w:val="0"/>
        <w:bidi w:val="0"/>
        <w:rPr>
          <w:rFonts w:hint="eastAsia"/>
          <w:color w:val="auto"/>
          <w:spacing w:val="0"/>
          <w:sz w:val="24"/>
          <w:szCs w:val="24"/>
          <w:highlight w:val="none"/>
        </w:rPr>
      </w:pPr>
    </w:p>
    <w:p w14:paraId="27FDCF24">
      <w:pPr>
        <w:keepNext w:val="0"/>
        <w:keepLines w:val="0"/>
        <w:pageBreakBefore w:val="0"/>
        <w:wordWrap w:val="0"/>
        <w:overflowPunct/>
        <w:topLinePunct w:val="0"/>
        <w:bidi w:val="0"/>
        <w:rPr>
          <w:rFonts w:hint="eastAsia"/>
          <w:color w:val="auto"/>
          <w:spacing w:val="0"/>
          <w:sz w:val="24"/>
          <w:szCs w:val="24"/>
          <w:highlight w:val="none"/>
        </w:rPr>
      </w:pPr>
    </w:p>
    <w:p w14:paraId="2B6F77E3">
      <w:pPr>
        <w:keepNext w:val="0"/>
        <w:keepLines w:val="0"/>
        <w:pageBreakBefore w:val="0"/>
        <w:wordWrap w:val="0"/>
        <w:overflowPunct/>
        <w:topLinePunct w:val="0"/>
        <w:bidi w:val="0"/>
        <w:rPr>
          <w:rFonts w:hint="eastAsia"/>
          <w:color w:val="auto"/>
          <w:spacing w:val="0"/>
          <w:sz w:val="24"/>
          <w:szCs w:val="24"/>
          <w:highlight w:val="none"/>
        </w:rPr>
      </w:pPr>
    </w:p>
    <w:p w14:paraId="33769B22">
      <w:pPr>
        <w:pStyle w:val="42"/>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8"/>
          <w:szCs w:val="28"/>
          <w:highlight w:val="none"/>
        </w:rPr>
      </w:pPr>
      <w:r>
        <w:rPr>
          <w:rFonts w:hint="eastAsia" w:ascii="宋体" w:hAnsi="宋体" w:eastAsia="宋体" w:cs="宋体"/>
          <w:bCs/>
          <w:snapToGrid w:val="0"/>
          <w:color w:val="auto"/>
          <w:spacing w:val="0"/>
          <w:sz w:val="28"/>
          <w:szCs w:val="28"/>
          <w:highlight w:val="none"/>
        </w:rPr>
        <w:t>投标人：</w:t>
      </w:r>
      <w:r>
        <w:rPr>
          <w:rFonts w:hint="eastAsia" w:ascii="宋体" w:hAnsi="宋体" w:eastAsia="宋体" w:cs="宋体"/>
          <w:bCs/>
          <w:snapToGrid w:val="0"/>
          <w:color w:val="auto"/>
          <w:spacing w:val="0"/>
          <w:sz w:val="28"/>
          <w:szCs w:val="28"/>
          <w:highlight w:val="none"/>
          <w:u w:val="single"/>
        </w:rPr>
        <w:t xml:space="preserve">                                    </w:t>
      </w:r>
      <w:r>
        <w:rPr>
          <w:rFonts w:hint="eastAsia" w:ascii="宋体" w:hAnsi="宋体" w:eastAsia="宋体" w:cs="宋体"/>
          <w:bCs/>
          <w:snapToGrid w:val="0"/>
          <w:color w:val="auto"/>
          <w:spacing w:val="0"/>
          <w:sz w:val="28"/>
          <w:szCs w:val="28"/>
          <w:highlight w:val="none"/>
        </w:rPr>
        <w:t>（盖单位章）</w:t>
      </w:r>
    </w:p>
    <w:p w14:paraId="4A3C1EB5">
      <w:pPr>
        <w:pStyle w:val="42"/>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8"/>
          <w:szCs w:val="28"/>
          <w:highlight w:val="none"/>
        </w:rPr>
      </w:pPr>
    </w:p>
    <w:p w14:paraId="345CEE2D">
      <w:pPr>
        <w:pStyle w:val="42"/>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8"/>
          <w:szCs w:val="28"/>
          <w:highlight w:val="none"/>
        </w:rPr>
      </w:pPr>
    </w:p>
    <w:p w14:paraId="32283156">
      <w:pPr>
        <w:pStyle w:val="42"/>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8"/>
          <w:szCs w:val="28"/>
          <w:highlight w:val="none"/>
        </w:rPr>
      </w:pPr>
      <w:r>
        <w:rPr>
          <w:rFonts w:hint="eastAsia" w:ascii="宋体" w:hAnsi="宋体" w:eastAsia="宋体" w:cs="宋体"/>
          <w:bCs/>
          <w:snapToGrid w:val="0"/>
          <w:color w:val="auto"/>
          <w:spacing w:val="0"/>
          <w:sz w:val="28"/>
          <w:szCs w:val="28"/>
          <w:highlight w:val="none"/>
        </w:rPr>
        <w:t>法定代表人或其委托代理人：</w:t>
      </w:r>
      <w:r>
        <w:rPr>
          <w:rFonts w:hint="eastAsia" w:ascii="宋体" w:hAnsi="宋体" w:eastAsia="宋体" w:cs="宋体"/>
          <w:bCs/>
          <w:snapToGrid w:val="0"/>
          <w:color w:val="auto"/>
          <w:spacing w:val="0"/>
          <w:sz w:val="28"/>
          <w:szCs w:val="28"/>
          <w:highlight w:val="none"/>
          <w:u w:val="single"/>
        </w:rPr>
        <w:t xml:space="preserve">                 </w:t>
      </w:r>
      <w:r>
        <w:rPr>
          <w:rFonts w:hint="eastAsia" w:ascii="宋体" w:hAnsi="宋体" w:eastAsia="宋体" w:cs="宋体"/>
          <w:bCs/>
          <w:snapToGrid w:val="0"/>
          <w:color w:val="auto"/>
          <w:spacing w:val="0"/>
          <w:sz w:val="28"/>
          <w:szCs w:val="28"/>
          <w:highlight w:val="none"/>
        </w:rPr>
        <w:t>（签字或盖章）</w:t>
      </w:r>
    </w:p>
    <w:p w14:paraId="7D3457AD">
      <w:pPr>
        <w:pStyle w:val="42"/>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8"/>
          <w:szCs w:val="28"/>
          <w:highlight w:val="none"/>
        </w:rPr>
      </w:pPr>
    </w:p>
    <w:p w14:paraId="687E9E9D">
      <w:pPr>
        <w:pStyle w:val="42"/>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8"/>
          <w:szCs w:val="28"/>
          <w:highlight w:val="none"/>
          <w:u w:val="single"/>
        </w:rPr>
      </w:pPr>
    </w:p>
    <w:p w14:paraId="15EA410B">
      <w:pPr>
        <w:pStyle w:val="42"/>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sz w:val="28"/>
          <w:szCs w:val="28"/>
          <w:highlight w:val="none"/>
        </w:rPr>
      </w:pPr>
      <w:r>
        <w:rPr>
          <w:rFonts w:hint="eastAsia" w:ascii="宋体" w:hAnsi="宋体" w:eastAsia="宋体" w:cs="宋体"/>
          <w:bCs/>
          <w:snapToGrid w:val="0"/>
          <w:color w:val="auto"/>
          <w:spacing w:val="0"/>
          <w:sz w:val="28"/>
          <w:szCs w:val="28"/>
          <w:highlight w:val="none"/>
          <w:u w:val="single"/>
        </w:rPr>
        <w:t xml:space="preserve">         </w:t>
      </w:r>
      <w:r>
        <w:rPr>
          <w:rFonts w:hint="eastAsia" w:ascii="宋体" w:hAnsi="宋体" w:eastAsia="宋体" w:cs="宋体"/>
          <w:bCs/>
          <w:snapToGrid w:val="0"/>
          <w:color w:val="auto"/>
          <w:spacing w:val="0"/>
          <w:sz w:val="28"/>
          <w:szCs w:val="28"/>
          <w:highlight w:val="none"/>
        </w:rPr>
        <w:t>年</w:t>
      </w:r>
      <w:r>
        <w:rPr>
          <w:rFonts w:hint="eastAsia" w:ascii="宋体" w:hAnsi="宋体" w:eastAsia="宋体" w:cs="宋体"/>
          <w:bCs/>
          <w:snapToGrid w:val="0"/>
          <w:color w:val="auto"/>
          <w:spacing w:val="0"/>
          <w:sz w:val="28"/>
          <w:szCs w:val="28"/>
          <w:highlight w:val="none"/>
          <w:u w:val="single"/>
        </w:rPr>
        <w:t xml:space="preserve">      </w:t>
      </w:r>
      <w:r>
        <w:rPr>
          <w:rFonts w:hint="eastAsia" w:ascii="宋体" w:hAnsi="宋体" w:eastAsia="宋体" w:cs="宋体"/>
          <w:bCs/>
          <w:snapToGrid w:val="0"/>
          <w:color w:val="auto"/>
          <w:spacing w:val="0"/>
          <w:sz w:val="28"/>
          <w:szCs w:val="28"/>
          <w:highlight w:val="none"/>
        </w:rPr>
        <w:t>月</w:t>
      </w:r>
      <w:r>
        <w:rPr>
          <w:rFonts w:hint="eastAsia" w:ascii="宋体" w:hAnsi="宋体" w:eastAsia="宋体" w:cs="宋体"/>
          <w:bCs/>
          <w:snapToGrid w:val="0"/>
          <w:color w:val="auto"/>
          <w:spacing w:val="0"/>
          <w:sz w:val="28"/>
          <w:szCs w:val="28"/>
          <w:highlight w:val="none"/>
          <w:u w:val="single"/>
        </w:rPr>
        <w:t xml:space="preserve">      </w:t>
      </w:r>
      <w:r>
        <w:rPr>
          <w:rFonts w:hint="eastAsia" w:ascii="宋体" w:hAnsi="宋体" w:eastAsia="宋体" w:cs="宋体"/>
          <w:bCs/>
          <w:snapToGrid w:val="0"/>
          <w:color w:val="auto"/>
          <w:spacing w:val="0"/>
          <w:sz w:val="28"/>
          <w:szCs w:val="28"/>
          <w:highlight w:val="none"/>
        </w:rPr>
        <w:t>日</w:t>
      </w:r>
    </w:p>
    <w:p w14:paraId="17519923">
      <w:pPr>
        <w:pStyle w:val="42"/>
        <w:ind w:left="0" w:leftChars="0" w:firstLine="0" w:firstLineChars="0"/>
        <w:rPr>
          <w:rStyle w:val="46"/>
          <w:rFonts w:hint="eastAsia" w:ascii="宋体" w:hAnsi="宋体" w:eastAsia="宋体" w:cs="宋体"/>
          <w:bCs/>
          <w:color w:val="auto"/>
          <w:kern w:val="2"/>
          <w:sz w:val="24"/>
          <w:szCs w:val="24"/>
          <w:highlight w:val="none"/>
        </w:rPr>
      </w:pPr>
      <w:r>
        <w:rPr>
          <w:rFonts w:hint="eastAsia" w:ascii="宋体" w:hAnsi="宋体" w:eastAsia="宋体" w:cs="宋体"/>
          <w:b/>
          <w:bCs/>
          <w:color w:val="auto"/>
          <w:spacing w:val="0"/>
          <w:sz w:val="24"/>
          <w:szCs w:val="24"/>
          <w:highlight w:val="none"/>
        </w:rPr>
        <w:br w:type="page"/>
      </w:r>
    </w:p>
    <w:p w14:paraId="09B15C70">
      <w:pPr>
        <w:pStyle w:val="48"/>
        <w:snapToGrid w:val="0"/>
        <w:spacing w:line="440" w:lineRule="exact"/>
        <w:outlineLvl w:val="1"/>
        <w:rPr>
          <w:rStyle w:val="23"/>
          <w:rFonts w:hint="eastAsia" w:ascii="Times New Roman" w:hAnsi="宋体" w:eastAsia="宋体" w:cs="Times New Roman"/>
          <w:b/>
          <w:bCs/>
          <w:color w:val="auto"/>
          <w:sz w:val="24"/>
          <w:szCs w:val="24"/>
          <w:highlight w:val="none"/>
          <w:lang w:val="en-US" w:eastAsia="zh-CN"/>
        </w:rPr>
      </w:pPr>
      <w:bookmarkStart w:id="275" w:name="_Toc26911"/>
      <w:bookmarkStart w:id="276" w:name="_Toc19184"/>
      <w:r>
        <w:rPr>
          <w:rStyle w:val="23"/>
          <w:rFonts w:hint="eastAsia" w:ascii="Times New Roman" w:hAnsi="宋体" w:eastAsia="宋体" w:cs="Times New Roman"/>
          <w:b/>
          <w:bCs/>
          <w:color w:val="auto"/>
          <w:sz w:val="24"/>
          <w:szCs w:val="24"/>
          <w:highlight w:val="none"/>
          <w:lang w:eastAsia="zh-CN"/>
        </w:rPr>
        <w:t>格式十</w:t>
      </w:r>
      <w:r>
        <w:rPr>
          <w:rStyle w:val="23"/>
          <w:rFonts w:hint="eastAsia" w:ascii="Times New Roman" w:hAnsi="宋体" w:cs="Times New Roman"/>
          <w:b/>
          <w:bCs/>
          <w:color w:val="auto"/>
          <w:sz w:val="24"/>
          <w:szCs w:val="24"/>
          <w:highlight w:val="none"/>
          <w:lang w:val="en-US" w:eastAsia="zh-CN"/>
        </w:rPr>
        <w:t xml:space="preserve">七  </w:t>
      </w:r>
      <w:r>
        <w:rPr>
          <w:rStyle w:val="23"/>
          <w:rFonts w:hint="eastAsia" w:ascii="Times New Roman" w:hAnsi="宋体" w:eastAsia="宋体" w:cs="Times New Roman"/>
          <w:b/>
          <w:bCs/>
          <w:color w:val="auto"/>
          <w:sz w:val="24"/>
          <w:szCs w:val="24"/>
          <w:highlight w:val="none"/>
          <w:lang w:val="en-US" w:eastAsia="zh-CN"/>
        </w:rPr>
        <w:t>定标因素评审资料</w:t>
      </w:r>
      <w:bookmarkEnd w:id="275"/>
      <w:bookmarkEnd w:id="276"/>
    </w:p>
    <w:p w14:paraId="1FBABC69">
      <w:pPr>
        <w:spacing w:line="50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szCs w:val="24"/>
          <w:highlight w:val="none"/>
          <w:lang w:eastAsia="zh-CN"/>
        </w:rPr>
      </w:pPr>
    </w:p>
    <w:p w14:paraId="53BC4F7B">
      <w:pPr>
        <w:pStyle w:val="42"/>
        <w:ind w:left="0" w:leftChars="0" w:firstLine="0" w:firstLineChars="0"/>
        <w:rPr>
          <w:rStyle w:val="46"/>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章 </w:t>
      </w:r>
      <w:r>
        <w:rPr>
          <w:rFonts w:hint="eastAsia" w:ascii="宋体" w:hAnsi="宋体" w:eastAsia="宋体" w:cs="宋体"/>
          <w:b/>
          <w:bCs/>
          <w:color w:val="auto"/>
          <w:sz w:val="24"/>
          <w:szCs w:val="24"/>
          <w:highlight w:val="none"/>
          <w:lang w:val="en-US" w:eastAsia="zh-CN"/>
        </w:rPr>
        <w:t>第三节 16.5”载明的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5B088A7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6523790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（4）企业实力</w:t>
      </w:r>
    </w:p>
    <w:p w14:paraId="726FFF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color w:val="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（5）技术方案</w:t>
      </w:r>
      <w:r>
        <w:rPr>
          <w:rFonts w:hint="eastAsia" w:ascii="宋体" w:hAnsi="宋体" w:eastAsia="宋体" w:cs="宋体"/>
          <w:b w:val="0"/>
          <w:bCs w:val="0"/>
          <w:color w:val="auto"/>
          <w:spacing w:val="0"/>
          <w:position w:val="0"/>
          <w:sz w:val="24"/>
          <w:szCs w:val="24"/>
          <w:highlight w:val="none"/>
          <w:u w:val="none" w:color="auto"/>
          <w:lang w:val="en-US" w:eastAsia="zh-CN"/>
        </w:rPr>
        <w:br w:type="textWrapping"/>
      </w:r>
      <w:r>
        <w:rPr>
          <w:rFonts w:hint="eastAsia" w:ascii="宋体" w:hAnsi="宋体" w:eastAsia="宋体" w:cs="宋体"/>
          <w:b w:val="0"/>
          <w:bCs w:val="0"/>
          <w:color w:val="auto"/>
          <w:spacing w:val="0"/>
          <w:position w:val="0"/>
          <w:sz w:val="24"/>
          <w:szCs w:val="24"/>
          <w:highlight w:val="none"/>
          <w:u w:val="none" w:color="auto"/>
          <w:lang w:val="en-US" w:eastAsia="zh-CN"/>
        </w:rPr>
        <w:t>（6）</w:t>
      </w:r>
      <w:r>
        <w:rPr>
          <w:rFonts w:hint="eastAsia" w:ascii="宋体" w:hAnsi="宋体" w:eastAsia="宋体" w:cs="宋体"/>
          <w:color w:val="auto"/>
          <w:spacing w:val="0"/>
          <w:sz w:val="24"/>
          <w:szCs w:val="24"/>
          <w:highlight w:val="none"/>
        </w:rPr>
        <w:t>投标人认为有必要补充的其他资料</w:t>
      </w:r>
    </w:p>
    <w:p w14:paraId="0C344B82">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66B89F2">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3C9DA96F">
      <w:pPr>
        <w:spacing w:before="78" w:line="219" w:lineRule="auto"/>
        <w:jc w:val="center"/>
        <w:outlineLvl w:val="1"/>
        <w:rPr>
          <w:rFonts w:hint="eastAsia" w:ascii="宋体" w:hAnsi="宋体" w:eastAsia="宋体" w:cs="宋体"/>
          <w:color w:val="auto"/>
          <w:sz w:val="24"/>
          <w:szCs w:val="24"/>
          <w:highlight w:val="none"/>
        </w:rPr>
      </w:pPr>
      <w:bookmarkStart w:id="277" w:name="_Toc2695"/>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7"/>
    </w:p>
    <w:p w14:paraId="179363DD">
      <w:pPr>
        <w:pStyle w:val="7"/>
        <w:spacing w:line="257" w:lineRule="auto"/>
        <w:rPr>
          <w:rFonts w:hint="eastAsia" w:ascii="宋体" w:hAnsi="宋体" w:eastAsia="宋体" w:cs="宋体"/>
          <w:color w:val="auto"/>
          <w:sz w:val="24"/>
          <w:szCs w:val="24"/>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sz w:val="24"/>
          <w:szCs w:val="24"/>
          <w:highlight w:val="none"/>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汉仪文黑-85W">
    <w:panose1 w:val="00020600040101010101"/>
    <w:charset w:val="86"/>
    <w:family w:val="roman"/>
    <w:pitch w:val="default"/>
    <w:sig w:usb0="A00002BF" w:usb1="1ACF7CFA" w:usb2="00000016" w:usb3="00000000" w:csb0="0004009F" w:csb1="DFD70000"/>
  </w:font>
  <w:font w:name="汉仪文黑-55简">
    <w:panose1 w:val="00020600040101010101"/>
    <w:charset w:val="86"/>
    <w:family w:val="roman"/>
    <w:pitch w:val="default"/>
    <w:sig w:usb0="A00002BF" w:usb1="1ACF7CFA" w:usb2="00000016" w:usb3="00000000" w:csb0="0004009F" w:csb1="DFD70000"/>
  </w:font>
  <w:font w:name="新宋体">
    <w:panose1 w:val="02010609030101010101"/>
    <w:charset w:val="86"/>
    <w:family w:val="auto"/>
    <w:pitch w:val="default"/>
    <w:sig w:usb0="00000203" w:usb1="288F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AA1BE">
    <w:pPr>
      <w:pStyle w:val="11"/>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62987E86">
                          <w:pPr>
                            <w:pStyle w:val="11"/>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62987E86">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11"/>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11"/>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11"/>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11"/>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11"/>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11"/>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11"/>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11"/>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11"/>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11"/>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11"/>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11"/>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11"/>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11"/>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11"/>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11"/>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11"/>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11"/>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11"/>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11"/>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11"/>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11"/>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11"/>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11"/>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11"/>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11"/>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11"/>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11"/>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11"/>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11"/>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11"/>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11"/>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11"/>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11"/>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11"/>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11"/>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11"/>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11"/>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11"/>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11"/>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11"/>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11"/>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11"/>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11"/>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11"/>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11"/>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11"/>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11"/>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11"/>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7"/>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7"/>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7"/>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7"/>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abstractNum w:abstractNumId="2">
    <w:nsid w:val="4D5CBB09"/>
    <w:multiLevelType w:val="singleLevel"/>
    <w:tmpl w:val="4D5CBB09"/>
    <w:lvl w:ilvl="0" w:tentative="0">
      <w:start w:val="5"/>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824069"/>
    <w:rsid w:val="00CF2DB5"/>
    <w:rsid w:val="00D61DC8"/>
    <w:rsid w:val="01276505"/>
    <w:rsid w:val="013F232E"/>
    <w:rsid w:val="014C6B51"/>
    <w:rsid w:val="017F4B76"/>
    <w:rsid w:val="018B7D8A"/>
    <w:rsid w:val="01B6213A"/>
    <w:rsid w:val="01BE1198"/>
    <w:rsid w:val="01E25ABE"/>
    <w:rsid w:val="01EE7C08"/>
    <w:rsid w:val="01F87F6E"/>
    <w:rsid w:val="01FD63CC"/>
    <w:rsid w:val="0211337B"/>
    <w:rsid w:val="02337D11"/>
    <w:rsid w:val="023B3D55"/>
    <w:rsid w:val="024F6BF1"/>
    <w:rsid w:val="0259511D"/>
    <w:rsid w:val="02BF0C55"/>
    <w:rsid w:val="02F13018"/>
    <w:rsid w:val="02F70D3E"/>
    <w:rsid w:val="031418F0"/>
    <w:rsid w:val="03381E96"/>
    <w:rsid w:val="0358304C"/>
    <w:rsid w:val="03661A20"/>
    <w:rsid w:val="039E06FB"/>
    <w:rsid w:val="03B3786A"/>
    <w:rsid w:val="03CE5509"/>
    <w:rsid w:val="03EA4120"/>
    <w:rsid w:val="04021749"/>
    <w:rsid w:val="0498252B"/>
    <w:rsid w:val="04B67F25"/>
    <w:rsid w:val="04BF763A"/>
    <w:rsid w:val="04CC1468"/>
    <w:rsid w:val="04DB521D"/>
    <w:rsid w:val="04E2157A"/>
    <w:rsid w:val="04EF43C3"/>
    <w:rsid w:val="05283FF6"/>
    <w:rsid w:val="055E6E53"/>
    <w:rsid w:val="056C5F91"/>
    <w:rsid w:val="05957D83"/>
    <w:rsid w:val="05BA2370"/>
    <w:rsid w:val="05D4768F"/>
    <w:rsid w:val="05E67124"/>
    <w:rsid w:val="05E732EC"/>
    <w:rsid w:val="05EC614B"/>
    <w:rsid w:val="05EF6449"/>
    <w:rsid w:val="062235DD"/>
    <w:rsid w:val="063C112F"/>
    <w:rsid w:val="06856661"/>
    <w:rsid w:val="069B537E"/>
    <w:rsid w:val="06C70A28"/>
    <w:rsid w:val="06C929F2"/>
    <w:rsid w:val="06CA23DC"/>
    <w:rsid w:val="06D05B2E"/>
    <w:rsid w:val="06DD024B"/>
    <w:rsid w:val="06F751F2"/>
    <w:rsid w:val="07001B9F"/>
    <w:rsid w:val="07133987"/>
    <w:rsid w:val="0732086A"/>
    <w:rsid w:val="07520C39"/>
    <w:rsid w:val="079871E4"/>
    <w:rsid w:val="07A1396F"/>
    <w:rsid w:val="07A71DAB"/>
    <w:rsid w:val="07DE24CD"/>
    <w:rsid w:val="08387501"/>
    <w:rsid w:val="086230FE"/>
    <w:rsid w:val="088C763C"/>
    <w:rsid w:val="08C51502"/>
    <w:rsid w:val="08CD7283"/>
    <w:rsid w:val="08E41D65"/>
    <w:rsid w:val="08EB6C4F"/>
    <w:rsid w:val="092D5890"/>
    <w:rsid w:val="093D3223"/>
    <w:rsid w:val="0963211F"/>
    <w:rsid w:val="099963DA"/>
    <w:rsid w:val="09C807D3"/>
    <w:rsid w:val="09F06AB0"/>
    <w:rsid w:val="09FA34EB"/>
    <w:rsid w:val="09FF4A68"/>
    <w:rsid w:val="0A0D52A7"/>
    <w:rsid w:val="0A207B39"/>
    <w:rsid w:val="0A62467A"/>
    <w:rsid w:val="0A740EC6"/>
    <w:rsid w:val="0A7D4664"/>
    <w:rsid w:val="0A87732E"/>
    <w:rsid w:val="0AC44356"/>
    <w:rsid w:val="0AD33307"/>
    <w:rsid w:val="0AE05E8C"/>
    <w:rsid w:val="0AE24082"/>
    <w:rsid w:val="0AF3628F"/>
    <w:rsid w:val="0B3866B7"/>
    <w:rsid w:val="0B9E41C6"/>
    <w:rsid w:val="0BC6217A"/>
    <w:rsid w:val="0BD240F7"/>
    <w:rsid w:val="0BE111FE"/>
    <w:rsid w:val="0C120997"/>
    <w:rsid w:val="0C2A7A8F"/>
    <w:rsid w:val="0C2B1A59"/>
    <w:rsid w:val="0C4153D2"/>
    <w:rsid w:val="0C49746F"/>
    <w:rsid w:val="0C597D15"/>
    <w:rsid w:val="0C923886"/>
    <w:rsid w:val="0CA07D76"/>
    <w:rsid w:val="0CA27F6D"/>
    <w:rsid w:val="0CF14A50"/>
    <w:rsid w:val="0D03679A"/>
    <w:rsid w:val="0D09390C"/>
    <w:rsid w:val="0D3B3F1D"/>
    <w:rsid w:val="0DB20BAC"/>
    <w:rsid w:val="0DCB0DFD"/>
    <w:rsid w:val="0DCE22AF"/>
    <w:rsid w:val="0DF525DE"/>
    <w:rsid w:val="0DF61CE0"/>
    <w:rsid w:val="0DF86616"/>
    <w:rsid w:val="0E1E1875"/>
    <w:rsid w:val="0E460DCC"/>
    <w:rsid w:val="0E6059EA"/>
    <w:rsid w:val="0E684952"/>
    <w:rsid w:val="0E86353F"/>
    <w:rsid w:val="0E8E37ED"/>
    <w:rsid w:val="0EAF2E14"/>
    <w:rsid w:val="0EDB59B8"/>
    <w:rsid w:val="0EF56A7A"/>
    <w:rsid w:val="0F1C2D99"/>
    <w:rsid w:val="0F6F04DC"/>
    <w:rsid w:val="0FA25CB6"/>
    <w:rsid w:val="0FFC5BE6"/>
    <w:rsid w:val="105858FC"/>
    <w:rsid w:val="106C3AC2"/>
    <w:rsid w:val="108403E2"/>
    <w:rsid w:val="109275A9"/>
    <w:rsid w:val="10BB5D56"/>
    <w:rsid w:val="10C15734"/>
    <w:rsid w:val="10C44237"/>
    <w:rsid w:val="1122342A"/>
    <w:rsid w:val="11533574"/>
    <w:rsid w:val="11785740"/>
    <w:rsid w:val="117A3266"/>
    <w:rsid w:val="11862732"/>
    <w:rsid w:val="118F278E"/>
    <w:rsid w:val="119D4F21"/>
    <w:rsid w:val="11A47985"/>
    <w:rsid w:val="11A972FB"/>
    <w:rsid w:val="11C67A56"/>
    <w:rsid w:val="11D80D88"/>
    <w:rsid w:val="12193AAE"/>
    <w:rsid w:val="123327ED"/>
    <w:rsid w:val="123A47A4"/>
    <w:rsid w:val="12474DCB"/>
    <w:rsid w:val="12527641"/>
    <w:rsid w:val="126805E3"/>
    <w:rsid w:val="12864BB8"/>
    <w:rsid w:val="12AE1F92"/>
    <w:rsid w:val="12B13204"/>
    <w:rsid w:val="12B5508D"/>
    <w:rsid w:val="12E12E71"/>
    <w:rsid w:val="12E7492B"/>
    <w:rsid w:val="12E74FC1"/>
    <w:rsid w:val="12F27F6E"/>
    <w:rsid w:val="130762C7"/>
    <w:rsid w:val="13103CCD"/>
    <w:rsid w:val="1321351C"/>
    <w:rsid w:val="13983A8B"/>
    <w:rsid w:val="13AB23D5"/>
    <w:rsid w:val="13B056F5"/>
    <w:rsid w:val="13B67F82"/>
    <w:rsid w:val="13F52DC3"/>
    <w:rsid w:val="14141B79"/>
    <w:rsid w:val="1457788F"/>
    <w:rsid w:val="14760C96"/>
    <w:rsid w:val="14882C02"/>
    <w:rsid w:val="14D013EF"/>
    <w:rsid w:val="150D2643"/>
    <w:rsid w:val="15115C90"/>
    <w:rsid w:val="1549138D"/>
    <w:rsid w:val="15763D45"/>
    <w:rsid w:val="157C4041"/>
    <w:rsid w:val="15853F88"/>
    <w:rsid w:val="159C1804"/>
    <w:rsid w:val="15A45AE5"/>
    <w:rsid w:val="15D97B34"/>
    <w:rsid w:val="15DC13FE"/>
    <w:rsid w:val="15E038B4"/>
    <w:rsid w:val="15E06243"/>
    <w:rsid w:val="15F101FE"/>
    <w:rsid w:val="16005D04"/>
    <w:rsid w:val="160E0085"/>
    <w:rsid w:val="162E6E4D"/>
    <w:rsid w:val="16443E43"/>
    <w:rsid w:val="1648769E"/>
    <w:rsid w:val="16737FC1"/>
    <w:rsid w:val="167F187B"/>
    <w:rsid w:val="16C17241"/>
    <w:rsid w:val="16CB4A2F"/>
    <w:rsid w:val="16E82A20"/>
    <w:rsid w:val="170715A7"/>
    <w:rsid w:val="1722468F"/>
    <w:rsid w:val="172307AC"/>
    <w:rsid w:val="173C4B1A"/>
    <w:rsid w:val="17726DD2"/>
    <w:rsid w:val="17AC2FCB"/>
    <w:rsid w:val="17C03215"/>
    <w:rsid w:val="17C50FB3"/>
    <w:rsid w:val="17E36B12"/>
    <w:rsid w:val="18226406"/>
    <w:rsid w:val="182A472E"/>
    <w:rsid w:val="18602A8A"/>
    <w:rsid w:val="188D7D23"/>
    <w:rsid w:val="18D21BDA"/>
    <w:rsid w:val="19085152"/>
    <w:rsid w:val="190B3062"/>
    <w:rsid w:val="195304AF"/>
    <w:rsid w:val="1963464B"/>
    <w:rsid w:val="19655F14"/>
    <w:rsid w:val="197764F6"/>
    <w:rsid w:val="19A678DF"/>
    <w:rsid w:val="19B020E2"/>
    <w:rsid w:val="19BC1F42"/>
    <w:rsid w:val="1A3A6836"/>
    <w:rsid w:val="1A4239CB"/>
    <w:rsid w:val="1A584D7E"/>
    <w:rsid w:val="1A5B5BFF"/>
    <w:rsid w:val="1A5D1977"/>
    <w:rsid w:val="1A9B5FFB"/>
    <w:rsid w:val="1AC50DC4"/>
    <w:rsid w:val="1AE06EAA"/>
    <w:rsid w:val="1AE57555"/>
    <w:rsid w:val="1B0A266C"/>
    <w:rsid w:val="1B0D2C3A"/>
    <w:rsid w:val="1B1D197F"/>
    <w:rsid w:val="1B656D35"/>
    <w:rsid w:val="1B6A170F"/>
    <w:rsid w:val="1B745FC1"/>
    <w:rsid w:val="1BEC4D61"/>
    <w:rsid w:val="1BFC62CE"/>
    <w:rsid w:val="1C2A3ADB"/>
    <w:rsid w:val="1C310320"/>
    <w:rsid w:val="1C324211"/>
    <w:rsid w:val="1C512E14"/>
    <w:rsid w:val="1C7F3E27"/>
    <w:rsid w:val="1C8E27E9"/>
    <w:rsid w:val="1CDA2E0B"/>
    <w:rsid w:val="1D236B95"/>
    <w:rsid w:val="1D880AB9"/>
    <w:rsid w:val="1D93754C"/>
    <w:rsid w:val="1DA15D96"/>
    <w:rsid w:val="1DA27862"/>
    <w:rsid w:val="1DD261D8"/>
    <w:rsid w:val="1DD62095"/>
    <w:rsid w:val="1DE025D6"/>
    <w:rsid w:val="1DE11B57"/>
    <w:rsid w:val="1E206F43"/>
    <w:rsid w:val="1E2123A4"/>
    <w:rsid w:val="1E3B5B2B"/>
    <w:rsid w:val="1E491296"/>
    <w:rsid w:val="1E4F7829"/>
    <w:rsid w:val="1E5D49E3"/>
    <w:rsid w:val="1E717268"/>
    <w:rsid w:val="1E994221"/>
    <w:rsid w:val="1EB76173"/>
    <w:rsid w:val="1EDA5344"/>
    <w:rsid w:val="1EDC14A1"/>
    <w:rsid w:val="1EE13915"/>
    <w:rsid w:val="1EE461C3"/>
    <w:rsid w:val="1F0F5F44"/>
    <w:rsid w:val="1F487665"/>
    <w:rsid w:val="1F683A66"/>
    <w:rsid w:val="1F875754"/>
    <w:rsid w:val="1FCA08AE"/>
    <w:rsid w:val="1FFE32B4"/>
    <w:rsid w:val="20014B53"/>
    <w:rsid w:val="2020237A"/>
    <w:rsid w:val="20315438"/>
    <w:rsid w:val="20515ADA"/>
    <w:rsid w:val="20801F1B"/>
    <w:rsid w:val="208A4B48"/>
    <w:rsid w:val="209669C5"/>
    <w:rsid w:val="20B16579"/>
    <w:rsid w:val="20C37337"/>
    <w:rsid w:val="20CB1F07"/>
    <w:rsid w:val="20F6072B"/>
    <w:rsid w:val="21090925"/>
    <w:rsid w:val="21244F9D"/>
    <w:rsid w:val="213D3171"/>
    <w:rsid w:val="21A32829"/>
    <w:rsid w:val="21F67A74"/>
    <w:rsid w:val="221A1EFC"/>
    <w:rsid w:val="222C2B90"/>
    <w:rsid w:val="22457E73"/>
    <w:rsid w:val="22625D4A"/>
    <w:rsid w:val="226E732D"/>
    <w:rsid w:val="22737F8A"/>
    <w:rsid w:val="22837AA1"/>
    <w:rsid w:val="22884FD6"/>
    <w:rsid w:val="22BE79BA"/>
    <w:rsid w:val="22F866E1"/>
    <w:rsid w:val="23213C5D"/>
    <w:rsid w:val="232C2DD6"/>
    <w:rsid w:val="2331574F"/>
    <w:rsid w:val="233953DA"/>
    <w:rsid w:val="23597F78"/>
    <w:rsid w:val="235B72E4"/>
    <w:rsid w:val="23931F66"/>
    <w:rsid w:val="23C465C3"/>
    <w:rsid w:val="23D51AEA"/>
    <w:rsid w:val="24202B07"/>
    <w:rsid w:val="242036FE"/>
    <w:rsid w:val="24262DDA"/>
    <w:rsid w:val="2446643F"/>
    <w:rsid w:val="24543BAD"/>
    <w:rsid w:val="246102B6"/>
    <w:rsid w:val="24782AD4"/>
    <w:rsid w:val="248726E0"/>
    <w:rsid w:val="249C3951"/>
    <w:rsid w:val="24A91BF1"/>
    <w:rsid w:val="24BB4180"/>
    <w:rsid w:val="24CA7AEB"/>
    <w:rsid w:val="24DB3BC4"/>
    <w:rsid w:val="24EA3E07"/>
    <w:rsid w:val="24FA6740"/>
    <w:rsid w:val="25004979"/>
    <w:rsid w:val="25081594"/>
    <w:rsid w:val="25243F0A"/>
    <w:rsid w:val="253A7C36"/>
    <w:rsid w:val="2542651B"/>
    <w:rsid w:val="254C2D14"/>
    <w:rsid w:val="256D06AE"/>
    <w:rsid w:val="2582242A"/>
    <w:rsid w:val="259D2ECD"/>
    <w:rsid w:val="25A55F80"/>
    <w:rsid w:val="25B20381"/>
    <w:rsid w:val="25E62821"/>
    <w:rsid w:val="25F25669"/>
    <w:rsid w:val="260B04D9"/>
    <w:rsid w:val="262E3697"/>
    <w:rsid w:val="264763B7"/>
    <w:rsid w:val="2672726E"/>
    <w:rsid w:val="26734FA1"/>
    <w:rsid w:val="26881A92"/>
    <w:rsid w:val="268B2A3A"/>
    <w:rsid w:val="268B3DAD"/>
    <w:rsid w:val="269203CC"/>
    <w:rsid w:val="26962499"/>
    <w:rsid w:val="26A61FB0"/>
    <w:rsid w:val="26B8127A"/>
    <w:rsid w:val="27035E88"/>
    <w:rsid w:val="271B6840"/>
    <w:rsid w:val="27415C62"/>
    <w:rsid w:val="27B65EBB"/>
    <w:rsid w:val="27CA47C6"/>
    <w:rsid w:val="282B4E63"/>
    <w:rsid w:val="284A6C2C"/>
    <w:rsid w:val="284E23A8"/>
    <w:rsid w:val="28884FF7"/>
    <w:rsid w:val="289F315B"/>
    <w:rsid w:val="28BC1F5F"/>
    <w:rsid w:val="28C54D4C"/>
    <w:rsid w:val="28D472A8"/>
    <w:rsid w:val="28F33BD2"/>
    <w:rsid w:val="29017971"/>
    <w:rsid w:val="290F389D"/>
    <w:rsid w:val="291A2D3A"/>
    <w:rsid w:val="295A0076"/>
    <w:rsid w:val="2962542C"/>
    <w:rsid w:val="299E36C0"/>
    <w:rsid w:val="29BA649E"/>
    <w:rsid w:val="29BF49A7"/>
    <w:rsid w:val="29FF74B2"/>
    <w:rsid w:val="2A8A47E8"/>
    <w:rsid w:val="2B367172"/>
    <w:rsid w:val="2B515F69"/>
    <w:rsid w:val="2B6A7A50"/>
    <w:rsid w:val="2B7314CC"/>
    <w:rsid w:val="2B784A6E"/>
    <w:rsid w:val="2B822512"/>
    <w:rsid w:val="2B9A7B07"/>
    <w:rsid w:val="2BA07916"/>
    <w:rsid w:val="2BAE2033"/>
    <w:rsid w:val="2BB37649"/>
    <w:rsid w:val="2BC9037C"/>
    <w:rsid w:val="2BD60A7B"/>
    <w:rsid w:val="2BF0168B"/>
    <w:rsid w:val="2BFD3113"/>
    <w:rsid w:val="2C0003B4"/>
    <w:rsid w:val="2C1005F7"/>
    <w:rsid w:val="2C15160E"/>
    <w:rsid w:val="2C44430E"/>
    <w:rsid w:val="2C4F172C"/>
    <w:rsid w:val="2C7617B4"/>
    <w:rsid w:val="2C82701B"/>
    <w:rsid w:val="2C9C00DD"/>
    <w:rsid w:val="2CA156F3"/>
    <w:rsid w:val="2CC743DB"/>
    <w:rsid w:val="2CE50B29"/>
    <w:rsid w:val="2D182CE9"/>
    <w:rsid w:val="2D906B09"/>
    <w:rsid w:val="2D9C5EBB"/>
    <w:rsid w:val="2DD973AC"/>
    <w:rsid w:val="2DF22905"/>
    <w:rsid w:val="2DFB1659"/>
    <w:rsid w:val="2E0221C2"/>
    <w:rsid w:val="2E383EF0"/>
    <w:rsid w:val="2E611B70"/>
    <w:rsid w:val="2E9A689E"/>
    <w:rsid w:val="2EC017C5"/>
    <w:rsid w:val="2ECB6A58"/>
    <w:rsid w:val="2EDD4BB1"/>
    <w:rsid w:val="2F01185F"/>
    <w:rsid w:val="2F2729AC"/>
    <w:rsid w:val="2F3C0F4C"/>
    <w:rsid w:val="2F5533EC"/>
    <w:rsid w:val="2F65388B"/>
    <w:rsid w:val="2F725125"/>
    <w:rsid w:val="2FB82F9F"/>
    <w:rsid w:val="2FC41646"/>
    <w:rsid w:val="2FD469A7"/>
    <w:rsid w:val="2FE418AC"/>
    <w:rsid w:val="2FE5383E"/>
    <w:rsid w:val="2FEA4C7F"/>
    <w:rsid w:val="30330D58"/>
    <w:rsid w:val="3037089D"/>
    <w:rsid w:val="30AD6A75"/>
    <w:rsid w:val="30EA3353"/>
    <w:rsid w:val="31013C49"/>
    <w:rsid w:val="311631F9"/>
    <w:rsid w:val="312319EF"/>
    <w:rsid w:val="313C778B"/>
    <w:rsid w:val="318F6462"/>
    <w:rsid w:val="31915AE2"/>
    <w:rsid w:val="31A00FB3"/>
    <w:rsid w:val="31CA1FC0"/>
    <w:rsid w:val="321A2D0F"/>
    <w:rsid w:val="32382656"/>
    <w:rsid w:val="324D664C"/>
    <w:rsid w:val="3267118D"/>
    <w:rsid w:val="32870EE7"/>
    <w:rsid w:val="32BE6EB2"/>
    <w:rsid w:val="32C7154E"/>
    <w:rsid w:val="33154F2C"/>
    <w:rsid w:val="33156D5E"/>
    <w:rsid w:val="3317207A"/>
    <w:rsid w:val="331A6B7B"/>
    <w:rsid w:val="331F2052"/>
    <w:rsid w:val="333554DB"/>
    <w:rsid w:val="33396D39"/>
    <w:rsid w:val="33580591"/>
    <w:rsid w:val="33643EF5"/>
    <w:rsid w:val="33697045"/>
    <w:rsid w:val="33D80BF4"/>
    <w:rsid w:val="33F77F81"/>
    <w:rsid w:val="34254482"/>
    <w:rsid w:val="346F257B"/>
    <w:rsid w:val="348C4EDB"/>
    <w:rsid w:val="348F605A"/>
    <w:rsid w:val="349A2B99"/>
    <w:rsid w:val="34BD7B2B"/>
    <w:rsid w:val="34E716B6"/>
    <w:rsid w:val="3505113E"/>
    <w:rsid w:val="350915E0"/>
    <w:rsid w:val="350A5649"/>
    <w:rsid w:val="35233259"/>
    <w:rsid w:val="35357321"/>
    <w:rsid w:val="355115AF"/>
    <w:rsid w:val="355B0CAC"/>
    <w:rsid w:val="359F2BE0"/>
    <w:rsid w:val="35A3428A"/>
    <w:rsid w:val="35AE6CC5"/>
    <w:rsid w:val="35B7228F"/>
    <w:rsid w:val="35B74825"/>
    <w:rsid w:val="35BB05B2"/>
    <w:rsid w:val="35CE1A27"/>
    <w:rsid w:val="35F13684"/>
    <w:rsid w:val="35FC399A"/>
    <w:rsid w:val="36203543"/>
    <w:rsid w:val="362A675A"/>
    <w:rsid w:val="3639266A"/>
    <w:rsid w:val="366134F4"/>
    <w:rsid w:val="366D6646"/>
    <w:rsid w:val="367C2AF7"/>
    <w:rsid w:val="36B60605"/>
    <w:rsid w:val="36DB3EF8"/>
    <w:rsid w:val="36DB7A54"/>
    <w:rsid w:val="36EC39E0"/>
    <w:rsid w:val="37321FCA"/>
    <w:rsid w:val="3737440E"/>
    <w:rsid w:val="37647A49"/>
    <w:rsid w:val="37704A11"/>
    <w:rsid w:val="37C45ACE"/>
    <w:rsid w:val="37DF2D89"/>
    <w:rsid w:val="37E335F2"/>
    <w:rsid w:val="37F37551"/>
    <w:rsid w:val="3835053A"/>
    <w:rsid w:val="386B727B"/>
    <w:rsid w:val="3885261D"/>
    <w:rsid w:val="38BE1535"/>
    <w:rsid w:val="39194863"/>
    <w:rsid w:val="391D7376"/>
    <w:rsid w:val="39403E21"/>
    <w:rsid w:val="394A4DFF"/>
    <w:rsid w:val="397A7B42"/>
    <w:rsid w:val="399A1E48"/>
    <w:rsid w:val="39B4157B"/>
    <w:rsid w:val="39D55A01"/>
    <w:rsid w:val="39F160FB"/>
    <w:rsid w:val="3A036B53"/>
    <w:rsid w:val="3A104D75"/>
    <w:rsid w:val="3A287454"/>
    <w:rsid w:val="3A4C2C68"/>
    <w:rsid w:val="3A4D1A2B"/>
    <w:rsid w:val="3A5E69D2"/>
    <w:rsid w:val="3B2C2F74"/>
    <w:rsid w:val="3B3415C4"/>
    <w:rsid w:val="3B345984"/>
    <w:rsid w:val="3B351E28"/>
    <w:rsid w:val="3B37030B"/>
    <w:rsid w:val="3B4F53C1"/>
    <w:rsid w:val="3B582BBE"/>
    <w:rsid w:val="3B626996"/>
    <w:rsid w:val="3B6C6BA3"/>
    <w:rsid w:val="3B712735"/>
    <w:rsid w:val="3B78218B"/>
    <w:rsid w:val="3B950C0D"/>
    <w:rsid w:val="3BAE3989"/>
    <w:rsid w:val="3BAE7642"/>
    <w:rsid w:val="3BB15227"/>
    <w:rsid w:val="3BF02721"/>
    <w:rsid w:val="3BFA0A8A"/>
    <w:rsid w:val="3BFD7152"/>
    <w:rsid w:val="3C242530"/>
    <w:rsid w:val="3C4165AB"/>
    <w:rsid w:val="3CCA02B2"/>
    <w:rsid w:val="3CD613E9"/>
    <w:rsid w:val="3CDC4526"/>
    <w:rsid w:val="3CE62383"/>
    <w:rsid w:val="3CEC7A2A"/>
    <w:rsid w:val="3D0433A8"/>
    <w:rsid w:val="3D0F69B6"/>
    <w:rsid w:val="3D2959BD"/>
    <w:rsid w:val="3D3219D3"/>
    <w:rsid w:val="3D3474F8"/>
    <w:rsid w:val="3D8A1858"/>
    <w:rsid w:val="3D8B7D64"/>
    <w:rsid w:val="3DCE35B6"/>
    <w:rsid w:val="3DD136B5"/>
    <w:rsid w:val="3DD5344F"/>
    <w:rsid w:val="3DDF0D5F"/>
    <w:rsid w:val="3DE975AE"/>
    <w:rsid w:val="3E0F3EB7"/>
    <w:rsid w:val="3E1D6BA4"/>
    <w:rsid w:val="3E2609B2"/>
    <w:rsid w:val="3E76426F"/>
    <w:rsid w:val="3E7F6463"/>
    <w:rsid w:val="3E962D65"/>
    <w:rsid w:val="3E9C0739"/>
    <w:rsid w:val="3EBF7269"/>
    <w:rsid w:val="3EC314F9"/>
    <w:rsid w:val="3ECB4852"/>
    <w:rsid w:val="3EEB0292"/>
    <w:rsid w:val="3EF27E23"/>
    <w:rsid w:val="3EF70741"/>
    <w:rsid w:val="3EFF7B8D"/>
    <w:rsid w:val="3F1439EF"/>
    <w:rsid w:val="3F23797C"/>
    <w:rsid w:val="3F281B00"/>
    <w:rsid w:val="3F6A7BC7"/>
    <w:rsid w:val="3F930BE9"/>
    <w:rsid w:val="3F952DC8"/>
    <w:rsid w:val="3FE15005"/>
    <w:rsid w:val="3FE77469"/>
    <w:rsid w:val="400E2C48"/>
    <w:rsid w:val="400E2FA7"/>
    <w:rsid w:val="402B7BE4"/>
    <w:rsid w:val="40A84813"/>
    <w:rsid w:val="40C559FD"/>
    <w:rsid w:val="40D1560F"/>
    <w:rsid w:val="40ED6D01"/>
    <w:rsid w:val="41216845"/>
    <w:rsid w:val="412C5A7C"/>
    <w:rsid w:val="413A36FE"/>
    <w:rsid w:val="416C231C"/>
    <w:rsid w:val="420C570C"/>
    <w:rsid w:val="4212077B"/>
    <w:rsid w:val="4213220D"/>
    <w:rsid w:val="4235270E"/>
    <w:rsid w:val="423F17DF"/>
    <w:rsid w:val="42461BF0"/>
    <w:rsid w:val="424C7A58"/>
    <w:rsid w:val="427179B7"/>
    <w:rsid w:val="428D039F"/>
    <w:rsid w:val="429E2362"/>
    <w:rsid w:val="42B9333F"/>
    <w:rsid w:val="42FC0E58"/>
    <w:rsid w:val="43077F25"/>
    <w:rsid w:val="4310792B"/>
    <w:rsid w:val="434C3C97"/>
    <w:rsid w:val="43621354"/>
    <w:rsid w:val="436D5ED7"/>
    <w:rsid w:val="437454B8"/>
    <w:rsid w:val="43947908"/>
    <w:rsid w:val="43A85A7D"/>
    <w:rsid w:val="43AA0EDA"/>
    <w:rsid w:val="43BE55FA"/>
    <w:rsid w:val="43D25E53"/>
    <w:rsid w:val="43E25FC1"/>
    <w:rsid w:val="440138A0"/>
    <w:rsid w:val="4418159E"/>
    <w:rsid w:val="44246EDE"/>
    <w:rsid w:val="44692B43"/>
    <w:rsid w:val="447C65C0"/>
    <w:rsid w:val="448742A8"/>
    <w:rsid w:val="44983428"/>
    <w:rsid w:val="44C47D79"/>
    <w:rsid w:val="451A208F"/>
    <w:rsid w:val="45433394"/>
    <w:rsid w:val="45877724"/>
    <w:rsid w:val="458A0FC3"/>
    <w:rsid w:val="458D2861"/>
    <w:rsid w:val="459A360D"/>
    <w:rsid w:val="45BB3260"/>
    <w:rsid w:val="45D43529"/>
    <w:rsid w:val="46092999"/>
    <w:rsid w:val="4612476D"/>
    <w:rsid w:val="463B44DD"/>
    <w:rsid w:val="46555360"/>
    <w:rsid w:val="468F5CB4"/>
    <w:rsid w:val="46957C1F"/>
    <w:rsid w:val="46A5054B"/>
    <w:rsid w:val="46C027C2"/>
    <w:rsid w:val="47306C0D"/>
    <w:rsid w:val="4743767B"/>
    <w:rsid w:val="474820C5"/>
    <w:rsid w:val="475B13E7"/>
    <w:rsid w:val="47777325"/>
    <w:rsid w:val="47BA6510"/>
    <w:rsid w:val="47BE21C9"/>
    <w:rsid w:val="47DD7AD0"/>
    <w:rsid w:val="47E70FBB"/>
    <w:rsid w:val="48187874"/>
    <w:rsid w:val="481D611E"/>
    <w:rsid w:val="48221986"/>
    <w:rsid w:val="48767607"/>
    <w:rsid w:val="48B545A9"/>
    <w:rsid w:val="48BF2D31"/>
    <w:rsid w:val="48D34790"/>
    <w:rsid w:val="48ED18F0"/>
    <w:rsid w:val="48F826E7"/>
    <w:rsid w:val="4929464F"/>
    <w:rsid w:val="494C6C0E"/>
    <w:rsid w:val="4955379A"/>
    <w:rsid w:val="498C348F"/>
    <w:rsid w:val="49C34AA3"/>
    <w:rsid w:val="49DA3B9B"/>
    <w:rsid w:val="49DA528B"/>
    <w:rsid w:val="49FA4012"/>
    <w:rsid w:val="49FA5FEB"/>
    <w:rsid w:val="4A474C35"/>
    <w:rsid w:val="4A4E3204"/>
    <w:rsid w:val="4A4F4589"/>
    <w:rsid w:val="4A5573E4"/>
    <w:rsid w:val="4A62606A"/>
    <w:rsid w:val="4A712751"/>
    <w:rsid w:val="4A766B14"/>
    <w:rsid w:val="4A7B17CD"/>
    <w:rsid w:val="4AFB0D11"/>
    <w:rsid w:val="4AFB4D35"/>
    <w:rsid w:val="4B380D6F"/>
    <w:rsid w:val="4B3A1029"/>
    <w:rsid w:val="4B3B62EA"/>
    <w:rsid w:val="4B555BCF"/>
    <w:rsid w:val="4B6E0A3F"/>
    <w:rsid w:val="4B771FE9"/>
    <w:rsid w:val="4BAC77AF"/>
    <w:rsid w:val="4BBC29D4"/>
    <w:rsid w:val="4BD75B37"/>
    <w:rsid w:val="4C0F30D2"/>
    <w:rsid w:val="4C12246B"/>
    <w:rsid w:val="4C443C2D"/>
    <w:rsid w:val="4C4B0D80"/>
    <w:rsid w:val="4C560DCF"/>
    <w:rsid w:val="4C723258"/>
    <w:rsid w:val="4C970815"/>
    <w:rsid w:val="4CB608EF"/>
    <w:rsid w:val="4D0E072B"/>
    <w:rsid w:val="4D0F1621"/>
    <w:rsid w:val="4D24354A"/>
    <w:rsid w:val="4D4E6D7A"/>
    <w:rsid w:val="4D9A1FBF"/>
    <w:rsid w:val="4DCE1F8B"/>
    <w:rsid w:val="4DE43EB2"/>
    <w:rsid w:val="4DF94F37"/>
    <w:rsid w:val="4E0D2791"/>
    <w:rsid w:val="4E2A6045"/>
    <w:rsid w:val="4E437F61"/>
    <w:rsid w:val="4E4E19C6"/>
    <w:rsid w:val="4E9B5BDD"/>
    <w:rsid w:val="4EAC1FAA"/>
    <w:rsid w:val="4EB40E5E"/>
    <w:rsid w:val="4F1A33B7"/>
    <w:rsid w:val="4F411EB6"/>
    <w:rsid w:val="4F5222C9"/>
    <w:rsid w:val="4F582EF7"/>
    <w:rsid w:val="4F590025"/>
    <w:rsid w:val="4F783091"/>
    <w:rsid w:val="4FBA24A4"/>
    <w:rsid w:val="4FBB7FCB"/>
    <w:rsid w:val="4FCE5763"/>
    <w:rsid w:val="50100316"/>
    <w:rsid w:val="502A41CA"/>
    <w:rsid w:val="50983373"/>
    <w:rsid w:val="50AB5953"/>
    <w:rsid w:val="50D60C20"/>
    <w:rsid w:val="51183927"/>
    <w:rsid w:val="5135755A"/>
    <w:rsid w:val="51574F11"/>
    <w:rsid w:val="515E1CD8"/>
    <w:rsid w:val="517B73AD"/>
    <w:rsid w:val="518A5306"/>
    <w:rsid w:val="51983548"/>
    <w:rsid w:val="51AB3D3B"/>
    <w:rsid w:val="51D04201"/>
    <w:rsid w:val="51DA0BDC"/>
    <w:rsid w:val="51DA2C93"/>
    <w:rsid w:val="51DC4954"/>
    <w:rsid w:val="521A27DD"/>
    <w:rsid w:val="52534816"/>
    <w:rsid w:val="52634928"/>
    <w:rsid w:val="52A0414F"/>
    <w:rsid w:val="52BA453D"/>
    <w:rsid w:val="52EE07D9"/>
    <w:rsid w:val="53135385"/>
    <w:rsid w:val="53277999"/>
    <w:rsid w:val="532E3370"/>
    <w:rsid w:val="53892DEA"/>
    <w:rsid w:val="539574B0"/>
    <w:rsid w:val="53987EBC"/>
    <w:rsid w:val="53A35FB7"/>
    <w:rsid w:val="53D9253A"/>
    <w:rsid w:val="53E24E44"/>
    <w:rsid w:val="53F94527"/>
    <w:rsid w:val="54014B46"/>
    <w:rsid w:val="540B30E4"/>
    <w:rsid w:val="54201C02"/>
    <w:rsid w:val="544111C2"/>
    <w:rsid w:val="5472334E"/>
    <w:rsid w:val="54796F11"/>
    <w:rsid w:val="54A656ED"/>
    <w:rsid w:val="54CF1DCD"/>
    <w:rsid w:val="54DB5397"/>
    <w:rsid w:val="54EE0005"/>
    <w:rsid w:val="550348EE"/>
    <w:rsid w:val="550C60C7"/>
    <w:rsid w:val="55494DBC"/>
    <w:rsid w:val="5563097D"/>
    <w:rsid w:val="556F4EE2"/>
    <w:rsid w:val="55A51501"/>
    <w:rsid w:val="55D21BD3"/>
    <w:rsid w:val="55F52AB7"/>
    <w:rsid w:val="56312D95"/>
    <w:rsid w:val="564725B8"/>
    <w:rsid w:val="56652099"/>
    <w:rsid w:val="56680EAC"/>
    <w:rsid w:val="567C3D09"/>
    <w:rsid w:val="56843C9F"/>
    <w:rsid w:val="569B3338"/>
    <w:rsid w:val="56A46B79"/>
    <w:rsid w:val="56CB143B"/>
    <w:rsid w:val="56F5281F"/>
    <w:rsid w:val="573E766F"/>
    <w:rsid w:val="5765355C"/>
    <w:rsid w:val="57690BD0"/>
    <w:rsid w:val="576F0018"/>
    <w:rsid w:val="57C15E41"/>
    <w:rsid w:val="57C168D6"/>
    <w:rsid w:val="57CA1153"/>
    <w:rsid w:val="57E46E53"/>
    <w:rsid w:val="580118E9"/>
    <w:rsid w:val="580E253F"/>
    <w:rsid w:val="58254B7B"/>
    <w:rsid w:val="582E5599"/>
    <w:rsid w:val="58431353"/>
    <w:rsid w:val="584A495B"/>
    <w:rsid w:val="58591E7F"/>
    <w:rsid w:val="5892758E"/>
    <w:rsid w:val="58947716"/>
    <w:rsid w:val="58A65CBC"/>
    <w:rsid w:val="58B66C06"/>
    <w:rsid w:val="58BA3E89"/>
    <w:rsid w:val="58C779E0"/>
    <w:rsid w:val="59091DA7"/>
    <w:rsid w:val="5909228A"/>
    <w:rsid w:val="59154BEF"/>
    <w:rsid w:val="592C4CFD"/>
    <w:rsid w:val="5972458C"/>
    <w:rsid w:val="59C42289"/>
    <w:rsid w:val="59CA7788"/>
    <w:rsid w:val="59F07855"/>
    <w:rsid w:val="5A02119F"/>
    <w:rsid w:val="5A1B6236"/>
    <w:rsid w:val="5A2E712E"/>
    <w:rsid w:val="5A2F2D66"/>
    <w:rsid w:val="5A6D6164"/>
    <w:rsid w:val="5A86004F"/>
    <w:rsid w:val="5A8938AD"/>
    <w:rsid w:val="5AAE69DB"/>
    <w:rsid w:val="5AD3165D"/>
    <w:rsid w:val="5AF0582F"/>
    <w:rsid w:val="5AF947C9"/>
    <w:rsid w:val="5B1B6AA6"/>
    <w:rsid w:val="5B224E28"/>
    <w:rsid w:val="5B7C5EDA"/>
    <w:rsid w:val="5B7D7A78"/>
    <w:rsid w:val="5BAF7B56"/>
    <w:rsid w:val="5BD91F04"/>
    <w:rsid w:val="5BDB5C7C"/>
    <w:rsid w:val="5BF56BCA"/>
    <w:rsid w:val="5BF611E3"/>
    <w:rsid w:val="5C0E6052"/>
    <w:rsid w:val="5C1B185C"/>
    <w:rsid w:val="5C313AEE"/>
    <w:rsid w:val="5C4F59BD"/>
    <w:rsid w:val="5C86208C"/>
    <w:rsid w:val="5CA765BE"/>
    <w:rsid w:val="5CAC7619"/>
    <w:rsid w:val="5D131446"/>
    <w:rsid w:val="5D7C18C6"/>
    <w:rsid w:val="5DA14CA4"/>
    <w:rsid w:val="5DA779D9"/>
    <w:rsid w:val="5DC84953"/>
    <w:rsid w:val="5DCB1A31"/>
    <w:rsid w:val="5DDC3F2E"/>
    <w:rsid w:val="5EAC56AE"/>
    <w:rsid w:val="5EDA0A8B"/>
    <w:rsid w:val="5F0537AA"/>
    <w:rsid w:val="5F162912"/>
    <w:rsid w:val="5F20072A"/>
    <w:rsid w:val="5F2117F1"/>
    <w:rsid w:val="5F27754A"/>
    <w:rsid w:val="5F2B3E04"/>
    <w:rsid w:val="5F760F40"/>
    <w:rsid w:val="5FA72BA8"/>
    <w:rsid w:val="5FF3691B"/>
    <w:rsid w:val="5FFE018B"/>
    <w:rsid w:val="5FFF5CB2"/>
    <w:rsid w:val="600E3D4E"/>
    <w:rsid w:val="60161979"/>
    <w:rsid w:val="60194B84"/>
    <w:rsid w:val="60673F83"/>
    <w:rsid w:val="606E1F64"/>
    <w:rsid w:val="609E5FA7"/>
    <w:rsid w:val="60C253E7"/>
    <w:rsid w:val="60CE0B25"/>
    <w:rsid w:val="60F21BEC"/>
    <w:rsid w:val="61177D52"/>
    <w:rsid w:val="61555832"/>
    <w:rsid w:val="61A30FEA"/>
    <w:rsid w:val="61B827FE"/>
    <w:rsid w:val="61D5316E"/>
    <w:rsid w:val="61D67CE4"/>
    <w:rsid w:val="61DB6D9C"/>
    <w:rsid w:val="61EF4230"/>
    <w:rsid w:val="6200643D"/>
    <w:rsid w:val="623C3CCB"/>
    <w:rsid w:val="623F6111"/>
    <w:rsid w:val="62482AC8"/>
    <w:rsid w:val="6277131B"/>
    <w:rsid w:val="62894736"/>
    <w:rsid w:val="62D022B3"/>
    <w:rsid w:val="62EC69C1"/>
    <w:rsid w:val="63286E56"/>
    <w:rsid w:val="63520F1A"/>
    <w:rsid w:val="636E0BBA"/>
    <w:rsid w:val="63703B59"/>
    <w:rsid w:val="63953158"/>
    <w:rsid w:val="63964B41"/>
    <w:rsid w:val="63994A58"/>
    <w:rsid w:val="63FD2078"/>
    <w:rsid w:val="640D4366"/>
    <w:rsid w:val="64682077"/>
    <w:rsid w:val="646C600B"/>
    <w:rsid w:val="647C3D75"/>
    <w:rsid w:val="64CC5E52"/>
    <w:rsid w:val="64DA0DFC"/>
    <w:rsid w:val="64FD5E87"/>
    <w:rsid w:val="65785BCE"/>
    <w:rsid w:val="658C3A08"/>
    <w:rsid w:val="658D4138"/>
    <w:rsid w:val="65B768E4"/>
    <w:rsid w:val="65DC5FE6"/>
    <w:rsid w:val="66043DF1"/>
    <w:rsid w:val="66182480"/>
    <w:rsid w:val="661D46CA"/>
    <w:rsid w:val="66336DD3"/>
    <w:rsid w:val="66887A48"/>
    <w:rsid w:val="66B94E0C"/>
    <w:rsid w:val="66BB1AFB"/>
    <w:rsid w:val="66CF7EED"/>
    <w:rsid w:val="66E83943"/>
    <w:rsid w:val="670F317A"/>
    <w:rsid w:val="673D6A15"/>
    <w:rsid w:val="67621485"/>
    <w:rsid w:val="676E1686"/>
    <w:rsid w:val="67921138"/>
    <w:rsid w:val="67960780"/>
    <w:rsid w:val="67BB4BB4"/>
    <w:rsid w:val="67C273AF"/>
    <w:rsid w:val="67EF3F9C"/>
    <w:rsid w:val="682E5386"/>
    <w:rsid w:val="68306437"/>
    <w:rsid w:val="683726A5"/>
    <w:rsid w:val="684B23DC"/>
    <w:rsid w:val="68576EF7"/>
    <w:rsid w:val="6874548F"/>
    <w:rsid w:val="68763722"/>
    <w:rsid w:val="68817FE2"/>
    <w:rsid w:val="688D47A2"/>
    <w:rsid w:val="68CD623B"/>
    <w:rsid w:val="68DB72BC"/>
    <w:rsid w:val="68FD36D6"/>
    <w:rsid w:val="69035233"/>
    <w:rsid w:val="69562DE6"/>
    <w:rsid w:val="695E105C"/>
    <w:rsid w:val="696012B6"/>
    <w:rsid w:val="69642093"/>
    <w:rsid w:val="69C02956"/>
    <w:rsid w:val="69CA6B08"/>
    <w:rsid w:val="69E72CD3"/>
    <w:rsid w:val="6A042666"/>
    <w:rsid w:val="6A232C0E"/>
    <w:rsid w:val="6A507BCC"/>
    <w:rsid w:val="6A736353"/>
    <w:rsid w:val="6A954D46"/>
    <w:rsid w:val="6A9736F0"/>
    <w:rsid w:val="6AA71493"/>
    <w:rsid w:val="6AF830B1"/>
    <w:rsid w:val="6B1715B7"/>
    <w:rsid w:val="6B2C2051"/>
    <w:rsid w:val="6B3233DF"/>
    <w:rsid w:val="6B680BAF"/>
    <w:rsid w:val="6B6C68F1"/>
    <w:rsid w:val="6B6D4417"/>
    <w:rsid w:val="6B900450"/>
    <w:rsid w:val="6B925052"/>
    <w:rsid w:val="6BA17D14"/>
    <w:rsid w:val="6BBB33D4"/>
    <w:rsid w:val="6BCC55E2"/>
    <w:rsid w:val="6BEA8026"/>
    <w:rsid w:val="6BFA0F3E"/>
    <w:rsid w:val="6C0C5BDB"/>
    <w:rsid w:val="6C2F1A31"/>
    <w:rsid w:val="6C6770B8"/>
    <w:rsid w:val="6C845EBC"/>
    <w:rsid w:val="6C866E49"/>
    <w:rsid w:val="6C9B10B4"/>
    <w:rsid w:val="6CA41CC8"/>
    <w:rsid w:val="6CC20E82"/>
    <w:rsid w:val="6CD26C28"/>
    <w:rsid w:val="6CF20B59"/>
    <w:rsid w:val="6CF3436B"/>
    <w:rsid w:val="6D056FFD"/>
    <w:rsid w:val="6D210B42"/>
    <w:rsid w:val="6D443964"/>
    <w:rsid w:val="6D5B6316"/>
    <w:rsid w:val="6D9143ED"/>
    <w:rsid w:val="6DC74A88"/>
    <w:rsid w:val="6DC879F6"/>
    <w:rsid w:val="6DCA0B72"/>
    <w:rsid w:val="6DD724DA"/>
    <w:rsid w:val="6DDC0B81"/>
    <w:rsid w:val="6DEA2117"/>
    <w:rsid w:val="6DF64FFC"/>
    <w:rsid w:val="6E041063"/>
    <w:rsid w:val="6E0C6BA8"/>
    <w:rsid w:val="6E176567"/>
    <w:rsid w:val="6E4C538F"/>
    <w:rsid w:val="6E8C1058"/>
    <w:rsid w:val="6EBF142E"/>
    <w:rsid w:val="6ED722D3"/>
    <w:rsid w:val="6EE175F6"/>
    <w:rsid w:val="6F214202"/>
    <w:rsid w:val="6F462747"/>
    <w:rsid w:val="6F7C2E7B"/>
    <w:rsid w:val="6F805F11"/>
    <w:rsid w:val="6F810491"/>
    <w:rsid w:val="6FC36D9E"/>
    <w:rsid w:val="6FE70C3C"/>
    <w:rsid w:val="70076BE8"/>
    <w:rsid w:val="701B055C"/>
    <w:rsid w:val="70852D97"/>
    <w:rsid w:val="708F6BDE"/>
    <w:rsid w:val="70A47AAD"/>
    <w:rsid w:val="70AE40C7"/>
    <w:rsid w:val="70C25205"/>
    <w:rsid w:val="70DA254F"/>
    <w:rsid w:val="70E51DA8"/>
    <w:rsid w:val="70F20FE3"/>
    <w:rsid w:val="71023D91"/>
    <w:rsid w:val="71174B27"/>
    <w:rsid w:val="712F20FB"/>
    <w:rsid w:val="7141612A"/>
    <w:rsid w:val="718A06D9"/>
    <w:rsid w:val="71946BA2"/>
    <w:rsid w:val="71A843FB"/>
    <w:rsid w:val="71C70D25"/>
    <w:rsid w:val="71C97895"/>
    <w:rsid w:val="721E450C"/>
    <w:rsid w:val="7256750B"/>
    <w:rsid w:val="7262278F"/>
    <w:rsid w:val="72D73D3D"/>
    <w:rsid w:val="72DF3E4C"/>
    <w:rsid w:val="73394BB6"/>
    <w:rsid w:val="73397A01"/>
    <w:rsid w:val="736A253A"/>
    <w:rsid w:val="736B61C2"/>
    <w:rsid w:val="736F66B8"/>
    <w:rsid w:val="73832A2A"/>
    <w:rsid w:val="73907FF6"/>
    <w:rsid w:val="73A429A0"/>
    <w:rsid w:val="73AC2D59"/>
    <w:rsid w:val="73BE1CB4"/>
    <w:rsid w:val="73D35383"/>
    <w:rsid w:val="73EC5B91"/>
    <w:rsid w:val="73F66D88"/>
    <w:rsid w:val="73FC458A"/>
    <w:rsid w:val="742E7E7F"/>
    <w:rsid w:val="74371BBB"/>
    <w:rsid w:val="74391B0F"/>
    <w:rsid w:val="743B2C20"/>
    <w:rsid w:val="747B5DF7"/>
    <w:rsid w:val="74C002E8"/>
    <w:rsid w:val="74CF1255"/>
    <w:rsid w:val="74E7523A"/>
    <w:rsid w:val="74FB54A4"/>
    <w:rsid w:val="751A7B05"/>
    <w:rsid w:val="75220020"/>
    <w:rsid w:val="755522F8"/>
    <w:rsid w:val="755E2DEF"/>
    <w:rsid w:val="75611CC1"/>
    <w:rsid w:val="75A03D67"/>
    <w:rsid w:val="75D014F7"/>
    <w:rsid w:val="75D51F24"/>
    <w:rsid w:val="75DD731F"/>
    <w:rsid w:val="75FE40F9"/>
    <w:rsid w:val="760C0849"/>
    <w:rsid w:val="760F0193"/>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772567"/>
    <w:rsid w:val="778C37F8"/>
    <w:rsid w:val="779D7E32"/>
    <w:rsid w:val="77B12E34"/>
    <w:rsid w:val="77D46CD2"/>
    <w:rsid w:val="77D83D50"/>
    <w:rsid w:val="77FC42F0"/>
    <w:rsid w:val="781D0CC1"/>
    <w:rsid w:val="7823193A"/>
    <w:rsid w:val="782E61C7"/>
    <w:rsid w:val="783B33E4"/>
    <w:rsid w:val="78412EB3"/>
    <w:rsid w:val="7844130F"/>
    <w:rsid w:val="78534B66"/>
    <w:rsid w:val="785B3F75"/>
    <w:rsid w:val="787B0197"/>
    <w:rsid w:val="787E1A12"/>
    <w:rsid w:val="78811502"/>
    <w:rsid w:val="78840F1A"/>
    <w:rsid w:val="78A51B11"/>
    <w:rsid w:val="78B13375"/>
    <w:rsid w:val="78BE10F6"/>
    <w:rsid w:val="78CA4C57"/>
    <w:rsid w:val="78CC1ED1"/>
    <w:rsid w:val="78D43D28"/>
    <w:rsid w:val="78DD2BDC"/>
    <w:rsid w:val="79435553"/>
    <w:rsid w:val="794672BF"/>
    <w:rsid w:val="798037FB"/>
    <w:rsid w:val="79E263BE"/>
    <w:rsid w:val="7A064282"/>
    <w:rsid w:val="7A3C1D44"/>
    <w:rsid w:val="7A9E283F"/>
    <w:rsid w:val="7ACB4CB6"/>
    <w:rsid w:val="7ADD5362"/>
    <w:rsid w:val="7B036E36"/>
    <w:rsid w:val="7B0E3521"/>
    <w:rsid w:val="7B1A0118"/>
    <w:rsid w:val="7B1E6D01"/>
    <w:rsid w:val="7B31160A"/>
    <w:rsid w:val="7B382994"/>
    <w:rsid w:val="7B62386D"/>
    <w:rsid w:val="7B6E2211"/>
    <w:rsid w:val="7B7C0098"/>
    <w:rsid w:val="7B8F5FC8"/>
    <w:rsid w:val="7BAD0A4E"/>
    <w:rsid w:val="7BB00E61"/>
    <w:rsid w:val="7BD227A0"/>
    <w:rsid w:val="7C1822AA"/>
    <w:rsid w:val="7C591CE4"/>
    <w:rsid w:val="7C85264B"/>
    <w:rsid w:val="7CA06753"/>
    <w:rsid w:val="7CB43242"/>
    <w:rsid w:val="7CB61824"/>
    <w:rsid w:val="7CBD69D7"/>
    <w:rsid w:val="7CC76395"/>
    <w:rsid w:val="7CEF2EDE"/>
    <w:rsid w:val="7D1961AD"/>
    <w:rsid w:val="7D327DB0"/>
    <w:rsid w:val="7D3B4375"/>
    <w:rsid w:val="7D4F7E21"/>
    <w:rsid w:val="7D7A30EF"/>
    <w:rsid w:val="7D9D293A"/>
    <w:rsid w:val="7DA51A4B"/>
    <w:rsid w:val="7DF6795F"/>
    <w:rsid w:val="7E0B01EB"/>
    <w:rsid w:val="7E1E7F1F"/>
    <w:rsid w:val="7E3037F2"/>
    <w:rsid w:val="7E321E60"/>
    <w:rsid w:val="7E390B0F"/>
    <w:rsid w:val="7E493D4F"/>
    <w:rsid w:val="7E5356EF"/>
    <w:rsid w:val="7E881DA7"/>
    <w:rsid w:val="7E9B65C0"/>
    <w:rsid w:val="7EC20774"/>
    <w:rsid w:val="7EF43FF8"/>
    <w:rsid w:val="7F060C17"/>
    <w:rsid w:val="7F0C421B"/>
    <w:rsid w:val="7F130BFF"/>
    <w:rsid w:val="7F2F766E"/>
    <w:rsid w:val="7F3D58B7"/>
    <w:rsid w:val="7F3E014D"/>
    <w:rsid w:val="7F5D1FDB"/>
    <w:rsid w:val="7F6B3277"/>
    <w:rsid w:val="7F7C3A97"/>
    <w:rsid w:val="7F9051D5"/>
    <w:rsid w:val="7F9C372F"/>
    <w:rsid w:val="7FA56256"/>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link w:val="46"/>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4"/>
    <w:next w:val="4"/>
    <w:qFormat/>
    <w:uiPriority w:val="0"/>
    <w:pPr>
      <w:keepNext/>
      <w:keepLines/>
      <w:spacing w:before="120" w:beforeLines="0" w:beforeAutospacing="0" w:after="120" w:afterLines="0" w:afterAutospacing="0"/>
      <w:jc w:val="center"/>
      <w:outlineLvl w:val="2"/>
    </w:pPr>
    <w:rPr>
      <w:sz w:val="24"/>
    </w:rPr>
  </w:style>
  <w:style w:type="paragraph" w:styleId="5">
    <w:name w:val="heading 4"/>
    <w:basedOn w:val="1"/>
    <w:next w:val="1"/>
    <w:qFormat/>
    <w:uiPriority w:val="0"/>
    <w:pPr>
      <w:keepNext/>
      <w:keepLines/>
      <w:spacing w:line="374" w:lineRule="auto"/>
      <w:outlineLvl w:val="3"/>
    </w:pPr>
    <w:rPr>
      <w:rFonts w:ascii="Arial" w:hAnsi="Arial"/>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widowControl/>
      <w:ind w:firstLine="420"/>
      <w:jc w:val="left"/>
    </w:pPr>
    <w:rPr>
      <w:kern w:val="0"/>
      <w:sz w:val="20"/>
    </w:rPr>
  </w:style>
  <w:style w:type="paragraph" w:styleId="6">
    <w:name w:val="annotation text"/>
    <w:basedOn w:val="1"/>
    <w:qFormat/>
    <w:uiPriority w:val="0"/>
    <w:pPr>
      <w:adjustRightInd w:val="0"/>
      <w:spacing w:line="360" w:lineRule="atLeast"/>
      <w:jc w:val="left"/>
      <w:textAlignment w:val="baseline"/>
    </w:pPr>
    <w:rPr>
      <w:kern w:val="0"/>
    </w:r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toc 3"/>
    <w:basedOn w:val="1"/>
    <w:next w:val="1"/>
    <w:qFormat/>
    <w:uiPriority w:val="0"/>
    <w:pPr>
      <w:ind w:left="840" w:leftChars="400"/>
    </w:pPr>
  </w:style>
  <w:style w:type="paragraph" w:styleId="9">
    <w:name w:val="Plain Text"/>
    <w:basedOn w:val="1"/>
    <w:next w:val="10"/>
    <w:qFormat/>
    <w:uiPriority w:val="0"/>
    <w:rPr>
      <w:rFonts w:ascii="宋体" w:hAnsi="Courier New"/>
      <w:szCs w:val="20"/>
    </w:rPr>
  </w:style>
  <w:style w:type="paragraph" w:customStyle="1" w:styleId="10">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styleId="11">
    <w:name w:val="footer"/>
    <w:basedOn w:val="1"/>
    <w:qFormat/>
    <w:uiPriority w:val="0"/>
    <w:pPr>
      <w:tabs>
        <w:tab w:val="center" w:pos="4153"/>
        <w:tab w:val="right" w:pos="8306"/>
      </w:tabs>
      <w:snapToGrid w:val="0"/>
      <w:jc w:val="left"/>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Body Text 2"/>
    <w:basedOn w:val="1"/>
    <w:qFormat/>
    <w:uiPriority w:val="0"/>
    <w:pPr>
      <w:spacing w:line="500" w:lineRule="exact"/>
    </w:pPr>
    <w:rPr>
      <w:rFonts w:ascii="宋体" w:hAnsi="Times New Roman" w:eastAsia="宋体" w:cs="Times New Roman"/>
      <w:sz w:val="24"/>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Body Text First Indent"/>
    <w:basedOn w:val="7"/>
    <w:qFormat/>
    <w:uiPriority w:val="99"/>
    <w:pPr>
      <w:spacing w:line="240" w:lineRule="auto"/>
      <w:ind w:firstLine="420" w:firstLineChars="100"/>
    </w:pPr>
    <w:rPr>
      <w:rFonts w:ascii="Times New Roman" w:cs="Times New Roman"/>
      <w:sz w:val="20"/>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Emphasis"/>
    <w:basedOn w:val="19"/>
    <w:qFormat/>
    <w:uiPriority w:val="0"/>
    <w:rPr>
      <w:i/>
    </w:rPr>
  </w:style>
  <w:style w:type="paragraph" w:customStyle="1" w:styleId="22">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3">
    <w:name w:val="NormalCharacter"/>
    <w:qFormat/>
    <w:uiPriority w:val="99"/>
  </w:style>
  <w:style w:type="paragraph" w:customStyle="1" w:styleId="24">
    <w:name w:val="Table Text"/>
    <w:basedOn w:val="1"/>
    <w:semiHidden/>
    <w:qFormat/>
    <w:uiPriority w:val="0"/>
    <w:rPr>
      <w:rFonts w:ascii="Arial" w:hAnsi="Arial" w:eastAsia="Arial" w:cs="Arial"/>
      <w:sz w:val="21"/>
      <w:szCs w:val="21"/>
      <w:lang w:val="en-US" w:eastAsia="en-US" w:bidi="ar-SA"/>
    </w:rPr>
  </w:style>
  <w:style w:type="paragraph" w:customStyle="1" w:styleId="25">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正文缩进1"/>
    <w:basedOn w:val="1"/>
    <w:qFormat/>
    <w:uiPriority w:val="0"/>
    <w:pPr>
      <w:widowControl/>
      <w:ind w:firstLine="420"/>
      <w:jc w:val="left"/>
    </w:pPr>
    <w:rPr>
      <w:kern w:val="0"/>
    </w:rPr>
  </w:style>
  <w:style w:type="paragraph" w:customStyle="1" w:styleId="27">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8">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1">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2">
    <w:name w:val="Heading2"/>
    <w:basedOn w:val="1"/>
    <w:next w:val="1"/>
    <w:qFormat/>
    <w:uiPriority w:val="99"/>
    <w:pPr>
      <w:jc w:val="left"/>
    </w:pPr>
    <w:rPr>
      <w:kern w:val="0"/>
    </w:rPr>
  </w:style>
  <w:style w:type="paragraph" w:customStyle="1" w:styleId="33">
    <w:name w:val="AnnotationText"/>
    <w:basedOn w:val="1"/>
    <w:qFormat/>
    <w:uiPriority w:val="99"/>
    <w:pPr>
      <w:spacing w:line="360" w:lineRule="atLeast"/>
      <w:jc w:val="left"/>
    </w:pPr>
    <w:rPr>
      <w:kern w:val="0"/>
    </w:rPr>
  </w:style>
  <w:style w:type="paragraph" w:customStyle="1" w:styleId="34">
    <w:name w:val="UserStyle_44"/>
    <w:basedOn w:val="35"/>
    <w:qFormat/>
    <w:uiPriority w:val="99"/>
    <w:rPr>
      <w:sz w:val="24"/>
      <w:szCs w:val="24"/>
    </w:rPr>
  </w:style>
  <w:style w:type="paragraph" w:customStyle="1" w:styleId="35">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6">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7">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8">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9">
    <w:name w:val="BodyText"/>
    <w:basedOn w:val="1"/>
    <w:next w:val="40"/>
    <w:qFormat/>
    <w:uiPriority w:val="99"/>
    <w:pPr>
      <w:spacing w:after="120"/>
    </w:pPr>
  </w:style>
  <w:style w:type="paragraph" w:customStyle="1" w:styleId="40">
    <w:name w:val="BodyText2"/>
    <w:basedOn w:val="1"/>
    <w:qFormat/>
    <w:uiPriority w:val="99"/>
    <w:pPr>
      <w:spacing w:line="500" w:lineRule="exact"/>
    </w:pPr>
  </w:style>
  <w:style w:type="paragraph" w:customStyle="1" w:styleId="41">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2">
    <w:name w:val="正文缩进 New"/>
    <w:basedOn w:val="43"/>
    <w:qFormat/>
    <w:uiPriority w:val="0"/>
    <w:pPr>
      <w:widowControl/>
      <w:ind w:firstLine="420"/>
      <w:jc w:val="left"/>
    </w:pPr>
    <w:rPr>
      <w:kern w:val="0"/>
      <w:sz w:val="20"/>
    </w:rPr>
  </w:style>
  <w:style w:type="paragraph" w:customStyle="1" w:styleId="43">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4">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5">
    <w:name w:val="正文文本 (2) + 间距 0 pt3"/>
    <w:basedOn w:val="19"/>
    <w:qFormat/>
    <w:uiPriority w:val="0"/>
    <w:rPr>
      <w:rFonts w:ascii="MingLiU" w:hAnsi="Times New Roman" w:eastAsia="MingLiU" w:cs="MingLiU"/>
      <w:spacing w:val="0"/>
      <w:sz w:val="22"/>
      <w:szCs w:val="22"/>
      <w:u w:val="none"/>
    </w:rPr>
  </w:style>
  <w:style w:type="character" w:customStyle="1" w:styleId="46">
    <w:name w:val="标题 2 字符"/>
    <w:link w:val="2"/>
    <w:qFormat/>
    <w:uiPriority w:val="0"/>
    <w:rPr>
      <w:rFonts w:hint="eastAsia" w:ascii="宋体" w:hAnsi="宋体" w:eastAsia="宋体" w:cs="宋体"/>
      <w:b/>
      <w:bCs/>
      <w:kern w:val="0"/>
      <w:sz w:val="36"/>
      <w:szCs w:val="36"/>
      <w:lang w:val="en-US" w:eastAsia="zh-CN" w:bidi="ar"/>
    </w:rPr>
  </w:style>
  <w:style w:type="paragraph" w:customStyle="1" w:styleId="47">
    <w:name w:val="标题 3 New New"/>
    <w:basedOn w:val="42"/>
    <w:next w:val="42"/>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8">
    <w:name w:val="UserStyle_76"/>
    <w:basedOn w:val="49"/>
    <w:qFormat/>
    <w:uiPriority w:val="99"/>
    <w:pPr>
      <w:ind w:firstLine="420"/>
      <w:jc w:val="left"/>
    </w:pPr>
    <w:rPr>
      <w:kern w:val="0"/>
      <w:sz w:val="20"/>
      <w:szCs w:val="20"/>
    </w:rPr>
  </w:style>
  <w:style w:type="paragraph" w:customStyle="1" w:styleId="49">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50">
    <w:name w:val="普通(网站) New"/>
    <w:basedOn w:val="51"/>
    <w:qFormat/>
    <w:uiPriority w:val="0"/>
    <w:rPr>
      <w:sz w:val="24"/>
    </w:rPr>
  </w:style>
  <w:style w:type="paragraph" w:customStyle="1" w:styleId="51">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2">
    <w:name w:val="样式 宋体 行距: 1.5 倍行距"/>
    <w:basedOn w:val="53"/>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5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52"/>
    <w:qFormat/>
    <w:uiPriority w:val="0"/>
    <w:pPr>
      <w:widowControl w:val="0"/>
      <w:jc w:val="both"/>
    </w:pPr>
    <w:rPr>
      <w:rFonts w:ascii="Calibri" w:hAnsi="Calibri" w:eastAsia="宋体" w:cs="黑体"/>
      <w:kern w:val="2"/>
      <w:sz w:val="21"/>
      <w:szCs w:val="24"/>
      <w:lang w:val="en-US" w:eastAsia="zh-CN" w:bidi="ar-SA"/>
    </w:rPr>
  </w:style>
  <w:style w:type="paragraph" w:customStyle="1" w:styleId="54">
    <w:name w:val="Normal Indent"/>
    <w:basedOn w:val="1"/>
    <w:qFormat/>
    <w:uiPriority w:val="0"/>
    <w:pPr>
      <w:widowControl/>
      <w:spacing w:line="360" w:lineRule="auto"/>
      <w:ind w:firstLine="420"/>
      <w:jc w:val="left"/>
    </w:pPr>
    <w:rPr>
      <w:rFonts w:ascii="宋体" w:hAnsi="Times New Roman" w:cs="Times New Roman"/>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8.png"/><Relationship Id="rId55" Type="http://schemas.openxmlformats.org/officeDocument/2006/relationships/image" Target="media/image17.jpeg"/><Relationship Id="rId54" Type="http://schemas.openxmlformats.org/officeDocument/2006/relationships/image" Target="media/image16.png"/><Relationship Id="rId53" Type="http://schemas.openxmlformats.org/officeDocument/2006/relationships/image" Target="media/image15.png"/><Relationship Id="rId52" Type="http://schemas.openxmlformats.org/officeDocument/2006/relationships/image" Target="media/image14.wmf"/><Relationship Id="rId51" Type="http://schemas.openxmlformats.org/officeDocument/2006/relationships/oleObject" Target="embeddings/oleObject12.bin"/><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2.wmf"/><Relationship Id="rId47" Type="http://schemas.openxmlformats.org/officeDocument/2006/relationships/oleObject" Target="embeddings/oleObject10.bin"/><Relationship Id="rId46" Type="http://schemas.openxmlformats.org/officeDocument/2006/relationships/image" Target="media/image11.wmf"/><Relationship Id="rId45" Type="http://schemas.openxmlformats.org/officeDocument/2006/relationships/oleObject" Target="embeddings/oleObject9.bin"/><Relationship Id="rId44" Type="http://schemas.openxmlformats.org/officeDocument/2006/relationships/image" Target="media/image10.wmf"/><Relationship Id="rId43" Type="http://schemas.openxmlformats.org/officeDocument/2006/relationships/oleObject" Target="embeddings/oleObject8.bin"/><Relationship Id="rId42" Type="http://schemas.openxmlformats.org/officeDocument/2006/relationships/image" Target="media/image9.wmf"/><Relationship Id="rId41" Type="http://schemas.openxmlformats.org/officeDocument/2006/relationships/oleObject" Target="embeddings/oleObject7.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7.wmf"/><Relationship Id="rId37" Type="http://schemas.openxmlformats.org/officeDocument/2006/relationships/oleObject" Target="embeddings/oleObject5.bin"/><Relationship Id="rId36" Type="http://schemas.openxmlformats.org/officeDocument/2006/relationships/image" Target="media/image6.wmf"/><Relationship Id="rId35" Type="http://schemas.openxmlformats.org/officeDocument/2006/relationships/oleObject" Target="embeddings/oleObject4.bin"/><Relationship Id="rId34" Type="http://schemas.openxmlformats.org/officeDocument/2006/relationships/image" Target="media/image5.wmf"/><Relationship Id="rId33" Type="http://schemas.openxmlformats.org/officeDocument/2006/relationships/oleObject" Target="embeddings/oleObject3.bin"/><Relationship Id="rId32" Type="http://schemas.openxmlformats.org/officeDocument/2006/relationships/image" Target="media/image4.wmf"/><Relationship Id="rId31" Type="http://schemas.openxmlformats.org/officeDocument/2006/relationships/oleObject" Target="embeddings/oleObject2.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2.png"/><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6819</Words>
  <Characters>7343</Characters>
  <Lines>0</Lines>
  <Paragraphs>0</Paragraphs>
  <TotalTime>5</TotalTime>
  <ScaleCrop>false</ScaleCrop>
  <LinksUpToDate>false</LinksUpToDate>
  <CharactersWithSpaces>7664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啊~哈~</cp:lastModifiedBy>
  <cp:lastPrinted>2026-09-02T06:38:00Z</cp:lastPrinted>
  <dcterms:modified xsi:type="dcterms:W3CDTF">2026-09-03T07:42:16Z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E092C7608A444D0B81213E75027F3CBC_13</vt:lpwstr>
  </property>
  <property fmtid="{D5CDD505-2E9C-101B-9397-08002B2CF9AE}" pid="4" name="KSOTemplateDocerSaveRecord">
    <vt:lpwstr>eyJoZGlkIjoiMmYxNmRkOTgyZmJiZjcxZDcyMTQ4ZDk0OTMyY2RjMjQiLCJ1c2VySWQiOiI0NTUyMjM3OTcifQ==</vt:lpwstr>
  </property>
</Properties>
</file>