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20" w:firstLineChars="200"/>
        <w:jc w:val="center"/>
        <w:rPr>
          <w:rFonts w:ascii="宋体" w:hAnsi="宋体" w:eastAsia="宋体"/>
          <w:color w:val="auto"/>
          <w:sz w:val="36"/>
          <w:szCs w:val="36"/>
          <w:highlight w:val="none"/>
          <w:lang w:eastAsia="zh-CN"/>
        </w:rPr>
      </w:pPr>
    </w:p>
    <w:p>
      <w:pPr>
        <w:adjustRightInd w:val="0"/>
        <w:snapToGrid w:val="0"/>
        <w:spacing w:line="360" w:lineRule="auto"/>
        <w:ind w:firstLine="720" w:firstLineChars="200"/>
        <w:jc w:val="center"/>
        <w:rPr>
          <w:rFonts w:ascii="宋体" w:hAnsi="宋体" w:eastAsia="宋体"/>
          <w:color w:val="auto"/>
          <w:sz w:val="36"/>
          <w:szCs w:val="36"/>
          <w:highlight w:val="none"/>
          <w:lang w:eastAsia="zh-CN"/>
        </w:rPr>
      </w:pPr>
    </w:p>
    <w:p>
      <w:pPr>
        <w:adjustRightInd w:val="0"/>
        <w:snapToGrid w:val="0"/>
        <w:spacing w:line="360" w:lineRule="auto"/>
        <w:ind w:firstLine="720" w:firstLineChars="200"/>
        <w:jc w:val="center"/>
        <w:rPr>
          <w:rFonts w:ascii="宋体" w:hAnsi="宋体" w:eastAsia="宋体"/>
          <w:color w:val="auto"/>
          <w:sz w:val="36"/>
          <w:szCs w:val="36"/>
          <w:highlight w:val="none"/>
          <w:lang w:eastAsia="zh-CN"/>
        </w:rPr>
      </w:pPr>
    </w:p>
    <w:p>
      <w:pPr>
        <w:adjustRightInd w:val="0"/>
        <w:snapToGrid w:val="0"/>
        <w:spacing w:line="360" w:lineRule="auto"/>
        <w:jc w:val="center"/>
        <w:rPr>
          <w:rFonts w:ascii="宋体" w:hAnsi="宋体" w:eastAsia="宋体"/>
          <w:color w:val="auto"/>
          <w:sz w:val="72"/>
          <w:szCs w:val="72"/>
          <w:highlight w:val="none"/>
          <w:lang w:eastAsia="zh-CN"/>
        </w:rPr>
      </w:pPr>
      <w:r>
        <w:rPr>
          <w:rFonts w:hint="eastAsia" w:ascii="宋体" w:hAnsi="宋体" w:eastAsia="宋体"/>
          <w:color w:val="auto"/>
          <w:sz w:val="72"/>
          <w:szCs w:val="72"/>
          <w:highlight w:val="none"/>
          <w:lang w:eastAsia="zh-CN"/>
        </w:rPr>
        <w:t>招</w:t>
      </w:r>
    </w:p>
    <w:p>
      <w:pPr>
        <w:adjustRightInd w:val="0"/>
        <w:snapToGrid w:val="0"/>
        <w:spacing w:line="360" w:lineRule="auto"/>
        <w:jc w:val="center"/>
        <w:rPr>
          <w:rFonts w:ascii="宋体" w:hAnsi="宋体" w:eastAsia="宋体"/>
          <w:color w:val="auto"/>
          <w:sz w:val="72"/>
          <w:szCs w:val="72"/>
          <w:highlight w:val="none"/>
          <w:lang w:eastAsia="zh-CN"/>
        </w:rPr>
      </w:pPr>
      <w:r>
        <w:rPr>
          <w:rFonts w:hint="eastAsia" w:ascii="宋体" w:hAnsi="宋体" w:eastAsia="宋体"/>
          <w:color w:val="auto"/>
          <w:sz w:val="72"/>
          <w:szCs w:val="72"/>
          <w:highlight w:val="none"/>
          <w:lang w:eastAsia="zh-CN"/>
        </w:rPr>
        <w:t>标</w:t>
      </w:r>
    </w:p>
    <w:p>
      <w:pPr>
        <w:adjustRightInd w:val="0"/>
        <w:snapToGrid w:val="0"/>
        <w:spacing w:line="360" w:lineRule="auto"/>
        <w:jc w:val="center"/>
        <w:rPr>
          <w:rFonts w:ascii="宋体" w:hAnsi="宋体" w:eastAsia="宋体"/>
          <w:color w:val="auto"/>
          <w:sz w:val="72"/>
          <w:szCs w:val="72"/>
          <w:highlight w:val="none"/>
          <w:lang w:eastAsia="zh-CN"/>
        </w:rPr>
      </w:pPr>
      <w:r>
        <w:rPr>
          <w:rFonts w:hint="eastAsia" w:ascii="宋体" w:hAnsi="宋体" w:eastAsia="宋体"/>
          <w:color w:val="auto"/>
          <w:sz w:val="72"/>
          <w:szCs w:val="72"/>
          <w:highlight w:val="none"/>
          <w:lang w:eastAsia="zh-CN"/>
        </w:rPr>
        <w:t>文</w:t>
      </w:r>
    </w:p>
    <w:p>
      <w:pPr>
        <w:adjustRightInd w:val="0"/>
        <w:snapToGrid w:val="0"/>
        <w:spacing w:line="360" w:lineRule="auto"/>
        <w:jc w:val="center"/>
        <w:rPr>
          <w:rFonts w:ascii="宋体" w:hAnsi="宋体" w:eastAsia="宋体"/>
          <w:color w:val="auto"/>
          <w:sz w:val="72"/>
          <w:szCs w:val="72"/>
          <w:highlight w:val="none"/>
          <w:lang w:eastAsia="zh-CN"/>
        </w:rPr>
      </w:pPr>
      <w:r>
        <w:rPr>
          <w:rFonts w:hint="eastAsia" w:ascii="宋体" w:hAnsi="宋体" w:eastAsia="宋体"/>
          <w:color w:val="auto"/>
          <w:sz w:val="72"/>
          <w:szCs w:val="72"/>
          <w:highlight w:val="none"/>
          <w:lang w:eastAsia="zh-CN"/>
        </w:rPr>
        <w:t>件</w:t>
      </w:r>
    </w:p>
    <w:p>
      <w:pPr>
        <w:adjustRightInd w:val="0"/>
        <w:snapToGrid w:val="0"/>
        <w:spacing w:line="360" w:lineRule="auto"/>
        <w:ind w:firstLine="440" w:firstLineChars="200"/>
        <w:jc w:val="center"/>
        <w:rPr>
          <w:rFonts w:ascii="宋体" w:hAnsi="宋体" w:eastAsia="宋体"/>
          <w:color w:val="auto"/>
          <w:highlight w:val="none"/>
          <w:lang w:eastAsia="zh-CN"/>
        </w:rPr>
      </w:pPr>
    </w:p>
    <w:p>
      <w:pPr>
        <w:adjustRightInd w:val="0"/>
        <w:snapToGrid w:val="0"/>
        <w:spacing w:line="360" w:lineRule="auto"/>
        <w:ind w:firstLine="440" w:firstLineChars="200"/>
        <w:jc w:val="center"/>
        <w:rPr>
          <w:rFonts w:ascii="宋体" w:hAnsi="宋体" w:eastAsia="宋体"/>
          <w:color w:val="auto"/>
          <w:highlight w:val="none"/>
          <w:lang w:eastAsia="zh-CN"/>
        </w:rPr>
      </w:pPr>
    </w:p>
    <w:p>
      <w:pPr>
        <w:adjustRightInd w:val="0"/>
        <w:snapToGrid w:val="0"/>
        <w:spacing w:line="360" w:lineRule="auto"/>
        <w:ind w:firstLine="440" w:firstLineChars="200"/>
        <w:jc w:val="center"/>
        <w:rPr>
          <w:rFonts w:ascii="宋体" w:hAnsi="宋体" w:eastAsia="宋体"/>
          <w:color w:val="auto"/>
          <w:highlight w:val="none"/>
          <w:lang w:eastAsia="zh-CN"/>
        </w:rPr>
      </w:pPr>
    </w:p>
    <w:p>
      <w:pPr>
        <w:adjustRightInd w:val="0"/>
        <w:snapToGrid w:val="0"/>
        <w:spacing w:line="360" w:lineRule="auto"/>
        <w:ind w:firstLine="720" w:firstLineChars="200"/>
        <w:jc w:val="center"/>
        <w:rPr>
          <w:rFonts w:ascii="宋体" w:hAnsi="宋体" w:eastAsia="宋体"/>
          <w:color w:val="auto"/>
          <w:sz w:val="36"/>
          <w:szCs w:val="36"/>
          <w:highlight w:val="none"/>
          <w:lang w:eastAsia="zh-CN"/>
        </w:rPr>
      </w:pPr>
      <w:r>
        <w:rPr>
          <w:rFonts w:hint="eastAsia" w:ascii="宋体" w:hAnsi="宋体" w:eastAsia="宋体"/>
          <w:color w:val="auto"/>
          <w:sz w:val="36"/>
          <w:szCs w:val="36"/>
          <w:highlight w:val="none"/>
          <w:lang w:val="en-US" w:eastAsia="zh-CN"/>
        </w:rPr>
        <w:t>项目名称：</w:t>
      </w:r>
      <w:r>
        <w:rPr>
          <w:rFonts w:hint="eastAsia" w:ascii="宋体" w:hAnsi="宋体" w:eastAsia="宋体"/>
          <w:color w:val="auto"/>
          <w:sz w:val="36"/>
          <w:szCs w:val="36"/>
          <w:highlight w:val="none"/>
          <w:lang w:eastAsia="zh-CN"/>
        </w:rPr>
        <w:t>北乡镇前村村委会党群服务中心大楼及地块公开招租项目（第二次）</w:t>
      </w:r>
    </w:p>
    <w:p>
      <w:pPr>
        <w:adjustRightInd w:val="0"/>
        <w:snapToGrid w:val="0"/>
        <w:spacing w:line="360" w:lineRule="auto"/>
        <w:ind w:firstLine="720" w:firstLineChars="200"/>
        <w:jc w:val="both"/>
        <w:rPr>
          <w:rFonts w:hint="default"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项目编号：CQZB250001</w:t>
      </w:r>
    </w:p>
    <w:p>
      <w:pPr>
        <w:adjustRightInd w:val="0"/>
        <w:snapToGrid w:val="0"/>
        <w:spacing w:line="360" w:lineRule="auto"/>
        <w:ind w:firstLine="720" w:firstLineChars="200"/>
        <w:jc w:val="both"/>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采购代理编号：04-06-04A-2024-D-E28285C01</w:t>
      </w:r>
    </w:p>
    <w:p>
      <w:pPr>
        <w:adjustRightInd w:val="0"/>
        <w:snapToGrid w:val="0"/>
        <w:spacing w:line="360" w:lineRule="auto"/>
        <w:ind w:firstLine="560" w:firstLineChars="200"/>
        <w:jc w:val="center"/>
        <w:rPr>
          <w:rFonts w:ascii="宋体" w:hAnsi="宋体" w:eastAsia="宋体"/>
          <w:color w:val="auto"/>
          <w:sz w:val="28"/>
          <w:szCs w:val="28"/>
          <w:highlight w:val="none"/>
          <w:lang w:eastAsia="zh-CN"/>
        </w:rPr>
      </w:pPr>
    </w:p>
    <w:p>
      <w:pPr>
        <w:adjustRightInd w:val="0"/>
        <w:snapToGrid w:val="0"/>
        <w:spacing w:line="360" w:lineRule="auto"/>
        <w:ind w:firstLine="720" w:firstLineChars="200"/>
        <w:jc w:val="cente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2025年1月</w:t>
      </w:r>
    </w:p>
    <w:p>
      <w:pPr>
        <w:adjustRightInd w:val="0"/>
        <w:snapToGrid w:val="0"/>
        <w:spacing w:line="360" w:lineRule="auto"/>
        <w:ind w:firstLine="560" w:firstLineChars="200"/>
        <w:jc w:val="center"/>
        <w:rPr>
          <w:rFonts w:ascii="宋体" w:hAnsi="宋体" w:eastAsia="宋体"/>
          <w:color w:val="auto"/>
          <w:sz w:val="28"/>
          <w:szCs w:val="28"/>
          <w:highlight w:val="none"/>
          <w:lang w:eastAsia="zh-CN"/>
        </w:rPr>
      </w:pPr>
    </w:p>
    <w:p>
      <w:pPr>
        <w:adjustRightInd w:val="0"/>
        <w:snapToGrid w:val="0"/>
        <w:spacing w:line="360" w:lineRule="auto"/>
        <w:jc w:val="center"/>
        <w:outlineLvl w:val="0"/>
        <w:rPr>
          <w:rFonts w:ascii="宋体" w:hAnsi="宋体" w:eastAsia="宋体"/>
          <w:color w:val="auto"/>
          <w:sz w:val="36"/>
          <w:szCs w:val="36"/>
          <w:highlight w:val="none"/>
          <w:lang w:eastAsia="zh-CN"/>
        </w:rPr>
      </w:pPr>
      <w:r>
        <w:rPr>
          <w:rFonts w:hint="eastAsia" w:ascii="宋体" w:hAnsi="宋体" w:eastAsia="宋体"/>
          <w:color w:val="auto"/>
          <w:sz w:val="36"/>
          <w:szCs w:val="36"/>
          <w:highlight w:val="none"/>
          <w:lang w:eastAsia="zh-CN"/>
        </w:rPr>
        <w:t>第一部分</w:t>
      </w:r>
      <w:r>
        <w:rPr>
          <w:rFonts w:ascii="宋体" w:hAnsi="宋体" w:eastAsia="宋体"/>
          <w:color w:val="auto"/>
          <w:sz w:val="36"/>
          <w:szCs w:val="36"/>
          <w:highlight w:val="none"/>
          <w:lang w:eastAsia="zh-CN"/>
        </w:rPr>
        <w:t xml:space="preserve">  投标邀请函</w:t>
      </w:r>
    </w:p>
    <w:p>
      <w:pPr>
        <w:adjustRightInd w:val="0"/>
        <w:snapToGrid w:val="0"/>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公诚管理咨询有限公司</w:t>
      </w:r>
      <w:bookmarkStart w:id="0" w:name="_Hlk110351737"/>
      <w:r>
        <w:rPr>
          <w:rFonts w:hint="eastAsia" w:ascii="宋体" w:hAnsi="宋体" w:eastAsia="宋体"/>
          <w:color w:val="auto"/>
          <w:sz w:val="21"/>
          <w:szCs w:val="21"/>
          <w:highlight w:val="none"/>
          <w:lang w:eastAsia="zh-CN"/>
        </w:rPr>
        <w:t>（以下简称“招标代理机构”）</w:t>
      </w:r>
      <w:bookmarkEnd w:id="0"/>
      <w:r>
        <w:rPr>
          <w:rFonts w:ascii="宋体" w:hAnsi="宋体" w:eastAsia="宋体"/>
          <w:color w:val="auto"/>
          <w:sz w:val="21"/>
          <w:szCs w:val="21"/>
          <w:highlight w:val="none"/>
          <w:lang w:eastAsia="zh-CN"/>
        </w:rPr>
        <w:t>受</w:t>
      </w:r>
      <w:r>
        <w:rPr>
          <w:rFonts w:hint="eastAsia" w:ascii="宋体" w:hAnsi="宋体" w:eastAsia="宋体"/>
          <w:color w:val="auto"/>
          <w:sz w:val="21"/>
          <w:szCs w:val="21"/>
          <w:highlight w:val="none"/>
          <w:lang w:eastAsia="zh-CN"/>
        </w:rPr>
        <w:t>乐昌市北乡镇人民政府（以下简称“招标人”）</w:t>
      </w:r>
      <w:r>
        <w:rPr>
          <w:rFonts w:ascii="宋体" w:hAnsi="宋体" w:eastAsia="宋体"/>
          <w:color w:val="auto"/>
          <w:sz w:val="21"/>
          <w:szCs w:val="21"/>
          <w:highlight w:val="none"/>
          <w:lang w:eastAsia="zh-CN"/>
        </w:rPr>
        <w:t>的委托，</w:t>
      </w:r>
      <w:r>
        <w:rPr>
          <w:rFonts w:hint="eastAsia" w:ascii="宋体" w:hAnsi="宋体" w:eastAsia="宋体"/>
          <w:color w:val="auto"/>
          <w:sz w:val="21"/>
          <w:szCs w:val="21"/>
          <w:highlight w:val="none"/>
          <w:lang w:eastAsia="zh-CN"/>
        </w:rPr>
        <w:t>就北乡镇前村村委会党群服务中心大楼及地块公开招租项目（第二次）</w:t>
      </w:r>
      <w:r>
        <w:rPr>
          <w:rFonts w:ascii="宋体" w:hAnsi="宋体" w:eastAsia="宋体"/>
          <w:color w:val="auto"/>
          <w:sz w:val="21"/>
          <w:szCs w:val="21"/>
          <w:highlight w:val="none"/>
          <w:lang w:eastAsia="zh-CN"/>
        </w:rPr>
        <w:t>进行</w:t>
      </w:r>
      <w:r>
        <w:rPr>
          <w:rFonts w:hint="eastAsia" w:ascii="宋体" w:hAnsi="宋体" w:eastAsia="宋体"/>
          <w:color w:val="auto"/>
          <w:sz w:val="21"/>
          <w:szCs w:val="21"/>
          <w:highlight w:val="none"/>
          <w:lang w:eastAsia="zh-CN"/>
        </w:rPr>
        <w:t>公开</w:t>
      </w:r>
      <w:r>
        <w:rPr>
          <w:rFonts w:ascii="宋体" w:hAnsi="宋体" w:eastAsia="宋体"/>
          <w:color w:val="auto"/>
          <w:sz w:val="21"/>
          <w:szCs w:val="21"/>
          <w:highlight w:val="none"/>
          <w:lang w:eastAsia="zh-CN"/>
        </w:rPr>
        <w:t>招标，</w:t>
      </w:r>
      <w:r>
        <w:rPr>
          <w:rFonts w:hint="eastAsia" w:ascii="宋体" w:hAnsi="宋体" w:eastAsia="宋体"/>
          <w:color w:val="auto"/>
          <w:sz w:val="21"/>
          <w:szCs w:val="21"/>
          <w:highlight w:val="none"/>
          <w:lang w:eastAsia="zh-CN"/>
        </w:rPr>
        <w:t>详情请参见招标文件。</w:t>
      </w:r>
      <w:r>
        <w:rPr>
          <w:rFonts w:ascii="宋体" w:hAnsi="宋体" w:eastAsia="宋体"/>
          <w:color w:val="auto"/>
          <w:sz w:val="21"/>
          <w:szCs w:val="21"/>
          <w:highlight w:val="none"/>
          <w:lang w:eastAsia="zh-CN"/>
        </w:rPr>
        <w:t>欢迎符合资格条件的投标人投标。</w:t>
      </w:r>
      <w:r>
        <w:rPr>
          <w:rFonts w:hint="eastAsia" w:ascii="宋体" w:hAnsi="宋体" w:eastAsia="宋体"/>
          <w:color w:val="auto"/>
          <w:sz w:val="21"/>
          <w:szCs w:val="21"/>
          <w:highlight w:val="none"/>
          <w:lang w:eastAsia="zh-CN"/>
        </w:rPr>
        <w:t>有关事项如</w:t>
      </w:r>
      <w:r>
        <w:rPr>
          <w:rFonts w:ascii="宋体" w:hAnsi="宋体" w:eastAsia="宋体"/>
          <w:color w:val="auto"/>
          <w:sz w:val="21"/>
          <w:szCs w:val="21"/>
          <w:highlight w:val="none"/>
          <w:lang w:eastAsia="zh-CN"/>
        </w:rPr>
        <w:t>下：</w:t>
      </w:r>
    </w:p>
    <w:p>
      <w:pPr>
        <w:pStyle w:val="28"/>
        <w:tabs>
          <w:tab w:val="left" w:pos="1165"/>
        </w:tabs>
        <w:adjustRightInd w:val="0"/>
        <w:snapToGrid w:val="0"/>
        <w:spacing w:before="0" w:line="360" w:lineRule="auto"/>
        <w:ind w:left="420"/>
        <w:rPr>
          <w:rFonts w:ascii="宋体" w:hAnsi="宋体" w:eastAsia="宋体"/>
          <w:color w:val="auto"/>
          <w:sz w:val="21"/>
          <w:szCs w:val="21"/>
          <w:highlight w:val="none"/>
          <w:lang w:eastAsia="zh-CN"/>
        </w:rPr>
      </w:pPr>
      <w:r>
        <w:rPr>
          <w:rFonts w:hint="eastAsia" w:ascii="宋体" w:hAnsi="宋体" w:eastAsia="宋体"/>
          <w:b/>
          <w:bCs/>
          <w:color w:val="auto"/>
          <w:sz w:val="21"/>
          <w:szCs w:val="21"/>
          <w:highlight w:val="none"/>
          <w:lang w:eastAsia="zh-CN"/>
        </w:rPr>
        <w:t>一、项目基本情况</w:t>
      </w:r>
    </w:p>
    <w:p>
      <w:pPr>
        <w:adjustRightInd w:val="0"/>
        <w:snapToGrid w:val="0"/>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r>
        <w:rPr>
          <w:rFonts w:ascii="宋体" w:hAnsi="宋体" w:eastAsia="宋体"/>
          <w:color w:val="auto"/>
          <w:sz w:val="21"/>
          <w:szCs w:val="21"/>
          <w:highlight w:val="none"/>
          <w:lang w:eastAsia="zh-CN"/>
        </w:rPr>
        <w:t>项目名称：</w:t>
      </w:r>
      <w:r>
        <w:rPr>
          <w:rFonts w:hint="eastAsia" w:ascii="宋体" w:hAnsi="宋体" w:eastAsia="宋体"/>
          <w:color w:val="auto"/>
          <w:sz w:val="21"/>
          <w:szCs w:val="21"/>
          <w:highlight w:val="none"/>
          <w:lang w:eastAsia="zh-CN"/>
        </w:rPr>
        <w:t>北乡镇前村村委会党群服务中心大楼及地块公开招租项目（第二次）</w:t>
      </w:r>
    </w:p>
    <w:p>
      <w:pPr>
        <w:adjustRightInd w:val="0"/>
        <w:snapToGrid w:val="0"/>
        <w:spacing w:line="360" w:lineRule="auto"/>
        <w:ind w:firstLine="420" w:firstLineChars="200"/>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2</w:t>
      </w: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项目编号：</w:t>
      </w:r>
      <w:r>
        <w:rPr>
          <w:rFonts w:hint="eastAsia" w:ascii="宋体" w:hAnsi="宋体" w:eastAsia="宋体"/>
          <w:color w:val="auto"/>
          <w:sz w:val="21"/>
          <w:szCs w:val="21"/>
          <w:highlight w:val="none"/>
          <w:lang w:eastAsia="zh-CN"/>
        </w:rPr>
        <w:t>04-06-04A-2024-D-E28285C01</w:t>
      </w:r>
      <w:r>
        <w:rPr>
          <w:rFonts w:ascii="宋体" w:hAnsi="宋体" w:eastAsia="宋体"/>
          <w:color w:val="auto"/>
          <w:sz w:val="21"/>
          <w:szCs w:val="21"/>
          <w:highlight w:val="none"/>
          <w:lang w:eastAsia="zh-CN"/>
        </w:rPr>
        <w:t xml:space="preserve">    </w:t>
      </w:r>
    </w:p>
    <w:p>
      <w:pPr>
        <w:adjustRightInd w:val="0"/>
        <w:snapToGrid w:val="0"/>
        <w:spacing w:line="360" w:lineRule="auto"/>
        <w:ind w:firstLine="420" w:firstLineChars="200"/>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3</w:t>
      </w:r>
      <w:r>
        <w:rPr>
          <w:rFonts w:hint="eastAsia" w:ascii="宋体" w:hAnsi="宋体" w:eastAsia="宋体"/>
          <w:color w:val="auto"/>
          <w:sz w:val="21"/>
          <w:szCs w:val="21"/>
          <w:highlight w:val="none"/>
          <w:lang w:eastAsia="zh-CN"/>
        </w:rPr>
        <w:t>、招标人：乐昌市北乡镇人民政府</w:t>
      </w:r>
    </w:p>
    <w:p>
      <w:pPr>
        <w:adjustRightInd w:val="0"/>
        <w:snapToGrid w:val="0"/>
        <w:spacing w:line="360" w:lineRule="auto"/>
        <w:ind w:firstLine="420" w:firstLineChars="200"/>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4</w:t>
      </w:r>
      <w:r>
        <w:rPr>
          <w:rFonts w:hint="eastAsia" w:ascii="宋体" w:hAnsi="宋体" w:eastAsia="宋体"/>
          <w:color w:val="auto"/>
          <w:sz w:val="21"/>
          <w:szCs w:val="21"/>
          <w:highlight w:val="none"/>
          <w:lang w:eastAsia="zh-CN"/>
        </w:rPr>
        <w:t>、招标范围及内容：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188"/>
        <w:gridCol w:w="1275"/>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snapToGrid w:val="0"/>
              <w:spacing w:before="0" w:beforeAutospacing="0" w:after="0" w:afterAutospacing="0" w:line="288" w:lineRule="auto"/>
              <w:ind w:left="0" w:right="0"/>
              <w:jc w:val="center"/>
              <w:rPr>
                <w:rFonts w:cs="仿宋" w:asciiTheme="minorEastAsia" w:hAnsiTheme="minorEastAsia" w:eastAsiaTheme="minorEastAsia"/>
                <w:color w:val="auto"/>
                <w:kern w:val="2"/>
                <w:sz w:val="21"/>
                <w:szCs w:val="21"/>
                <w:highlight w:val="none"/>
                <w:lang w:eastAsia="zh-CN"/>
              </w:rPr>
            </w:pPr>
            <w:r>
              <w:rPr>
                <w:rFonts w:hint="eastAsia" w:cs="仿宋" w:asciiTheme="minorEastAsia" w:hAnsiTheme="minorEastAsia" w:eastAsiaTheme="minorEastAsia"/>
                <w:color w:val="auto"/>
                <w:kern w:val="2"/>
                <w:sz w:val="21"/>
                <w:szCs w:val="21"/>
                <w:highlight w:val="none"/>
                <w:lang w:eastAsia="zh-CN"/>
              </w:rPr>
              <w:t>序号</w:t>
            </w:r>
          </w:p>
        </w:tc>
        <w:tc>
          <w:tcPr>
            <w:tcW w:w="4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snapToGrid w:val="0"/>
              <w:spacing w:before="0" w:beforeAutospacing="0" w:after="0" w:afterAutospacing="0" w:line="288" w:lineRule="auto"/>
              <w:ind w:left="0" w:right="0"/>
              <w:jc w:val="center"/>
              <w:rPr>
                <w:rFonts w:cs="仿宋" w:asciiTheme="minorEastAsia" w:hAnsiTheme="minorEastAsia" w:eastAsiaTheme="minorEastAsia"/>
                <w:color w:val="auto"/>
                <w:kern w:val="2"/>
                <w:sz w:val="21"/>
                <w:szCs w:val="21"/>
                <w:highlight w:val="none"/>
                <w:lang w:eastAsia="zh-CN"/>
              </w:rPr>
            </w:pPr>
            <w:r>
              <w:rPr>
                <w:rFonts w:hint="eastAsia" w:cs="仿宋" w:asciiTheme="minorEastAsia" w:hAnsiTheme="minorEastAsia" w:eastAsiaTheme="minorEastAsia"/>
                <w:color w:val="auto"/>
                <w:kern w:val="2"/>
                <w:sz w:val="21"/>
                <w:szCs w:val="21"/>
                <w:highlight w:val="none"/>
                <w:lang w:eastAsia="zh-CN"/>
              </w:rPr>
              <w:t>项目内容</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snapToGrid w:val="0"/>
              <w:spacing w:before="0" w:beforeAutospacing="0" w:after="0" w:afterAutospacing="0" w:line="288" w:lineRule="auto"/>
              <w:ind w:left="0" w:right="0"/>
              <w:jc w:val="center"/>
              <w:rPr>
                <w:rFonts w:cs="仿宋" w:asciiTheme="minorEastAsia" w:hAnsiTheme="minorEastAsia" w:eastAsiaTheme="minorEastAsia"/>
                <w:color w:val="auto"/>
                <w:kern w:val="2"/>
                <w:sz w:val="21"/>
                <w:szCs w:val="21"/>
                <w:highlight w:val="none"/>
                <w:lang w:eastAsia="zh-CN"/>
              </w:rPr>
            </w:pPr>
            <w:r>
              <w:rPr>
                <w:rFonts w:hint="eastAsia" w:cs="仿宋" w:asciiTheme="minorEastAsia" w:hAnsiTheme="minorEastAsia" w:eastAsiaTheme="minorEastAsia"/>
                <w:color w:val="auto"/>
                <w:kern w:val="2"/>
                <w:sz w:val="21"/>
                <w:szCs w:val="21"/>
                <w:highlight w:val="none"/>
                <w:lang w:val="zh-CN" w:eastAsia="zh-CN"/>
              </w:rPr>
              <w:t>合作期</w:t>
            </w:r>
          </w:p>
        </w:tc>
        <w:tc>
          <w:tcPr>
            <w:tcW w:w="26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snapToGrid w:val="0"/>
              <w:spacing w:before="0" w:beforeAutospacing="0" w:after="0" w:afterAutospacing="0" w:line="288" w:lineRule="auto"/>
              <w:ind w:left="0" w:right="0"/>
              <w:jc w:val="center"/>
              <w:rPr>
                <w:rFonts w:cs="仿宋" w:asciiTheme="minorEastAsia" w:hAnsiTheme="minorEastAsia" w:eastAsiaTheme="minorEastAsia"/>
                <w:color w:val="auto"/>
                <w:kern w:val="2"/>
                <w:sz w:val="21"/>
                <w:szCs w:val="21"/>
                <w:highlight w:val="none"/>
                <w:lang w:eastAsia="zh-CN"/>
              </w:rPr>
            </w:pPr>
            <w:r>
              <w:rPr>
                <w:rFonts w:hint="eastAsia" w:cs="仿宋" w:asciiTheme="minorEastAsia" w:hAnsiTheme="minorEastAsia" w:eastAsiaTheme="minorEastAsia"/>
                <w:color w:val="auto"/>
                <w:kern w:val="2"/>
                <w:sz w:val="21"/>
                <w:szCs w:val="21"/>
                <w:highlight w:val="none"/>
                <w:lang w:eastAsia="zh-CN"/>
              </w:rPr>
              <w:t>招标预算</w:t>
            </w:r>
          </w:p>
          <w:p>
            <w:pPr>
              <w:keepNext w:val="0"/>
              <w:keepLines w:val="0"/>
              <w:suppressLineNumbers w:val="0"/>
              <w:autoSpaceDE/>
              <w:autoSpaceDN/>
              <w:snapToGrid w:val="0"/>
              <w:spacing w:before="0" w:beforeAutospacing="0" w:after="0" w:afterAutospacing="0" w:line="288" w:lineRule="auto"/>
              <w:ind w:left="0" w:right="0"/>
              <w:jc w:val="center"/>
              <w:rPr>
                <w:rFonts w:cs="仿宋" w:asciiTheme="minorEastAsia" w:hAnsiTheme="minorEastAsia" w:eastAsiaTheme="minorEastAsia"/>
                <w:color w:val="auto"/>
                <w:kern w:val="2"/>
                <w:sz w:val="21"/>
                <w:szCs w:val="21"/>
                <w:highlight w:val="none"/>
                <w:lang w:eastAsia="zh-CN"/>
              </w:rPr>
            </w:pPr>
            <w:r>
              <w:rPr>
                <w:rFonts w:hint="eastAsia" w:cs="仿宋" w:asciiTheme="minorEastAsia" w:hAnsiTheme="minorEastAsia" w:eastAsiaTheme="minorEastAsia"/>
                <w:color w:val="auto"/>
                <w:kern w:val="2"/>
                <w:sz w:val="21"/>
                <w:szCs w:val="21"/>
                <w:highlight w:val="none"/>
                <w:lang w:eastAsia="zh-CN"/>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snapToGrid w:val="0"/>
              <w:spacing w:before="0" w:beforeAutospacing="0" w:after="0" w:afterAutospacing="0" w:line="288" w:lineRule="auto"/>
              <w:ind w:left="0" w:right="0"/>
              <w:jc w:val="center"/>
              <w:rPr>
                <w:rFonts w:cs="仿宋" w:asciiTheme="minorEastAsia" w:hAnsiTheme="minorEastAsia" w:eastAsiaTheme="minorEastAsia"/>
                <w:color w:val="auto"/>
                <w:kern w:val="2"/>
                <w:sz w:val="21"/>
                <w:szCs w:val="21"/>
                <w:highlight w:val="none"/>
                <w:lang w:eastAsia="zh-CN"/>
              </w:rPr>
            </w:pPr>
            <w:r>
              <w:rPr>
                <w:rFonts w:hint="eastAsia" w:cs="仿宋" w:asciiTheme="minorEastAsia" w:hAnsiTheme="minorEastAsia" w:eastAsiaTheme="minorEastAsia"/>
                <w:color w:val="auto"/>
                <w:kern w:val="2"/>
                <w:sz w:val="21"/>
                <w:szCs w:val="21"/>
                <w:highlight w:val="none"/>
                <w:lang w:eastAsia="zh-CN"/>
              </w:rPr>
              <w:t>1</w:t>
            </w:r>
          </w:p>
        </w:tc>
        <w:tc>
          <w:tcPr>
            <w:tcW w:w="4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snapToGrid w:val="0"/>
              <w:spacing w:before="0" w:beforeAutospacing="0" w:after="0" w:afterAutospacing="0" w:line="288" w:lineRule="auto"/>
              <w:ind w:left="0" w:right="0" w:firstLine="420" w:firstLineChars="200"/>
              <w:rPr>
                <w:rFonts w:cs="仿宋" w:asciiTheme="minorEastAsia" w:hAnsiTheme="minorEastAsia" w:eastAsiaTheme="minorEastAsia"/>
                <w:color w:val="auto"/>
                <w:kern w:val="2"/>
                <w:sz w:val="21"/>
                <w:szCs w:val="21"/>
                <w:highlight w:val="none"/>
                <w:lang w:eastAsia="zh-CN"/>
              </w:rPr>
            </w:pPr>
            <w:r>
              <w:rPr>
                <w:rFonts w:hint="eastAsia" w:ascii="宋体" w:hAnsi="宋体" w:eastAsia="宋体"/>
                <w:color w:val="auto"/>
                <w:kern w:val="2"/>
                <w:sz w:val="21"/>
                <w:szCs w:val="21"/>
                <w:highlight w:val="none"/>
                <w:lang w:eastAsia="zh-CN"/>
              </w:rPr>
              <w:t>招标人拟引入第三方农产品加工</w:t>
            </w:r>
            <w:r>
              <w:rPr>
                <w:rFonts w:ascii="宋体" w:hAnsi="宋体" w:eastAsia="宋体"/>
                <w:color w:val="auto"/>
                <w:kern w:val="2"/>
                <w:sz w:val="21"/>
                <w:szCs w:val="21"/>
                <w:highlight w:val="none"/>
                <w:lang w:eastAsia="zh-CN"/>
              </w:rPr>
              <w:t>公司</w:t>
            </w:r>
            <w:r>
              <w:rPr>
                <w:rFonts w:hint="eastAsia" w:ascii="宋体" w:hAnsi="宋体" w:eastAsia="宋体"/>
                <w:color w:val="auto"/>
                <w:kern w:val="2"/>
                <w:sz w:val="21"/>
                <w:szCs w:val="21"/>
                <w:highlight w:val="none"/>
                <w:lang w:eastAsia="zh-CN"/>
              </w:rPr>
              <w:t>，在北乡镇范围新注册成立农产品加工公司，开发马蹄、香芋等农产品加工项目，充分盘活利用固定资产，提升农产品附加值，并助推村集体经济发展，带动全</w:t>
            </w:r>
            <w:r>
              <w:rPr>
                <w:rFonts w:ascii="宋体" w:hAnsi="宋体" w:eastAsia="宋体"/>
                <w:color w:val="auto"/>
                <w:kern w:val="2"/>
                <w:sz w:val="21"/>
                <w:szCs w:val="21"/>
                <w:highlight w:val="none"/>
                <w:lang w:eastAsia="zh-CN"/>
              </w:rPr>
              <w:t>镇</w:t>
            </w:r>
            <w:r>
              <w:rPr>
                <w:rFonts w:hint="eastAsia" w:ascii="宋体" w:hAnsi="宋体" w:eastAsia="宋体"/>
                <w:color w:val="auto"/>
                <w:kern w:val="2"/>
                <w:sz w:val="21"/>
                <w:szCs w:val="21"/>
                <w:highlight w:val="none"/>
                <w:lang w:eastAsia="zh-CN"/>
              </w:rPr>
              <w:t>的乡村振兴。</w:t>
            </w:r>
          </w:p>
        </w:tc>
        <w:tc>
          <w:tcPr>
            <w:tcW w:w="1275" w:type="dxa"/>
            <w:tcBorders>
              <w:top w:val="single" w:color="auto" w:sz="4" w:space="0"/>
              <w:left w:val="single" w:color="auto" w:sz="4" w:space="0"/>
              <w:right w:val="single" w:color="auto" w:sz="4" w:space="0"/>
            </w:tcBorders>
            <w:vAlign w:val="center"/>
          </w:tcPr>
          <w:p>
            <w:pPr>
              <w:keepNext w:val="0"/>
              <w:keepLines w:val="0"/>
              <w:suppressLineNumbers w:val="0"/>
              <w:autoSpaceDE/>
              <w:autoSpaceDN/>
              <w:snapToGrid w:val="0"/>
              <w:spacing w:before="0" w:beforeAutospacing="0" w:after="0" w:afterAutospacing="0" w:line="288" w:lineRule="auto"/>
              <w:ind w:left="0" w:right="0"/>
              <w:jc w:val="center"/>
              <w:rPr>
                <w:rFonts w:cs="仿宋" w:asciiTheme="minorEastAsia" w:hAnsiTheme="minorEastAsia" w:eastAsiaTheme="minorEastAsia"/>
                <w:color w:val="auto"/>
                <w:kern w:val="2"/>
                <w:sz w:val="21"/>
                <w:szCs w:val="21"/>
                <w:highlight w:val="none"/>
                <w:lang w:eastAsia="zh-CN"/>
              </w:rPr>
            </w:pPr>
            <w:r>
              <w:rPr>
                <w:rFonts w:hint="eastAsia" w:cs="仿宋" w:asciiTheme="minorEastAsia" w:hAnsiTheme="minorEastAsia" w:eastAsiaTheme="minorEastAsia"/>
                <w:color w:val="auto"/>
                <w:kern w:val="2"/>
                <w:sz w:val="21"/>
                <w:szCs w:val="21"/>
                <w:highlight w:val="none"/>
                <w:lang w:eastAsia="zh-CN"/>
              </w:rPr>
              <w:t>20年</w:t>
            </w:r>
          </w:p>
        </w:tc>
        <w:tc>
          <w:tcPr>
            <w:tcW w:w="2623" w:type="dxa"/>
            <w:tcBorders>
              <w:top w:val="single" w:color="auto" w:sz="4" w:space="0"/>
              <w:left w:val="single" w:color="auto" w:sz="4" w:space="0"/>
              <w:right w:val="single" w:color="auto" w:sz="4" w:space="0"/>
            </w:tcBorders>
            <w:vAlign w:val="center"/>
          </w:tcPr>
          <w:p>
            <w:pPr>
              <w:keepNext w:val="0"/>
              <w:keepLines w:val="0"/>
              <w:suppressLineNumbers w:val="0"/>
              <w:autoSpaceDE/>
              <w:autoSpaceDN/>
              <w:snapToGrid w:val="0"/>
              <w:spacing w:before="0" w:beforeAutospacing="0" w:after="0" w:afterAutospacing="0" w:line="288" w:lineRule="auto"/>
              <w:ind w:left="0" w:right="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租金预算1,857,931.25元，</w:t>
            </w:r>
            <w:r>
              <w:rPr>
                <w:rFonts w:hint="eastAsia" w:ascii="宋体" w:hAnsi="宋体" w:eastAsia="宋体" w:cs="宋体"/>
                <w:color w:val="auto"/>
                <w:kern w:val="2"/>
                <w:sz w:val="21"/>
                <w:szCs w:val="21"/>
                <w:highlight w:val="none"/>
                <w:lang w:val="en-US" w:eastAsia="zh-CN"/>
              </w:rPr>
              <w:t>其中年租金</w:t>
            </w:r>
            <w:r>
              <w:rPr>
                <w:rFonts w:hint="eastAsia" w:ascii="宋体" w:hAnsi="宋体" w:eastAsia="宋体" w:cs="宋体"/>
                <w:color w:val="auto"/>
                <w:kern w:val="2"/>
                <w:sz w:val="21"/>
                <w:szCs w:val="21"/>
                <w:highlight w:val="none"/>
                <w:lang w:eastAsia="zh-CN"/>
              </w:rPr>
              <w:t>81,360</w:t>
            </w:r>
            <w:r>
              <w:rPr>
                <w:rFonts w:hint="eastAsia" w:ascii="宋体" w:hAnsi="宋体" w:eastAsia="宋体" w:cs="宋体"/>
                <w:color w:val="auto"/>
                <w:kern w:val="2"/>
                <w:sz w:val="21"/>
                <w:szCs w:val="21"/>
                <w:highlight w:val="none"/>
                <w:lang w:val="en-US" w:eastAsia="zh-CN"/>
              </w:rPr>
              <w:t>.00</w:t>
            </w:r>
            <w:r>
              <w:rPr>
                <w:rFonts w:hint="eastAsia" w:ascii="宋体" w:hAnsi="宋体" w:eastAsia="宋体" w:cs="宋体"/>
                <w:color w:val="auto"/>
                <w:kern w:val="2"/>
                <w:sz w:val="21"/>
                <w:szCs w:val="21"/>
                <w:highlight w:val="none"/>
                <w:lang w:eastAsia="zh-CN"/>
              </w:rPr>
              <w:t>元/年，装修期免租3个月</w:t>
            </w:r>
            <w:r>
              <w:rPr>
                <w:rFonts w:hint="eastAsia" w:ascii="宋体" w:hAnsi="宋体" w:eastAsia="宋体" w:cs="宋体"/>
                <w:kern w:val="2"/>
                <w:sz w:val="21"/>
                <w:szCs w:val="21"/>
                <w:lang w:eastAsia="zh-CN"/>
              </w:rPr>
              <w:t>，租金每三年在上年租金基础上递增5%</w:t>
            </w:r>
          </w:p>
        </w:tc>
      </w:tr>
    </w:tbl>
    <w:p>
      <w:pPr>
        <w:adjustRightInd w:val="0"/>
        <w:snapToGrid w:val="0"/>
        <w:spacing w:line="360" w:lineRule="auto"/>
        <w:ind w:firstLine="420" w:firstLineChars="200"/>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5</w:t>
      </w:r>
      <w:r>
        <w:rPr>
          <w:rFonts w:hint="eastAsia" w:ascii="宋体" w:hAnsi="宋体" w:eastAsia="宋体"/>
          <w:color w:val="auto"/>
          <w:sz w:val="21"/>
          <w:szCs w:val="21"/>
          <w:highlight w:val="none"/>
          <w:lang w:eastAsia="zh-CN"/>
        </w:rPr>
        <w:t>、采购方式：公开招标</w:t>
      </w:r>
    </w:p>
    <w:p>
      <w:pPr>
        <w:adjustRightInd w:val="0"/>
        <w:snapToGrid w:val="0"/>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6、合同履行期限：合作运营期限20</w:t>
      </w:r>
      <w:r>
        <w:rPr>
          <w:rFonts w:ascii="宋体" w:hAnsi="宋体" w:eastAsia="宋体"/>
          <w:color w:val="auto"/>
          <w:sz w:val="21"/>
          <w:szCs w:val="21"/>
          <w:highlight w:val="none"/>
          <w:lang w:eastAsia="zh-CN"/>
        </w:rPr>
        <w:t>年</w:t>
      </w:r>
      <w:r>
        <w:rPr>
          <w:rFonts w:hint="eastAsia" w:ascii="宋体" w:hAnsi="宋体" w:eastAsia="宋体"/>
          <w:color w:val="auto"/>
          <w:sz w:val="21"/>
          <w:szCs w:val="21"/>
          <w:highlight w:val="none"/>
          <w:lang w:eastAsia="zh-CN"/>
        </w:rPr>
        <w:t>，自合同签订之日起计算</w:t>
      </w:r>
      <w:r>
        <w:rPr>
          <w:rFonts w:ascii="宋体" w:hAnsi="宋体" w:eastAsia="宋体"/>
          <w:color w:val="auto"/>
          <w:sz w:val="21"/>
          <w:szCs w:val="21"/>
          <w:highlight w:val="none"/>
          <w:lang w:eastAsia="zh-CN"/>
        </w:rPr>
        <w:t>。</w:t>
      </w:r>
    </w:p>
    <w:p>
      <w:pPr>
        <w:adjustRightInd w:val="0"/>
        <w:snapToGrid w:val="0"/>
        <w:spacing w:line="360" w:lineRule="auto"/>
        <w:ind w:firstLine="422" w:firstLineChars="200"/>
        <w:rPr>
          <w:rFonts w:ascii="宋体" w:hAnsi="宋体" w:eastAsia="宋体"/>
          <w:b/>
          <w:bCs/>
          <w:color w:val="auto"/>
          <w:sz w:val="21"/>
          <w:szCs w:val="21"/>
          <w:highlight w:val="none"/>
          <w:lang w:eastAsia="zh-CN"/>
        </w:rPr>
      </w:pPr>
    </w:p>
    <w:p>
      <w:pPr>
        <w:adjustRightInd w:val="0"/>
        <w:snapToGrid w:val="0"/>
        <w:spacing w:line="360" w:lineRule="auto"/>
        <w:ind w:firstLine="422" w:firstLineChars="200"/>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二、投标人资格要求</w:t>
      </w:r>
    </w:p>
    <w:p>
      <w:pPr>
        <w:pStyle w:val="3"/>
        <w:adjustRightInd w:val="0"/>
        <w:snapToGrid w:val="0"/>
        <w:spacing w:line="360" w:lineRule="auto"/>
        <w:ind w:firstLine="420" w:firstLineChars="200"/>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1．</w:t>
      </w:r>
      <w:r>
        <w:rPr>
          <w:rFonts w:hint="eastAsia" w:ascii="宋体" w:hAnsi="宋体" w:eastAsia="宋体"/>
          <w:color w:val="auto"/>
          <w:sz w:val="21"/>
          <w:szCs w:val="21"/>
          <w:highlight w:val="none"/>
          <w:lang w:eastAsia="zh-CN"/>
        </w:rPr>
        <w:t>投标人必须是具有独立承担民事责任的能力，在中华人民共和国境内注册的法人或其他组织。</w:t>
      </w:r>
    </w:p>
    <w:p>
      <w:pPr>
        <w:pStyle w:val="3"/>
        <w:adjustRightInd w:val="0"/>
        <w:snapToGrid w:val="0"/>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r>
        <w:rPr>
          <w:rFonts w:ascii="宋体" w:hAnsi="宋体" w:eastAsia="宋体"/>
          <w:color w:val="auto"/>
          <w:sz w:val="21"/>
          <w:szCs w:val="21"/>
          <w:highlight w:val="none"/>
          <w:lang w:eastAsia="zh-CN"/>
        </w:rPr>
        <w:t>．</w:t>
      </w:r>
      <w:bookmarkStart w:id="1" w:name="_Hlk115224953"/>
      <w:r>
        <w:rPr>
          <w:rFonts w:ascii="宋体" w:hAnsi="宋体" w:eastAsia="宋体"/>
          <w:color w:val="auto"/>
          <w:sz w:val="21"/>
          <w:szCs w:val="21"/>
          <w:highlight w:val="none"/>
          <w:lang w:eastAsia="zh-CN"/>
        </w:rPr>
        <w:t>投标人未处于财产被接管、破产或关、停、并、转状态及重大诉讼事件情况。</w:t>
      </w:r>
      <w:bookmarkEnd w:id="1"/>
      <w:r>
        <w:rPr>
          <w:rFonts w:hint="eastAsia" w:ascii="宋体" w:hAnsi="宋体" w:eastAsia="宋体"/>
          <w:color w:val="auto"/>
          <w:sz w:val="21"/>
          <w:szCs w:val="21"/>
          <w:highlight w:val="none"/>
          <w:lang w:eastAsia="zh-CN"/>
        </w:rPr>
        <w:t>（提供《投标人资格声明函》）</w:t>
      </w:r>
    </w:p>
    <w:p>
      <w:pPr>
        <w:pStyle w:val="3"/>
        <w:adjustRightInd w:val="0"/>
        <w:snapToGrid w:val="0"/>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w:t>
      </w:r>
      <w:r>
        <w:rPr>
          <w:rFonts w:ascii="宋体" w:hAnsi="宋体" w:eastAsia="宋体"/>
          <w:color w:val="auto"/>
          <w:sz w:val="21"/>
          <w:szCs w:val="21"/>
          <w:highlight w:val="none"/>
          <w:lang w:eastAsia="zh-CN"/>
        </w:rPr>
        <w:t>．本项目不接受联合体</w:t>
      </w:r>
      <w:r>
        <w:rPr>
          <w:rFonts w:hint="eastAsia" w:ascii="宋体" w:hAnsi="宋体" w:eastAsia="宋体"/>
          <w:color w:val="auto"/>
          <w:sz w:val="21"/>
          <w:szCs w:val="21"/>
          <w:highlight w:val="none"/>
          <w:lang w:eastAsia="zh-CN"/>
        </w:rPr>
        <w:t>投标</w:t>
      </w:r>
      <w:r>
        <w:rPr>
          <w:rFonts w:ascii="宋体" w:hAnsi="宋体" w:eastAsia="宋体"/>
          <w:color w:val="auto"/>
          <w:sz w:val="21"/>
          <w:szCs w:val="21"/>
          <w:highlight w:val="none"/>
          <w:lang w:eastAsia="zh-CN"/>
        </w:rPr>
        <w:t>、不接受母子公司同时</w:t>
      </w:r>
      <w:r>
        <w:rPr>
          <w:rFonts w:hint="eastAsia" w:ascii="宋体" w:hAnsi="宋体" w:eastAsia="宋体"/>
          <w:color w:val="auto"/>
          <w:sz w:val="21"/>
          <w:szCs w:val="21"/>
          <w:highlight w:val="none"/>
          <w:lang w:eastAsia="zh-CN"/>
        </w:rPr>
        <w:t>投标</w:t>
      </w:r>
      <w:r>
        <w:rPr>
          <w:rFonts w:ascii="宋体" w:hAnsi="宋体" w:eastAsia="宋体"/>
          <w:color w:val="auto"/>
          <w:sz w:val="21"/>
          <w:szCs w:val="21"/>
          <w:highlight w:val="none"/>
          <w:lang w:eastAsia="zh-CN"/>
        </w:rPr>
        <w:t>，不允许投标人对本招标服务进行分包和转包</w:t>
      </w:r>
      <w:r>
        <w:rPr>
          <w:rFonts w:hint="eastAsia" w:ascii="宋体" w:hAnsi="宋体" w:eastAsia="宋体"/>
          <w:color w:val="auto"/>
          <w:sz w:val="21"/>
          <w:szCs w:val="21"/>
          <w:highlight w:val="none"/>
          <w:lang w:eastAsia="zh-CN"/>
        </w:rPr>
        <w:t>。（提供《投标人资格声明函》）</w:t>
      </w:r>
    </w:p>
    <w:p>
      <w:pPr>
        <w:pStyle w:val="3"/>
        <w:adjustRightInd w:val="0"/>
        <w:snapToGrid w:val="0"/>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w:t>
      </w:r>
      <w:r>
        <w:rPr>
          <w:rFonts w:ascii="宋体" w:hAnsi="宋体" w:eastAsia="宋体"/>
          <w:color w:val="auto"/>
          <w:sz w:val="21"/>
          <w:szCs w:val="21"/>
          <w:highlight w:val="none"/>
          <w:lang w:eastAsia="zh-CN"/>
        </w:rPr>
        <w:t>．投标人未被列入“信用中国”网站(www.creditchina.gov.cn)“失信被执行人或重大税收违法失信主体或政府采购严重违法失信行为记录名单”；不处于中国政府采购网(www.ccgp.gov.cn)“政府采购严重违法失信行为</w:t>
      </w:r>
      <w:r>
        <w:rPr>
          <w:rFonts w:hint="eastAsia" w:ascii="宋体" w:hAnsi="宋体" w:eastAsia="宋体"/>
          <w:color w:val="auto"/>
          <w:sz w:val="21"/>
          <w:szCs w:val="21"/>
          <w:highlight w:val="none"/>
          <w:lang w:eastAsia="zh-CN"/>
        </w:rPr>
        <w:t>记录</w:t>
      </w:r>
      <w:r>
        <w:rPr>
          <w:rFonts w:ascii="宋体" w:hAnsi="宋体" w:eastAsia="宋体"/>
          <w:color w:val="auto"/>
          <w:sz w:val="21"/>
          <w:szCs w:val="21"/>
          <w:highlight w:val="none"/>
          <w:lang w:eastAsia="zh-CN"/>
        </w:rPr>
        <w:t>名单”中的禁止参加政府采购活动期间。</w:t>
      </w:r>
      <w:r>
        <w:rPr>
          <w:rFonts w:hint="eastAsia" w:ascii="宋体" w:hAnsi="宋体" w:eastAsia="宋体"/>
          <w:color w:val="auto"/>
          <w:sz w:val="21"/>
          <w:szCs w:val="21"/>
          <w:highlight w:val="none"/>
          <w:lang w:eastAsia="zh-CN"/>
        </w:rPr>
        <w:t>供应商须提供查询结果截图并加盖公章</w:t>
      </w:r>
      <w:r>
        <w:rPr>
          <w:rFonts w:ascii="宋体" w:hAnsi="宋体" w:eastAsia="宋体"/>
          <w:color w:val="auto"/>
          <w:sz w:val="21"/>
          <w:szCs w:val="21"/>
          <w:highlight w:val="none"/>
          <w:lang w:eastAsia="zh-CN"/>
        </w:rPr>
        <w:t>（以资格审查人员于投标（响应）截止时间当天在“信用中国”网站（www.creditchina.gov.cn）及中国政府采购网（http://www.ccgp.gov.cn/）查询结果为准，如相关失信记录已失效，供应商需提供相关</w:t>
      </w:r>
      <w:r>
        <w:rPr>
          <w:rFonts w:hint="eastAsia" w:ascii="宋体" w:hAnsi="宋体" w:eastAsia="宋体"/>
          <w:color w:val="auto"/>
          <w:sz w:val="21"/>
          <w:szCs w:val="21"/>
          <w:highlight w:val="none"/>
          <w:lang w:eastAsia="zh-CN"/>
        </w:rPr>
        <w:t>证明资料）。</w:t>
      </w:r>
    </w:p>
    <w:p>
      <w:pPr>
        <w:pStyle w:val="3"/>
        <w:adjustRightInd w:val="0"/>
        <w:snapToGrid w:val="0"/>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w:t>
      </w:r>
      <w:r>
        <w:rPr>
          <w:rFonts w:ascii="宋体" w:hAnsi="宋体" w:eastAsia="宋体"/>
          <w:color w:val="auto"/>
          <w:sz w:val="21"/>
          <w:szCs w:val="21"/>
          <w:highlight w:val="none"/>
          <w:lang w:eastAsia="zh-CN"/>
        </w:rPr>
        <w:t>.</w:t>
      </w:r>
      <w:r>
        <w:rPr>
          <w:rFonts w:hint="eastAsia" w:ascii="宋体" w:hAnsi="宋体" w:eastAsia="宋体"/>
          <w:color w:val="auto"/>
          <w:sz w:val="21"/>
          <w:szCs w:val="21"/>
          <w:highlight w:val="none"/>
          <w:lang w:eastAsia="zh-CN"/>
        </w:rPr>
        <w:t xml:space="preserve"> 单位负责人为同一人或者存在直接控股、管理关系的不同供应商，不得参加同一合同项下的采购活动（提供《投标人资格声明函》）。</w:t>
      </w:r>
    </w:p>
    <w:p>
      <w:pPr>
        <w:pStyle w:val="3"/>
        <w:adjustRightInd w:val="0"/>
        <w:snapToGrid w:val="0"/>
        <w:spacing w:line="360" w:lineRule="auto"/>
        <w:ind w:firstLine="420" w:firstLineChars="200"/>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为确保投标相关信息保密，不对报名资格进行审核，投标人应将资格审查资料编入投标文件中，投标人的资格以评标委员会的审核结果为准。</w:t>
      </w:r>
    </w:p>
    <w:p>
      <w:pPr>
        <w:pStyle w:val="3"/>
        <w:adjustRightInd w:val="0"/>
        <w:snapToGrid w:val="0"/>
        <w:spacing w:line="360" w:lineRule="auto"/>
        <w:ind w:firstLine="422" w:firstLineChars="200"/>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三、获取招标文件</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时间：</w:t>
      </w:r>
      <w:r>
        <w:rPr>
          <w:rFonts w:ascii="宋体" w:hAnsi="宋体" w:eastAsia="宋体"/>
          <w:bCs/>
          <w:color w:val="auto"/>
          <w:sz w:val="21"/>
          <w:szCs w:val="21"/>
          <w:highlight w:val="none"/>
          <w:lang w:eastAsia="zh-CN"/>
        </w:rPr>
        <w:t>202</w:t>
      </w:r>
      <w:r>
        <w:rPr>
          <w:rFonts w:hint="eastAsia" w:ascii="宋体" w:hAnsi="宋体" w:eastAsia="宋体"/>
          <w:bCs/>
          <w:color w:val="auto"/>
          <w:sz w:val="21"/>
          <w:szCs w:val="21"/>
          <w:highlight w:val="none"/>
          <w:lang w:val="en-US" w:eastAsia="zh-CN"/>
        </w:rPr>
        <w:t xml:space="preserve">5 </w:t>
      </w:r>
      <w:r>
        <w:rPr>
          <w:rFonts w:ascii="宋体" w:hAnsi="宋体" w:eastAsia="宋体"/>
          <w:bCs/>
          <w:color w:val="auto"/>
          <w:sz w:val="21"/>
          <w:szCs w:val="21"/>
          <w:highlight w:val="none"/>
          <w:lang w:eastAsia="zh-CN"/>
        </w:rPr>
        <w:t>年</w:t>
      </w:r>
      <w:r>
        <w:rPr>
          <w:rFonts w:hint="eastAsia" w:ascii="宋体" w:hAnsi="宋体" w:eastAsia="宋体"/>
          <w:bCs/>
          <w:color w:val="auto"/>
          <w:sz w:val="21"/>
          <w:szCs w:val="21"/>
          <w:highlight w:val="none"/>
          <w:lang w:val="en-US" w:eastAsia="zh-CN"/>
        </w:rPr>
        <w:t xml:space="preserve"> 01 </w:t>
      </w:r>
      <w:r>
        <w:rPr>
          <w:rFonts w:ascii="宋体" w:hAnsi="宋体" w:eastAsia="宋体"/>
          <w:bCs/>
          <w:color w:val="auto"/>
          <w:sz w:val="21"/>
          <w:szCs w:val="21"/>
          <w:highlight w:val="none"/>
          <w:lang w:eastAsia="zh-CN"/>
        </w:rPr>
        <w:t>月</w:t>
      </w:r>
      <w:r>
        <w:rPr>
          <w:rFonts w:hint="eastAsia" w:ascii="宋体" w:hAnsi="宋体" w:eastAsia="宋体"/>
          <w:bCs/>
          <w:color w:val="auto"/>
          <w:sz w:val="21"/>
          <w:szCs w:val="21"/>
          <w:highlight w:val="none"/>
          <w:lang w:val="en-US" w:eastAsia="zh-CN"/>
        </w:rPr>
        <w:t xml:space="preserve"> 25 </w:t>
      </w:r>
      <w:r>
        <w:rPr>
          <w:rFonts w:ascii="宋体" w:hAnsi="宋体" w:eastAsia="宋体"/>
          <w:bCs/>
          <w:color w:val="auto"/>
          <w:sz w:val="21"/>
          <w:szCs w:val="21"/>
          <w:highlight w:val="none"/>
          <w:lang w:eastAsia="zh-CN"/>
        </w:rPr>
        <w:t>日至</w:t>
      </w:r>
      <w:r>
        <w:rPr>
          <w:rFonts w:hint="eastAsia" w:ascii="宋体" w:hAnsi="宋体" w:eastAsia="宋体"/>
          <w:bCs/>
          <w:color w:val="auto"/>
          <w:sz w:val="21"/>
          <w:szCs w:val="21"/>
          <w:highlight w:val="none"/>
          <w:lang w:val="en-US" w:eastAsia="zh-CN"/>
        </w:rPr>
        <w:t xml:space="preserve"> </w:t>
      </w:r>
      <w:r>
        <w:rPr>
          <w:rFonts w:ascii="宋体" w:hAnsi="宋体" w:eastAsia="宋体"/>
          <w:bCs/>
          <w:color w:val="auto"/>
          <w:sz w:val="21"/>
          <w:szCs w:val="21"/>
          <w:highlight w:val="none"/>
          <w:lang w:eastAsia="zh-CN"/>
        </w:rPr>
        <w:t>202</w:t>
      </w:r>
      <w:r>
        <w:rPr>
          <w:rFonts w:hint="eastAsia" w:ascii="宋体" w:hAnsi="宋体" w:eastAsia="宋体"/>
          <w:bCs/>
          <w:color w:val="auto"/>
          <w:sz w:val="21"/>
          <w:szCs w:val="21"/>
          <w:highlight w:val="none"/>
          <w:lang w:val="en-US" w:eastAsia="zh-CN"/>
        </w:rPr>
        <w:t xml:space="preserve">5 </w:t>
      </w:r>
      <w:r>
        <w:rPr>
          <w:rFonts w:ascii="宋体" w:hAnsi="宋体" w:eastAsia="宋体"/>
          <w:bCs/>
          <w:color w:val="auto"/>
          <w:sz w:val="21"/>
          <w:szCs w:val="21"/>
          <w:highlight w:val="none"/>
          <w:lang w:eastAsia="zh-CN"/>
        </w:rPr>
        <w:t>年</w:t>
      </w:r>
      <w:r>
        <w:rPr>
          <w:rFonts w:hint="eastAsia" w:ascii="宋体" w:hAnsi="宋体" w:eastAsia="宋体"/>
          <w:bCs/>
          <w:color w:val="auto"/>
          <w:sz w:val="21"/>
          <w:szCs w:val="21"/>
          <w:highlight w:val="none"/>
          <w:lang w:val="en-US" w:eastAsia="zh-CN"/>
        </w:rPr>
        <w:t xml:space="preserve"> 02 </w:t>
      </w:r>
      <w:r>
        <w:rPr>
          <w:rFonts w:ascii="宋体" w:hAnsi="宋体" w:eastAsia="宋体"/>
          <w:bCs/>
          <w:color w:val="auto"/>
          <w:sz w:val="21"/>
          <w:szCs w:val="21"/>
          <w:highlight w:val="none"/>
          <w:lang w:eastAsia="zh-CN"/>
        </w:rPr>
        <w:t>月</w:t>
      </w:r>
      <w:r>
        <w:rPr>
          <w:rFonts w:hint="eastAsia" w:ascii="宋体" w:hAnsi="宋体" w:eastAsia="宋体"/>
          <w:bCs/>
          <w:color w:val="auto"/>
          <w:sz w:val="21"/>
          <w:szCs w:val="21"/>
          <w:highlight w:val="none"/>
          <w:lang w:val="en-US" w:eastAsia="zh-CN"/>
        </w:rPr>
        <w:t xml:space="preserve"> 07 </w:t>
      </w:r>
      <w:r>
        <w:rPr>
          <w:rFonts w:ascii="宋体" w:hAnsi="宋体" w:eastAsia="宋体"/>
          <w:bCs/>
          <w:color w:val="auto"/>
          <w:sz w:val="21"/>
          <w:szCs w:val="21"/>
          <w:highlight w:val="none"/>
          <w:lang w:eastAsia="zh-CN"/>
        </w:rPr>
        <w:t>日（提供期限自本公告发布之日起不得少于5个工作日），每天上午09：00至12：00下午14：30至17：30（北京时间，法定节假日除外）</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地点：参与本项目的供应商须采用韶关市公共资源交易一体化平台“产权招标交易系统”进行网上登记。</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方式：网上获取</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售价</w:t>
      </w:r>
      <w:r>
        <w:rPr>
          <w:rFonts w:ascii="宋体" w:hAnsi="宋体" w:eastAsia="宋体"/>
          <w:bCs/>
          <w:color w:val="auto"/>
          <w:sz w:val="21"/>
          <w:szCs w:val="21"/>
          <w:highlight w:val="none"/>
          <w:lang w:eastAsia="zh-CN"/>
        </w:rPr>
        <w:t>(元)：0</w:t>
      </w:r>
    </w:p>
    <w:p>
      <w:pPr>
        <w:pStyle w:val="3"/>
        <w:adjustRightInd w:val="0"/>
        <w:snapToGrid w:val="0"/>
        <w:spacing w:line="360" w:lineRule="auto"/>
        <w:ind w:firstLine="422" w:firstLineChars="200"/>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四、提交投标文件截止时间、开标时间和地点</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ascii="宋体" w:hAnsi="宋体" w:eastAsia="宋体"/>
          <w:bCs/>
          <w:color w:val="auto"/>
          <w:sz w:val="21"/>
          <w:szCs w:val="21"/>
          <w:highlight w:val="none"/>
          <w:lang w:eastAsia="zh-CN"/>
        </w:rPr>
        <w:t>202</w:t>
      </w:r>
      <w:r>
        <w:rPr>
          <w:rFonts w:hint="eastAsia" w:ascii="宋体" w:hAnsi="宋体" w:eastAsia="宋体"/>
          <w:bCs/>
          <w:color w:val="auto"/>
          <w:sz w:val="21"/>
          <w:szCs w:val="21"/>
          <w:highlight w:val="none"/>
          <w:lang w:val="en-US" w:eastAsia="zh-CN"/>
        </w:rPr>
        <w:t xml:space="preserve">5 </w:t>
      </w:r>
      <w:r>
        <w:rPr>
          <w:rFonts w:ascii="宋体" w:hAnsi="宋体" w:eastAsia="宋体"/>
          <w:bCs/>
          <w:color w:val="auto"/>
          <w:sz w:val="21"/>
          <w:szCs w:val="21"/>
          <w:highlight w:val="none"/>
          <w:lang w:eastAsia="zh-CN"/>
        </w:rPr>
        <w:t>年</w:t>
      </w:r>
      <w:r>
        <w:rPr>
          <w:rFonts w:hint="eastAsia" w:ascii="宋体" w:hAnsi="宋体" w:eastAsia="宋体"/>
          <w:bCs/>
          <w:color w:val="auto"/>
          <w:sz w:val="21"/>
          <w:szCs w:val="21"/>
          <w:highlight w:val="none"/>
          <w:lang w:val="en-US" w:eastAsia="zh-CN"/>
        </w:rPr>
        <w:t xml:space="preserve"> 02 </w:t>
      </w:r>
      <w:r>
        <w:rPr>
          <w:rFonts w:ascii="宋体" w:hAnsi="宋体" w:eastAsia="宋体"/>
          <w:bCs/>
          <w:color w:val="auto"/>
          <w:sz w:val="21"/>
          <w:szCs w:val="21"/>
          <w:highlight w:val="none"/>
          <w:lang w:eastAsia="zh-CN"/>
        </w:rPr>
        <w:t>月</w:t>
      </w:r>
      <w:r>
        <w:rPr>
          <w:rFonts w:hint="eastAsia" w:ascii="宋体" w:hAnsi="宋体" w:eastAsia="宋体"/>
          <w:bCs/>
          <w:color w:val="auto"/>
          <w:sz w:val="21"/>
          <w:szCs w:val="21"/>
          <w:highlight w:val="none"/>
          <w:lang w:val="en-US" w:eastAsia="zh-CN"/>
        </w:rPr>
        <w:t xml:space="preserve"> 17 </w:t>
      </w:r>
      <w:r>
        <w:rPr>
          <w:rFonts w:ascii="宋体" w:hAnsi="宋体" w:eastAsia="宋体"/>
          <w:bCs/>
          <w:color w:val="auto"/>
          <w:sz w:val="21"/>
          <w:szCs w:val="21"/>
          <w:highlight w:val="none"/>
          <w:lang w:eastAsia="zh-CN"/>
        </w:rPr>
        <w:t>日</w:t>
      </w:r>
      <w:r>
        <w:rPr>
          <w:rFonts w:hint="eastAsia" w:ascii="宋体" w:hAnsi="宋体" w:eastAsia="宋体"/>
          <w:bCs/>
          <w:color w:val="auto"/>
          <w:sz w:val="21"/>
          <w:szCs w:val="21"/>
          <w:highlight w:val="none"/>
          <w:lang w:val="en-US" w:eastAsia="zh-CN"/>
        </w:rPr>
        <w:t xml:space="preserve"> 15 </w:t>
      </w:r>
      <w:r>
        <w:rPr>
          <w:rFonts w:ascii="宋体" w:hAnsi="宋体" w:eastAsia="宋体"/>
          <w:bCs/>
          <w:color w:val="auto"/>
          <w:sz w:val="21"/>
          <w:szCs w:val="21"/>
          <w:highlight w:val="none"/>
          <w:lang w:eastAsia="zh-CN"/>
        </w:rPr>
        <w:t>时</w:t>
      </w:r>
      <w:r>
        <w:rPr>
          <w:rFonts w:hint="eastAsia" w:ascii="宋体" w:hAnsi="宋体" w:eastAsia="宋体"/>
          <w:bCs/>
          <w:color w:val="auto"/>
          <w:sz w:val="21"/>
          <w:szCs w:val="21"/>
          <w:highlight w:val="none"/>
          <w:lang w:val="en-US" w:eastAsia="zh-CN"/>
        </w:rPr>
        <w:t xml:space="preserve"> 00 </w:t>
      </w:r>
      <w:r>
        <w:rPr>
          <w:rFonts w:ascii="宋体" w:hAnsi="宋体" w:eastAsia="宋体"/>
          <w:bCs/>
          <w:color w:val="auto"/>
          <w:sz w:val="21"/>
          <w:szCs w:val="21"/>
          <w:highlight w:val="none"/>
          <w:lang w:eastAsia="zh-CN"/>
        </w:rPr>
        <w:t>分（北京时间）（自招标文件开始发出之日起至投标人提交投标文件截止之日止，不得少于20日）</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地点：乐昌市昌山北路23号韶关市公共资源交易中心乐昌分中心</w:t>
      </w:r>
    </w:p>
    <w:p>
      <w:pPr>
        <w:pStyle w:val="3"/>
        <w:adjustRightInd w:val="0"/>
        <w:snapToGrid w:val="0"/>
        <w:spacing w:line="360" w:lineRule="auto"/>
        <w:ind w:firstLine="422" w:firstLineChars="200"/>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五、公告期限</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自本公告发布之日起</w:t>
      </w:r>
      <w:r>
        <w:rPr>
          <w:rFonts w:ascii="宋体" w:hAnsi="宋体" w:eastAsia="宋体"/>
          <w:bCs/>
          <w:color w:val="auto"/>
          <w:sz w:val="21"/>
          <w:szCs w:val="21"/>
          <w:highlight w:val="none"/>
          <w:lang w:eastAsia="zh-CN"/>
        </w:rPr>
        <w:t>5个工作日。</w:t>
      </w:r>
    </w:p>
    <w:p>
      <w:pPr>
        <w:pStyle w:val="3"/>
        <w:adjustRightInd w:val="0"/>
        <w:snapToGrid w:val="0"/>
        <w:spacing w:line="360" w:lineRule="auto"/>
        <w:ind w:firstLine="422" w:firstLineChars="200"/>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六、其他补充事宜</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ascii="宋体" w:hAnsi="宋体" w:eastAsia="宋体"/>
          <w:bCs/>
          <w:color w:val="auto"/>
          <w:sz w:val="21"/>
          <w:szCs w:val="21"/>
          <w:highlight w:val="none"/>
          <w:lang w:eastAsia="zh-CN"/>
        </w:rPr>
        <w:t>(一）采购项目注意事项</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ascii="宋体" w:hAnsi="宋体" w:eastAsia="宋体"/>
          <w:bCs/>
          <w:color w:val="auto"/>
          <w:sz w:val="21"/>
          <w:szCs w:val="21"/>
          <w:highlight w:val="none"/>
          <w:lang w:eastAsia="zh-CN"/>
        </w:rPr>
        <w:t>1.参与本项目的供应商须采用韶关市公共资源交易一体化平台“产权招标交易系统”进行网上</w:t>
      </w:r>
      <w:r>
        <w:rPr>
          <w:rFonts w:hint="eastAsia" w:ascii="宋体" w:hAnsi="宋体" w:eastAsia="宋体"/>
          <w:bCs/>
          <w:color w:val="auto"/>
          <w:sz w:val="21"/>
          <w:szCs w:val="21"/>
          <w:highlight w:val="none"/>
          <w:lang w:eastAsia="zh-CN"/>
        </w:rPr>
        <w:t>登记</w:t>
      </w:r>
      <w:r>
        <w:rPr>
          <w:rFonts w:ascii="宋体" w:hAnsi="宋体" w:eastAsia="宋体"/>
          <w:bCs/>
          <w:color w:val="auto"/>
          <w:sz w:val="21"/>
          <w:szCs w:val="21"/>
          <w:highlight w:val="none"/>
          <w:lang w:eastAsia="zh-CN"/>
        </w:rPr>
        <w:t>。</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技术支持：0751-8379671 伍工</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ascii="宋体" w:hAnsi="宋体" w:eastAsia="宋体"/>
          <w:bCs/>
          <w:color w:val="auto"/>
          <w:sz w:val="21"/>
          <w:szCs w:val="21"/>
          <w:highlight w:val="none"/>
          <w:lang w:eastAsia="zh-CN"/>
        </w:rPr>
        <w:t>2.报名事宜</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w:t>
      </w:r>
      <w:r>
        <w:rPr>
          <w:rFonts w:ascii="宋体" w:hAnsi="宋体" w:eastAsia="宋体"/>
          <w:bCs/>
          <w:color w:val="auto"/>
          <w:sz w:val="21"/>
          <w:szCs w:val="21"/>
          <w:highlight w:val="none"/>
          <w:lang w:eastAsia="zh-CN"/>
        </w:rPr>
        <w:t>1）</w:t>
      </w:r>
      <w:r>
        <w:rPr>
          <w:rFonts w:hint="eastAsia" w:ascii="宋体" w:hAnsi="宋体" w:eastAsia="宋体"/>
          <w:bCs/>
          <w:color w:val="auto"/>
          <w:sz w:val="21"/>
          <w:szCs w:val="21"/>
          <w:highlight w:val="none"/>
          <w:lang w:eastAsia="zh-CN"/>
        </w:rPr>
        <w:t>报名流程：投标人必须在报名时间内登录广东省公共资源交易平台（韶关市）（</w:t>
      </w:r>
      <w:r>
        <w:rPr>
          <w:rFonts w:ascii="宋体" w:hAnsi="宋体" w:eastAsia="宋体"/>
          <w:bCs/>
          <w:color w:val="auto"/>
          <w:sz w:val="21"/>
          <w:szCs w:val="21"/>
          <w:highlight w:val="none"/>
          <w:lang w:eastAsia="zh-CN"/>
        </w:rPr>
        <w:t>https://ygp.gdzwfw.gov.cn/ggzy-portal/#/440200/index）、韶关市公共资源交易一体化平台（网址：https://portal.ythpt.sg.gov.cn/），在用户登录窗口登录。登录成功后，点击“产权招标交易系统”进入产权招标交易系统，点击“系统功能菜单”中的“投标报名 &gt; 项目列表”查看可报名的项目，选择需参与的项目分包，点击“报名”，输入联系人、联系电话，输入Pin码验证成功后，点击</w:t>
      </w:r>
      <w:r>
        <w:rPr>
          <w:rFonts w:hint="eastAsia" w:ascii="宋体" w:hAnsi="宋体" w:eastAsia="宋体"/>
          <w:bCs/>
          <w:color w:val="auto"/>
          <w:sz w:val="21"/>
          <w:szCs w:val="21"/>
          <w:highlight w:val="none"/>
          <w:lang w:eastAsia="zh-CN"/>
        </w:rPr>
        <w:t>“确认”即可。在“已报项目”栏中看到已报项目，即为报名成功。</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w:t>
      </w:r>
      <w:r>
        <w:rPr>
          <w:rFonts w:ascii="宋体" w:hAnsi="宋体" w:eastAsia="宋体"/>
          <w:bCs/>
          <w:color w:val="auto"/>
          <w:sz w:val="21"/>
          <w:szCs w:val="21"/>
          <w:highlight w:val="none"/>
          <w:lang w:eastAsia="zh-CN"/>
        </w:rPr>
        <w:t>2）未在韶关市公共资源交易中心办理韶关市电子交易平台数字证书和产权招标交易系统供应商入库手续的，投标人应当登录广东省公共资源交易平台（韶关市）（https://ygp.gdzwfw.gov.cn/ggzy-portal/#/440200/index）、韶关市公共资源交易一体化平台（网址：http：//portal.ythpt.sg.gov.cn）用户注册及完善企业信息、上传资料，携带相关资料到韶关市公共资源交易中心1号楼一楼办事大厅办理相关手续（详见韶关市公共资源交易一体化平台的《韶关市公共资源交易一体化</w:t>
      </w:r>
      <w:r>
        <w:rPr>
          <w:rFonts w:hint="eastAsia" w:ascii="宋体" w:hAnsi="宋体" w:eastAsia="宋体"/>
          <w:bCs/>
          <w:color w:val="auto"/>
          <w:sz w:val="21"/>
          <w:szCs w:val="21"/>
          <w:highlight w:val="none"/>
          <w:lang w:eastAsia="zh-CN"/>
        </w:rPr>
        <w:t>平台使用产权招标交易系统注意事项》的附件《韶关市公共资源交易一体化平台产权招标交易</w:t>
      </w:r>
      <w:r>
        <w:rPr>
          <w:rFonts w:ascii="宋体" w:hAnsi="宋体" w:eastAsia="宋体"/>
          <w:bCs/>
          <w:color w:val="auto"/>
          <w:sz w:val="21"/>
          <w:szCs w:val="21"/>
          <w:highlight w:val="none"/>
          <w:lang w:eastAsia="zh-CN"/>
        </w:rPr>
        <w:t>-投标人用户手册》）。</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w:t>
      </w:r>
      <w:r>
        <w:rPr>
          <w:rFonts w:ascii="宋体" w:hAnsi="宋体" w:eastAsia="宋体"/>
          <w:bCs/>
          <w:color w:val="auto"/>
          <w:sz w:val="21"/>
          <w:szCs w:val="21"/>
          <w:highlight w:val="none"/>
          <w:lang w:eastAsia="zh-CN"/>
        </w:rPr>
        <w:t>3）报名成功后，投标人自行登录广东省公共资源交易平台（韶关市）（https://ygp.gdzwfw.gov.cn/ggzy-portal/#/440200/index）、韶关市公共资源交易一体化平台（网址：https://portal.ythpt.sg.gov.cn/）或产权招标交易系统下载招标文件、操作指南（以最新日期版本为准）参加投标活动。</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二）供应商应当在参与采购活动前详细研究了招标文件的所有内容，包括澄清、修改文件（如果有）和所有已提供的参考资料以及有关附件，且不存在任何含糊不清和误解之处，否则，由此产生的一切后果由供应商自行承担。</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val="en-US" w:eastAsia="zh-CN"/>
        </w:rPr>
        <w:t>3</w:t>
      </w:r>
      <w:r>
        <w:rPr>
          <w:rFonts w:ascii="宋体" w:hAnsi="宋体" w:eastAsia="宋体"/>
          <w:bCs/>
          <w:color w:val="auto"/>
          <w:sz w:val="21"/>
          <w:szCs w:val="21"/>
          <w:highlight w:val="none"/>
          <w:lang w:eastAsia="zh-CN"/>
        </w:rPr>
        <w:t>.公告发布媒体：</w:t>
      </w:r>
    </w:p>
    <w:p>
      <w:pPr>
        <w:pStyle w:val="3"/>
        <w:adjustRightInd w:val="0"/>
        <w:snapToGrid w:val="0"/>
        <w:spacing w:line="360" w:lineRule="auto"/>
        <w:ind w:firstLine="420" w:firstLineChars="200"/>
        <w:rPr>
          <w:rFonts w:ascii="宋体" w:hAnsi="宋体" w:eastAsia="宋体" w:cs="宋体"/>
          <w:color w:val="auto"/>
          <w:kern w:val="16"/>
          <w:sz w:val="21"/>
          <w:szCs w:val="21"/>
          <w:highlight w:val="none"/>
          <w:lang w:eastAsia="zh-CN"/>
        </w:rPr>
      </w:pPr>
      <w:r>
        <w:rPr>
          <w:rFonts w:hint="eastAsia" w:ascii="宋体" w:hAnsi="宋体" w:eastAsia="宋体" w:cs="宋体"/>
          <w:color w:val="auto"/>
          <w:kern w:val="16"/>
          <w:sz w:val="21"/>
          <w:szCs w:val="21"/>
          <w:highlight w:val="none"/>
        </w:rPr>
        <w:t>广东省公共资源交易平台（韶关市）（https://ygp.gdzwfw.gov.cn/ggzy-portal/#/440200/index）</w:t>
      </w:r>
      <w:r>
        <w:rPr>
          <w:rFonts w:hint="eastAsia" w:ascii="宋体" w:hAnsi="宋体" w:eastAsia="宋体" w:cs="宋体"/>
          <w:color w:val="auto"/>
          <w:kern w:val="16"/>
          <w:sz w:val="21"/>
          <w:szCs w:val="21"/>
          <w:highlight w:val="none"/>
          <w:lang w:eastAsia="zh-CN"/>
        </w:rPr>
        <w:t xml:space="preserve"> </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hint="eastAsia" w:ascii="宋体" w:hAnsi="宋体" w:eastAsia="宋体"/>
          <w:color w:val="auto"/>
          <w:sz w:val="21"/>
          <w:szCs w:val="21"/>
          <w:highlight w:val="none"/>
        </w:rPr>
        <w:t>韶关市公共资源交易服务平台(http：//portal.ythpt.sg.gov.cn)</w:t>
      </w:r>
      <w:r>
        <w:rPr>
          <w:rFonts w:hint="eastAsia" w:ascii="宋体" w:hAnsi="宋体" w:eastAsia="宋体"/>
          <w:color w:val="auto"/>
          <w:sz w:val="21"/>
          <w:szCs w:val="21"/>
          <w:highlight w:val="none"/>
          <w:lang w:eastAsia="zh-CN"/>
        </w:rPr>
        <w:t xml:space="preserve"> </w:t>
      </w:r>
    </w:p>
    <w:p>
      <w:pPr>
        <w:pStyle w:val="3"/>
        <w:adjustRightInd w:val="0"/>
        <w:snapToGrid w:val="0"/>
        <w:spacing w:line="360" w:lineRule="auto"/>
        <w:ind w:firstLine="422" w:firstLineChars="200"/>
        <w:rPr>
          <w:rFonts w:ascii="宋体" w:hAnsi="宋体" w:eastAsia="宋体"/>
          <w:color w:val="auto"/>
          <w:sz w:val="21"/>
          <w:szCs w:val="21"/>
          <w:highlight w:val="none"/>
          <w:lang w:eastAsia="zh-CN"/>
        </w:rPr>
      </w:pPr>
      <w:r>
        <w:rPr>
          <w:rFonts w:hint="eastAsia" w:ascii="宋体" w:hAnsi="宋体" w:eastAsia="宋体"/>
          <w:b/>
          <w:color w:val="auto"/>
          <w:sz w:val="21"/>
          <w:szCs w:val="21"/>
          <w:highlight w:val="none"/>
          <w:lang w:eastAsia="zh-CN"/>
        </w:rPr>
        <w:t>七、对本次招标提出询问，请按以下方式联系。</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ascii="宋体" w:hAnsi="宋体" w:eastAsia="宋体"/>
          <w:bCs/>
          <w:color w:val="auto"/>
          <w:sz w:val="21"/>
          <w:szCs w:val="21"/>
          <w:highlight w:val="none"/>
          <w:lang w:eastAsia="zh-CN"/>
        </w:rPr>
        <w:t>（</w:t>
      </w:r>
      <w:r>
        <w:rPr>
          <w:rFonts w:hint="eastAsia" w:ascii="宋体" w:hAnsi="宋体" w:eastAsia="宋体"/>
          <w:bCs/>
          <w:color w:val="auto"/>
          <w:sz w:val="21"/>
          <w:szCs w:val="21"/>
          <w:highlight w:val="none"/>
          <w:lang w:val="en-US" w:eastAsia="zh-CN"/>
        </w:rPr>
        <w:t>一</w:t>
      </w:r>
      <w:r>
        <w:rPr>
          <w:rFonts w:ascii="宋体" w:hAnsi="宋体" w:eastAsia="宋体"/>
          <w:bCs/>
          <w:color w:val="auto"/>
          <w:sz w:val="21"/>
          <w:szCs w:val="21"/>
          <w:highlight w:val="none"/>
          <w:lang w:eastAsia="zh-CN"/>
        </w:rPr>
        <w:t>）</w:t>
      </w:r>
      <w:r>
        <w:rPr>
          <w:rFonts w:hint="eastAsia" w:ascii="宋体" w:hAnsi="宋体" w:eastAsia="宋体"/>
          <w:bCs/>
          <w:color w:val="auto"/>
          <w:sz w:val="21"/>
          <w:szCs w:val="21"/>
          <w:highlight w:val="none"/>
          <w:lang w:eastAsia="zh-CN"/>
        </w:rPr>
        <w:t>招标</w:t>
      </w:r>
      <w:r>
        <w:rPr>
          <w:rFonts w:ascii="宋体" w:hAnsi="宋体" w:eastAsia="宋体"/>
          <w:bCs/>
          <w:color w:val="auto"/>
          <w:sz w:val="21"/>
          <w:szCs w:val="21"/>
          <w:highlight w:val="none"/>
          <w:lang w:eastAsia="zh-CN"/>
        </w:rPr>
        <w:t>人：</w:t>
      </w:r>
      <w:r>
        <w:rPr>
          <w:rFonts w:hint="eastAsia" w:ascii="宋体" w:hAnsi="宋体" w:eastAsia="宋体"/>
          <w:bCs/>
          <w:color w:val="auto"/>
          <w:sz w:val="21"/>
          <w:szCs w:val="21"/>
          <w:highlight w:val="none"/>
          <w:lang w:eastAsia="zh-CN"/>
        </w:rPr>
        <w:t>乐昌市北乡镇人民政府</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ascii="宋体" w:hAnsi="宋体" w:eastAsia="宋体"/>
          <w:bCs/>
          <w:color w:val="auto"/>
          <w:sz w:val="21"/>
          <w:szCs w:val="21"/>
          <w:highlight w:val="none"/>
          <w:lang w:eastAsia="zh-CN"/>
        </w:rPr>
        <w:t>联系电话：</w:t>
      </w:r>
      <w:r>
        <w:rPr>
          <w:rFonts w:hint="eastAsia" w:ascii="宋体" w:hAnsi="宋体" w:eastAsia="宋体"/>
          <w:bCs/>
          <w:color w:val="auto"/>
          <w:sz w:val="21"/>
          <w:szCs w:val="21"/>
          <w:highlight w:val="none"/>
          <w:lang w:eastAsia="zh-CN"/>
        </w:rPr>
        <w:t>0751-5680128</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ascii="宋体" w:hAnsi="宋体" w:eastAsia="宋体"/>
          <w:bCs/>
          <w:color w:val="auto"/>
          <w:sz w:val="21"/>
          <w:szCs w:val="21"/>
          <w:highlight w:val="none"/>
          <w:lang w:eastAsia="zh-CN"/>
        </w:rPr>
        <w:t>地址：</w:t>
      </w:r>
      <w:r>
        <w:rPr>
          <w:rFonts w:hint="eastAsia" w:ascii="宋体" w:hAnsi="宋体" w:eastAsia="宋体"/>
          <w:bCs/>
          <w:color w:val="auto"/>
          <w:sz w:val="21"/>
          <w:szCs w:val="21"/>
          <w:highlight w:val="none"/>
          <w:lang w:eastAsia="zh-CN"/>
        </w:rPr>
        <w:t>广东省韶关市乐昌市北乡镇政府前路</w:t>
      </w:r>
    </w:p>
    <w:p>
      <w:pPr>
        <w:pStyle w:val="3"/>
        <w:tabs>
          <w:tab w:val="left" w:pos="2194"/>
        </w:tabs>
        <w:adjustRightInd w:val="0"/>
        <w:snapToGrid w:val="0"/>
        <w:spacing w:line="360" w:lineRule="auto"/>
        <w:ind w:firstLine="420" w:firstLineChars="200"/>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二</w:t>
      </w:r>
      <w:r>
        <w:rPr>
          <w:rFonts w:ascii="宋体" w:hAnsi="宋体" w:eastAsia="宋体"/>
          <w:color w:val="auto"/>
          <w:sz w:val="21"/>
          <w:szCs w:val="21"/>
          <w:highlight w:val="none"/>
          <w:lang w:eastAsia="zh-CN"/>
        </w:rPr>
        <w:t>）招标代理机构：</w:t>
      </w:r>
      <w:r>
        <w:rPr>
          <w:rFonts w:hint="eastAsia" w:ascii="宋体" w:hAnsi="宋体" w:eastAsia="宋体"/>
          <w:color w:val="auto"/>
          <w:sz w:val="21"/>
          <w:szCs w:val="21"/>
          <w:highlight w:val="none"/>
          <w:lang w:eastAsia="zh-CN"/>
        </w:rPr>
        <w:t>公诚管理咨询有限公司</w:t>
      </w:r>
    </w:p>
    <w:p>
      <w:pPr>
        <w:pStyle w:val="3"/>
        <w:tabs>
          <w:tab w:val="left" w:pos="2194"/>
        </w:tabs>
        <w:adjustRightInd w:val="0"/>
        <w:snapToGrid w:val="0"/>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项目联系人</w:t>
      </w:r>
      <w:r>
        <w:rPr>
          <w:rFonts w:ascii="宋体" w:hAnsi="宋体" w:eastAsia="宋体"/>
          <w:color w:val="auto"/>
          <w:sz w:val="21"/>
          <w:szCs w:val="21"/>
          <w:highlight w:val="none"/>
          <w:lang w:eastAsia="zh-CN"/>
        </w:rPr>
        <w:t>：</w:t>
      </w:r>
      <w:r>
        <w:rPr>
          <w:rFonts w:hint="eastAsia" w:ascii="宋体" w:hAnsi="宋体" w:eastAsia="宋体"/>
          <w:color w:val="auto"/>
          <w:sz w:val="21"/>
          <w:szCs w:val="21"/>
          <w:highlight w:val="none"/>
          <w:lang w:eastAsia="zh-CN"/>
        </w:rPr>
        <w:t>公诚管理咨询有限公司</w:t>
      </w:r>
    </w:p>
    <w:p>
      <w:pPr>
        <w:pStyle w:val="3"/>
        <w:adjustRightInd w:val="0"/>
        <w:snapToGrid w:val="0"/>
        <w:spacing w:line="360" w:lineRule="auto"/>
        <w:ind w:firstLine="420" w:firstLineChars="200"/>
        <w:rPr>
          <w:rFonts w:hint="default" w:ascii="宋体" w:hAnsi="宋体" w:eastAsia="宋体"/>
          <w:bCs/>
          <w:color w:val="auto"/>
          <w:sz w:val="21"/>
          <w:szCs w:val="21"/>
          <w:highlight w:val="none"/>
          <w:lang w:val="en-US" w:eastAsia="zh-CN"/>
        </w:rPr>
      </w:pPr>
      <w:r>
        <w:rPr>
          <w:rFonts w:ascii="宋体" w:hAnsi="宋体" w:eastAsia="宋体"/>
          <w:bCs/>
          <w:color w:val="auto"/>
          <w:sz w:val="21"/>
          <w:szCs w:val="21"/>
          <w:highlight w:val="none"/>
          <w:lang w:eastAsia="zh-CN"/>
        </w:rPr>
        <w:t>联系人：</w:t>
      </w:r>
      <w:r>
        <w:rPr>
          <w:rFonts w:hint="eastAsia" w:ascii="宋体" w:hAnsi="宋体" w:eastAsia="宋体"/>
          <w:bCs/>
          <w:color w:val="auto"/>
          <w:sz w:val="21"/>
          <w:szCs w:val="21"/>
          <w:highlight w:val="none"/>
          <w:lang w:eastAsia="zh-CN"/>
        </w:rPr>
        <w:t>杨威、</w:t>
      </w:r>
      <w:r>
        <w:rPr>
          <w:rFonts w:hint="eastAsia" w:ascii="宋体" w:hAnsi="宋体" w:eastAsia="宋体"/>
          <w:bCs/>
          <w:color w:val="auto"/>
          <w:sz w:val="21"/>
          <w:szCs w:val="21"/>
          <w:highlight w:val="none"/>
          <w:lang w:val="en-US" w:eastAsia="zh-CN"/>
        </w:rPr>
        <w:t>曾卫平、刘国蕾、邓勇浩、刘伟胜、庞文勇</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ascii="宋体" w:hAnsi="宋体" w:eastAsia="宋体"/>
          <w:bCs/>
          <w:color w:val="auto"/>
          <w:sz w:val="21"/>
          <w:szCs w:val="21"/>
          <w:highlight w:val="none"/>
          <w:lang w:eastAsia="zh-CN"/>
        </w:rPr>
        <w:t>联系电话：</w:t>
      </w:r>
      <w:r>
        <w:rPr>
          <w:rFonts w:hint="eastAsia" w:ascii="宋体" w:hAnsi="宋体" w:eastAsia="宋体"/>
          <w:bCs/>
          <w:color w:val="auto"/>
          <w:sz w:val="21"/>
          <w:szCs w:val="21"/>
          <w:highlight w:val="none"/>
          <w:lang w:eastAsia="zh-CN"/>
        </w:rPr>
        <w:t>0751-8603020</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r>
        <w:rPr>
          <w:rFonts w:ascii="宋体" w:hAnsi="宋体" w:eastAsia="宋体"/>
          <w:bCs/>
          <w:color w:val="auto"/>
          <w:sz w:val="21"/>
          <w:szCs w:val="21"/>
          <w:highlight w:val="none"/>
          <w:lang w:eastAsia="zh-CN"/>
        </w:rPr>
        <w:t>地址：</w:t>
      </w:r>
      <w:r>
        <w:rPr>
          <w:rFonts w:hint="eastAsia" w:ascii="宋体" w:hAnsi="宋体" w:eastAsia="宋体"/>
          <w:bCs/>
          <w:color w:val="auto"/>
          <w:sz w:val="21"/>
          <w:szCs w:val="21"/>
          <w:highlight w:val="none"/>
          <w:lang w:eastAsia="zh-CN"/>
        </w:rPr>
        <w:t>韶关市武江区新华</w:t>
      </w:r>
      <w:bookmarkStart w:id="3" w:name="_GoBack"/>
      <w:bookmarkEnd w:id="3"/>
      <w:r>
        <w:rPr>
          <w:rFonts w:hint="eastAsia" w:ascii="宋体" w:hAnsi="宋体" w:eastAsia="宋体"/>
          <w:bCs/>
          <w:color w:val="auto"/>
          <w:sz w:val="21"/>
          <w:szCs w:val="21"/>
          <w:highlight w:val="none"/>
          <w:lang w:eastAsia="zh-CN"/>
        </w:rPr>
        <w:t>南路40号湘商大厦24楼</w:t>
      </w:r>
    </w:p>
    <w:p>
      <w:pPr>
        <w:pStyle w:val="3"/>
        <w:adjustRightInd w:val="0"/>
        <w:snapToGrid w:val="0"/>
        <w:spacing w:line="360" w:lineRule="auto"/>
        <w:ind w:firstLine="420" w:firstLineChars="200"/>
        <w:rPr>
          <w:rFonts w:ascii="宋体" w:hAnsi="宋体" w:eastAsia="宋体"/>
          <w:bCs/>
          <w:color w:val="auto"/>
          <w:sz w:val="21"/>
          <w:szCs w:val="21"/>
          <w:highlight w:val="none"/>
          <w:lang w:eastAsia="zh-CN"/>
        </w:rPr>
      </w:pPr>
    </w:p>
    <w:p>
      <w:pPr>
        <w:pStyle w:val="3"/>
        <w:adjustRightInd w:val="0"/>
        <w:snapToGrid w:val="0"/>
        <w:spacing w:line="360" w:lineRule="auto"/>
        <w:ind w:firstLine="422" w:firstLineChars="200"/>
        <w:rPr>
          <w:rFonts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八、招标文件的解释权、特殊情况条款的调整权和未尽事宜的补充权属于招标人。</w:t>
      </w:r>
    </w:p>
    <w:p>
      <w:pPr>
        <w:pStyle w:val="3"/>
        <w:adjustRightInd w:val="0"/>
        <w:snapToGrid w:val="0"/>
        <w:spacing w:line="360" w:lineRule="auto"/>
        <w:ind w:firstLine="422" w:firstLineChars="200"/>
        <w:rPr>
          <w:rFonts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九、以上招标公告未尽事宜，请详细查阅招标文件。</w:t>
      </w:r>
    </w:p>
    <w:p>
      <w:pPr>
        <w:pStyle w:val="3"/>
        <w:adjustRightInd w:val="0"/>
        <w:snapToGrid w:val="0"/>
        <w:spacing w:line="360" w:lineRule="auto"/>
        <w:ind w:firstLine="422" w:firstLineChars="200"/>
        <w:rPr>
          <w:rFonts w:ascii="宋体" w:hAnsi="宋体" w:eastAsia="宋体"/>
          <w:b/>
          <w:bCs/>
          <w:color w:val="auto"/>
          <w:sz w:val="21"/>
          <w:szCs w:val="21"/>
          <w:highlight w:val="none"/>
          <w:lang w:eastAsia="zh-CN"/>
        </w:rPr>
      </w:pPr>
    </w:p>
    <w:p>
      <w:pPr>
        <w:pStyle w:val="3"/>
        <w:adjustRightInd w:val="0"/>
        <w:snapToGrid w:val="0"/>
        <w:spacing w:line="360" w:lineRule="auto"/>
        <w:ind w:firstLine="420" w:firstLineChars="200"/>
        <w:jc w:val="right"/>
        <w:rPr>
          <w:rFonts w:hint="eastAsia" w:ascii="宋体" w:hAnsi="宋体" w:eastAsia="宋体"/>
          <w:color w:val="auto"/>
          <w:sz w:val="21"/>
          <w:szCs w:val="21"/>
          <w:highlight w:val="none"/>
          <w:lang w:eastAsia="zh-CN"/>
        </w:rPr>
      </w:pPr>
      <w:r>
        <w:rPr>
          <w:rFonts w:ascii="宋体" w:hAnsi="宋体" w:eastAsia="宋体"/>
          <w:color w:val="auto"/>
          <w:sz w:val="21"/>
          <w:szCs w:val="21"/>
          <w:highlight w:val="none"/>
          <w:lang w:eastAsia="zh-CN"/>
        </w:rPr>
        <w:t xml:space="preserve">招标代理机构： </w:t>
      </w:r>
      <w:r>
        <w:rPr>
          <w:rFonts w:hint="eastAsia" w:ascii="宋体" w:hAnsi="宋体" w:eastAsia="宋体"/>
          <w:color w:val="auto"/>
          <w:sz w:val="21"/>
          <w:szCs w:val="21"/>
          <w:highlight w:val="none"/>
          <w:lang w:eastAsia="zh-CN"/>
        </w:rPr>
        <w:t>公诚管理咨询有限公司</w:t>
      </w:r>
    </w:p>
    <w:p>
      <w:pPr>
        <w:jc w:val="right"/>
        <w:rPr>
          <w:rFonts w:hint="default"/>
          <w:lang w:val="en-US" w:eastAsia="zh-CN"/>
        </w:rPr>
      </w:pPr>
      <w:r>
        <w:rPr>
          <w:rFonts w:hint="eastAsia" w:ascii="宋体" w:hAnsi="宋体" w:eastAsia="宋体"/>
          <w:color w:val="auto"/>
          <w:sz w:val="21"/>
          <w:szCs w:val="21"/>
          <w:highlight w:val="none"/>
          <w:lang w:val="en-US" w:eastAsia="zh-CN"/>
        </w:rPr>
        <w:t>2025年01月24日</w:t>
      </w:r>
    </w:p>
    <w:p>
      <w:pPr>
        <w:pStyle w:val="3"/>
        <w:adjustRightInd w:val="0"/>
        <w:snapToGrid w:val="0"/>
        <w:spacing w:line="360" w:lineRule="auto"/>
        <w:ind w:firstLine="720" w:firstLineChars="200"/>
        <w:rPr>
          <w:rFonts w:ascii="宋体" w:hAnsi="宋体" w:eastAsia="宋体"/>
          <w:color w:val="auto"/>
          <w:sz w:val="36"/>
          <w:szCs w:val="36"/>
          <w:highlight w:val="none"/>
          <w:lang w:eastAsia="zh-CN"/>
        </w:rPr>
      </w:pPr>
      <w:r>
        <w:rPr>
          <w:rFonts w:ascii="宋体" w:hAnsi="宋体" w:eastAsia="宋体"/>
          <w:color w:val="auto"/>
          <w:sz w:val="36"/>
          <w:szCs w:val="36"/>
          <w:highlight w:val="none"/>
          <w:lang w:eastAsia="zh-CN"/>
        </w:rPr>
        <w:br w:type="page"/>
      </w:r>
    </w:p>
    <w:p>
      <w:pPr>
        <w:adjustRightInd w:val="0"/>
        <w:snapToGrid w:val="0"/>
        <w:spacing w:line="360" w:lineRule="auto"/>
        <w:jc w:val="center"/>
        <w:outlineLvl w:val="0"/>
        <w:rPr>
          <w:rFonts w:ascii="宋体" w:hAnsi="宋体" w:eastAsia="宋体"/>
          <w:color w:val="auto"/>
          <w:sz w:val="36"/>
          <w:szCs w:val="36"/>
          <w:highlight w:val="none"/>
          <w:lang w:eastAsia="zh-CN"/>
        </w:rPr>
      </w:pPr>
      <w:r>
        <w:rPr>
          <w:rFonts w:hint="eastAsia" w:ascii="宋体" w:hAnsi="宋体" w:eastAsia="宋体"/>
          <w:color w:val="auto"/>
          <w:sz w:val="36"/>
          <w:szCs w:val="36"/>
          <w:highlight w:val="none"/>
          <w:lang w:eastAsia="zh-CN"/>
        </w:rPr>
        <w:t xml:space="preserve">第二部分 </w:t>
      </w:r>
      <w:r>
        <w:rPr>
          <w:rFonts w:ascii="宋体" w:hAnsi="宋体" w:eastAsia="宋体"/>
          <w:color w:val="auto"/>
          <w:sz w:val="36"/>
          <w:szCs w:val="36"/>
          <w:highlight w:val="none"/>
          <w:lang w:eastAsia="zh-CN"/>
        </w:rPr>
        <w:t xml:space="preserve"> 投标人须知</w:t>
      </w:r>
    </w:p>
    <w:p>
      <w:pPr>
        <w:pStyle w:val="5"/>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color w:val="auto"/>
          <w:kern w:val="44"/>
          <w:highlight w:val="none"/>
          <w:lang w:val="zh-CN" w:eastAsia="zh-CN"/>
        </w:rPr>
      </w:pPr>
      <w:r>
        <w:rPr>
          <w:rFonts w:hint="eastAsia" w:ascii="宋体" w:hAnsi="宋体"/>
          <w:color w:val="auto"/>
          <w:kern w:val="44"/>
          <w:highlight w:val="none"/>
          <w:lang w:val="zh-CN" w:eastAsia="zh-CN"/>
        </w:rPr>
        <w:t>投标须知前附表</w:t>
      </w:r>
    </w:p>
    <w:p>
      <w:pPr>
        <w:pageBreakBefore w:val="0"/>
        <w:widowControl w:val="0"/>
        <w:kinsoku/>
        <w:wordWrap/>
        <w:overflowPunct/>
        <w:topLinePunct w:val="0"/>
        <w:autoSpaceDE w:val="0"/>
        <w:autoSpaceDN w:val="0"/>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注：本前附表与招标文件正文内容前后不一致时，以本须知前附表为准。</w:t>
      </w:r>
    </w:p>
    <w:tbl>
      <w:tblPr>
        <w:tblStyle w:val="19"/>
        <w:tblW w:w="97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30"/>
        <w:gridCol w:w="73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9" w:type="dxa"/>
            <w:tcBorders>
              <w:top w:val="doub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b/>
                <w:bCs/>
                <w:color w:val="auto"/>
                <w:kern w:val="2"/>
                <w:sz w:val="21"/>
                <w:szCs w:val="21"/>
                <w:highlight w:val="none"/>
              </w:rPr>
            </w:pPr>
            <w:r>
              <w:rPr>
                <w:rFonts w:hint="eastAsia" w:ascii="宋体" w:hAnsi="宋体" w:eastAsia="宋体"/>
                <w:b/>
                <w:bCs/>
                <w:color w:val="auto"/>
                <w:kern w:val="2"/>
                <w:sz w:val="21"/>
                <w:szCs w:val="21"/>
                <w:highlight w:val="none"/>
              </w:rPr>
              <w:t>项目</w:t>
            </w:r>
          </w:p>
        </w:tc>
        <w:tc>
          <w:tcPr>
            <w:tcW w:w="1630" w:type="dxa"/>
            <w:tcBorders>
              <w:top w:val="doub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b/>
                <w:bCs/>
                <w:color w:val="auto"/>
                <w:kern w:val="2"/>
                <w:sz w:val="21"/>
                <w:szCs w:val="21"/>
                <w:highlight w:val="none"/>
              </w:rPr>
            </w:pPr>
            <w:r>
              <w:rPr>
                <w:rFonts w:hint="eastAsia" w:ascii="宋体" w:hAnsi="宋体" w:eastAsia="宋体"/>
                <w:b/>
                <w:bCs/>
                <w:color w:val="auto"/>
                <w:kern w:val="2"/>
                <w:sz w:val="21"/>
                <w:szCs w:val="21"/>
                <w:highlight w:val="none"/>
              </w:rPr>
              <w:t>内容</w:t>
            </w:r>
          </w:p>
        </w:tc>
        <w:tc>
          <w:tcPr>
            <w:tcW w:w="7377" w:type="dxa"/>
            <w:tcBorders>
              <w:top w:val="doub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b/>
                <w:bCs/>
                <w:color w:val="auto"/>
                <w:kern w:val="2"/>
                <w:sz w:val="21"/>
                <w:szCs w:val="21"/>
                <w:highlight w:val="none"/>
              </w:rPr>
            </w:pPr>
            <w:r>
              <w:rPr>
                <w:rFonts w:hint="eastAsia" w:ascii="宋体" w:hAnsi="宋体" w:eastAsia="宋体"/>
                <w:b/>
                <w:bCs/>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1</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资金来源</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restart"/>
            <w:tcBorders>
              <w:top w:val="single" w:color="auto" w:sz="4" w:space="0"/>
              <w:left w:val="doub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2</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合格的投标人</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u w:val="single"/>
                <w:lang w:eastAsia="zh-CN"/>
              </w:rPr>
            </w:pPr>
            <w:r>
              <w:rPr>
                <w:rFonts w:hint="eastAsia" w:ascii="宋体" w:hAnsi="宋体" w:eastAsia="宋体"/>
                <w:color w:val="auto"/>
                <w:kern w:val="2"/>
                <w:sz w:val="21"/>
                <w:szCs w:val="21"/>
                <w:highlight w:val="none"/>
                <w:lang w:val="zh-CN" w:eastAsia="zh-CN"/>
              </w:rPr>
              <w:t>详见《第一部分 投标邀请函》“</w:t>
            </w:r>
            <w:r>
              <w:rPr>
                <w:rFonts w:hint="eastAsia" w:ascii="宋体" w:hAnsi="宋体" w:eastAsia="宋体" w:cs="宋体"/>
                <w:bCs/>
                <w:color w:val="auto"/>
                <w:kern w:val="2"/>
                <w:sz w:val="21"/>
                <w:szCs w:val="21"/>
                <w:highlight w:val="none"/>
                <w:lang w:eastAsia="zh-CN"/>
              </w:rPr>
              <w:t>二、投标人的资格要求</w:t>
            </w:r>
            <w:r>
              <w:rPr>
                <w:rFonts w:hint="eastAsia" w:ascii="宋体" w:hAnsi="宋体" w:eastAsia="宋体" w:cs="宋体"/>
                <w:b/>
                <w:color w:val="auto"/>
                <w:kern w:val="2"/>
                <w:sz w:val="21"/>
                <w:szCs w:val="21"/>
                <w:highlight w:val="none"/>
                <w:lang w:eastAsia="zh-CN"/>
              </w:rPr>
              <w:t>”</w:t>
            </w:r>
            <w:r>
              <w:rPr>
                <w:rFonts w:hint="eastAsia" w:ascii="宋体" w:hAnsi="宋体" w:eastAsia="宋体"/>
                <w:color w:val="auto"/>
                <w:kern w:val="2"/>
                <w:sz w:val="21"/>
                <w:szCs w:val="21"/>
                <w:highlight w:val="none"/>
                <w:lang w:val="zh-CN" w:eastAsia="zh-CN"/>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tcBorders>
              <w:left w:val="double" w:color="auto" w:sz="4" w:space="0"/>
              <w:right w:val="single" w:color="auto" w:sz="4" w:space="0"/>
            </w:tcBorders>
            <w:vAlign w:val="center"/>
          </w:tcPr>
          <w:p>
            <w:pPr>
              <w:keepNext w:val="0"/>
              <w:keepLines w:val="0"/>
              <w:suppressLineNumbers w:val="0"/>
              <w:spacing w:before="0" w:beforeAutospacing="0" w:after="0" w:afterAutospacing="0" w:line="460" w:lineRule="exact"/>
              <w:ind w:left="125" w:right="0"/>
              <w:jc w:val="center"/>
              <w:rPr>
                <w:rFonts w:ascii="宋体" w:hAnsi="宋体" w:eastAsia="宋体"/>
                <w:color w:val="auto"/>
                <w:kern w:val="2"/>
                <w:sz w:val="21"/>
                <w:szCs w:val="21"/>
                <w:highlight w:val="none"/>
                <w:lang w:eastAsia="zh-CN"/>
              </w:rPr>
            </w:pP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关于联合体</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205" w:rightChars="-93"/>
              <w:rPr>
                <w:rFonts w:ascii="宋体" w:hAnsi="宋体" w:eastAsia="宋体"/>
                <w:color w:val="auto"/>
                <w:kern w:val="2"/>
                <w:sz w:val="21"/>
                <w:szCs w:val="21"/>
                <w:highlight w:val="none"/>
                <w:lang w:val="zh-CN" w:eastAsia="zh-CN"/>
              </w:rPr>
            </w:pPr>
            <w:r>
              <w:rPr>
                <w:rFonts w:hint="eastAsia" w:ascii="宋体" w:hAnsi="宋体" w:eastAsia="宋体"/>
                <w:color w:val="auto"/>
                <w:kern w:val="2"/>
                <w:sz w:val="21"/>
                <w:szCs w:val="21"/>
                <w:highlight w:val="none"/>
                <w:lang w:val="zh-CN" w:eastAsia="zh-CN"/>
              </w:rPr>
              <w:t>本项目不接受联合体投标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left w:val="doub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3</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踏勘现场</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采购人不集中组织，由投标人自行踏勘。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4</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定义</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tabs>
                <w:tab w:val="left" w:pos="19"/>
                <w:tab w:val="left" w:pos="586"/>
              </w:tabs>
              <w:spacing w:before="0" w:beforeAutospacing="0" w:after="0" w:afterAutospacing="0" w:line="460" w:lineRule="exact"/>
              <w:ind w:left="0" w:right="0"/>
              <w:rPr>
                <w:rFonts w:ascii="宋体" w:hAnsi="宋体" w:eastAsia="宋体"/>
                <w:color w:val="auto"/>
                <w:kern w:val="2"/>
                <w:sz w:val="21"/>
                <w:szCs w:val="21"/>
                <w:highlight w:val="none"/>
                <w:lang w:val="zh-CN" w:eastAsia="zh-CN"/>
              </w:rPr>
            </w:pPr>
            <w:r>
              <w:rPr>
                <w:rFonts w:hint="eastAsia" w:ascii="宋体" w:hAnsi="宋体" w:eastAsia="宋体"/>
                <w:color w:val="auto"/>
                <w:kern w:val="2"/>
                <w:sz w:val="21"/>
                <w:szCs w:val="21"/>
                <w:highlight w:val="none"/>
                <w:lang w:eastAsia="zh-CN"/>
              </w:rPr>
              <w:t>1.</w:t>
            </w:r>
            <w:r>
              <w:rPr>
                <w:rFonts w:hint="eastAsia" w:ascii="宋体" w:hAnsi="宋体" w:eastAsia="宋体"/>
                <w:color w:val="auto"/>
                <w:kern w:val="2"/>
                <w:sz w:val="21"/>
                <w:szCs w:val="21"/>
                <w:highlight w:val="none"/>
                <w:lang w:val="zh-CN" w:eastAsia="zh-CN"/>
              </w:rPr>
              <w:t>采购人：</w:t>
            </w:r>
            <w:r>
              <w:rPr>
                <w:rFonts w:hint="eastAsia" w:ascii="宋体" w:hAnsi="宋体" w:eastAsia="宋体"/>
                <w:color w:val="auto"/>
                <w:kern w:val="2"/>
                <w:sz w:val="21"/>
                <w:szCs w:val="21"/>
                <w:highlight w:val="none"/>
                <w:lang w:eastAsia="zh-CN"/>
              </w:rPr>
              <w:t>乐昌市北乡镇人民政府</w:t>
            </w:r>
            <w:r>
              <w:rPr>
                <w:rFonts w:hint="eastAsia" w:ascii="宋体" w:hAnsi="宋体" w:eastAsia="宋体"/>
                <w:color w:val="auto"/>
                <w:kern w:val="2"/>
                <w:sz w:val="21"/>
                <w:szCs w:val="21"/>
                <w:highlight w:val="none"/>
                <w:lang w:val="zh-CN" w:eastAsia="zh-CN"/>
              </w:rPr>
              <w:t>。</w:t>
            </w:r>
          </w:p>
          <w:p>
            <w:pPr>
              <w:keepNext w:val="0"/>
              <w:keepLines w:val="0"/>
              <w:suppressLineNumbers w:val="0"/>
              <w:tabs>
                <w:tab w:val="left" w:pos="19"/>
                <w:tab w:val="left" w:pos="586"/>
              </w:tabs>
              <w:spacing w:before="0" w:beforeAutospacing="0" w:after="0" w:afterAutospacing="0" w:line="460" w:lineRule="exact"/>
              <w:ind w:left="0" w:right="0"/>
              <w:rPr>
                <w:rFonts w:ascii="宋体" w:hAnsi="宋体" w:eastAsia="宋体"/>
                <w:color w:val="auto"/>
                <w:kern w:val="2"/>
                <w:sz w:val="21"/>
                <w:szCs w:val="21"/>
                <w:highlight w:val="none"/>
                <w:lang w:val="zh-CN" w:eastAsia="zh-CN"/>
              </w:rPr>
            </w:pPr>
            <w:r>
              <w:rPr>
                <w:rFonts w:hint="eastAsia" w:ascii="宋体" w:hAnsi="宋体" w:eastAsia="宋体"/>
                <w:color w:val="auto"/>
                <w:kern w:val="2"/>
                <w:sz w:val="21"/>
                <w:szCs w:val="21"/>
                <w:highlight w:val="none"/>
                <w:lang w:eastAsia="zh-CN"/>
              </w:rPr>
              <w:t>2.</w:t>
            </w:r>
            <w:r>
              <w:rPr>
                <w:rFonts w:hint="eastAsia" w:ascii="宋体" w:hAnsi="宋体" w:eastAsia="宋体"/>
                <w:color w:val="auto"/>
                <w:kern w:val="2"/>
                <w:sz w:val="21"/>
                <w:szCs w:val="21"/>
                <w:highlight w:val="none"/>
                <w:lang w:val="zh-CN" w:eastAsia="zh-CN"/>
              </w:rPr>
              <w:t>采购代理机构：公诚管理咨询有限公司。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5</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zh-CN"/>
              </w:rPr>
              <w:t>招标文件的澄清</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1.采购人不统一组织答疑会</w:t>
            </w:r>
          </w:p>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2.投标人质疑期限：公示期间或者自期满之日起7个工作日内以书面形式向采购人或招标代理机构提出质疑</w:t>
            </w:r>
          </w:p>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3.采购人澄清、修补或答疑期限：在投标截止日期前15日</w:t>
            </w:r>
          </w:p>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4.潜在供应商在收到上述通知或在</w:t>
            </w:r>
            <w:r>
              <w:rPr>
                <w:rFonts w:hint="eastAsia" w:ascii="宋体" w:hAnsi="宋体" w:eastAsia="宋体" w:cs="宋体"/>
                <w:color w:val="auto"/>
                <w:kern w:val="16"/>
                <w:sz w:val="21"/>
                <w:szCs w:val="21"/>
                <w:highlight w:val="none"/>
              </w:rPr>
              <w:t>广东省公共资源交易平台（韶关市）（https://ygp.gdzwfw.gov.cn/ggzy-portal/#/440200/index）、</w:t>
            </w:r>
            <w:r>
              <w:rPr>
                <w:rFonts w:hint="eastAsia" w:ascii="宋体" w:hAnsi="宋体" w:eastAsia="宋体"/>
                <w:color w:val="auto"/>
                <w:kern w:val="2"/>
                <w:sz w:val="21"/>
                <w:szCs w:val="21"/>
                <w:highlight w:val="none"/>
              </w:rPr>
              <w:t>韶关市公共资源交易服务平台(http：//portal.ythpt.sg.gov.cn)上查阅相关通知或公告后，应当立即以书面形式向采购代理机构确认，如在修改通知或公告发布之日起5日内没有以书面形式向采购代理机构确认的，视作同意修改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6</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投标文件</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1.投标文件由</w:t>
            </w:r>
            <w:r>
              <w:rPr>
                <w:rFonts w:hint="eastAsia" w:ascii="宋体" w:hAnsi="宋体" w:eastAsia="宋体"/>
                <w:color w:val="auto"/>
                <w:kern w:val="2"/>
                <w:sz w:val="21"/>
                <w:szCs w:val="21"/>
                <w:highlight w:val="none"/>
                <w:lang w:val="zh-CN" w:eastAsia="zh-CN"/>
              </w:rPr>
              <w:t>自查表、商务部分、技术部分三部分</w:t>
            </w:r>
            <w:r>
              <w:rPr>
                <w:rFonts w:hint="eastAsia" w:ascii="宋体" w:hAnsi="宋体" w:eastAsia="宋体"/>
                <w:color w:val="auto"/>
                <w:kern w:val="2"/>
                <w:sz w:val="21"/>
                <w:szCs w:val="21"/>
                <w:highlight w:val="none"/>
                <w:lang w:eastAsia="zh-CN"/>
              </w:rPr>
              <w:t>组成，合编成一本投标文件。</w:t>
            </w:r>
          </w:p>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val="en-US" w:eastAsia="zh-CN"/>
              </w:rPr>
              <w:t>2</w:t>
            </w:r>
            <w:r>
              <w:rPr>
                <w:rFonts w:hint="eastAsia" w:ascii="宋体" w:hAnsi="宋体" w:eastAsia="宋体"/>
                <w:color w:val="auto"/>
                <w:kern w:val="2"/>
                <w:sz w:val="21"/>
                <w:szCs w:val="21"/>
                <w:highlight w:val="none"/>
                <w:lang w:eastAsia="zh-CN"/>
              </w:rPr>
              <w:t>.电子文件一份（要求光盘或U盘介质，WORD或EXCEL格式，不留密码，无病毒，不压缩，内容应与投标人打印产生的纸质投标文件内容一致，如有不同，以纸质投标文件为准）。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7</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zh-CN"/>
              </w:rPr>
              <w:t>投标有效期</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bCs/>
                <w:color w:val="auto"/>
                <w:kern w:val="2"/>
                <w:sz w:val="21"/>
                <w:szCs w:val="21"/>
                <w:highlight w:val="none"/>
                <w:lang w:eastAsia="zh-CN"/>
              </w:rPr>
            </w:pPr>
            <w:r>
              <w:rPr>
                <w:rFonts w:hint="eastAsia" w:ascii="宋体" w:hAnsi="宋体" w:eastAsia="宋体"/>
                <w:bCs/>
                <w:color w:val="auto"/>
                <w:kern w:val="2"/>
                <w:sz w:val="21"/>
                <w:szCs w:val="21"/>
                <w:highlight w:val="none"/>
                <w:lang w:val="zh-CN" w:eastAsia="zh-CN"/>
              </w:rPr>
              <w:t>递交投标文件截止日后</w:t>
            </w:r>
            <w:r>
              <w:rPr>
                <w:rFonts w:ascii="宋体" w:hAnsi="宋体" w:eastAsia="宋体"/>
                <w:bCs/>
                <w:color w:val="auto"/>
                <w:kern w:val="2"/>
                <w:sz w:val="21"/>
                <w:szCs w:val="21"/>
                <w:highlight w:val="none"/>
                <w:lang w:val="zh-CN" w:eastAsia="zh-CN"/>
              </w:rPr>
              <w:t>90</w:t>
            </w:r>
            <w:r>
              <w:rPr>
                <w:rFonts w:hint="eastAsia" w:ascii="宋体" w:hAnsi="宋体" w:eastAsia="宋体"/>
                <w:bCs/>
                <w:color w:val="auto"/>
                <w:kern w:val="2"/>
                <w:sz w:val="21"/>
                <w:szCs w:val="21"/>
                <w:highlight w:val="none"/>
                <w:lang w:val="zh-CN" w:eastAsia="zh-CN"/>
              </w:rPr>
              <w:t>天内有效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8</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val="zh-CN"/>
              </w:rPr>
            </w:pPr>
            <w:r>
              <w:rPr>
                <w:rFonts w:hint="eastAsia" w:ascii="宋体" w:hAnsi="宋体" w:eastAsia="宋体"/>
                <w:color w:val="auto"/>
                <w:kern w:val="2"/>
                <w:sz w:val="21"/>
                <w:szCs w:val="21"/>
                <w:highlight w:val="none"/>
                <w:lang w:val="zh-CN"/>
              </w:rPr>
              <w:t>投标文件份数</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投标文件一式五份，其中，正本一份，副本四份。</w:t>
            </w:r>
          </w:p>
          <w:p>
            <w:pPr>
              <w:keepNext w:val="0"/>
              <w:keepLines w:val="0"/>
              <w:suppressLineNumbers w:val="0"/>
              <w:spacing w:before="0" w:beforeAutospacing="0" w:after="0" w:afterAutospacing="0" w:line="460" w:lineRule="exact"/>
              <w:ind w:left="0" w:right="0"/>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投标文件密封包封为一包（内含投标文件正本及副本）</w:t>
            </w:r>
          </w:p>
          <w:p>
            <w:pPr>
              <w:keepNext w:val="0"/>
              <w:keepLines w:val="0"/>
              <w:suppressLineNumbers w:val="0"/>
              <w:spacing w:before="0" w:beforeAutospacing="0" w:after="0" w:afterAutospacing="0" w:line="460" w:lineRule="exact"/>
              <w:ind w:left="0" w:right="0"/>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唱标信封密封包封为一包（内含唱标信封一份，投标文件电子文件一份）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9</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val="zh-CN" w:eastAsia="zh-CN"/>
              </w:rPr>
            </w:pPr>
            <w:r>
              <w:rPr>
                <w:rFonts w:hint="eastAsia" w:ascii="宋体" w:hAnsi="宋体" w:eastAsia="宋体"/>
                <w:bCs/>
                <w:color w:val="auto"/>
                <w:kern w:val="2"/>
                <w:sz w:val="21"/>
                <w:szCs w:val="21"/>
                <w:highlight w:val="none"/>
                <w:lang w:eastAsia="zh-CN"/>
              </w:rPr>
              <w:t>投标文件的递交、接收和密封</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hint="default" w:ascii="宋体" w:hAnsi="宋体" w:eastAsia="宋体"/>
                <w:color w:val="auto"/>
                <w:kern w:val="2"/>
                <w:sz w:val="21"/>
                <w:szCs w:val="21"/>
                <w:highlight w:val="none"/>
                <w:lang w:val="en-US" w:eastAsia="zh-CN"/>
              </w:rPr>
            </w:pPr>
            <w:r>
              <w:rPr>
                <w:rFonts w:ascii="宋体" w:hAnsi="宋体" w:eastAsia="宋体"/>
                <w:color w:val="auto"/>
                <w:kern w:val="2"/>
                <w:sz w:val="21"/>
                <w:szCs w:val="21"/>
                <w:highlight w:val="none"/>
                <w:lang w:eastAsia="zh-CN"/>
              </w:rPr>
              <w:t>1.</w:t>
            </w:r>
            <w:r>
              <w:rPr>
                <w:rFonts w:hint="eastAsia" w:ascii="宋体" w:hAnsi="宋体" w:eastAsia="宋体"/>
                <w:color w:val="auto"/>
                <w:kern w:val="2"/>
                <w:sz w:val="21"/>
                <w:szCs w:val="21"/>
                <w:highlight w:val="none"/>
                <w:lang w:val="en-US" w:eastAsia="zh-CN"/>
              </w:rPr>
              <w:t>投标人应当于开标截止时间前</w:t>
            </w:r>
            <w:r>
              <w:rPr>
                <w:rFonts w:hint="eastAsia" w:ascii="宋体" w:hAnsi="宋体" w:eastAsia="宋体"/>
                <w:color w:val="auto"/>
                <w:kern w:val="2"/>
                <w:sz w:val="21"/>
                <w:szCs w:val="21"/>
                <w:highlight w:val="none"/>
                <w:lang w:eastAsia="zh-CN"/>
              </w:rPr>
              <w:t>在</w:t>
            </w:r>
            <w:r>
              <w:rPr>
                <w:rFonts w:ascii="宋体" w:hAnsi="宋体" w:eastAsia="宋体"/>
                <w:bCs/>
                <w:color w:val="auto"/>
                <w:kern w:val="2"/>
                <w:sz w:val="21"/>
                <w:szCs w:val="21"/>
                <w:highlight w:val="none"/>
                <w:lang w:eastAsia="zh-CN"/>
              </w:rPr>
              <w:t>广东省公共资源交易平台（韶关市）（https://ygp.gdzwfw.gov.cn/ggzy-portal/#/440200/index）、韶关市公共资源交易一体化平台（网址：https://portal.ythpt.sg.gov.cn/）或产权招标交易系统</w:t>
            </w:r>
            <w:r>
              <w:rPr>
                <w:rFonts w:hint="eastAsia" w:ascii="宋体" w:hAnsi="宋体" w:eastAsia="宋体"/>
                <w:color w:val="auto"/>
                <w:kern w:val="2"/>
                <w:sz w:val="21"/>
                <w:szCs w:val="21"/>
                <w:highlight w:val="none"/>
                <w:lang w:eastAsia="zh-CN"/>
              </w:rPr>
              <w:t>上传文件</w:t>
            </w:r>
            <w:r>
              <w:rPr>
                <w:rFonts w:hint="eastAsia" w:ascii="宋体" w:hAnsi="宋体" w:eastAsia="宋体"/>
                <w:color w:val="auto"/>
                <w:kern w:val="2"/>
                <w:sz w:val="21"/>
                <w:szCs w:val="21"/>
                <w:highlight w:val="none"/>
                <w:lang w:val="en-US" w:eastAsia="zh-CN"/>
              </w:rPr>
              <w:t>并</w:t>
            </w:r>
            <w:r>
              <w:rPr>
                <w:rFonts w:hint="eastAsia" w:ascii="宋体" w:hAnsi="宋体" w:eastAsia="宋体"/>
                <w:color w:val="auto"/>
                <w:kern w:val="2"/>
                <w:sz w:val="20"/>
                <w:szCs w:val="16"/>
                <w:highlight w:val="none"/>
                <w:lang w:val="en-US" w:eastAsia="zh-CN"/>
              </w:rPr>
              <w:t>如实填报价格。</w:t>
            </w:r>
          </w:p>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val="en-US" w:eastAsia="zh-CN"/>
              </w:rPr>
              <w:t>2.</w:t>
            </w:r>
            <w:r>
              <w:rPr>
                <w:rFonts w:hint="eastAsia" w:ascii="宋体" w:hAnsi="宋体" w:eastAsia="宋体"/>
                <w:color w:val="auto"/>
                <w:kern w:val="2"/>
                <w:sz w:val="21"/>
                <w:szCs w:val="21"/>
                <w:highlight w:val="none"/>
                <w:lang w:eastAsia="zh-CN"/>
              </w:rPr>
              <w:t>投标文件递交：投标截止时间前30分钟内，供应商应当现场提交投标文件，地点：详见《投标邀请函》；</w:t>
            </w:r>
            <w:r>
              <w:rPr>
                <w:rFonts w:hint="eastAsia" w:ascii="宋体" w:hAnsi="宋体" w:eastAsia="宋体"/>
                <w:color w:val="auto"/>
                <w:kern w:val="2"/>
                <w:sz w:val="21"/>
                <w:szCs w:val="21"/>
                <w:highlight w:val="none"/>
                <w:lang w:val="zh-CN" w:eastAsia="zh-CN"/>
              </w:rPr>
              <w:t>投标截止时间：</w:t>
            </w:r>
            <w:r>
              <w:rPr>
                <w:rFonts w:hint="eastAsia" w:ascii="宋体" w:hAnsi="宋体" w:eastAsia="宋体"/>
                <w:color w:val="auto"/>
                <w:kern w:val="2"/>
                <w:sz w:val="21"/>
                <w:szCs w:val="21"/>
                <w:highlight w:val="none"/>
                <w:lang w:eastAsia="zh-CN"/>
              </w:rPr>
              <w:t>详见《投标邀请函》。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10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bCs/>
                <w:color w:val="auto"/>
                <w:kern w:val="2"/>
                <w:sz w:val="21"/>
                <w:szCs w:val="21"/>
                <w:highlight w:val="none"/>
              </w:rPr>
            </w:pPr>
            <w:r>
              <w:rPr>
                <w:rFonts w:hint="eastAsia" w:ascii="宋体" w:hAnsi="宋体" w:eastAsia="宋体"/>
                <w:bCs/>
                <w:color w:val="auto"/>
                <w:kern w:val="2"/>
                <w:sz w:val="21"/>
                <w:szCs w:val="21"/>
                <w:highlight w:val="none"/>
              </w:rPr>
              <w:t>开标时间、地点</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详见《投标邀请函》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11</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bCs/>
                <w:color w:val="auto"/>
                <w:kern w:val="2"/>
                <w:sz w:val="21"/>
                <w:szCs w:val="21"/>
                <w:highlight w:val="none"/>
              </w:rPr>
            </w:pPr>
            <w:r>
              <w:rPr>
                <w:rFonts w:hint="eastAsia" w:ascii="宋体" w:hAnsi="宋体" w:eastAsia="宋体"/>
                <w:bCs/>
                <w:color w:val="auto"/>
                <w:kern w:val="2"/>
                <w:sz w:val="21"/>
                <w:szCs w:val="21"/>
                <w:highlight w:val="none"/>
              </w:rPr>
              <w:t>评标委员会</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cs="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评标委员会成员共</w:t>
            </w:r>
            <w:r>
              <w:rPr>
                <w:rFonts w:ascii="宋体" w:hAnsi="宋体" w:eastAsia="宋体"/>
                <w:color w:val="auto"/>
                <w:kern w:val="2"/>
                <w:sz w:val="21"/>
                <w:szCs w:val="21"/>
                <w:highlight w:val="none"/>
                <w:u w:val="single"/>
                <w:lang w:eastAsia="zh-CN"/>
              </w:rPr>
              <w:t>5</w:t>
            </w:r>
            <w:r>
              <w:rPr>
                <w:rFonts w:hint="eastAsia" w:ascii="宋体" w:hAnsi="宋体" w:eastAsia="宋体"/>
                <w:color w:val="auto"/>
                <w:kern w:val="2"/>
                <w:sz w:val="21"/>
                <w:szCs w:val="21"/>
                <w:highlight w:val="none"/>
                <w:lang w:eastAsia="zh-CN"/>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12</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bCs/>
                <w:color w:val="auto"/>
                <w:kern w:val="2"/>
                <w:sz w:val="21"/>
                <w:szCs w:val="21"/>
                <w:highlight w:val="none"/>
              </w:rPr>
            </w:pPr>
            <w:r>
              <w:rPr>
                <w:rFonts w:hint="eastAsia" w:ascii="宋体" w:hAnsi="宋体" w:eastAsia="宋体"/>
                <w:bCs/>
                <w:color w:val="auto"/>
                <w:kern w:val="2"/>
                <w:sz w:val="21"/>
                <w:szCs w:val="21"/>
                <w:highlight w:val="none"/>
              </w:rPr>
              <w:t>评标方法</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13</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信息发布媒体</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adjustRightInd w:val="0"/>
              <w:spacing w:before="0" w:beforeAutospacing="0" w:after="0" w:afterAutospacing="0" w:line="460" w:lineRule="exact"/>
              <w:ind w:left="0" w:right="0"/>
              <w:rPr>
                <w:rFonts w:ascii="宋体" w:hAnsi="宋体" w:eastAsia="宋体"/>
                <w:color w:val="auto"/>
                <w:kern w:val="2"/>
                <w:sz w:val="21"/>
                <w:szCs w:val="21"/>
                <w:highlight w:val="none"/>
              </w:rPr>
            </w:pPr>
            <w:r>
              <w:rPr>
                <w:rFonts w:ascii="宋体" w:hAnsi="宋体" w:eastAsia="宋体"/>
                <w:color w:val="auto"/>
                <w:kern w:val="2"/>
                <w:sz w:val="21"/>
                <w:szCs w:val="21"/>
                <w:highlight w:val="none"/>
              </w:rPr>
              <w:t>1</w:t>
            </w:r>
            <w:r>
              <w:rPr>
                <w:rFonts w:hint="eastAsia" w:ascii="宋体" w:hAnsi="宋体" w:eastAsia="宋体"/>
                <w:color w:val="auto"/>
                <w:kern w:val="2"/>
                <w:sz w:val="21"/>
                <w:szCs w:val="21"/>
                <w:highlight w:val="none"/>
              </w:rPr>
              <w:t>.韶关市公共资源交易一体化平台（</w:t>
            </w:r>
            <w:r>
              <w:rPr>
                <w:color w:val="auto"/>
                <w:kern w:val="2"/>
                <w:highlight w:val="none"/>
              </w:rPr>
              <w:fldChar w:fldCharType="begin"/>
            </w:r>
            <w:r>
              <w:rPr>
                <w:color w:val="auto"/>
                <w:kern w:val="2"/>
                <w:highlight w:val="none"/>
              </w:rPr>
              <w:instrText xml:space="preserve"> HYPERLINK "http://portal.ythpt.sg.gov.cn/" </w:instrText>
            </w:r>
            <w:r>
              <w:rPr>
                <w:color w:val="auto"/>
                <w:kern w:val="2"/>
                <w:highlight w:val="none"/>
              </w:rPr>
              <w:fldChar w:fldCharType="separate"/>
            </w:r>
            <w:r>
              <w:rPr>
                <w:rFonts w:hint="eastAsia" w:ascii="宋体" w:hAnsi="宋体" w:eastAsia="宋体"/>
                <w:color w:val="auto"/>
                <w:kern w:val="2"/>
                <w:sz w:val="21"/>
                <w:szCs w:val="21"/>
                <w:highlight w:val="none"/>
              </w:rPr>
              <w:t>http：//portal.ythpt.sg.gov.cn/</w:t>
            </w:r>
            <w:r>
              <w:rPr>
                <w:rFonts w:hint="eastAsia" w:ascii="宋体" w:hAnsi="宋体" w:eastAsia="宋体"/>
                <w:color w:val="auto"/>
                <w:kern w:val="2"/>
                <w:sz w:val="21"/>
                <w:szCs w:val="21"/>
                <w:highlight w:val="none"/>
              </w:rPr>
              <w:fldChar w:fldCharType="end"/>
            </w:r>
            <w:r>
              <w:rPr>
                <w:rFonts w:hint="eastAsia" w:ascii="宋体" w:hAnsi="宋体" w:eastAsia="宋体"/>
                <w:color w:val="auto"/>
                <w:kern w:val="2"/>
                <w:sz w:val="21"/>
                <w:szCs w:val="21"/>
                <w:highlight w:val="none"/>
              </w:rPr>
              <w:t>）；</w:t>
            </w:r>
          </w:p>
          <w:p>
            <w:pPr>
              <w:keepNext w:val="0"/>
              <w:keepLines w:val="0"/>
              <w:suppressLineNumbers w:val="0"/>
              <w:adjustRightInd w:val="0"/>
              <w:spacing w:before="0" w:beforeAutospacing="0" w:after="0" w:afterAutospacing="0" w:line="460" w:lineRule="exact"/>
              <w:ind w:left="0" w:right="0"/>
              <w:rPr>
                <w:rFonts w:ascii="宋体" w:hAnsi="宋体" w:eastAsia="宋体"/>
                <w:color w:val="auto"/>
                <w:kern w:val="2"/>
                <w:sz w:val="21"/>
                <w:szCs w:val="21"/>
                <w:highlight w:val="none"/>
              </w:rPr>
            </w:pPr>
            <w:r>
              <w:rPr>
                <w:rFonts w:ascii="宋体" w:hAnsi="宋体" w:eastAsia="宋体"/>
                <w:color w:val="auto"/>
                <w:kern w:val="2"/>
                <w:sz w:val="21"/>
                <w:szCs w:val="21"/>
                <w:highlight w:val="none"/>
              </w:rPr>
              <w:t>2</w:t>
            </w:r>
            <w:r>
              <w:rPr>
                <w:rFonts w:hint="eastAsia" w:ascii="宋体" w:hAnsi="宋体" w:eastAsia="宋体"/>
                <w:color w:val="auto"/>
                <w:kern w:val="2"/>
                <w:sz w:val="21"/>
                <w:szCs w:val="21"/>
                <w:highlight w:val="none"/>
              </w:rPr>
              <w:t>.广东省公共资源交易平台（韶关市）（https://ygp.gdzwfw.gov.cn/ggzy-portal/#/440200/index）。</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14</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rPr>
            </w:pPr>
            <w:r>
              <w:rPr>
                <w:rFonts w:asciiTheme="minorEastAsia" w:hAnsiTheme="minorEastAsia" w:eastAsiaTheme="minorEastAsia"/>
                <w:color w:val="auto"/>
                <w:spacing w:val="-1"/>
                <w:kern w:val="2"/>
                <w:sz w:val="21"/>
                <w:highlight w:val="none"/>
                <w:lang w:eastAsia="zh-CN"/>
              </w:rPr>
              <w:t>投标保证金</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adjustRightInd w:val="0"/>
              <w:spacing w:before="0" w:beforeAutospacing="0" w:after="0" w:afterAutospacing="0" w:line="460" w:lineRule="exact"/>
              <w:ind w:left="0" w:right="0"/>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本项目不收取。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15</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bCs/>
                <w:color w:val="auto"/>
                <w:kern w:val="2"/>
                <w:sz w:val="21"/>
                <w:szCs w:val="21"/>
                <w:highlight w:val="none"/>
              </w:rPr>
            </w:pPr>
            <w:r>
              <w:rPr>
                <w:rFonts w:hint="eastAsia" w:ascii="宋体" w:hAnsi="宋体" w:eastAsia="宋体"/>
                <w:bCs/>
                <w:color w:val="auto"/>
                <w:kern w:val="2"/>
                <w:sz w:val="21"/>
                <w:szCs w:val="21"/>
                <w:highlight w:val="none"/>
              </w:rPr>
              <w:t>履约保证金</w:t>
            </w:r>
          </w:p>
        </w:tc>
        <w:tc>
          <w:tcPr>
            <w:tcW w:w="737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eastAsia="zh-CN"/>
              </w:rPr>
              <w:t>本项目不收取。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top w:val="single" w:color="auto" w:sz="4" w:space="0"/>
              <w:left w:val="double" w:color="auto" w:sz="4" w:space="0"/>
              <w:bottom w:val="doub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16</w:t>
            </w:r>
          </w:p>
        </w:tc>
        <w:tc>
          <w:tcPr>
            <w:tcW w:w="1630" w:type="dxa"/>
            <w:tcBorders>
              <w:top w:val="single" w:color="auto" w:sz="4" w:space="0"/>
              <w:left w:val="single" w:color="auto" w:sz="4" w:space="0"/>
              <w:bottom w:val="doub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ascii="宋体" w:hAnsi="宋体" w:eastAsia="宋体"/>
                <w:bCs/>
                <w:color w:val="auto"/>
                <w:kern w:val="2"/>
                <w:sz w:val="21"/>
                <w:szCs w:val="21"/>
                <w:highlight w:val="none"/>
              </w:rPr>
            </w:pPr>
            <w:r>
              <w:rPr>
                <w:rFonts w:hint="eastAsia" w:ascii="宋体" w:hAnsi="宋体" w:eastAsia="宋体"/>
                <w:bCs/>
                <w:color w:val="auto"/>
                <w:kern w:val="2"/>
                <w:sz w:val="21"/>
                <w:szCs w:val="21"/>
                <w:highlight w:val="none"/>
              </w:rPr>
              <w:t>中标服务费</w:t>
            </w:r>
          </w:p>
        </w:tc>
        <w:tc>
          <w:tcPr>
            <w:tcW w:w="7377" w:type="dxa"/>
            <w:tcBorders>
              <w:top w:val="single" w:color="auto" w:sz="4" w:space="0"/>
              <w:left w:val="single" w:color="auto" w:sz="4" w:space="0"/>
              <w:bottom w:val="double" w:color="auto" w:sz="4" w:space="0"/>
              <w:right w:val="double" w:color="auto" w:sz="4" w:space="0"/>
            </w:tcBorders>
            <w:vAlign w:val="center"/>
          </w:tcPr>
          <w:p>
            <w:pPr>
              <w:keepNext w:val="0"/>
              <w:keepLines w:val="0"/>
              <w:suppressLineNumbers w:val="0"/>
              <w:spacing w:before="0" w:beforeAutospacing="0" w:after="0" w:afterAutospacing="0" w:line="460" w:lineRule="exact"/>
              <w:ind w:left="0" w:right="0"/>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中标服务费由中标供应商向采购代理机构一次性支付，招标代理服务费金额约定为人民币2</w:t>
            </w:r>
            <w:r>
              <w:rPr>
                <w:rFonts w:hint="eastAsia" w:ascii="宋体" w:hAnsi="宋体" w:eastAsia="宋体"/>
                <w:color w:val="auto"/>
                <w:kern w:val="2"/>
                <w:sz w:val="21"/>
                <w:szCs w:val="21"/>
                <w:highlight w:val="none"/>
                <w:lang w:val="en-US" w:eastAsia="zh-CN"/>
              </w:rPr>
              <w:t>0</w:t>
            </w:r>
            <w:r>
              <w:rPr>
                <w:rFonts w:hint="eastAsia" w:ascii="宋体" w:hAnsi="宋体" w:eastAsia="宋体"/>
                <w:color w:val="auto"/>
                <w:kern w:val="2"/>
                <w:sz w:val="21"/>
                <w:szCs w:val="21"/>
                <w:highlight w:val="none"/>
                <w:lang w:eastAsia="zh-CN"/>
              </w:rPr>
              <w:t>000</w:t>
            </w:r>
            <w:r>
              <w:rPr>
                <w:rFonts w:hint="eastAsia" w:ascii="宋体" w:hAnsi="宋体" w:eastAsia="宋体"/>
                <w:bCs/>
                <w:color w:val="auto"/>
                <w:kern w:val="2"/>
                <w:sz w:val="21"/>
                <w:szCs w:val="21"/>
                <w:highlight w:val="none"/>
                <w:lang w:eastAsia="zh-CN"/>
              </w:rPr>
              <w:t>元。招标代理服务费、评委劳务费用由中标人支付。</w:t>
            </w:r>
          </w:p>
        </w:tc>
      </w:tr>
    </w:tbl>
    <w:p>
      <w:pPr>
        <w:spacing w:line="360" w:lineRule="auto"/>
        <w:rPr>
          <w:rFonts w:asciiTheme="minorEastAsia" w:hAnsiTheme="minorEastAsia" w:eastAsiaTheme="minorEastAsia"/>
          <w:color w:val="auto"/>
          <w:spacing w:val="-1"/>
          <w:sz w:val="21"/>
          <w:highlight w:val="none"/>
          <w:lang w:eastAsia="zh-CN"/>
        </w:rPr>
      </w:pPr>
    </w:p>
    <w:p>
      <w:pPr>
        <w:spacing w:line="360" w:lineRule="auto"/>
        <w:rPr>
          <w:rFonts w:asciiTheme="minorEastAsia" w:hAnsiTheme="minorEastAsia" w:eastAsiaTheme="minorEastAsia"/>
          <w:color w:val="auto"/>
          <w:spacing w:val="-1"/>
          <w:sz w:val="21"/>
          <w:highlight w:val="none"/>
          <w:lang w:eastAsia="zh-CN"/>
        </w:rPr>
      </w:pPr>
    </w:p>
    <w:p>
      <w:pPr>
        <w:spacing w:line="360" w:lineRule="auto"/>
        <w:rPr>
          <w:rFonts w:asciiTheme="minorEastAsia" w:hAnsiTheme="minorEastAsia" w:eastAsiaTheme="minorEastAsia"/>
          <w:color w:val="auto"/>
          <w:spacing w:val="-1"/>
          <w:sz w:val="21"/>
          <w:highlight w:val="none"/>
          <w:lang w:eastAsia="zh-CN"/>
        </w:rPr>
      </w:pPr>
    </w:p>
    <w:p>
      <w:pPr>
        <w:spacing w:line="360" w:lineRule="auto"/>
        <w:rPr>
          <w:rFonts w:asciiTheme="minorEastAsia" w:hAnsiTheme="minorEastAsia" w:eastAsiaTheme="minorEastAsia"/>
          <w:color w:val="auto"/>
          <w:spacing w:val="-1"/>
          <w:sz w:val="21"/>
          <w:highlight w:val="none"/>
          <w:lang w:eastAsia="zh-CN"/>
        </w:rPr>
      </w:pPr>
    </w:p>
    <w:p>
      <w:pPr>
        <w:spacing w:line="360" w:lineRule="auto"/>
        <w:rPr>
          <w:rFonts w:asciiTheme="minorEastAsia" w:hAnsiTheme="minorEastAsia" w:eastAsiaTheme="minorEastAsia"/>
          <w:color w:val="auto"/>
          <w:spacing w:val="-1"/>
          <w:sz w:val="21"/>
          <w:highlight w:val="none"/>
          <w:lang w:eastAsia="zh-CN"/>
        </w:rPr>
      </w:pPr>
    </w:p>
    <w:p>
      <w:pPr>
        <w:spacing w:line="360" w:lineRule="auto"/>
        <w:rPr>
          <w:rFonts w:asciiTheme="minorEastAsia" w:hAnsiTheme="minorEastAsia" w:eastAsiaTheme="minorEastAsia"/>
          <w:color w:val="auto"/>
          <w:spacing w:val="-1"/>
          <w:sz w:val="21"/>
          <w:highlight w:val="none"/>
          <w:lang w:eastAsia="zh-CN"/>
        </w:rPr>
      </w:pPr>
    </w:p>
    <w:p>
      <w:pPr>
        <w:spacing w:line="360" w:lineRule="auto"/>
        <w:rPr>
          <w:rFonts w:asciiTheme="minorEastAsia" w:hAnsiTheme="minorEastAsia" w:eastAsiaTheme="minorEastAsia"/>
          <w:color w:val="auto"/>
          <w:spacing w:val="-1"/>
          <w:sz w:val="21"/>
          <w:highlight w:val="none"/>
          <w:lang w:eastAsia="zh-CN"/>
        </w:rPr>
      </w:pPr>
    </w:p>
    <w:p>
      <w:pPr>
        <w:spacing w:line="360" w:lineRule="auto"/>
        <w:rPr>
          <w:rFonts w:asciiTheme="minorEastAsia" w:hAnsiTheme="minorEastAsia" w:eastAsiaTheme="minorEastAsia"/>
          <w:color w:val="auto"/>
          <w:spacing w:val="-1"/>
          <w:sz w:val="21"/>
          <w:highlight w:val="none"/>
          <w:lang w:eastAsia="zh-CN"/>
        </w:rPr>
      </w:pPr>
    </w:p>
    <w:p>
      <w:pPr>
        <w:rPr>
          <w:color w:val="auto"/>
          <w:highlight w:val="none"/>
          <w:lang w:eastAsia="zh-CN"/>
        </w:rPr>
      </w:pPr>
    </w:p>
    <w:p>
      <w:pPr>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br w:type="page"/>
      </w:r>
    </w:p>
    <w:p>
      <w:pPr>
        <w:pStyle w:val="6"/>
        <w:spacing w:before="0" w:after="0" w:line="360" w:lineRule="auto"/>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一、说 明</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1．适用范围</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1.1 本招标文件适用于本投标邀请中所述的招标项目。</w:t>
      </w:r>
    </w:p>
    <w:p>
      <w:pPr>
        <w:adjustRightInd w:val="0"/>
        <w:snapToGrid w:val="0"/>
        <w:spacing w:line="360" w:lineRule="auto"/>
        <w:ind w:firstLine="418" w:firstLineChars="200"/>
        <w:rPr>
          <w:rFonts w:hint="eastAsia" w:ascii="宋体" w:hAnsi="宋体" w:eastAsia="宋体" w:cs="宋体"/>
          <w:b/>
          <w:bCs/>
          <w:color w:val="auto"/>
          <w:spacing w:val="-1"/>
          <w:sz w:val="21"/>
          <w:szCs w:val="21"/>
          <w:highlight w:val="none"/>
          <w:lang w:eastAsia="zh-CN"/>
        </w:rPr>
      </w:pPr>
      <w:r>
        <w:rPr>
          <w:rFonts w:hint="eastAsia" w:ascii="宋体" w:hAnsi="宋体" w:eastAsia="宋体" w:cs="宋体"/>
          <w:b/>
          <w:bCs/>
          <w:color w:val="auto"/>
          <w:spacing w:val="-1"/>
          <w:sz w:val="21"/>
          <w:szCs w:val="21"/>
          <w:highlight w:val="none"/>
          <w:lang w:eastAsia="zh-CN"/>
        </w:rPr>
        <w:t>2.定义</w:t>
      </w:r>
    </w:p>
    <w:p>
      <w:pPr>
        <w:pStyle w:val="28"/>
        <w:numPr>
          <w:ilvl w:val="1"/>
          <w:numId w:val="1"/>
        </w:numPr>
        <w:tabs>
          <w:tab w:val="left" w:pos="475"/>
        </w:tabs>
        <w:adjustRightInd w:val="0"/>
        <w:snapToGrid w:val="0"/>
        <w:spacing w:before="0" w:line="360" w:lineRule="auto"/>
        <w:ind w:left="0" w:firstLine="416" w:firstLineChars="20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“招标代理机构”是指：公诚管理咨询有限公司</w:t>
      </w:r>
    </w:p>
    <w:p>
      <w:pPr>
        <w:pStyle w:val="28"/>
        <w:numPr>
          <w:ilvl w:val="1"/>
          <w:numId w:val="1"/>
        </w:numPr>
        <w:tabs>
          <w:tab w:val="left" w:pos="475"/>
        </w:tabs>
        <w:adjustRightInd w:val="0"/>
        <w:snapToGrid w:val="0"/>
        <w:spacing w:before="0" w:line="360" w:lineRule="auto"/>
        <w:ind w:left="0" w:firstLine="416" w:firstLineChars="20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“投标人”是指响应招标、参加投标竞争的法人、其他组织或者自然人。</w:t>
      </w:r>
    </w:p>
    <w:p>
      <w:pPr>
        <w:pStyle w:val="28"/>
        <w:numPr>
          <w:ilvl w:val="1"/>
          <w:numId w:val="1"/>
        </w:numPr>
        <w:tabs>
          <w:tab w:val="left" w:pos="475"/>
        </w:tabs>
        <w:adjustRightInd w:val="0"/>
        <w:snapToGrid w:val="0"/>
        <w:spacing w:before="0" w:line="360" w:lineRule="auto"/>
        <w:ind w:left="0" w:firstLine="416" w:firstLineChars="20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合格的投标人</w:t>
      </w:r>
    </w:p>
    <w:p>
      <w:pPr>
        <w:pStyle w:val="28"/>
        <w:numPr>
          <w:ilvl w:val="2"/>
          <w:numId w:val="1"/>
        </w:numPr>
        <w:tabs>
          <w:tab w:val="left" w:pos="665"/>
        </w:tabs>
        <w:adjustRightInd w:val="0"/>
        <w:snapToGrid w:val="0"/>
        <w:spacing w:before="0" w:line="360" w:lineRule="auto"/>
        <w:ind w:left="0" w:firstLine="416" w:firstLineChars="20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符合招标文件规定的资格要求及实质性要求。</w:t>
      </w:r>
    </w:p>
    <w:p>
      <w:pPr>
        <w:pStyle w:val="28"/>
        <w:numPr>
          <w:ilvl w:val="1"/>
          <w:numId w:val="1"/>
        </w:numPr>
        <w:tabs>
          <w:tab w:val="left" w:pos="475"/>
        </w:tabs>
        <w:adjustRightInd w:val="0"/>
        <w:snapToGrid w:val="0"/>
        <w:spacing w:before="0" w:line="360" w:lineRule="auto"/>
        <w:ind w:left="0" w:firstLine="416" w:firstLineChars="20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“中标投标人”是指经法定程序确定并授予合同的投标人。</w:t>
      </w:r>
    </w:p>
    <w:p>
      <w:pPr>
        <w:pStyle w:val="3"/>
        <w:adjustRightInd w:val="0"/>
        <w:snapToGrid w:val="0"/>
        <w:spacing w:line="360" w:lineRule="auto"/>
        <w:ind w:firstLine="416" w:firstLineChars="20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3.合格的货物和服务</w:t>
      </w:r>
    </w:p>
    <w:p>
      <w:pPr>
        <w:pStyle w:val="28"/>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hint="eastAsia" w:ascii="宋体" w:hAnsi="宋体" w:eastAsia="宋体" w:cs="宋体"/>
          <w:color w:val="auto"/>
          <w:spacing w:val="-1"/>
          <w:sz w:val="21"/>
          <w:szCs w:val="21"/>
          <w:highlight w:val="none"/>
          <w:lang w:eastAsia="zh-CN"/>
        </w:rPr>
        <w:t>3.1 “货物</w:t>
      </w:r>
      <w:r>
        <w:rPr>
          <w:rFonts w:asciiTheme="minorEastAsia" w:hAnsiTheme="minorEastAsia" w:eastAsiaTheme="minorEastAsia"/>
          <w:color w:val="auto"/>
          <w:spacing w:val="-1"/>
          <w:sz w:val="21"/>
          <w:highlight w:val="none"/>
          <w:lang w:eastAsia="zh-CN"/>
        </w:rPr>
        <w:t>”是指投标人制造或组织符合招标文件要求的货物等。招标文件中没有提及招标货物来源地的，根据相关规定均应当是本国货物，本项目将优先采购节能、环保产品。投标的货物必须是其合法生产的符合国家有关标准要求的货物，并满足政府招标文件规定的规格、参数、质量、价格、有效期、售后服务等要求。</w:t>
      </w:r>
    </w:p>
    <w:p>
      <w:pPr>
        <w:pStyle w:val="28"/>
        <w:tabs>
          <w:tab w:val="left" w:pos="546"/>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3.2 “服务”是指除货物和工程以外的其他政府采购对象,其中包括投标人须承担的运输、安装、技术支持、培训以及招标文件规定的其它服务。</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4．投标费用</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4.1 投标人应当承担所有与准备和参加投标有关的费用。不论投标的结果如何，招标人和招标代理机构均无义务和责任承担这些费用。</w:t>
      </w:r>
    </w:p>
    <w:p>
      <w:pPr>
        <w:pStyle w:val="6"/>
        <w:spacing w:before="0" w:after="0" w:line="360" w:lineRule="auto"/>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二、招标文件</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5.招标文件的构成</w:t>
      </w:r>
    </w:p>
    <w:p>
      <w:pPr>
        <w:pStyle w:val="28"/>
        <w:numPr>
          <w:ilvl w:val="1"/>
          <w:numId w:val="2"/>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招标文件由下列文件以及在招标过程中发出的修正和补充文件组成：</w:t>
      </w:r>
    </w:p>
    <w:p>
      <w:pPr>
        <w:pStyle w:val="28"/>
        <w:numPr>
          <w:ilvl w:val="2"/>
          <w:numId w:val="2"/>
        </w:numPr>
        <w:tabs>
          <w:tab w:val="left" w:pos="737"/>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投标邀请函</w:t>
      </w:r>
    </w:p>
    <w:p>
      <w:pPr>
        <w:pStyle w:val="28"/>
        <w:numPr>
          <w:ilvl w:val="2"/>
          <w:numId w:val="2"/>
        </w:numPr>
        <w:tabs>
          <w:tab w:val="left" w:pos="737"/>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投标人须知</w:t>
      </w:r>
    </w:p>
    <w:p>
      <w:pPr>
        <w:pStyle w:val="28"/>
        <w:numPr>
          <w:ilvl w:val="2"/>
          <w:numId w:val="2"/>
        </w:numPr>
        <w:tabs>
          <w:tab w:val="left" w:pos="737"/>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开标、资格审查、评标、定标</w:t>
      </w:r>
    </w:p>
    <w:p>
      <w:pPr>
        <w:pStyle w:val="28"/>
        <w:numPr>
          <w:ilvl w:val="2"/>
          <w:numId w:val="2"/>
        </w:numPr>
        <w:tabs>
          <w:tab w:val="left" w:pos="737"/>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投标文件格式（仅供参考）</w:t>
      </w:r>
    </w:p>
    <w:p>
      <w:pPr>
        <w:pStyle w:val="28"/>
        <w:numPr>
          <w:ilvl w:val="2"/>
          <w:numId w:val="2"/>
        </w:numPr>
        <w:tabs>
          <w:tab w:val="left" w:pos="737"/>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用户需求书</w:t>
      </w:r>
    </w:p>
    <w:p>
      <w:pPr>
        <w:pStyle w:val="28"/>
        <w:numPr>
          <w:ilvl w:val="2"/>
          <w:numId w:val="2"/>
        </w:numPr>
        <w:tabs>
          <w:tab w:val="left" w:pos="737"/>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招标清单</w:t>
      </w:r>
      <w:r>
        <w:rPr>
          <w:rFonts w:hint="eastAsia" w:asciiTheme="minorEastAsia" w:hAnsiTheme="minorEastAsia" w:eastAsiaTheme="minorEastAsia"/>
          <w:color w:val="auto"/>
          <w:spacing w:val="-1"/>
          <w:sz w:val="21"/>
          <w:highlight w:val="none"/>
          <w:lang w:eastAsia="zh-CN"/>
        </w:rPr>
        <w:t>（本项目不涉及）</w:t>
      </w:r>
    </w:p>
    <w:p>
      <w:pPr>
        <w:pStyle w:val="28"/>
        <w:numPr>
          <w:ilvl w:val="2"/>
          <w:numId w:val="2"/>
        </w:numPr>
        <w:tabs>
          <w:tab w:val="left" w:pos="737"/>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在招标过程中由招标人或招标代理机构发出的修正和补充文件等</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5.2投标人应当认真阅读并充分理解招标文件的全部内容（包括所有的补充、修改内容、重要事项、格式、条款和技术规范、参数及要求等）。</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6.招标文件的澄清和修改</w:t>
      </w:r>
    </w:p>
    <w:p>
      <w:pPr>
        <w:pStyle w:val="28"/>
        <w:numPr>
          <w:ilvl w:val="1"/>
          <w:numId w:val="3"/>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招标人或者招标代理机构可以对已发出的招标文件进行必要的澄清或者修改，但不得改变招标标的和资格条件。澄清或者修改应当在原公告发布媒体上发布澄清公告。澄清或者修改的内容为招标文件的组成部分。</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3"/>
        <w:adjustRightInd w:val="0"/>
        <w:snapToGrid w:val="0"/>
        <w:spacing w:line="360" w:lineRule="auto"/>
        <w:ind w:firstLine="416" w:firstLineChars="200"/>
        <w:jc w:val="both"/>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潜在投标人在收到上述通知后，应当立即以书面形式向招标代理机构确认，如在修改通知或公告发布之日起5天内没有以书面形式向招标代理机构确认的，视作同意修改内容。</w:t>
      </w:r>
    </w:p>
    <w:p>
      <w:pPr>
        <w:pStyle w:val="28"/>
        <w:numPr>
          <w:ilvl w:val="1"/>
          <w:numId w:val="3"/>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投标人未在相关法律法规规定的时间内提出询问或质疑的，招标人或者招标代理机构将视其为无异议。</w:t>
      </w:r>
    </w:p>
    <w:p>
      <w:pPr>
        <w:pStyle w:val="6"/>
        <w:spacing w:before="0" w:after="0" w:line="360" w:lineRule="auto"/>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三、投标文件的编制和数量</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7．投标的语言</w:t>
      </w:r>
    </w:p>
    <w:p>
      <w:pPr>
        <w:pStyle w:val="28"/>
        <w:numPr>
          <w:ilvl w:val="1"/>
          <w:numId w:val="4"/>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提交的投标文件以及投标人与招标人或者招标代理机构就有关投标的所有来往函电均应当使用中文。投标人提交的支持文件或印刷的资料可以用另一种语言，但相应内容应当附有中文翻译本，在解释投标文件的修改内容时以中文翻译本为准。对中文翻译有异议的，以权威机构的译本为准。</w:t>
      </w:r>
    </w:p>
    <w:p>
      <w:pPr>
        <w:pStyle w:val="28"/>
        <w:numPr>
          <w:ilvl w:val="1"/>
          <w:numId w:val="4"/>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投标文件的构成应当符合法律法规及招标文件的要求。</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8.投标文件编制</w:t>
      </w:r>
    </w:p>
    <w:p>
      <w:pPr>
        <w:pStyle w:val="28"/>
        <w:numPr>
          <w:ilvl w:val="1"/>
          <w:numId w:val="5"/>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对招标文件中多个分包进行投标的，其投标文件的编制应当按每个分包的要求分别装订和封装。投标人应当对投标文件进行装订，对未经装订的投标文件可能发生的文件散落或缺损，由此产生的后果由投标人承担。</w:t>
      </w:r>
    </w:p>
    <w:p>
      <w:pPr>
        <w:pStyle w:val="28"/>
        <w:numPr>
          <w:ilvl w:val="1"/>
          <w:numId w:val="5"/>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投标人应当完整、真实、准确的填写招标文件中规定的所有内容。</w:t>
      </w:r>
    </w:p>
    <w:p>
      <w:pPr>
        <w:pStyle w:val="28"/>
        <w:numPr>
          <w:ilvl w:val="1"/>
          <w:numId w:val="5"/>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必须对投标文件所提供的全部资料的真实性承担法律责任，并无条件接受招标人或者招标代理机构及政府监督管理部门等对其中任何资料进行核实的要求。投标人必须对投标文件所提供的全部资料的真实性承担法律责任。</w:t>
      </w:r>
    </w:p>
    <w:p>
      <w:pPr>
        <w:pStyle w:val="28"/>
        <w:numPr>
          <w:ilvl w:val="1"/>
          <w:numId w:val="5"/>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如果因为投标人投标文件填报的内容不详，或没有提供招标文件中所要求的全部资料及数据，由此造成的后果，其责任由投标人承担。</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9.投标报价要求</w:t>
      </w:r>
    </w:p>
    <w:p>
      <w:pPr>
        <w:pStyle w:val="28"/>
        <w:numPr>
          <w:ilvl w:val="1"/>
          <w:numId w:val="6"/>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投标人所提供的货物和服务均应当以人民币报价，若同时以人民币及外币报价的，以人民币报价为准。仅以外币报价的， 评标委员会将对其投标文件作无效投标处理。</w:t>
      </w:r>
    </w:p>
    <w:p>
      <w:pPr>
        <w:pStyle w:val="28"/>
        <w:numPr>
          <w:ilvl w:val="1"/>
          <w:numId w:val="6"/>
        </w:numPr>
        <w:tabs>
          <w:tab w:val="left" w:pos="475"/>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投标人按照招标文件用户需求书规定的内容、责任范围以及合同文本的合同条款进行报价。</w:t>
      </w:r>
    </w:p>
    <w:p>
      <w:pPr>
        <w:pStyle w:val="28"/>
        <w:numPr>
          <w:ilvl w:val="1"/>
          <w:numId w:val="6"/>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《投标明细报价表》</w:t>
      </w:r>
      <w:r>
        <w:rPr>
          <w:rFonts w:hint="eastAsia" w:asciiTheme="minorEastAsia" w:hAnsiTheme="minorEastAsia" w:eastAsiaTheme="minorEastAsia"/>
          <w:color w:val="auto"/>
          <w:spacing w:val="-1"/>
          <w:sz w:val="21"/>
          <w:highlight w:val="none"/>
          <w:lang w:eastAsia="zh-CN"/>
        </w:rPr>
        <w:t>（如有）</w:t>
      </w:r>
      <w:r>
        <w:rPr>
          <w:rFonts w:asciiTheme="minorEastAsia" w:hAnsiTheme="minorEastAsia" w:eastAsiaTheme="minorEastAsia"/>
          <w:color w:val="auto"/>
          <w:spacing w:val="-1"/>
          <w:sz w:val="21"/>
          <w:highlight w:val="none"/>
          <w:lang w:eastAsia="zh-CN"/>
        </w:rPr>
        <w:t>填写时应当响应下列要求：</w:t>
      </w:r>
    </w:p>
    <w:p>
      <w:pPr>
        <w:pStyle w:val="28"/>
        <w:numPr>
          <w:ilvl w:val="2"/>
          <w:numId w:val="6"/>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无报价的项目视为此项目费用已包含在投标报价中；</w:t>
      </w:r>
    </w:p>
    <w:p>
      <w:pPr>
        <w:pStyle w:val="28"/>
        <w:numPr>
          <w:ilvl w:val="2"/>
          <w:numId w:val="6"/>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所有根据合同或其它原因应当由投标人支付的税款和其它应当交纳的费用都要包括在投标人提交的投标价格中；</w:t>
      </w:r>
    </w:p>
    <w:p>
      <w:pPr>
        <w:pStyle w:val="28"/>
        <w:numPr>
          <w:ilvl w:val="2"/>
          <w:numId w:val="6"/>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应当包含货物运至最终目的地的运输、保险和伴随货物服务的其他所有费用。</w:t>
      </w:r>
    </w:p>
    <w:p>
      <w:pPr>
        <w:pStyle w:val="28"/>
        <w:numPr>
          <w:ilvl w:val="1"/>
          <w:numId w:val="6"/>
        </w:numPr>
        <w:tabs>
          <w:tab w:val="left" w:pos="47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每一种规格的货物或服务项目只允许有一个报价，否则，评标委员会将对其投标文件作无效投标处理。</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10.备选方案</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10.1只允许投标人有一个投标方案，否则，评标委员会将对其投标文件作无效投标处理（招标文件允许有备选方案的除外）。</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11.联合体投标</w:t>
      </w:r>
    </w:p>
    <w:p>
      <w:pPr>
        <w:pStyle w:val="28"/>
        <w:numPr>
          <w:ilvl w:val="1"/>
          <w:numId w:val="7"/>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联合体中有同类资质的投标人按照联合体分工承担相同工作的，应当按照资质等级较低的投标人确定资质等级。</w:t>
      </w:r>
    </w:p>
    <w:p>
      <w:pPr>
        <w:pStyle w:val="28"/>
        <w:numPr>
          <w:ilvl w:val="1"/>
          <w:numId w:val="7"/>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两个以上的自然人、法人或者其他组织组成一个联合体，以一个投标人的身份共同参加产权交易活动的，应当对所有联合体成员进行信用记录查询，联合体成员存在不良信用记录的，视同联合体存在不良信用记录。</w:t>
      </w:r>
    </w:p>
    <w:p>
      <w:pPr>
        <w:pStyle w:val="28"/>
        <w:numPr>
          <w:ilvl w:val="1"/>
          <w:numId w:val="7"/>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组成联合体投标的按政府采购的法律、法规、规章等有关规定执行。</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12.投标人资格证明文件</w:t>
      </w:r>
    </w:p>
    <w:p>
      <w:pPr>
        <w:pStyle w:val="28"/>
        <w:numPr>
          <w:ilvl w:val="1"/>
          <w:numId w:val="8"/>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投标人应当按招标文件的要求，提交证明其有资格参加投标和中标后有履行合同能力的文件，并作为其投标文件的组成部分。</w:t>
      </w:r>
    </w:p>
    <w:p>
      <w:pPr>
        <w:pStyle w:val="28"/>
        <w:numPr>
          <w:ilvl w:val="1"/>
          <w:numId w:val="8"/>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资格证明文件必须真实有效，复印件必须加盖投标人公章。</w:t>
      </w:r>
    </w:p>
    <w:p>
      <w:pPr>
        <w:pStyle w:val="28"/>
        <w:numPr>
          <w:ilvl w:val="1"/>
          <w:numId w:val="8"/>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证明投标标的的合格性和符合招标文件规定的文件。</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13.投标保证金（投标保证金交纳截止时间、金额、操作流程详见第一部分投标邀请函第</w:t>
      </w:r>
      <w:r>
        <w:rPr>
          <w:rFonts w:hint="eastAsia" w:asciiTheme="minorEastAsia" w:hAnsiTheme="minorEastAsia" w:eastAsiaTheme="minorEastAsia"/>
          <w:color w:val="auto"/>
          <w:spacing w:val="-1"/>
          <w:sz w:val="21"/>
          <w:szCs w:val="22"/>
          <w:highlight w:val="none"/>
          <w:lang w:eastAsia="zh-CN"/>
        </w:rPr>
        <w:t>三</w:t>
      </w:r>
      <w:r>
        <w:rPr>
          <w:rFonts w:asciiTheme="minorEastAsia" w:hAnsiTheme="minorEastAsia" w:eastAsiaTheme="minorEastAsia"/>
          <w:color w:val="auto"/>
          <w:spacing w:val="-1"/>
          <w:sz w:val="21"/>
          <w:szCs w:val="22"/>
          <w:highlight w:val="none"/>
          <w:lang w:eastAsia="zh-CN"/>
        </w:rPr>
        <w:t>点）</w:t>
      </w:r>
    </w:p>
    <w:p>
      <w:pPr>
        <w:pStyle w:val="28"/>
        <w:numPr>
          <w:ilvl w:val="1"/>
          <w:numId w:val="9"/>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交纳投标保证金的投标人必须已报名本项目，投标人必须按招标文件规定的金额和规定的期限内交纳投标保证金，投标人与投标保证金的交款人名称必须一致，否则，评标委员会将对其投标文件作无效投标处理。</w:t>
      </w:r>
    </w:p>
    <w:p>
      <w:pPr>
        <w:pStyle w:val="28"/>
        <w:numPr>
          <w:ilvl w:val="1"/>
          <w:numId w:val="9"/>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必须将投标保证金一次性足额汇入投标保证金交纳通知书中指定的子帐号，不接受现金、分批次交款或采用EFT系统(广东金融结算系统)方式交纳投标保证金，否则，评标委员会将对其投标文件作无效投标处理。</w:t>
      </w:r>
    </w:p>
    <w:p>
      <w:pPr>
        <w:pStyle w:val="28"/>
        <w:numPr>
          <w:ilvl w:val="1"/>
          <w:numId w:val="9"/>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保证金有效与否，将以产权交易系统作为判断依据。请各投标人充分考虑到银行转账的时间差，适时提前转账（建议投标人在投标保证金提交截止时间的2个工作日之前交纳投标保证金），否则，由此产生的一切后果由投标人自行承担。</w:t>
      </w:r>
    </w:p>
    <w:p>
      <w:pPr>
        <w:pStyle w:val="28"/>
        <w:numPr>
          <w:ilvl w:val="1"/>
          <w:numId w:val="9"/>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投标人参与分包项目的多个分包，应当分别在招标文件规定的期限内在相应的分包获取子账号，并按招标文件规定的金额交纳投标保证金。</w:t>
      </w:r>
    </w:p>
    <w:p>
      <w:pPr>
        <w:pStyle w:val="28"/>
        <w:numPr>
          <w:ilvl w:val="1"/>
          <w:numId w:val="9"/>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投标人参与重新招标的项目，必须在招标文件规定的期限内登录交易系统重新获取新的子账号，并按招标文件规定的金额重新交纳投标保证金，否则，评标委员会将对其投标文件作无效投标处理。</w:t>
      </w:r>
    </w:p>
    <w:p>
      <w:pPr>
        <w:pStyle w:val="28"/>
        <w:numPr>
          <w:ilvl w:val="1"/>
          <w:numId w:val="9"/>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非中标投标人的投标保证金，在中标通知书发出后5个工作日内不计利息原额退还。</w:t>
      </w:r>
    </w:p>
    <w:p>
      <w:pPr>
        <w:pStyle w:val="28"/>
        <w:numPr>
          <w:ilvl w:val="1"/>
          <w:numId w:val="9"/>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中标投标人的投标保证金,在与招标人签订合同后5个工作日内不计利息原额退还（中标投标人凭合同到招标代理机构办理保证金退还手续）。</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14.投标文件提交时间</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14.1 投标文件提交时间为投标截止时间前30分钟内，投标人应当现场提交投标文件。</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15.投标文件的数量和签署</w:t>
      </w:r>
    </w:p>
    <w:p>
      <w:pPr>
        <w:pStyle w:val="28"/>
        <w:numPr>
          <w:ilvl w:val="1"/>
          <w:numId w:val="10"/>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投标人应当编制投标文件。若副本与正本不符，以正本为准。</w:t>
      </w:r>
    </w:p>
    <w:p>
      <w:pPr>
        <w:pStyle w:val="28"/>
        <w:numPr>
          <w:ilvl w:val="1"/>
          <w:numId w:val="10"/>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投标文件的正本需打印或用不褪色墨水书写，并由法定代表人或经其正式授权的代表签署。授权代表须出具书面授权证明，其《法定代表人授权书》应当附在投标文件中。</w:t>
      </w:r>
    </w:p>
    <w:p>
      <w:pPr>
        <w:pStyle w:val="28"/>
        <w:numPr>
          <w:ilvl w:val="1"/>
          <w:numId w:val="10"/>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投标文件中的任何重要的插字、涂改和增删，必须由法定代表人或经其正式授权的代表在旁边签署才有效。</w:t>
      </w:r>
    </w:p>
    <w:p>
      <w:pPr>
        <w:pStyle w:val="6"/>
        <w:spacing w:before="0" w:after="0" w:line="360" w:lineRule="auto"/>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四、投标文件的提交</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16.投标文件的密封和标记</w:t>
      </w:r>
    </w:p>
    <w:p>
      <w:pPr>
        <w:pStyle w:val="28"/>
        <w:numPr>
          <w:ilvl w:val="1"/>
          <w:numId w:val="11"/>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将投标文件正本和副本密封包装，每套投标文件清楚地标明“正本”、“副本”，外包装上注明招标项目名称、招标项目编号和“在（招标文件中规定的开标日期和时间）之前不得启封”的字样，封口处加盖投标人公章。</w:t>
      </w:r>
    </w:p>
    <w:p>
      <w:pPr>
        <w:pStyle w:val="28"/>
        <w:numPr>
          <w:ilvl w:val="1"/>
          <w:numId w:val="11"/>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投标文件必须符合以下密封要求：在不对包装进行破坏的情况下，投标文件无法从包装内掉出或被取出，且他人无法看到投标文件的内文内容。</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17.投标文件的修改和撤回</w:t>
      </w:r>
    </w:p>
    <w:p>
      <w:pPr>
        <w:pStyle w:val="28"/>
        <w:numPr>
          <w:ilvl w:val="1"/>
          <w:numId w:val="12"/>
        </w:numPr>
        <w:tabs>
          <w:tab w:val="left" w:pos="59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在投标截止时间前，可以对所提交的投标文件进行补充、修改或者撤回，并书面通知招标代理机构。补充、修改的内容应当按招标文件要求签署、盖章，并作为投标文件的组成部分。在投标截止时间之后，投标人不得对其投标文件做任何修改和补充。</w:t>
      </w:r>
    </w:p>
    <w:p>
      <w:pPr>
        <w:pStyle w:val="28"/>
        <w:numPr>
          <w:ilvl w:val="1"/>
          <w:numId w:val="12"/>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投标人在提交投标文件后，可以撤回其投标，但投标人必须在规定的投标截止时间前以书面形式告知招标代理机构。</w:t>
      </w:r>
    </w:p>
    <w:p>
      <w:pPr>
        <w:pStyle w:val="28"/>
        <w:numPr>
          <w:ilvl w:val="1"/>
          <w:numId w:val="12"/>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投标人所提交的投标文件在评标结束后，无论中标与否都不退还。</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18.投标文件的拒收</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18.1逾期送达或者未按照招标文件要求密封的的投标文件将被拒收。</w:t>
      </w:r>
    </w:p>
    <w:p>
      <w:pPr>
        <w:pStyle w:val="6"/>
        <w:spacing w:before="0" w:after="0" w:line="360" w:lineRule="auto"/>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五、开标、资格审查、评标、定标</w:t>
      </w:r>
    </w:p>
    <w:p>
      <w:pPr>
        <w:pStyle w:val="6"/>
        <w:spacing w:before="0" w:after="0" w:line="360" w:lineRule="auto"/>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六、质疑</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19.质疑</w:t>
      </w:r>
    </w:p>
    <w:p>
      <w:pPr>
        <w:pStyle w:val="28"/>
        <w:numPr>
          <w:ilvl w:val="1"/>
          <w:numId w:val="13"/>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投标人认为招标文件、招标过程、中标或者成交结果使自己的权益受到损害的，可以在知道或者应知其权益受到损害之日起7个工作日内，以书面形式（原件）向招标人、招标代理机构提出质疑。</w:t>
      </w:r>
    </w:p>
    <w:p>
      <w:pPr>
        <w:pStyle w:val="3"/>
        <w:adjustRightInd w:val="0"/>
        <w:snapToGrid w:val="0"/>
        <w:spacing w:line="360" w:lineRule="auto"/>
        <w:ind w:firstLine="416" w:firstLineChars="200"/>
        <w:jc w:val="both"/>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根据本项目委托代理协议书的约定，投标人如对招标文件内用户需求书（包括投标人资格、评审细则等）的合法、合理性进行询问和质疑，应当直接向本项目招标人提出，由招标人受理并答复有关事项；投标人如对招标文件内除用户需求书外的内容以及招标过程、中标或者成交结果的合法、合理性进行询问和质疑，应当直接向招标代理机构提出，由招标代理机构受理并答复有关事项。</w:t>
      </w:r>
    </w:p>
    <w:p>
      <w:pPr>
        <w:pStyle w:val="28"/>
        <w:numPr>
          <w:ilvl w:val="1"/>
          <w:numId w:val="13"/>
        </w:numPr>
        <w:tabs>
          <w:tab w:val="left" w:pos="59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政府采购法第五十二条规定的投标人应知其权益受到损害之日，是指：</w:t>
      </w:r>
    </w:p>
    <w:p>
      <w:pPr>
        <w:pStyle w:val="28"/>
        <w:numPr>
          <w:ilvl w:val="2"/>
          <w:numId w:val="13"/>
        </w:numPr>
        <w:tabs>
          <w:tab w:val="left" w:pos="78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对招标文件提出质疑的，为获取招标文件或者招标文件公告期限届满之日。</w:t>
      </w:r>
    </w:p>
    <w:p>
      <w:pPr>
        <w:pStyle w:val="28"/>
        <w:numPr>
          <w:ilvl w:val="2"/>
          <w:numId w:val="13"/>
        </w:numPr>
        <w:tabs>
          <w:tab w:val="left" w:pos="78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对招标过程提出质疑的，为各招标程序环节结束之日。</w:t>
      </w:r>
    </w:p>
    <w:p>
      <w:pPr>
        <w:pStyle w:val="28"/>
        <w:numPr>
          <w:ilvl w:val="2"/>
          <w:numId w:val="13"/>
        </w:numPr>
        <w:tabs>
          <w:tab w:val="left" w:pos="78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对中标或者成交结果提出质疑的，为中标或者成交结果公告期限届满之日。</w:t>
      </w:r>
    </w:p>
    <w:p>
      <w:pPr>
        <w:pStyle w:val="28"/>
        <w:numPr>
          <w:ilvl w:val="1"/>
          <w:numId w:val="14"/>
        </w:numPr>
        <w:tabs>
          <w:tab w:val="left" w:pos="59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投标人提出质疑应当提交质疑函和必要的证明材料。质疑函应当包括下列内容：</w:t>
      </w:r>
    </w:p>
    <w:p>
      <w:pPr>
        <w:pStyle w:val="28"/>
        <w:numPr>
          <w:ilvl w:val="2"/>
          <w:numId w:val="14"/>
        </w:numPr>
        <w:tabs>
          <w:tab w:val="left" w:pos="78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投标人的姓名或者名称、地址、邮编、联系人及联系电话；</w:t>
      </w:r>
    </w:p>
    <w:p>
      <w:pPr>
        <w:pStyle w:val="28"/>
        <w:numPr>
          <w:ilvl w:val="2"/>
          <w:numId w:val="14"/>
        </w:numPr>
        <w:tabs>
          <w:tab w:val="left" w:pos="78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质疑项目的名称、编号；</w:t>
      </w:r>
    </w:p>
    <w:p>
      <w:pPr>
        <w:pStyle w:val="28"/>
        <w:numPr>
          <w:ilvl w:val="2"/>
          <w:numId w:val="14"/>
        </w:numPr>
        <w:tabs>
          <w:tab w:val="left" w:pos="78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具体、明确的质疑事项和与质疑事项相关的请求；</w:t>
      </w:r>
    </w:p>
    <w:p>
      <w:pPr>
        <w:pStyle w:val="28"/>
        <w:numPr>
          <w:ilvl w:val="2"/>
          <w:numId w:val="14"/>
        </w:numPr>
        <w:tabs>
          <w:tab w:val="left" w:pos="78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事实依据；</w:t>
      </w:r>
    </w:p>
    <w:p>
      <w:pPr>
        <w:pStyle w:val="28"/>
        <w:numPr>
          <w:ilvl w:val="2"/>
          <w:numId w:val="14"/>
        </w:numPr>
        <w:tabs>
          <w:tab w:val="left" w:pos="78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必要的法律依据；</w:t>
      </w:r>
    </w:p>
    <w:p>
      <w:pPr>
        <w:pStyle w:val="28"/>
        <w:numPr>
          <w:ilvl w:val="2"/>
          <w:numId w:val="14"/>
        </w:numPr>
        <w:tabs>
          <w:tab w:val="left" w:pos="78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提出质疑的日期。</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投标人为自然人的，应当由本人签字；投标人为法人或者其他组织的，应当由法定代表人、主要负责人，或者其授权代表签字或者盖章，并加盖公章（授权代表签署的，应当提供法定代表人授权委托书）。</w:t>
      </w:r>
    </w:p>
    <w:p>
      <w:pPr>
        <w:pStyle w:val="28"/>
        <w:numPr>
          <w:ilvl w:val="1"/>
          <w:numId w:val="15"/>
        </w:numPr>
        <w:tabs>
          <w:tab w:val="left" w:pos="59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提出质疑的投标人应当是参与所质疑项目产权交易活动的投标人。潜在投标人已依法获取其可质疑的招标文件的（提交质疑函时应当附网上报名回执），可以对该文件提出质疑。质疑投标人必须按招标文件的约定提交投标或响应文件后，才能对中标或者成交结果提出质疑。</w:t>
      </w:r>
    </w:p>
    <w:p>
      <w:pPr>
        <w:pStyle w:val="28"/>
        <w:numPr>
          <w:ilvl w:val="1"/>
          <w:numId w:val="15"/>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投标人应当在法定质疑期内一次性提出针对同一招标程序环节的质疑。投标人在法定质疑期内二次或多次针对同一招标程序环节提出质疑的，招标代理机构均不予受理。</w:t>
      </w:r>
    </w:p>
    <w:p>
      <w:pPr>
        <w:pStyle w:val="28"/>
        <w:numPr>
          <w:ilvl w:val="1"/>
          <w:numId w:val="15"/>
        </w:numPr>
        <w:tabs>
          <w:tab w:val="left" w:pos="594"/>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接收质疑函的方式</w:t>
      </w:r>
    </w:p>
    <w:p>
      <w:pPr>
        <w:pStyle w:val="3"/>
        <w:adjustRightInd w:val="0"/>
        <w:snapToGrid w:val="0"/>
        <w:spacing w:line="360" w:lineRule="auto"/>
        <w:ind w:firstLine="416" w:firstLineChars="200"/>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质疑函必须以原件现场提交的方式提交。质疑投标人提出质疑时必须向招标人或者招标代理机构索取质疑受理回执书，受理日期以质疑受理回执日期为准。</w:t>
      </w:r>
    </w:p>
    <w:p>
      <w:pPr>
        <w:pStyle w:val="6"/>
        <w:spacing w:before="0" w:after="0" w:line="360" w:lineRule="auto"/>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七、 合同的订立和履行</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20.合同的订立</w:t>
      </w:r>
    </w:p>
    <w:p>
      <w:pPr>
        <w:pStyle w:val="28"/>
        <w:numPr>
          <w:ilvl w:val="1"/>
          <w:numId w:val="16"/>
        </w:numPr>
        <w:tabs>
          <w:tab w:val="left" w:pos="737"/>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招标人与中标投标人自中标通知书发出之日起三十日内，按招标文件要求和中标投标人投标文件的承诺签订合同，但不得超出招标文件和中标投标人投标文件的范围、也不得再行订立背离合同实质性内容的其他协议。</w:t>
      </w:r>
    </w:p>
    <w:p>
      <w:pPr>
        <w:pStyle w:val="28"/>
        <w:numPr>
          <w:ilvl w:val="1"/>
          <w:numId w:val="16"/>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签订合同后7个工作日内，招标人应当将合同副本报同级监督管理部门备案。</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21.合同的履行</w:t>
      </w:r>
    </w:p>
    <w:p>
      <w:pPr>
        <w:pStyle w:val="28"/>
        <w:numPr>
          <w:ilvl w:val="1"/>
          <w:numId w:val="17"/>
        </w:numPr>
        <w:tabs>
          <w:tab w:val="left" w:pos="594"/>
        </w:tabs>
        <w:adjustRightInd w:val="0"/>
        <w:snapToGrid w:val="0"/>
        <w:spacing w:before="0" w:line="360" w:lineRule="auto"/>
        <w:ind w:left="0"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合同订立后，合同各方不得擅自变更、中止或者终止合同。合同需要变更的，招标人应当将有关合同变更内容，以书面形式报监督管理机关备案；因特殊情况需要中止或终止合同的，招标人应当将中止或终止合同的理由以及相应措施，以书面形式报监督管理机关备案。</w:t>
      </w:r>
    </w:p>
    <w:p>
      <w:pPr>
        <w:pStyle w:val="28"/>
        <w:numPr>
          <w:ilvl w:val="1"/>
          <w:numId w:val="17"/>
        </w:numPr>
        <w:tabs>
          <w:tab w:val="left" w:pos="66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合同履行中，招标人需追加与合同标的相同的货物、工程或者服务的，在不改变合同其他条款的前提下，可以与投标人签订补充合同，但所补充合同的金额不得超过原金额的百分之十。签订补充合同的必须按照20.2条的规定备案。</w:t>
      </w:r>
    </w:p>
    <w:p>
      <w:pPr>
        <w:pStyle w:val="6"/>
        <w:spacing w:before="0" w:after="0" w:line="360" w:lineRule="auto"/>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八、适用法律</w:t>
      </w:r>
    </w:p>
    <w:p>
      <w:pPr>
        <w:pStyle w:val="3"/>
        <w:adjustRightInd w:val="0"/>
        <w:snapToGrid w:val="0"/>
        <w:spacing w:line="360" w:lineRule="auto"/>
        <w:ind w:firstLine="416" w:firstLineChars="200"/>
        <w:jc w:val="both"/>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22.招标人、招标代理机构及投标人的一切招标投标活动均适用《政府采购法》及其配套的法规、规章、政策。工程类项目适用《中华人民共和国招标投标法》及其配套的法规、规章、政策。</w:t>
      </w:r>
    </w:p>
    <w:p>
      <w:pPr>
        <w:pStyle w:val="6"/>
        <w:spacing w:before="0" w:after="0" w:line="360" w:lineRule="auto"/>
        <w:rPr>
          <w:rFonts w:asciiTheme="minorEastAsia" w:hAnsiTheme="minorEastAsia" w:eastAsiaTheme="minorEastAsia"/>
          <w:color w:val="auto"/>
          <w:spacing w:val="-1"/>
          <w:sz w:val="21"/>
          <w:szCs w:val="22"/>
          <w:highlight w:val="none"/>
          <w:lang w:eastAsia="zh-CN"/>
        </w:rPr>
      </w:pPr>
      <w:r>
        <w:rPr>
          <w:rFonts w:asciiTheme="minorEastAsia" w:hAnsiTheme="minorEastAsia" w:eastAsiaTheme="minorEastAsia"/>
          <w:color w:val="auto"/>
          <w:spacing w:val="-1"/>
          <w:sz w:val="21"/>
          <w:szCs w:val="22"/>
          <w:highlight w:val="none"/>
          <w:lang w:eastAsia="zh-CN"/>
        </w:rPr>
        <w:t>九、招标服务费</w:t>
      </w: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23.本项目招标服务费</w:t>
      </w:r>
      <w:r>
        <w:rPr>
          <w:rFonts w:hint="eastAsia" w:asciiTheme="minorEastAsia" w:hAnsiTheme="minorEastAsia" w:eastAsiaTheme="minorEastAsia"/>
          <w:color w:val="auto"/>
          <w:spacing w:val="-1"/>
          <w:sz w:val="21"/>
          <w:highlight w:val="none"/>
          <w:lang w:eastAsia="zh-CN"/>
        </w:rPr>
        <w:t>由中</w:t>
      </w:r>
      <w:r>
        <w:rPr>
          <w:rFonts w:asciiTheme="minorEastAsia" w:hAnsiTheme="minorEastAsia" w:eastAsiaTheme="minorEastAsia"/>
          <w:color w:val="auto"/>
          <w:spacing w:val="-1"/>
          <w:sz w:val="21"/>
          <w:highlight w:val="none"/>
          <w:lang w:eastAsia="zh-CN"/>
        </w:rPr>
        <w:t>标人</w:t>
      </w:r>
      <w:r>
        <w:rPr>
          <w:rFonts w:hint="eastAsia" w:asciiTheme="minorEastAsia" w:hAnsiTheme="minorEastAsia" w:eastAsiaTheme="minorEastAsia"/>
          <w:color w:val="auto"/>
          <w:spacing w:val="-1"/>
          <w:sz w:val="21"/>
          <w:highlight w:val="none"/>
          <w:lang w:eastAsia="zh-CN"/>
        </w:rPr>
        <w:t>向招标代理机构支付。</w:t>
      </w: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p>
    <w:p>
      <w:pPr>
        <w:pStyle w:val="28"/>
        <w:tabs>
          <w:tab w:val="left" w:pos="725"/>
        </w:tabs>
        <w:adjustRightInd w:val="0"/>
        <w:snapToGrid w:val="0"/>
        <w:spacing w:before="0" w:line="360" w:lineRule="auto"/>
        <w:ind w:left="0"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br w:type="page"/>
      </w:r>
    </w:p>
    <w:p>
      <w:pPr>
        <w:adjustRightInd w:val="0"/>
        <w:snapToGrid w:val="0"/>
        <w:spacing w:line="360" w:lineRule="auto"/>
        <w:jc w:val="center"/>
        <w:outlineLvl w:val="0"/>
        <w:rPr>
          <w:rFonts w:ascii="宋体" w:hAnsi="宋体" w:eastAsia="宋体"/>
          <w:color w:val="auto"/>
          <w:sz w:val="36"/>
          <w:szCs w:val="36"/>
          <w:highlight w:val="none"/>
          <w:lang w:eastAsia="zh-CN"/>
        </w:rPr>
      </w:pPr>
      <w:r>
        <w:rPr>
          <w:rFonts w:hint="eastAsia" w:ascii="宋体" w:hAnsi="宋体" w:eastAsia="宋体"/>
          <w:color w:val="auto"/>
          <w:sz w:val="36"/>
          <w:szCs w:val="36"/>
          <w:highlight w:val="none"/>
          <w:lang w:eastAsia="zh-CN"/>
        </w:rPr>
        <w:t>第三部分 开标、资格审查、评标、定标</w:t>
      </w:r>
    </w:p>
    <w:p>
      <w:pPr>
        <w:pStyle w:val="28"/>
        <w:numPr>
          <w:ilvl w:val="0"/>
          <w:numId w:val="18"/>
        </w:numPr>
        <w:adjustRightInd w:val="0"/>
        <w:snapToGrid w:val="0"/>
        <w:spacing w:line="360" w:lineRule="auto"/>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评审规则</w:t>
      </w:r>
    </w:p>
    <w:p>
      <w:pPr>
        <w:adjustRightInd w:val="0"/>
        <w:snapToGrid w:val="0"/>
        <w:spacing w:line="360" w:lineRule="auto"/>
        <w:ind w:firstLine="416" w:firstLineChars="200"/>
        <w:rPr>
          <w:rFonts w:hint="eastAsia" w:asciiTheme="minorEastAsia" w:hAnsiTheme="minorEastAsia" w:eastAsiaTheme="minorEastAsia"/>
          <w:color w:val="auto"/>
          <w:spacing w:val="-1"/>
          <w:sz w:val="21"/>
          <w:szCs w:val="21"/>
          <w:highlight w:val="none"/>
          <w:lang w:val="en-US" w:eastAsia="zh-CN"/>
        </w:rPr>
      </w:pPr>
      <w:r>
        <w:rPr>
          <w:rFonts w:hint="eastAsia" w:asciiTheme="minorEastAsia" w:hAnsiTheme="minorEastAsia" w:eastAsiaTheme="minorEastAsia"/>
          <w:color w:val="auto"/>
          <w:spacing w:val="-1"/>
          <w:sz w:val="21"/>
          <w:szCs w:val="21"/>
          <w:highlight w:val="none"/>
          <w:lang w:eastAsia="zh-CN"/>
        </w:rPr>
        <w:t>1、本评审办法采用综合评分法，</w:t>
      </w:r>
      <w:r>
        <w:rPr>
          <w:rFonts w:hint="eastAsia" w:asciiTheme="minorEastAsia" w:hAnsiTheme="minorEastAsia" w:eastAsiaTheme="minorEastAsia"/>
          <w:color w:val="auto"/>
          <w:spacing w:val="-1"/>
          <w:sz w:val="21"/>
          <w:szCs w:val="21"/>
          <w:highlight w:val="none"/>
          <w:lang w:val="en-US" w:eastAsia="zh-CN"/>
        </w:rPr>
        <w:t>总分100分。</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841"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评分项目</w:t>
            </w:r>
          </w:p>
        </w:tc>
        <w:tc>
          <w:tcPr>
            <w:tcW w:w="2841"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技术评分</w:t>
            </w:r>
          </w:p>
        </w:tc>
        <w:tc>
          <w:tcPr>
            <w:tcW w:w="2840"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商务评分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41"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权重</w:t>
            </w:r>
          </w:p>
        </w:tc>
        <w:tc>
          <w:tcPr>
            <w:tcW w:w="2841"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0%</w:t>
            </w:r>
          </w:p>
        </w:tc>
        <w:tc>
          <w:tcPr>
            <w:tcW w:w="2840"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0%</w:t>
            </w:r>
          </w:p>
        </w:tc>
      </w:tr>
    </w:tbl>
    <w:p>
      <w:pPr>
        <w:pStyle w:val="2"/>
        <w:rPr>
          <w:rFonts w:hint="default"/>
          <w:lang w:val="en-US" w:eastAsia="zh-CN"/>
        </w:rPr>
      </w:pP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asciiTheme="minorEastAsia" w:hAnsiTheme="minorEastAsia" w:eastAsiaTheme="minorEastAsia"/>
          <w:color w:val="auto"/>
          <w:spacing w:val="-1"/>
          <w:sz w:val="21"/>
          <w:szCs w:val="21"/>
          <w:highlight w:val="none"/>
          <w:lang w:eastAsia="zh-CN"/>
        </w:rPr>
        <w:t>2</w:t>
      </w:r>
      <w:r>
        <w:rPr>
          <w:rFonts w:hint="eastAsia" w:asciiTheme="minorEastAsia" w:hAnsiTheme="minorEastAsia" w:eastAsiaTheme="minorEastAsia"/>
          <w:color w:val="auto"/>
          <w:spacing w:val="-1"/>
          <w:sz w:val="21"/>
          <w:szCs w:val="21"/>
          <w:highlight w:val="none"/>
          <w:lang w:eastAsia="zh-CN"/>
        </w:rPr>
        <w:t>、评审步骤：由评标委员会根据本章规定的标准对投标文件先进行初审，对通过初审的投标文件进行技术、商务详细评审，最后</w:t>
      </w:r>
      <w:r>
        <w:rPr>
          <w:rFonts w:asciiTheme="minorEastAsia" w:hAnsiTheme="minorEastAsia" w:eastAsiaTheme="minorEastAsia"/>
          <w:color w:val="auto"/>
          <w:spacing w:val="-1"/>
          <w:sz w:val="21"/>
          <w:szCs w:val="21"/>
          <w:highlight w:val="none"/>
          <w:lang w:eastAsia="zh-CN"/>
        </w:rPr>
        <w:t>出具评标报告。</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3、评分及其统计：按照评标程序、评分标准以及权重分配的规定，评标委员会各成员分别就各个投标人</w:t>
      </w:r>
      <w:r>
        <w:rPr>
          <w:rFonts w:asciiTheme="minorEastAsia" w:hAnsiTheme="minorEastAsia" w:eastAsiaTheme="minorEastAsia"/>
          <w:color w:val="auto"/>
          <w:spacing w:val="-1"/>
          <w:sz w:val="21"/>
          <w:szCs w:val="21"/>
          <w:highlight w:val="none"/>
          <w:lang w:eastAsia="zh-CN"/>
        </w:rPr>
        <w:t>的技术状况、商务状况及其对招标文件要求的响应情况进行评议和比较，评出其技术评分和商务评分相加得出其综合得分。</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商务、技术评分分别为所有评委评分分值的算术平均值（四舍五入后，小数点后保留两位有效数）。</w:t>
      </w:r>
      <w:r>
        <w:rPr>
          <w:rFonts w:asciiTheme="minorEastAsia" w:hAnsiTheme="minorEastAsia" w:eastAsiaTheme="minorEastAsia"/>
          <w:color w:val="auto"/>
          <w:spacing w:val="-1"/>
          <w:sz w:val="21"/>
          <w:szCs w:val="21"/>
          <w:highlight w:val="none"/>
          <w:lang w:eastAsia="zh-CN"/>
        </w:rPr>
        <w:t xml:space="preserve">   </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4、综合评分的计算和：</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综合评分=技术评分+商务评分</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各项得分按四舍五入原则精确到小数点后两位。将综合评分由高到低排列、综合评分相同，按技术评审得分由高到低排序排列；综合评分相同，技术评分相同的，名次由评标委员会按少数服从多数原则投票决定。</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二、</w:t>
      </w:r>
      <w:r>
        <w:rPr>
          <w:rFonts w:asciiTheme="minorEastAsia" w:hAnsiTheme="minorEastAsia" w:eastAsiaTheme="minorEastAsia"/>
          <w:color w:val="auto"/>
          <w:spacing w:val="-1"/>
          <w:sz w:val="21"/>
          <w:szCs w:val="21"/>
          <w:highlight w:val="none"/>
          <w:lang w:eastAsia="zh-CN"/>
        </w:rPr>
        <w:t>评</w:t>
      </w:r>
      <w:r>
        <w:rPr>
          <w:rFonts w:hint="eastAsia" w:asciiTheme="minorEastAsia" w:hAnsiTheme="minorEastAsia" w:eastAsiaTheme="minorEastAsia"/>
          <w:color w:val="auto"/>
          <w:spacing w:val="-1"/>
          <w:sz w:val="21"/>
          <w:szCs w:val="21"/>
          <w:highlight w:val="none"/>
          <w:lang w:eastAsia="zh-CN"/>
        </w:rPr>
        <w:t>审</w:t>
      </w:r>
      <w:r>
        <w:rPr>
          <w:rFonts w:asciiTheme="minorEastAsia" w:hAnsiTheme="minorEastAsia" w:eastAsiaTheme="minorEastAsia"/>
          <w:color w:val="auto"/>
          <w:spacing w:val="-1"/>
          <w:sz w:val="21"/>
          <w:szCs w:val="21"/>
          <w:highlight w:val="none"/>
          <w:lang w:eastAsia="zh-CN"/>
        </w:rPr>
        <w:t>步骤</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评标委员会对投标文件的评审分为初审、比较与评价：</w:t>
      </w:r>
    </w:p>
    <w:p>
      <w:pPr>
        <w:adjustRightInd w:val="0"/>
        <w:snapToGrid w:val="0"/>
        <w:spacing w:line="360" w:lineRule="auto"/>
        <w:ind w:firstLine="200"/>
        <w:rPr>
          <w:rFonts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1"/>
          <w:szCs w:val="21"/>
          <w:highlight w:val="none"/>
          <w:lang w:eastAsia="zh-CN"/>
        </w:rPr>
        <w:t>（一）初审</w:t>
      </w:r>
    </w:p>
    <w:p>
      <w:pPr>
        <w:adjustRightInd w:val="0"/>
        <w:snapToGrid w:val="0"/>
        <w:spacing w:line="360" w:lineRule="auto"/>
        <w:ind w:firstLine="200"/>
        <w:jc w:val="center"/>
        <w:rPr>
          <w:rFonts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1"/>
          <w:szCs w:val="21"/>
          <w:highlight w:val="none"/>
          <w:lang w:eastAsia="zh-CN"/>
        </w:rPr>
        <w:t>资格、符合性评审条款</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36"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评审内容</w:t>
            </w:r>
          </w:p>
        </w:tc>
        <w:tc>
          <w:tcPr>
            <w:tcW w:w="4586"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资格</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性检</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查</w:t>
            </w:r>
          </w:p>
        </w:tc>
        <w:tc>
          <w:tcPr>
            <w:tcW w:w="2835"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投标承诺书</w:t>
            </w:r>
          </w:p>
        </w:tc>
        <w:tc>
          <w:tcPr>
            <w:tcW w:w="4586"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p>
        </w:tc>
        <w:tc>
          <w:tcPr>
            <w:tcW w:w="2835"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法定代表人证明书及授权委托书</w:t>
            </w:r>
          </w:p>
        </w:tc>
        <w:tc>
          <w:tcPr>
            <w:tcW w:w="4586"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p>
        </w:tc>
        <w:tc>
          <w:tcPr>
            <w:tcW w:w="2835"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准入条件</w:t>
            </w:r>
          </w:p>
        </w:tc>
        <w:tc>
          <w:tcPr>
            <w:tcW w:w="4586"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符合性检查</w:t>
            </w:r>
          </w:p>
        </w:tc>
        <w:tc>
          <w:tcPr>
            <w:tcW w:w="2835"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商务技术要求</w:t>
            </w:r>
          </w:p>
        </w:tc>
        <w:tc>
          <w:tcPr>
            <w:tcW w:w="4586"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实质性响应标书中“★”号参数的商务和技术要求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p>
        </w:tc>
        <w:tc>
          <w:tcPr>
            <w:tcW w:w="2835"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asciiTheme="minorEastAsia" w:hAnsiTheme="minorEastAsia" w:eastAsiaTheme="minorEastAsia"/>
                <w:color w:val="auto"/>
                <w:spacing w:val="-1"/>
                <w:kern w:val="2"/>
                <w:sz w:val="21"/>
                <w:szCs w:val="21"/>
                <w:highlight w:val="none"/>
                <w:lang w:eastAsia="zh-CN"/>
              </w:rPr>
              <w:t>其它</w:t>
            </w:r>
          </w:p>
        </w:tc>
        <w:tc>
          <w:tcPr>
            <w:tcW w:w="4586"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asciiTheme="minorEastAsia" w:hAnsiTheme="minorEastAsia" w:eastAsiaTheme="minorEastAsia"/>
                <w:color w:val="auto"/>
                <w:spacing w:val="-1"/>
                <w:kern w:val="2"/>
                <w:sz w:val="21"/>
                <w:szCs w:val="21"/>
                <w:highlight w:val="none"/>
                <w:lang w:eastAsia="zh-CN"/>
              </w:rPr>
            </w:pPr>
            <w:r>
              <w:rPr>
                <w:rFonts w:hint="eastAsia" w:asciiTheme="minorEastAsia" w:hAnsiTheme="minorEastAsia" w:eastAsiaTheme="minorEastAsia"/>
                <w:color w:val="auto"/>
                <w:spacing w:val="-1"/>
                <w:kern w:val="2"/>
                <w:sz w:val="21"/>
                <w:szCs w:val="21"/>
                <w:highlight w:val="none"/>
                <w:lang w:eastAsia="zh-CN"/>
              </w:rPr>
              <w:t>实质性响应招标文件中规定的其它情况</w:t>
            </w:r>
          </w:p>
        </w:tc>
      </w:tr>
    </w:tbl>
    <w:p>
      <w:pPr>
        <w:adjustRightInd w:val="0"/>
        <w:snapToGrid w:val="0"/>
        <w:spacing w:line="360" w:lineRule="auto"/>
        <w:ind w:firstLine="200"/>
        <w:jc w:val="center"/>
        <w:rPr>
          <w:rFonts w:asciiTheme="minorEastAsia" w:hAnsiTheme="minorEastAsia" w:eastAsiaTheme="minorEastAsia"/>
          <w:b/>
          <w:color w:val="auto"/>
          <w:sz w:val="21"/>
          <w:szCs w:val="21"/>
          <w:highlight w:val="none"/>
          <w:lang w:eastAsia="zh-CN"/>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p>
    <w:p>
      <w:pPr>
        <w:adjustRightInd w:val="0"/>
        <w:snapToGrid w:val="0"/>
        <w:spacing w:line="360" w:lineRule="auto"/>
        <w:ind w:firstLine="200"/>
        <w:rPr>
          <w:rFonts w:asciiTheme="minorEastAsia" w:hAnsiTheme="minorEastAsia" w:eastAsiaTheme="minorEastAsia"/>
          <w:b/>
          <w:bCs/>
          <w:color w:val="auto"/>
          <w:spacing w:val="-1"/>
          <w:sz w:val="21"/>
          <w:szCs w:val="21"/>
          <w:highlight w:val="none"/>
          <w:lang w:eastAsia="zh-CN"/>
        </w:rPr>
      </w:pPr>
      <w:r>
        <w:rPr>
          <w:rFonts w:hint="eastAsia" w:asciiTheme="minorEastAsia" w:hAnsiTheme="minorEastAsia" w:eastAsiaTheme="minorEastAsia"/>
          <w:b/>
          <w:bCs/>
          <w:color w:val="auto"/>
          <w:spacing w:val="-1"/>
          <w:sz w:val="21"/>
          <w:szCs w:val="21"/>
          <w:highlight w:val="none"/>
          <w:lang w:eastAsia="zh-CN"/>
        </w:rPr>
        <w:t>（二）比较与评价</w:t>
      </w:r>
    </w:p>
    <w:p>
      <w:pPr>
        <w:adjustRightInd w:val="0"/>
        <w:snapToGrid w:val="0"/>
        <w:spacing w:line="360" w:lineRule="auto"/>
        <w:ind w:firstLine="418" w:firstLineChars="200"/>
        <w:jc w:val="center"/>
        <w:rPr>
          <w:rFonts w:asciiTheme="minorEastAsia" w:hAnsiTheme="minorEastAsia" w:eastAsiaTheme="minorEastAsia"/>
          <w:b/>
          <w:bCs/>
          <w:color w:val="auto"/>
          <w:spacing w:val="-1"/>
          <w:sz w:val="21"/>
          <w:szCs w:val="21"/>
          <w:highlight w:val="none"/>
          <w:lang w:eastAsia="zh-CN"/>
        </w:rPr>
      </w:pPr>
      <w:r>
        <w:rPr>
          <w:rFonts w:hint="eastAsia" w:asciiTheme="minorEastAsia" w:hAnsiTheme="minorEastAsia" w:eastAsiaTheme="minorEastAsia"/>
          <w:b/>
          <w:bCs/>
          <w:color w:val="auto"/>
          <w:spacing w:val="-1"/>
          <w:sz w:val="21"/>
          <w:szCs w:val="21"/>
          <w:highlight w:val="none"/>
          <w:lang w:eastAsia="zh-CN"/>
        </w:rPr>
        <w:t>技术评审表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140"/>
        <w:gridCol w:w="594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57"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序号</w:t>
            </w:r>
          </w:p>
        </w:tc>
        <w:tc>
          <w:tcPr>
            <w:tcW w:w="1140"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评分项目</w:t>
            </w:r>
          </w:p>
        </w:tc>
        <w:tc>
          <w:tcPr>
            <w:tcW w:w="5940"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评审要点及说明</w:t>
            </w:r>
          </w:p>
        </w:tc>
        <w:tc>
          <w:tcPr>
            <w:tcW w:w="685"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757"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114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
              </w:rPr>
              <w:t>运营管理目标与计划</w:t>
            </w:r>
          </w:p>
        </w:tc>
        <w:tc>
          <w:tcPr>
            <w:tcW w:w="5940" w:type="dxa"/>
            <w:shd w:val="clear" w:color="auto" w:fill="auto"/>
            <w:vAlign w:val="center"/>
          </w:tcPr>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bidi="ar"/>
              </w:rPr>
              <w:t>1、运营管理目标设置科学合理，对本地实际现状进行深入的分析。运营计划充足详实，具有一定前瞻性，可以保障运营目标的实现。切实贴合本地项目实际情况，满足招标人需求及本地市场实际需要，得10分。</w:t>
            </w:r>
          </w:p>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bidi="ar"/>
              </w:rPr>
              <w:t>2、运营管理目标设置比较合理，运营计划能够满足运营目标的实现，较能满足当地市场的实际情况及招标人需求，得7分。</w:t>
            </w:r>
          </w:p>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bidi="ar"/>
              </w:rPr>
              <w:t>3、运营管理目标设置基本合理，运营计划基本满足目标实现，但缺乏对目标的深入分析，计划实现路径和方法不够充分，得3分。</w:t>
            </w:r>
          </w:p>
          <w:p>
            <w:pPr>
              <w:keepNext w:val="0"/>
              <w:keepLines w:val="0"/>
              <w:suppressLineNumbers w:val="0"/>
              <w:spacing w:before="0" w:beforeAutospacing="0" w:after="0" w:afterAutospacing="0"/>
              <w:ind w:left="0" w:leftChars="0" w:right="0" w:rightChars="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
              </w:rPr>
              <w:t>4、运营管理目标设置不合理，无法满足招标人需求。计划没有按韶关市当地市场情况进行分析，可实施性差，难以达成目标要求，不得分。</w:t>
            </w:r>
          </w:p>
        </w:tc>
        <w:tc>
          <w:tcPr>
            <w:tcW w:w="685"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757"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p>
        </w:tc>
        <w:tc>
          <w:tcPr>
            <w:tcW w:w="11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实施方案</w:t>
            </w:r>
          </w:p>
        </w:tc>
        <w:tc>
          <w:tcPr>
            <w:tcW w:w="5940" w:type="dxa"/>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考察投标人针对车间改造、农产品加工、产品研发的实施方案进行综合评分：</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1、车间改造方案完整全面，农产品加工科学合理，产品研发措施详细具体、可行性强，完全满足项目要求，得10分。</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2、车间改造方案较全面，农产品加工较合理，产品研发措施较详细、可行性较强，能够满足项目要求，得7分。</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3、车间改造方案基本完整，农产品加工基本合理，产品研发措施可行性一般，基本满足项目要求，得3分。</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4、车间改造方案不完整，农产品加工不合理，产品研发措施不可行，不能满足项目要求或未提供的，不得分。</w:t>
            </w:r>
          </w:p>
        </w:tc>
        <w:tc>
          <w:tcPr>
            <w:tcW w:w="68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eastAsia="zh-CN"/>
              </w:rPr>
            </w:pPr>
          </w:p>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757" w:type="dxa"/>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p>
        </w:tc>
        <w:tc>
          <w:tcPr>
            <w:tcW w:w="11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bidi="ar"/>
              </w:rPr>
              <w:t>团队组建及管理方案</w:t>
            </w:r>
          </w:p>
        </w:tc>
        <w:tc>
          <w:tcPr>
            <w:tcW w:w="5940" w:type="dxa"/>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1、团队组建及管理方案科学合理，能够满足运营计划及项目长期发展的需要，分析具体、全面、科学，可实施性强，切实贴合项目实际情况，人员管理科学经济，得10分。</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2、团队组建及管理方案比较合理，能够满足运营计划需要，分析较为全面，具有一定可实施性，较为经济，得7分。</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3、团队组建及管理方案基本合理，基本满足运营计划需要，但分析不够具体深入，可实施性不强，不经济，得3分。</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4、团队组建及管理方案不合理，缺乏科学分析，方案无法满足运营计划需要，不得分。</w:t>
            </w:r>
          </w:p>
        </w:tc>
        <w:tc>
          <w:tcPr>
            <w:tcW w:w="685" w:type="dxa"/>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p>
        </w:tc>
        <w:tc>
          <w:tcPr>
            <w:tcW w:w="11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bidi="ar"/>
              </w:rPr>
              <w:t>安全管理工作方案</w:t>
            </w:r>
          </w:p>
        </w:tc>
        <w:tc>
          <w:tcPr>
            <w:tcW w:w="5940" w:type="dxa"/>
            <w:shd w:val="clear" w:color="auto" w:fill="auto"/>
            <w:vAlign w:val="center"/>
          </w:tcPr>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bidi="ar"/>
              </w:rPr>
              <w:t>1、方案内容严密，清晰，科学经济、措施到位、切实贴合项目实际情况，对相关人员的管理责任明确，得5分。</w:t>
            </w:r>
          </w:p>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ascii="宋体" w:hAnsi="宋体" w:eastAsia="宋体" w:cs="宋体"/>
                <w:color w:val="auto"/>
                <w:kern w:val="2"/>
                <w:sz w:val="21"/>
                <w:szCs w:val="21"/>
                <w:highlight w:val="none"/>
                <w:lang w:eastAsia="zh-CN" w:bidi="ar"/>
              </w:rPr>
              <w:t>2</w:t>
            </w:r>
            <w:r>
              <w:rPr>
                <w:rFonts w:hint="eastAsia" w:ascii="宋体" w:hAnsi="宋体" w:eastAsia="宋体" w:cs="宋体"/>
                <w:color w:val="auto"/>
                <w:kern w:val="2"/>
                <w:sz w:val="21"/>
                <w:szCs w:val="21"/>
                <w:highlight w:val="none"/>
                <w:lang w:eastAsia="zh-CN" w:bidi="ar"/>
              </w:rPr>
              <w:t>、方案比较合理，措施到位、基本可行，对相关人员的管理责任明确，得3分。</w:t>
            </w:r>
          </w:p>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ascii="宋体" w:hAnsi="宋体" w:eastAsia="宋体" w:cs="宋体"/>
                <w:color w:val="auto"/>
                <w:kern w:val="2"/>
                <w:sz w:val="21"/>
                <w:szCs w:val="21"/>
                <w:highlight w:val="none"/>
                <w:lang w:eastAsia="zh-CN" w:bidi="ar"/>
              </w:rPr>
              <w:t>3</w:t>
            </w:r>
            <w:r>
              <w:rPr>
                <w:rFonts w:hint="eastAsia" w:ascii="宋体" w:hAnsi="宋体" w:eastAsia="宋体" w:cs="宋体"/>
                <w:color w:val="auto"/>
                <w:kern w:val="2"/>
                <w:sz w:val="21"/>
                <w:szCs w:val="21"/>
                <w:highlight w:val="none"/>
                <w:lang w:eastAsia="zh-CN" w:bidi="ar"/>
              </w:rPr>
              <w:t>、方案基本合理，措施较为到位但不全面，对相关人员的管理责任较为明确，得1分。</w:t>
            </w:r>
          </w:p>
          <w:p>
            <w:pPr>
              <w:keepNext w:val="0"/>
              <w:keepLines w:val="0"/>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ascii="宋体" w:hAnsi="宋体" w:eastAsia="宋体" w:cs="宋体"/>
                <w:color w:val="auto"/>
                <w:kern w:val="2"/>
                <w:sz w:val="21"/>
                <w:szCs w:val="21"/>
                <w:highlight w:val="none"/>
                <w:lang w:eastAsia="zh-CN" w:bidi="ar"/>
              </w:rPr>
              <w:t>4</w:t>
            </w:r>
            <w:r>
              <w:rPr>
                <w:rFonts w:hint="eastAsia" w:ascii="宋体" w:hAnsi="宋体" w:eastAsia="宋体" w:cs="宋体"/>
                <w:color w:val="auto"/>
                <w:kern w:val="2"/>
                <w:sz w:val="21"/>
                <w:szCs w:val="21"/>
                <w:highlight w:val="none"/>
                <w:lang w:eastAsia="zh-CN" w:bidi="ar"/>
              </w:rPr>
              <w:t>、方案不合理，措施不能到位，无法满足安全需要，不得分。</w:t>
            </w:r>
          </w:p>
        </w:tc>
        <w:tc>
          <w:tcPr>
            <w:tcW w:w="685" w:type="dxa"/>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757" w:type="dxa"/>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p>
        </w:tc>
        <w:tc>
          <w:tcPr>
            <w:tcW w:w="114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bidi="ar"/>
              </w:rPr>
              <w:t>预防应急管理方案</w:t>
            </w:r>
          </w:p>
        </w:tc>
        <w:tc>
          <w:tcPr>
            <w:tcW w:w="5940" w:type="dxa"/>
            <w:shd w:val="clear" w:color="auto" w:fill="auto"/>
            <w:vAlign w:val="center"/>
          </w:tcPr>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bidi="ar"/>
              </w:rPr>
              <w:t>1、方案科学合理，内容详实，前瞻性强。切实贴合项目实际情况，管理措施科学可行，可以有效的降低、规避运营风险，满足长期运营的需要，得5分。</w:t>
            </w:r>
          </w:p>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bidi="ar"/>
              </w:rPr>
              <w:t>2、方案比较合理，内容满足应急管理需要，管理措施具有一定可行性，得3分。</w:t>
            </w:r>
          </w:p>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ascii="宋体" w:hAnsi="宋体" w:eastAsia="宋体" w:cs="宋体"/>
                <w:color w:val="auto"/>
                <w:kern w:val="2"/>
                <w:sz w:val="21"/>
                <w:szCs w:val="21"/>
                <w:highlight w:val="none"/>
                <w:lang w:eastAsia="zh-CN" w:bidi="ar"/>
              </w:rPr>
              <w:t>3</w:t>
            </w:r>
            <w:r>
              <w:rPr>
                <w:rFonts w:hint="eastAsia" w:ascii="宋体" w:hAnsi="宋体" w:eastAsia="宋体" w:cs="宋体"/>
                <w:color w:val="auto"/>
                <w:kern w:val="2"/>
                <w:sz w:val="21"/>
                <w:szCs w:val="21"/>
                <w:highlight w:val="none"/>
                <w:lang w:eastAsia="zh-CN" w:bidi="ar"/>
              </w:rPr>
              <w:t>、方案基本合理，基本满足应急管理需要，但内容不够全面，管理措施实施性一般，得1分。</w:t>
            </w:r>
          </w:p>
          <w:p>
            <w:pPr>
              <w:keepNext w:val="0"/>
              <w:keepLines w:val="0"/>
              <w:suppressLineNumbers w:val="0"/>
              <w:spacing w:before="0" w:beforeAutospacing="0" w:after="0" w:afterAutospacing="0"/>
              <w:ind w:left="0" w:right="0"/>
              <w:textAlignment w:val="center"/>
              <w:rPr>
                <w:rFonts w:ascii="宋体" w:hAnsi="宋体" w:eastAsia="宋体" w:cs="宋体"/>
                <w:color w:val="auto"/>
                <w:kern w:val="2"/>
                <w:sz w:val="21"/>
                <w:szCs w:val="21"/>
                <w:highlight w:val="none"/>
                <w:lang w:eastAsia="zh-CN"/>
              </w:rPr>
            </w:pPr>
            <w:r>
              <w:rPr>
                <w:rFonts w:ascii="宋体" w:hAnsi="宋体" w:eastAsia="宋体" w:cs="宋体"/>
                <w:color w:val="auto"/>
                <w:kern w:val="2"/>
                <w:sz w:val="21"/>
                <w:szCs w:val="21"/>
                <w:highlight w:val="none"/>
                <w:lang w:eastAsia="zh-CN" w:bidi="ar"/>
              </w:rPr>
              <w:t>4</w:t>
            </w:r>
            <w:r>
              <w:rPr>
                <w:rFonts w:hint="eastAsia" w:ascii="宋体" w:hAnsi="宋体" w:eastAsia="宋体" w:cs="宋体"/>
                <w:color w:val="auto"/>
                <w:kern w:val="2"/>
                <w:sz w:val="21"/>
                <w:szCs w:val="21"/>
                <w:highlight w:val="none"/>
                <w:lang w:eastAsia="zh-CN" w:bidi="ar"/>
              </w:rPr>
              <w:t>、方案不合理，缺乏措施与方法、流程，无法满足应急管理要求，不得分。</w:t>
            </w:r>
          </w:p>
        </w:tc>
        <w:tc>
          <w:tcPr>
            <w:tcW w:w="685" w:type="dxa"/>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37" w:type="dxa"/>
            <w:gridSpan w:val="3"/>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商务</w:t>
            </w:r>
            <w:r>
              <w:rPr>
                <w:rFonts w:hint="eastAsia" w:ascii="宋体" w:hAnsi="宋体" w:eastAsia="宋体" w:cs="宋体"/>
                <w:b/>
                <w:bCs/>
                <w:color w:val="auto"/>
                <w:kern w:val="2"/>
                <w:sz w:val="21"/>
                <w:szCs w:val="21"/>
                <w:highlight w:val="none"/>
                <w:lang w:eastAsia="zh-CN" w:bidi="ar"/>
              </w:rPr>
              <w:t>技术得分</w:t>
            </w:r>
          </w:p>
        </w:tc>
        <w:tc>
          <w:tcPr>
            <w:tcW w:w="685" w:type="dxa"/>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40</w:t>
            </w:r>
          </w:p>
        </w:tc>
      </w:tr>
    </w:tbl>
    <w:p>
      <w:pPr>
        <w:adjustRightInd w:val="0"/>
        <w:snapToGrid w:val="0"/>
        <w:spacing w:line="360" w:lineRule="auto"/>
        <w:rPr>
          <w:rFonts w:asciiTheme="minorEastAsia" w:hAnsiTheme="minorEastAsia" w:eastAsiaTheme="minorEastAsia"/>
          <w:b/>
          <w:color w:val="auto"/>
          <w:sz w:val="21"/>
          <w:szCs w:val="21"/>
          <w:highlight w:val="none"/>
          <w:lang w:eastAsia="zh-CN"/>
        </w:rPr>
      </w:pPr>
    </w:p>
    <w:p>
      <w:pPr>
        <w:adjustRightInd w:val="0"/>
        <w:snapToGrid w:val="0"/>
        <w:spacing w:line="360" w:lineRule="auto"/>
        <w:ind w:firstLine="418" w:firstLineChars="200"/>
        <w:jc w:val="center"/>
        <w:rPr>
          <w:rFonts w:hint="eastAsia"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b/>
          <w:bCs/>
          <w:color w:val="auto"/>
          <w:spacing w:val="-1"/>
          <w:sz w:val="21"/>
          <w:szCs w:val="21"/>
          <w:highlight w:val="none"/>
          <w:lang w:val="en-US" w:eastAsia="zh-CN"/>
        </w:rPr>
        <w:t>商务</w:t>
      </w:r>
      <w:r>
        <w:rPr>
          <w:rFonts w:hint="eastAsia" w:asciiTheme="minorEastAsia" w:hAnsiTheme="minorEastAsia" w:eastAsiaTheme="minorEastAsia"/>
          <w:b/>
          <w:bCs/>
          <w:color w:val="auto"/>
          <w:spacing w:val="-1"/>
          <w:sz w:val="21"/>
          <w:szCs w:val="21"/>
          <w:highlight w:val="none"/>
          <w:lang w:eastAsia="zh-CN"/>
        </w:rPr>
        <w:t>评审表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140"/>
        <w:gridCol w:w="594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57"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序号</w:t>
            </w:r>
          </w:p>
        </w:tc>
        <w:tc>
          <w:tcPr>
            <w:tcW w:w="1140"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评分项目</w:t>
            </w:r>
          </w:p>
        </w:tc>
        <w:tc>
          <w:tcPr>
            <w:tcW w:w="5940"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评审要点及说明</w:t>
            </w:r>
          </w:p>
        </w:tc>
        <w:tc>
          <w:tcPr>
            <w:tcW w:w="685" w:type="dxa"/>
            <w:shd w:val="clear" w:color="auto" w:fill="auto"/>
            <w:vAlign w:val="center"/>
          </w:tcPr>
          <w:p>
            <w:pPr>
              <w:keepNext w:val="0"/>
              <w:keepLines w:val="0"/>
              <w:widowControl/>
              <w:suppressLineNumbers w:val="0"/>
              <w:autoSpaceDE/>
              <w:autoSpaceDN/>
              <w:spacing w:before="0" w:beforeAutospacing="0" w:after="0" w:afterAutospacing="0"/>
              <w:ind w:left="0" w:right="0"/>
              <w:jc w:val="center"/>
              <w:rPr>
                <w:rFonts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757" w:type="dxa"/>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w:t>
            </w:r>
          </w:p>
        </w:tc>
        <w:tc>
          <w:tcPr>
            <w:tcW w:w="114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用户需求响应程度</w:t>
            </w:r>
          </w:p>
        </w:tc>
        <w:tc>
          <w:tcPr>
            <w:tcW w:w="5940" w:type="dxa"/>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根据各投标人针对“第</w:t>
            </w:r>
            <w:r>
              <w:rPr>
                <w:rFonts w:hint="eastAsia" w:ascii="宋体" w:hAnsi="宋体" w:eastAsia="宋体" w:cs="宋体"/>
                <w:color w:val="auto"/>
                <w:kern w:val="2"/>
                <w:sz w:val="21"/>
                <w:szCs w:val="21"/>
                <w:highlight w:val="none"/>
                <w:lang w:val="en-US" w:eastAsia="zh-CN" w:bidi="ar"/>
              </w:rPr>
              <w:t>五部分</w:t>
            </w:r>
            <w:r>
              <w:rPr>
                <w:rFonts w:hint="eastAsia" w:ascii="宋体" w:hAnsi="宋体" w:eastAsia="宋体" w:cs="宋体"/>
                <w:color w:val="auto"/>
                <w:kern w:val="2"/>
                <w:sz w:val="21"/>
                <w:szCs w:val="21"/>
                <w:highlight w:val="none"/>
                <w:lang w:eastAsia="zh-CN" w:bidi="ar"/>
              </w:rPr>
              <w:t xml:space="preserve"> </w:t>
            </w:r>
            <w:r>
              <w:rPr>
                <w:rFonts w:hint="eastAsia" w:ascii="宋体" w:hAnsi="宋体" w:eastAsia="宋体" w:cs="宋体"/>
                <w:color w:val="auto"/>
                <w:kern w:val="2"/>
                <w:sz w:val="21"/>
                <w:szCs w:val="21"/>
                <w:highlight w:val="none"/>
                <w:lang w:val="en-US" w:eastAsia="zh-CN" w:bidi="ar"/>
              </w:rPr>
              <w:t>用户</w:t>
            </w:r>
            <w:r>
              <w:rPr>
                <w:rFonts w:hint="eastAsia" w:ascii="宋体" w:hAnsi="宋体" w:eastAsia="宋体" w:cs="宋体"/>
                <w:color w:val="auto"/>
                <w:kern w:val="2"/>
                <w:sz w:val="21"/>
                <w:szCs w:val="21"/>
                <w:highlight w:val="none"/>
                <w:lang w:eastAsia="zh-CN" w:bidi="ar"/>
              </w:rPr>
              <w:t>需求书”中</w:t>
            </w:r>
            <w:r>
              <w:rPr>
                <w:rFonts w:hint="eastAsia" w:ascii="宋体" w:hAnsi="宋体" w:eastAsia="宋体" w:cs="宋体"/>
                <w:color w:val="auto"/>
                <w:kern w:val="2"/>
                <w:sz w:val="21"/>
                <w:szCs w:val="21"/>
                <w:highlight w:val="none"/>
                <w:lang w:val="en-US" w:eastAsia="zh-CN" w:bidi="ar"/>
              </w:rPr>
              <w:t>对</w:t>
            </w:r>
            <w:r>
              <w:rPr>
                <w:rFonts w:hint="eastAsia" w:ascii="宋体" w:hAnsi="宋体" w:eastAsia="宋体" w:cs="宋体"/>
                <w:color w:val="auto"/>
                <w:kern w:val="2"/>
                <w:sz w:val="21"/>
                <w:szCs w:val="21"/>
                <w:highlight w:val="none"/>
                <w:lang w:eastAsia="zh-CN" w:bidi="ar"/>
              </w:rPr>
              <w:t>“▲”要求</w:t>
            </w:r>
            <w:r>
              <w:rPr>
                <w:rFonts w:hint="eastAsia" w:ascii="宋体" w:hAnsi="宋体" w:eastAsia="宋体" w:cs="宋体"/>
                <w:color w:val="auto"/>
                <w:kern w:val="2"/>
                <w:sz w:val="21"/>
                <w:szCs w:val="21"/>
                <w:highlight w:val="none"/>
                <w:lang w:val="en-US" w:eastAsia="zh-CN" w:bidi="ar"/>
              </w:rPr>
              <w:t>的</w:t>
            </w:r>
            <w:r>
              <w:rPr>
                <w:rFonts w:hint="eastAsia" w:ascii="宋体" w:hAnsi="宋体" w:eastAsia="宋体" w:cs="宋体"/>
                <w:color w:val="auto"/>
                <w:kern w:val="2"/>
                <w:sz w:val="21"/>
                <w:szCs w:val="21"/>
                <w:highlight w:val="none"/>
                <w:lang w:eastAsia="zh-CN" w:bidi="ar"/>
              </w:rPr>
              <w:t>响应程度进行评分，每偏离（不满足、负偏离、不响应）一项扣</w:t>
            </w:r>
            <w:r>
              <w:rPr>
                <w:rFonts w:hint="eastAsia" w:ascii="宋体" w:hAnsi="宋体" w:eastAsia="宋体" w:cs="宋体"/>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eastAsia="zh-CN" w:bidi="ar"/>
              </w:rPr>
              <w:t>分；本项满分为</w:t>
            </w:r>
            <w:r>
              <w:rPr>
                <w:rFonts w:hint="eastAsia" w:ascii="宋体" w:hAnsi="宋体" w:eastAsia="宋体" w:cs="宋体"/>
                <w:color w:val="auto"/>
                <w:kern w:val="2"/>
                <w:sz w:val="21"/>
                <w:szCs w:val="21"/>
                <w:highlight w:val="none"/>
                <w:lang w:val="en-US" w:eastAsia="zh-CN" w:bidi="ar"/>
              </w:rPr>
              <w:t>60</w:t>
            </w:r>
            <w:r>
              <w:rPr>
                <w:rFonts w:hint="eastAsia" w:ascii="宋体" w:hAnsi="宋体" w:eastAsia="宋体" w:cs="宋体"/>
                <w:color w:val="auto"/>
                <w:kern w:val="2"/>
                <w:sz w:val="21"/>
                <w:szCs w:val="21"/>
                <w:highlight w:val="none"/>
                <w:lang w:eastAsia="zh-CN" w:bidi="ar"/>
              </w:rPr>
              <w:t>分，扣完为止。</w:t>
            </w:r>
          </w:p>
          <w:p>
            <w:pPr>
              <w:keepNext w:val="0"/>
              <w:keepLines w:val="0"/>
              <w:widowControl/>
              <w:suppressLineNumbers w:val="0"/>
              <w:spacing w:before="0" w:beforeAutospacing="0" w:after="0" w:afterAutospacing="0"/>
              <w:ind w:left="0" w:leftChars="0" w:right="0" w:rightChars="0"/>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bidi="ar"/>
              </w:rPr>
              <w:t>注：</w:t>
            </w:r>
            <w:r>
              <w:rPr>
                <w:rFonts w:hint="eastAsia" w:ascii="宋体" w:hAnsi="宋体" w:eastAsia="宋体" w:cs="宋体"/>
                <w:color w:val="auto"/>
                <w:kern w:val="2"/>
                <w:sz w:val="21"/>
                <w:szCs w:val="21"/>
                <w:highlight w:val="none"/>
                <w:lang w:val="en-US" w:eastAsia="zh-CN" w:bidi="ar"/>
              </w:rPr>
              <w:t>需提供</w:t>
            </w:r>
            <w:r>
              <w:rPr>
                <w:rFonts w:hint="eastAsia" w:ascii="宋体" w:hAnsi="宋体" w:eastAsia="宋体" w:cs="宋体"/>
                <w:color w:val="auto"/>
                <w:kern w:val="2"/>
                <w:sz w:val="21"/>
                <w:szCs w:val="21"/>
                <w:highlight w:val="none"/>
                <w:lang w:eastAsia="zh-CN" w:bidi="ar"/>
              </w:rPr>
              <w:t>“▲”条款自查表。</w:t>
            </w:r>
          </w:p>
        </w:tc>
        <w:tc>
          <w:tcPr>
            <w:tcW w:w="685" w:type="dxa"/>
            <w:shd w:val="clear" w:color="auto" w:fill="auto"/>
            <w:vAlign w:val="center"/>
          </w:tcPr>
          <w:p>
            <w:pPr>
              <w:keepNext w:val="0"/>
              <w:keepLines w:val="0"/>
              <w:widowControl/>
              <w:suppressLineNumbers w:val="0"/>
              <w:autoSpaceDE/>
              <w:autoSpaceDN/>
              <w:spacing w:before="0" w:beforeAutospacing="0" w:after="0" w:afterAutospacing="0"/>
              <w:ind w:left="0" w:leftChars="0" w:right="0" w:rightChars="0"/>
              <w:jc w:val="center"/>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37" w:type="dxa"/>
            <w:gridSpan w:val="3"/>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商务</w:t>
            </w:r>
            <w:r>
              <w:rPr>
                <w:rFonts w:hint="eastAsia" w:ascii="宋体" w:hAnsi="宋体" w:eastAsia="宋体" w:cs="宋体"/>
                <w:b/>
                <w:bCs/>
                <w:color w:val="auto"/>
                <w:kern w:val="2"/>
                <w:sz w:val="21"/>
                <w:szCs w:val="21"/>
                <w:highlight w:val="none"/>
                <w:lang w:eastAsia="zh-CN" w:bidi="ar"/>
              </w:rPr>
              <w:t>技术得分</w:t>
            </w:r>
          </w:p>
        </w:tc>
        <w:tc>
          <w:tcPr>
            <w:tcW w:w="685" w:type="dxa"/>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60</w:t>
            </w:r>
          </w:p>
        </w:tc>
      </w:tr>
    </w:tbl>
    <w:p>
      <w:pPr>
        <w:pStyle w:val="2"/>
        <w:rPr>
          <w:rFonts w:hint="eastAsia"/>
          <w:lang w:eastAsia="zh-CN"/>
        </w:rPr>
      </w:pP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3、</w:t>
      </w:r>
      <w:r>
        <w:rPr>
          <w:rFonts w:asciiTheme="minorEastAsia" w:hAnsiTheme="minorEastAsia" w:eastAsiaTheme="minorEastAsia"/>
          <w:color w:val="auto"/>
          <w:spacing w:val="-1"/>
          <w:sz w:val="21"/>
          <w:szCs w:val="21"/>
          <w:highlight w:val="none"/>
          <w:lang w:eastAsia="zh-CN"/>
        </w:rPr>
        <w:t>综合比较与评价。</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asciiTheme="minorEastAsia" w:hAnsiTheme="minorEastAsia" w:eastAsiaTheme="minorEastAsia"/>
          <w:color w:val="auto"/>
          <w:spacing w:val="-1"/>
          <w:sz w:val="21"/>
          <w:szCs w:val="21"/>
          <w:highlight w:val="none"/>
          <w:lang w:eastAsia="zh-CN"/>
        </w:rPr>
        <w:t>3.1</w:t>
      </w:r>
      <w:r>
        <w:rPr>
          <w:rFonts w:asciiTheme="minorEastAsia" w:hAnsiTheme="minorEastAsia" w:eastAsiaTheme="minorEastAsia"/>
          <w:color w:val="auto"/>
          <w:spacing w:val="-1"/>
          <w:sz w:val="21"/>
          <w:szCs w:val="21"/>
          <w:highlight w:val="none"/>
          <w:lang w:eastAsia="zh-CN"/>
        </w:rPr>
        <w:tab/>
      </w:r>
      <w:r>
        <w:rPr>
          <w:rFonts w:asciiTheme="minorEastAsia" w:hAnsiTheme="minorEastAsia" w:eastAsiaTheme="minorEastAsia"/>
          <w:color w:val="auto"/>
          <w:spacing w:val="-1"/>
          <w:sz w:val="21"/>
          <w:szCs w:val="21"/>
          <w:highlight w:val="none"/>
          <w:lang w:eastAsia="zh-CN"/>
        </w:rPr>
        <w:t>计算总分</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计算每个投标人的综合总得分，每部分得分计算以四舍五入的方式精确到小数点后两位。综合总得分为各评委所评该部分的平均值。</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asciiTheme="minorEastAsia" w:hAnsiTheme="minorEastAsia" w:eastAsiaTheme="minorEastAsia"/>
          <w:color w:val="auto"/>
          <w:spacing w:val="-1"/>
          <w:sz w:val="21"/>
          <w:szCs w:val="21"/>
          <w:highlight w:val="none"/>
          <w:lang w:eastAsia="zh-CN"/>
        </w:rPr>
        <w:t>3.2</w:t>
      </w:r>
      <w:r>
        <w:rPr>
          <w:rFonts w:asciiTheme="minorEastAsia" w:hAnsiTheme="minorEastAsia" w:eastAsiaTheme="minorEastAsia"/>
          <w:color w:val="auto"/>
          <w:spacing w:val="-1"/>
          <w:sz w:val="21"/>
          <w:szCs w:val="21"/>
          <w:highlight w:val="none"/>
          <w:lang w:eastAsia="zh-CN"/>
        </w:rPr>
        <w:tab/>
      </w:r>
      <w:r>
        <w:rPr>
          <w:rFonts w:asciiTheme="minorEastAsia" w:hAnsiTheme="minorEastAsia" w:eastAsiaTheme="minorEastAsia"/>
          <w:color w:val="auto"/>
          <w:spacing w:val="-1"/>
          <w:sz w:val="21"/>
          <w:szCs w:val="21"/>
          <w:highlight w:val="none"/>
          <w:lang w:eastAsia="zh-CN"/>
        </w:rPr>
        <w:t>中标人与中标候选人的设定与使用</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r>
        <w:rPr>
          <w:rFonts w:hint="eastAsia" w:asciiTheme="minorEastAsia" w:hAnsiTheme="minorEastAsia" w:eastAsiaTheme="minorEastAsia"/>
          <w:color w:val="auto"/>
          <w:spacing w:val="-1"/>
          <w:sz w:val="21"/>
          <w:szCs w:val="21"/>
          <w:highlight w:val="none"/>
          <w:lang w:eastAsia="zh-CN"/>
        </w:rPr>
        <w:t>在评标过程中，评标委员会按照评分标准进行评标，评标委员会将按评标总得分由高到低的排名顺序推荐前三名的投标人为中标候选人。若排名第一的中标候选人因故放弃中标的或被招标人取消中标资格的，按排名顺序依次补上，也可以重新组织招标。</w:t>
      </w:r>
    </w:p>
    <w:p>
      <w:pPr>
        <w:adjustRightInd w:val="0"/>
        <w:snapToGrid w:val="0"/>
        <w:spacing w:line="360" w:lineRule="auto"/>
        <w:ind w:firstLine="416" w:firstLineChars="200"/>
        <w:rPr>
          <w:rFonts w:asciiTheme="minorEastAsia" w:hAnsiTheme="minorEastAsia" w:eastAsiaTheme="minorEastAsia"/>
          <w:color w:val="auto"/>
          <w:spacing w:val="-1"/>
          <w:sz w:val="21"/>
          <w:szCs w:val="21"/>
          <w:highlight w:val="none"/>
          <w:lang w:eastAsia="zh-CN"/>
        </w:rPr>
      </w:pP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sectPr>
          <w:pgSz w:w="11906" w:h="16838"/>
          <w:pgMar w:top="1440" w:right="1800" w:bottom="1440" w:left="1800" w:header="851" w:footer="992" w:gutter="0"/>
          <w:cols w:space="425" w:num="1"/>
          <w:docGrid w:type="lines" w:linePitch="312" w:charSpace="0"/>
        </w:sectPr>
      </w:pPr>
    </w:p>
    <w:p>
      <w:pPr>
        <w:jc w:val="center"/>
        <w:outlineLvl w:val="0"/>
        <w:rPr>
          <w:rFonts w:ascii="宋体" w:hAnsi="宋体" w:eastAsia="宋体"/>
          <w:color w:val="auto"/>
          <w:sz w:val="36"/>
          <w:szCs w:val="36"/>
          <w:highlight w:val="none"/>
          <w:lang w:eastAsia="zh-CN"/>
        </w:rPr>
      </w:pPr>
      <w:r>
        <w:rPr>
          <w:rFonts w:ascii="宋体" w:hAnsi="宋体" w:eastAsia="宋体"/>
          <w:color w:val="auto"/>
          <w:sz w:val="36"/>
          <w:szCs w:val="36"/>
          <w:highlight w:val="none"/>
          <w:lang w:eastAsia="zh-CN"/>
        </w:rPr>
        <w:t>第四部分 投标文件格式</w:t>
      </w:r>
    </w:p>
    <w:p>
      <w:pPr>
        <w:rPr>
          <w:color w:val="auto"/>
          <w:highlight w:val="none"/>
          <w:lang w:eastAsia="zh-CN"/>
        </w:rPr>
      </w:pPr>
    </w:p>
    <w:p>
      <w:pPr>
        <w:rPr>
          <w:color w:val="auto"/>
          <w:highlight w:val="none"/>
          <w:lang w:eastAsia="zh-CN"/>
        </w:rPr>
      </w:pPr>
    </w:p>
    <w:p>
      <w:pPr>
        <w:rPr>
          <w:color w:val="auto"/>
          <w:highlight w:val="none"/>
          <w:lang w:eastAsia="zh-CN"/>
        </w:rPr>
      </w:pPr>
    </w:p>
    <w:p>
      <w:pPr>
        <w:adjustRightInd w:val="0"/>
        <w:snapToGrid w:val="0"/>
        <w:spacing w:line="360" w:lineRule="auto"/>
        <w:jc w:val="center"/>
        <w:rPr>
          <w:rFonts w:ascii="宋体" w:hAnsi="宋体" w:eastAsia="宋体"/>
          <w:b/>
          <w:color w:val="auto"/>
          <w:sz w:val="39"/>
          <w:highlight w:val="none"/>
          <w:lang w:eastAsia="zh-CN"/>
        </w:rPr>
      </w:pPr>
      <w:r>
        <w:rPr>
          <w:rFonts w:hint="eastAsia" w:ascii="宋体" w:hAnsi="宋体" w:eastAsia="宋体"/>
          <w:b/>
          <w:color w:val="auto"/>
          <w:sz w:val="39"/>
          <w:highlight w:val="none"/>
          <w:lang w:eastAsia="zh-CN"/>
        </w:rPr>
        <w:t>北乡镇前村村委会党群服务中心大楼及地块公开招租项目（第二次）投标文件</w:t>
      </w:r>
    </w:p>
    <w:p>
      <w:pPr>
        <w:jc w:val="center"/>
        <w:rPr>
          <w:rFonts w:ascii="宋体" w:hAnsi="宋体" w:eastAsia="宋体"/>
          <w:color w:val="auto"/>
          <w:sz w:val="32"/>
          <w:szCs w:val="32"/>
          <w:highlight w:val="none"/>
          <w:lang w:eastAsia="zh-CN"/>
        </w:rPr>
      </w:pPr>
      <w:r>
        <w:rPr>
          <w:rFonts w:ascii="宋体" w:hAnsi="宋体" w:eastAsia="宋体"/>
          <w:color w:val="auto"/>
          <w:sz w:val="32"/>
          <w:szCs w:val="32"/>
          <w:highlight w:val="none"/>
          <w:lang w:eastAsia="zh-CN"/>
        </w:rPr>
        <w:t>（正本/副本）</w:t>
      </w:r>
    </w:p>
    <w:p>
      <w:pPr>
        <w:pStyle w:val="3"/>
        <w:adjustRightInd w:val="0"/>
        <w:snapToGrid w:val="0"/>
        <w:spacing w:line="360" w:lineRule="auto"/>
        <w:jc w:val="center"/>
        <w:rPr>
          <w:rFonts w:ascii="宋体" w:hAnsi="宋体" w:eastAsia="宋体"/>
          <w:b/>
          <w:color w:val="auto"/>
          <w:sz w:val="22"/>
          <w:highlight w:val="none"/>
          <w:lang w:eastAsia="zh-CN"/>
        </w:rPr>
      </w:pPr>
    </w:p>
    <w:p>
      <w:pPr>
        <w:pStyle w:val="3"/>
        <w:adjustRightInd w:val="0"/>
        <w:snapToGrid w:val="0"/>
        <w:spacing w:line="360" w:lineRule="auto"/>
        <w:jc w:val="center"/>
        <w:rPr>
          <w:rFonts w:ascii="宋体" w:hAnsi="宋体" w:eastAsia="宋体"/>
          <w:b/>
          <w:color w:val="auto"/>
          <w:sz w:val="28"/>
          <w:highlight w:val="none"/>
          <w:lang w:eastAsia="zh-CN"/>
        </w:rPr>
      </w:pPr>
    </w:p>
    <w:p>
      <w:pPr>
        <w:adjustRightInd w:val="0"/>
        <w:snapToGrid w:val="0"/>
        <w:spacing w:line="360" w:lineRule="auto"/>
        <w:jc w:val="center"/>
        <w:rPr>
          <w:rFonts w:ascii="宋体" w:hAnsi="宋体" w:eastAsia="宋体"/>
          <w:b/>
          <w:color w:val="auto"/>
          <w:szCs w:val="32"/>
          <w:highlight w:val="none"/>
          <w:lang w:eastAsia="zh-CN"/>
        </w:rPr>
      </w:pPr>
      <w:r>
        <w:rPr>
          <w:rFonts w:hint="eastAsia" w:ascii="宋体" w:hAnsi="宋体" w:eastAsia="宋体"/>
          <w:b/>
          <w:color w:val="auto"/>
          <w:szCs w:val="32"/>
          <w:highlight w:val="none"/>
          <w:lang w:eastAsia="zh-CN"/>
        </w:rPr>
        <w:t>招标项目名称：</w:t>
      </w:r>
      <w:r>
        <w:rPr>
          <w:rFonts w:hint="eastAsia" w:ascii="宋体" w:hAnsi="宋体" w:eastAsia="宋体"/>
          <w:b/>
          <w:color w:val="auto"/>
          <w:szCs w:val="32"/>
          <w:highlight w:val="none"/>
          <w:u w:val="single"/>
          <w:lang w:eastAsia="zh-CN"/>
        </w:rPr>
        <w:t>北乡镇前村村委会党群服务中心大楼及地块公开招租项目（第二次）</w:t>
      </w:r>
    </w:p>
    <w:p>
      <w:pPr>
        <w:adjustRightInd w:val="0"/>
        <w:snapToGrid w:val="0"/>
        <w:spacing w:line="360" w:lineRule="auto"/>
        <w:jc w:val="center"/>
        <w:rPr>
          <w:rFonts w:ascii="宋体" w:hAnsi="宋体" w:eastAsia="宋体"/>
          <w:b/>
          <w:color w:val="auto"/>
          <w:sz w:val="32"/>
          <w:szCs w:val="32"/>
          <w:highlight w:val="none"/>
          <w:lang w:eastAsia="zh-CN"/>
        </w:rPr>
      </w:pPr>
      <w:r>
        <w:rPr>
          <w:rFonts w:hint="eastAsia" w:ascii="宋体" w:hAnsi="宋体" w:eastAsia="宋体"/>
          <w:b/>
          <w:color w:val="auto"/>
          <w:szCs w:val="32"/>
          <w:highlight w:val="none"/>
          <w:lang w:eastAsia="zh-CN"/>
        </w:rPr>
        <w:t>招标项目编号：</w:t>
      </w:r>
      <w:r>
        <w:rPr>
          <w:rFonts w:hint="eastAsia" w:ascii="宋体" w:hAnsi="宋体" w:eastAsia="宋体"/>
          <w:b/>
          <w:color w:val="auto"/>
          <w:szCs w:val="32"/>
          <w:highlight w:val="none"/>
          <w:u w:val="single"/>
          <w:lang w:eastAsia="zh-CN"/>
        </w:rPr>
        <w:t xml:space="preserve">04-06-04A-2024-D-E28285C01     </w:t>
      </w:r>
    </w:p>
    <w:p>
      <w:pPr>
        <w:pStyle w:val="3"/>
        <w:adjustRightInd w:val="0"/>
        <w:snapToGrid w:val="0"/>
        <w:spacing w:line="360" w:lineRule="auto"/>
        <w:rPr>
          <w:rFonts w:ascii="宋体" w:hAnsi="宋体" w:eastAsia="宋体"/>
          <w:b/>
          <w:color w:val="auto"/>
          <w:sz w:val="20"/>
          <w:highlight w:val="none"/>
          <w:lang w:eastAsia="zh-CN"/>
        </w:rPr>
      </w:pPr>
    </w:p>
    <w:p>
      <w:pPr>
        <w:pStyle w:val="3"/>
        <w:adjustRightInd w:val="0"/>
        <w:snapToGrid w:val="0"/>
        <w:spacing w:line="360" w:lineRule="auto"/>
        <w:ind w:firstLine="402" w:firstLineChars="200"/>
        <w:rPr>
          <w:rFonts w:ascii="宋体" w:hAnsi="宋体" w:eastAsia="宋体"/>
          <w:b/>
          <w:color w:val="auto"/>
          <w:sz w:val="20"/>
          <w:highlight w:val="none"/>
          <w:lang w:eastAsia="zh-CN"/>
        </w:rPr>
      </w:pPr>
    </w:p>
    <w:p>
      <w:pPr>
        <w:pStyle w:val="3"/>
        <w:adjustRightInd w:val="0"/>
        <w:snapToGrid w:val="0"/>
        <w:spacing w:line="360" w:lineRule="auto"/>
        <w:ind w:firstLine="402" w:firstLineChars="200"/>
        <w:rPr>
          <w:rFonts w:ascii="宋体" w:hAnsi="宋体" w:eastAsia="宋体"/>
          <w:b/>
          <w:color w:val="auto"/>
          <w:sz w:val="20"/>
          <w:highlight w:val="none"/>
          <w:lang w:eastAsia="zh-CN"/>
        </w:rPr>
      </w:pPr>
    </w:p>
    <w:p>
      <w:pPr>
        <w:pStyle w:val="3"/>
        <w:adjustRightInd w:val="0"/>
        <w:snapToGrid w:val="0"/>
        <w:spacing w:line="360" w:lineRule="auto"/>
        <w:ind w:firstLine="402" w:firstLineChars="200"/>
        <w:rPr>
          <w:rFonts w:ascii="宋体" w:hAnsi="宋体" w:eastAsia="宋体"/>
          <w:b/>
          <w:color w:val="auto"/>
          <w:sz w:val="20"/>
          <w:highlight w:val="none"/>
          <w:lang w:eastAsia="zh-CN"/>
        </w:rPr>
      </w:pPr>
    </w:p>
    <w:p>
      <w:pPr>
        <w:pStyle w:val="3"/>
        <w:adjustRightInd w:val="0"/>
        <w:snapToGrid w:val="0"/>
        <w:spacing w:line="360" w:lineRule="auto"/>
        <w:ind w:firstLine="402" w:firstLineChars="200"/>
        <w:rPr>
          <w:rFonts w:ascii="宋体" w:hAnsi="宋体" w:eastAsia="宋体"/>
          <w:b/>
          <w:color w:val="auto"/>
          <w:sz w:val="20"/>
          <w:highlight w:val="none"/>
          <w:lang w:eastAsia="zh-CN"/>
        </w:rPr>
      </w:pPr>
    </w:p>
    <w:p>
      <w:pPr>
        <w:pStyle w:val="3"/>
        <w:adjustRightInd w:val="0"/>
        <w:snapToGrid w:val="0"/>
        <w:spacing w:line="360" w:lineRule="auto"/>
        <w:ind w:firstLine="402" w:firstLineChars="200"/>
        <w:rPr>
          <w:rFonts w:ascii="宋体" w:hAnsi="宋体" w:eastAsia="宋体"/>
          <w:b/>
          <w:color w:val="auto"/>
          <w:sz w:val="20"/>
          <w:highlight w:val="none"/>
          <w:lang w:eastAsia="zh-CN"/>
        </w:rPr>
      </w:pPr>
    </w:p>
    <w:p>
      <w:pPr>
        <w:pStyle w:val="3"/>
        <w:adjustRightInd w:val="0"/>
        <w:snapToGrid w:val="0"/>
        <w:spacing w:line="360" w:lineRule="auto"/>
        <w:ind w:firstLine="402" w:firstLineChars="200"/>
        <w:rPr>
          <w:rFonts w:ascii="宋体" w:hAnsi="宋体" w:eastAsia="宋体"/>
          <w:b/>
          <w:color w:val="auto"/>
          <w:sz w:val="20"/>
          <w:highlight w:val="none"/>
          <w:lang w:eastAsia="zh-CN"/>
        </w:rPr>
      </w:pPr>
    </w:p>
    <w:p>
      <w:pPr>
        <w:pStyle w:val="3"/>
        <w:adjustRightInd w:val="0"/>
        <w:snapToGrid w:val="0"/>
        <w:spacing w:line="360" w:lineRule="auto"/>
        <w:ind w:firstLine="402" w:firstLineChars="200"/>
        <w:rPr>
          <w:rFonts w:ascii="宋体" w:hAnsi="宋体" w:eastAsia="宋体"/>
          <w:b/>
          <w:color w:val="auto"/>
          <w:sz w:val="20"/>
          <w:highlight w:val="none"/>
          <w:lang w:eastAsia="zh-CN"/>
        </w:rPr>
      </w:pPr>
    </w:p>
    <w:p>
      <w:pPr>
        <w:pStyle w:val="3"/>
        <w:adjustRightInd w:val="0"/>
        <w:snapToGrid w:val="0"/>
        <w:spacing w:line="360" w:lineRule="auto"/>
        <w:ind w:firstLine="402" w:firstLineChars="200"/>
        <w:rPr>
          <w:rFonts w:ascii="宋体" w:hAnsi="宋体" w:eastAsia="宋体"/>
          <w:b/>
          <w:color w:val="auto"/>
          <w:sz w:val="20"/>
          <w:highlight w:val="none"/>
          <w:lang w:eastAsia="zh-CN"/>
        </w:rPr>
      </w:pPr>
    </w:p>
    <w:p>
      <w:pPr>
        <w:adjustRightInd w:val="0"/>
        <w:snapToGrid w:val="0"/>
        <w:spacing w:line="360" w:lineRule="auto"/>
        <w:jc w:val="center"/>
        <w:rPr>
          <w:rFonts w:ascii="宋体" w:hAnsi="宋体" w:eastAsia="宋体"/>
          <w:b/>
          <w:color w:val="auto"/>
          <w:sz w:val="19"/>
          <w:highlight w:val="none"/>
          <w:lang w:eastAsia="zh-CN"/>
        </w:rPr>
      </w:pPr>
    </w:p>
    <w:p>
      <w:pPr>
        <w:adjustRightInd w:val="0"/>
        <w:snapToGrid w:val="0"/>
        <w:spacing w:line="360" w:lineRule="auto"/>
        <w:jc w:val="center"/>
        <w:rPr>
          <w:rFonts w:ascii="宋体" w:hAnsi="宋体" w:eastAsia="宋体"/>
          <w:b/>
          <w:color w:val="auto"/>
          <w:sz w:val="19"/>
          <w:highlight w:val="none"/>
          <w:lang w:eastAsia="zh-CN"/>
        </w:rPr>
      </w:pPr>
      <w:r>
        <w:rPr>
          <w:rFonts w:ascii="宋体" w:hAnsi="宋体" w:eastAsia="宋体"/>
          <w:b/>
          <w:color w:val="auto"/>
          <w:sz w:val="19"/>
          <w:highlight w:val="none"/>
          <w:lang w:eastAsia="zh-CN"/>
        </w:rPr>
        <w:t>投标人名称：（盖章）</w:t>
      </w:r>
    </w:p>
    <w:p>
      <w:pPr>
        <w:adjustRightInd w:val="0"/>
        <w:snapToGrid w:val="0"/>
        <w:spacing w:line="360" w:lineRule="auto"/>
        <w:jc w:val="center"/>
        <w:rPr>
          <w:rFonts w:ascii="宋体" w:hAnsi="宋体" w:eastAsia="宋体"/>
          <w:b/>
          <w:color w:val="auto"/>
          <w:sz w:val="19"/>
          <w:highlight w:val="none"/>
          <w:lang w:eastAsia="zh-CN"/>
        </w:rPr>
      </w:pPr>
      <w:r>
        <w:rPr>
          <w:rFonts w:hint="eastAsia" w:ascii="宋体" w:hAnsi="宋体" w:eastAsia="宋体"/>
          <w:b/>
          <w:color w:val="auto"/>
          <w:sz w:val="19"/>
          <w:highlight w:val="none"/>
          <w:lang w:eastAsia="zh-CN"/>
        </w:rPr>
        <w:t>法定代表人（或授权代表）：</w:t>
      </w:r>
    </w:p>
    <w:p>
      <w:pPr>
        <w:adjustRightInd w:val="0"/>
        <w:snapToGrid w:val="0"/>
        <w:spacing w:line="360" w:lineRule="auto"/>
        <w:jc w:val="center"/>
        <w:rPr>
          <w:rFonts w:ascii="宋体" w:hAnsi="宋体" w:eastAsia="宋体"/>
          <w:b/>
          <w:color w:val="auto"/>
          <w:sz w:val="19"/>
          <w:highlight w:val="none"/>
          <w:lang w:eastAsia="zh-CN"/>
        </w:rPr>
      </w:pPr>
      <w:r>
        <w:rPr>
          <w:rFonts w:hint="eastAsia" w:ascii="宋体" w:hAnsi="宋体" w:eastAsia="宋体"/>
          <w:b/>
          <w:color w:val="auto"/>
          <w:sz w:val="19"/>
          <w:highlight w:val="none"/>
          <w:lang w:eastAsia="zh-CN"/>
        </w:rPr>
        <w:t>（签署） 日期： 年 月 日</w:t>
      </w:r>
    </w:p>
    <w:p>
      <w:pPr>
        <w:adjustRightInd w:val="0"/>
        <w:snapToGrid w:val="0"/>
        <w:spacing w:line="360" w:lineRule="auto"/>
        <w:jc w:val="center"/>
        <w:rPr>
          <w:rFonts w:ascii="宋体" w:hAnsi="宋体" w:eastAsia="宋体"/>
          <w:b/>
          <w:color w:val="auto"/>
          <w:sz w:val="19"/>
          <w:highlight w:val="none"/>
          <w:lang w:eastAsia="zh-CN"/>
        </w:rPr>
      </w:pPr>
    </w:p>
    <w:p>
      <w:pPr>
        <w:adjustRightInd w:val="0"/>
        <w:snapToGrid w:val="0"/>
        <w:spacing w:line="360" w:lineRule="auto"/>
        <w:jc w:val="center"/>
        <w:rPr>
          <w:rFonts w:ascii="宋体" w:hAnsi="宋体" w:eastAsia="宋体"/>
          <w:b/>
          <w:color w:val="auto"/>
          <w:sz w:val="19"/>
          <w:highlight w:val="none"/>
          <w:lang w:eastAsia="zh-CN"/>
        </w:rPr>
      </w:pPr>
    </w:p>
    <w:p>
      <w:pPr>
        <w:adjustRightInd w:val="0"/>
        <w:snapToGrid w:val="0"/>
        <w:spacing w:line="360" w:lineRule="auto"/>
        <w:jc w:val="center"/>
        <w:rPr>
          <w:rFonts w:ascii="宋体" w:hAnsi="宋体" w:eastAsia="宋体"/>
          <w:b/>
          <w:color w:val="auto"/>
          <w:sz w:val="19"/>
          <w:highlight w:val="none"/>
          <w:lang w:eastAsia="zh-CN"/>
        </w:rPr>
      </w:pPr>
    </w:p>
    <w:p>
      <w:pPr>
        <w:adjustRightInd w:val="0"/>
        <w:snapToGrid w:val="0"/>
        <w:spacing w:line="360" w:lineRule="auto"/>
        <w:jc w:val="center"/>
        <w:rPr>
          <w:rFonts w:ascii="宋体" w:hAnsi="宋体" w:eastAsia="宋体"/>
          <w:b/>
          <w:color w:val="auto"/>
          <w:sz w:val="19"/>
          <w:highlight w:val="none"/>
          <w:lang w:eastAsia="zh-CN"/>
        </w:rPr>
      </w:pPr>
    </w:p>
    <w:p>
      <w:pPr>
        <w:adjustRightInd w:val="0"/>
        <w:snapToGrid w:val="0"/>
        <w:spacing w:line="360" w:lineRule="auto"/>
        <w:jc w:val="center"/>
        <w:rPr>
          <w:rFonts w:ascii="宋体" w:hAnsi="宋体" w:eastAsia="宋体"/>
          <w:b/>
          <w:color w:val="auto"/>
          <w:sz w:val="19"/>
          <w:highlight w:val="none"/>
          <w:lang w:eastAsia="zh-CN"/>
        </w:rPr>
      </w:pPr>
    </w:p>
    <w:p>
      <w:pPr>
        <w:adjustRightInd w:val="0"/>
        <w:snapToGrid w:val="0"/>
        <w:spacing w:line="360" w:lineRule="auto"/>
        <w:jc w:val="center"/>
        <w:rPr>
          <w:rFonts w:ascii="宋体" w:hAnsi="宋体" w:eastAsia="宋体"/>
          <w:b/>
          <w:color w:val="auto"/>
          <w:sz w:val="19"/>
          <w:highlight w:val="none"/>
          <w:lang w:eastAsia="zh-CN"/>
        </w:rPr>
      </w:pPr>
    </w:p>
    <w:p>
      <w:pPr>
        <w:adjustRightInd w:val="0"/>
        <w:snapToGrid w:val="0"/>
        <w:spacing w:line="360" w:lineRule="auto"/>
        <w:jc w:val="center"/>
        <w:rPr>
          <w:rFonts w:ascii="宋体" w:hAnsi="宋体" w:eastAsia="宋体"/>
          <w:b/>
          <w:color w:val="auto"/>
          <w:sz w:val="19"/>
          <w:highlight w:val="none"/>
          <w:lang w:eastAsia="zh-CN"/>
        </w:rPr>
      </w:pPr>
    </w:p>
    <w:p>
      <w:pPr>
        <w:adjustRightInd w:val="0"/>
        <w:snapToGrid w:val="0"/>
        <w:spacing w:line="360" w:lineRule="auto"/>
        <w:jc w:val="center"/>
        <w:rPr>
          <w:rFonts w:ascii="宋体" w:hAnsi="宋体" w:eastAsia="宋体"/>
          <w:b/>
          <w:color w:val="auto"/>
          <w:sz w:val="19"/>
          <w:highlight w:val="none"/>
          <w:lang w:eastAsia="zh-CN"/>
        </w:rPr>
      </w:pPr>
    </w:p>
    <w:p>
      <w:pPr>
        <w:adjustRightInd w:val="0"/>
        <w:snapToGrid w:val="0"/>
        <w:spacing w:line="360" w:lineRule="auto"/>
        <w:jc w:val="center"/>
        <w:rPr>
          <w:rFonts w:ascii="宋体" w:hAnsi="宋体" w:eastAsia="宋体"/>
          <w:b/>
          <w:color w:val="auto"/>
          <w:sz w:val="19"/>
          <w:highlight w:val="none"/>
          <w:lang w:eastAsia="zh-CN"/>
        </w:rPr>
      </w:pPr>
    </w:p>
    <w:p>
      <w:pPr>
        <w:adjustRightInd w:val="0"/>
        <w:snapToGrid w:val="0"/>
        <w:spacing w:line="360" w:lineRule="auto"/>
        <w:ind w:firstLine="783" w:firstLineChars="200"/>
        <w:jc w:val="center"/>
        <w:rPr>
          <w:rFonts w:ascii="宋体" w:hAnsi="宋体" w:eastAsia="宋体"/>
          <w:b/>
          <w:color w:val="auto"/>
          <w:sz w:val="39"/>
          <w:highlight w:val="none"/>
          <w:lang w:eastAsia="zh-CN"/>
        </w:rPr>
      </w:pPr>
      <w:r>
        <w:rPr>
          <w:rFonts w:hint="eastAsia" w:ascii="宋体" w:hAnsi="宋体" w:eastAsia="宋体"/>
          <w:b/>
          <w:color w:val="auto"/>
          <w:sz w:val="39"/>
          <w:highlight w:val="none"/>
          <w:lang w:val="en-US" w:eastAsia="zh-CN"/>
        </w:rPr>
        <w:t>一、</w:t>
      </w:r>
      <w:r>
        <w:rPr>
          <w:rFonts w:hint="eastAsia" w:ascii="宋体" w:hAnsi="宋体" w:eastAsia="宋体"/>
          <w:b/>
          <w:color w:val="auto"/>
          <w:sz w:val="39"/>
          <w:highlight w:val="none"/>
          <w:lang w:eastAsia="zh-CN"/>
        </w:rPr>
        <w:t>投标承诺函</w:t>
      </w:r>
    </w:p>
    <w:p>
      <w:pPr>
        <w:adjustRightInd w:val="0"/>
        <w:snapToGrid w:val="0"/>
        <w:spacing w:line="360" w:lineRule="auto"/>
        <w:rPr>
          <w:rFonts w:asciiTheme="minorEastAsia" w:hAnsiTheme="minorEastAsia" w:eastAsiaTheme="minorEastAsia"/>
          <w:color w:val="auto"/>
          <w:spacing w:val="-1"/>
          <w:sz w:val="21"/>
          <w:highlight w:val="none"/>
          <w:lang w:eastAsia="zh-CN"/>
        </w:rPr>
      </w:pPr>
      <w:r>
        <w:rPr>
          <w:rFonts w:hint="eastAsia" w:asciiTheme="minorEastAsia" w:hAnsiTheme="minorEastAsia" w:eastAsiaTheme="minorEastAsia"/>
          <w:color w:val="auto"/>
          <w:spacing w:val="-1"/>
          <w:sz w:val="21"/>
          <w:highlight w:val="none"/>
          <w:lang w:eastAsia="zh-CN"/>
        </w:rPr>
        <w:t>乐昌市北乡镇人民政府</w:t>
      </w:r>
      <w:r>
        <w:rPr>
          <w:rFonts w:asciiTheme="minorEastAsia" w:hAnsiTheme="minorEastAsia" w:eastAsiaTheme="minorEastAsia"/>
          <w:color w:val="auto"/>
          <w:spacing w:val="-1"/>
          <w:sz w:val="21"/>
          <w:highlight w:val="none"/>
          <w:lang w:eastAsia="zh-CN"/>
        </w:rPr>
        <w:t>：</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为响应你方组织的</w:t>
      </w:r>
      <w:r>
        <w:rPr>
          <w:rFonts w:hint="eastAsia" w:asciiTheme="minorEastAsia" w:hAnsiTheme="minorEastAsia" w:eastAsiaTheme="minorEastAsia"/>
          <w:color w:val="auto"/>
          <w:spacing w:val="-1"/>
          <w:sz w:val="21"/>
          <w:szCs w:val="21"/>
          <w:highlight w:val="none"/>
          <w:lang w:eastAsia="zh-CN"/>
        </w:rPr>
        <w:t>北乡镇前村村委会党群服务中心大楼及地块公开招租项目（第二次）</w:t>
      </w:r>
      <w:r>
        <w:rPr>
          <w:rFonts w:asciiTheme="minorEastAsia" w:hAnsiTheme="minorEastAsia" w:eastAsiaTheme="minorEastAsia"/>
          <w:color w:val="auto"/>
          <w:spacing w:val="-1"/>
          <w:sz w:val="21"/>
          <w:szCs w:val="21"/>
          <w:highlight w:val="none"/>
          <w:lang w:eastAsia="zh-CN"/>
        </w:rPr>
        <w:t>（业务编号，项目编号</w:t>
      </w:r>
      <w:r>
        <w:rPr>
          <w:rFonts w:hint="eastAsia" w:asciiTheme="minorEastAsia" w:hAnsiTheme="minorEastAsia" w:eastAsiaTheme="minorEastAsia"/>
          <w:color w:val="auto"/>
          <w:spacing w:val="-1"/>
          <w:sz w:val="21"/>
          <w:szCs w:val="21"/>
          <w:highlight w:val="none"/>
          <w:lang w:eastAsia="zh-CN"/>
        </w:rPr>
        <w:t>04-06-04A-2024-D-E28285C01</w:t>
      </w:r>
      <w:r>
        <w:rPr>
          <w:rFonts w:asciiTheme="minorEastAsia" w:hAnsiTheme="minorEastAsia" w:eastAsiaTheme="minorEastAsia"/>
          <w:color w:val="auto"/>
          <w:spacing w:val="-1"/>
          <w:sz w:val="21"/>
          <w:szCs w:val="21"/>
          <w:highlight w:val="none"/>
          <w:lang w:eastAsia="zh-CN"/>
        </w:rPr>
        <w:t>) 的招标，我方愿参与投标。</w:t>
      </w:r>
      <w:r>
        <w:rPr>
          <w:rFonts w:asciiTheme="minorEastAsia" w:hAnsiTheme="minorEastAsia" w:eastAsiaTheme="minorEastAsia"/>
          <w:color w:val="auto"/>
          <w:spacing w:val="-1"/>
          <w:sz w:val="21"/>
          <w:highlight w:val="none"/>
          <w:lang w:eastAsia="zh-CN"/>
        </w:rPr>
        <w:t>我方确认收到贵方提供的该项目的招标文件的全部内容。</w:t>
      </w:r>
    </w:p>
    <w:p>
      <w:pPr>
        <w:tabs>
          <w:tab w:val="left" w:pos="3365"/>
        </w:tabs>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u w:val="single"/>
          <w:lang w:eastAsia="zh-CN"/>
        </w:rPr>
        <w:t>(</w:t>
      </w:r>
      <w:r>
        <w:rPr>
          <w:rFonts w:hint="eastAsia" w:asciiTheme="minorEastAsia" w:hAnsiTheme="minorEastAsia" w:eastAsiaTheme="minorEastAsia"/>
          <w:color w:val="auto"/>
          <w:spacing w:val="-1"/>
          <w:sz w:val="21"/>
          <w:highlight w:val="none"/>
          <w:u w:val="single"/>
          <w:lang w:eastAsia="zh-CN"/>
        </w:rPr>
        <w:t>投标人名称</w:t>
      </w:r>
      <w:r>
        <w:rPr>
          <w:rFonts w:asciiTheme="minorEastAsia" w:hAnsiTheme="minorEastAsia" w:eastAsiaTheme="minorEastAsia"/>
          <w:color w:val="auto"/>
          <w:spacing w:val="-1"/>
          <w:sz w:val="21"/>
          <w:highlight w:val="none"/>
          <w:u w:val="single"/>
          <w:lang w:eastAsia="zh-CN"/>
        </w:rPr>
        <w:t>)</w:t>
      </w:r>
      <w:r>
        <w:rPr>
          <w:rFonts w:asciiTheme="minorEastAsia" w:hAnsiTheme="minorEastAsia" w:eastAsiaTheme="minorEastAsia"/>
          <w:color w:val="auto"/>
          <w:spacing w:val="-1"/>
          <w:sz w:val="21"/>
          <w:highlight w:val="none"/>
          <w:lang w:eastAsia="zh-CN"/>
        </w:rPr>
        <w:t>作为投标投标人正式授权</w:t>
      </w:r>
      <w:r>
        <w:rPr>
          <w:rFonts w:asciiTheme="minorEastAsia" w:hAnsiTheme="minorEastAsia" w:eastAsiaTheme="minorEastAsia"/>
          <w:color w:val="auto"/>
          <w:spacing w:val="-1"/>
          <w:sz w:val="21"/>
          <w:highlight w:val="none"/>
          <w:u w:val="single"/>
          <w:lang w:eastAsia="zh-CN"/>
        </w:rPr>
        <w:t xml:space="preserve">(授权代表全名, 职务) </w:t>
      </w:r>
      <w:r>
        <w:rPr>
          <w:rFonts w:asciiTheme="minorEastAsia" w:hAnsiTheme="minorEastAsia" w:eastAsiaTheme="minorEastAsia"/>
          <w:color w:val="auto"/>
          <w:spacing w:val="-1"/>
          <w:sz w:val="21"/>
          <w:highlight w:val="none"/>
          <w:lang w:eastAsia="zh-CN"/>
        </w:rPr>
        <w:t>代表我方全权处理有关本投标的一切事宜。在此提交的投标文件，正本</w:t>
      </w:r>
      <w:r>
        <w:rPr>
          <w:rFonts w:asciiTheme="minorEastAsia" w:hAnsiTheme="minorEastAsia" w:eastAsiaTheme="minorEastAsia"/>
          <w:color w:val="auto"/>
          <w:spacing w:val="-1"/>
          <w:sz w:val="21"/>
          <w:highlight w:val="none"/>
          <w:u w:val="single"/>
          <w:lang w:eastAsia="zh-CN"/>
        </w:rPr>
        <w:t xml:space="preserve">    </w:t>
      </w:r>
      <w:r>
        <w:rPr>
          <w:rFonts w:asciiTheme="minorEastAsia" w:hAnsiTheme="minorEastAsia" w:eastAsiaTheme="minorEastAsia"/>
          <w:color w:val="auto"/>
          <w:spacing w:val="-1"/>
          <w:sz w:val="21"/>
          <w:highlight w:val="none"/>
          <w:lang w:eastAsia="zh-CN"/>
        </w:rPr>
        <w:t>份，副本</w:t>
      </w:r>
      <w:r>
        <w:rPr>
          <w:rFonts w:asciiTheme="minorEastAsia" w:hAnsiTheme="minorEastAsia" w:eastAsiaTheme="minorEastAsia"/>
          <w:color w:val="auto"/>
          <w:spacing w:val="-1"/>
          <w:sz w:val="21"/>
          <w:highlight w:val="none"/>
          <w:u w:val="single"/>
          <w:lang w:eastAsia="zh-CN"/>
        </w:rPr>
        <w:t xml:space="preserve"> </w:t>
      </w:r>
      <w:r>
        <w:rPr>
          <w:rFonts w:asciiTheme="minorEastAsia" w:hAnsiTheme="minorEastAsia" w:eastAsiaTheme="minorEastAsia"/>
          <w:color w:val="auto"/>
          <w:spacing w:val="-1"/>
          <w:sz w:val="21"/>
          <w:highlight w:val="none"/>
          <w:u w:val="single"/>
          <w:lang w:eastAsia="zh-CN"/>
        </w:rPr>
        <w:tab/>
      </w:r>
      <w:r>
        <w:rPr>
          <w:rFonts w:asciiTheme="minorEastAsia" w:hAnsiTheme="minorEastAsia" w:eastAsiaTheme="minorEastAsia"/>
          <w:color w:val="auto"/>
          <w:spacing w:val="-1"/>
          <w:sz w:val="21"/>
          <w:highlight w:val="none"/>
          <w:lang w:eastAsia="zh-CN"/>
        </w:rPr>
        <w:t>份。</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我方已完全明白招标文件的所有条款要求，并声明如下：</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（一）同意并接受招标文件的各项要求，遵守招标文件中的各项规定，按招标文件的要求提供全部货物与相关服务。</w:t>
      </w:r>
    </w:p>
    <w:p>
      <w:pPr>
        <w:tabs>
          <w:tab w:val="left" w:pos="3026"/>
        </w:tabs>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（二）本投标文件的</w:t>
      </w:r>
      <w:r>
        <w:rPr>
          <w:rFonts w:hint="eastAsia" w:asciiTheme="minorEastAsia" w:hAnsiTheme="minorEastAsia" w:eastAsiaTheme="minorEastAsia"/>
          <w:color w:val="auto"/>
          <w:spacing w:val="-1"/>
          <w:sz w:val="21"/>
          <w:highlight w:val="none"/>
          <w:lang w:eastAsia="zh-CN"/>
        </w:rPr>
        <w:t>投标有效期为</w:t>
      </w:r>
      <w:r>
        <w:rPr>
          <w:rFonts w:hint="eastAsia" w:asciiTheme="minorEastAsia" w:hAnsiTheme="minorEastAsia" w:eastAsiaTheme="minorEastAsia"/>
          <w:color w:val="auto"/>
          <w:spacing w:val="-1"/>
          <w:sz w:val="21"/>
          <w:highlight w:val="none"/>
          <w:u w:val="single"/>
          <w:lang w:eastAsia="zh-CN"/>
        </w:rPr>
        <w:t xml:space="preserve"> </w:t>
      </w:r>
      <w:r>
        <w:rPr>
          <w:rFonts w:hint="eastAsia" w:asciiTheme="minorEastAsia" w:hAnsiTheme="minorEastAsia" w:eastAsiaTheme="minorEastAsia"/>
          <w:color w:val="auto"/>
          <w:spacing w:val="-1"/>
          <w:sz w:val="21"/>
          <w:highlight w:val="none"/>
          <w:u w:val="single"/>
          <w:lang w:eastAsia="zh-CN"/>
        </w:rPr>
        <w:tab/>
      </w:r>
      <w:r>
        <w:rPr>
          <w:rFonts w:hint="eastAsia" w:asciiTheme="minorEastAsia" w:hAnsiTheme="minorEastAsia" w:eastAsiaTheme="minorEastAsia"/>
          <w:color w:val="auto"/>
          <w:spacing w:val="-1"/>
          <w:sz w:val="21"/>
          <w:highlight w:val="none"/>
          <w:lang w:eastAsia="zh-CN"/>
        </w:rPr>
        <w:t>天</w:t>
      </w:r>
      <w:r>
        <w:rPr>
          <w:rFonts w:asciiTheme="minorEastAsia" w:hAnsiTheme="minorEastAsia" w:eastAsiaTheme="minorEastAsia"/>
          <w:color w:val="auto"/>
          <w:spacing w:val="-1"/>
          <w:sz w:val="21"/>
          <w:highlight w:val="none"/>
          <w:lang w:eastAsia="zh-CN"/>
        </w:rPr>
        <w:t>。如中标，有效期将延至合同终止日为止。在此提交的资格证明文件均至投标截止日有效，如有在投标有效期内失效的，我方承诺在中标后补齐一切手续，保证所有资格证明文件能在签订合同时直至合同终止日有效。</w:t>
      </w:r>
    </w:p>
    <w:p>
      <w:pPr>
        <w:adjustRightInd w:val="0"/>
        <w:snapToGrid w:val="0"/>
        <w:spacing w:line="360" w:lineRule="auto"/>
        <w:ind w:firstLine="416" w:firstLineChars="200"/>
        <w:jc w:val="both"/>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三）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所有条款，放弃对招标文件提出异议和质疑的一切权力。</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（四）我方同意按照贵方可能提出的要求而毫无保留地提供与投标有关的任何其它数据、信息或资料。</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（五）我方是在法律、财务和运作上独立于招标人、招标代理机构的投标人，在此承诺在本次投标文件中提供的一切文件，无论是原件还是复印件均为真实和准确的，绝无任何虚假、伪造和夸大的成份。</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（六）我方完全服从和尊重评标委员会所作的决定和评审结果，同时清楚理解到报价最高并非意味着必定获得中标资格。</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（七）我方如果成为中标投标人，将保证履行招标文件及其澄清、修改文件（如果有）中的全部责任和义务，按质、按量、按期完成《用户需求书》及《合同书》中的全部任务。</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（八）我方投标报价已包含应向知识产权所有权人支付的所有相关税费，并保证招标人在中国使用我方提供的货物时，如有第三方提出侵犯其知识产权主张的，责任由我方承担。</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（九）我方对在本函及投标文件中所作的所有承诺承担法律责任。</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（十）我方承诺在本项目投标活动中一旦中标，完全按照招标代理的要求缴纳中标服务费。</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asciiTheme="minorEastAsia" w:hAnsiTheme="minorEastAsia" w:eastAsiaTheme="minorEastAsia"/>
          <w:color w:val="auto"/>
          <w:spacing w:val="-1"/>
          <w:sz w:val="21"/>
          <w:highlight w:val="none"/>
          <w:lang w:eastAsia="zh-CN"/>
        </w:rPr>
        <w:t xml:space="preserve">（十一）所有与本招标有关的函件请发往下列地址： </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hint="eastAsia" w:asciiTheme="minorEastAsia" w:hAnsiTheme="minorEastAsia" w:eastAsiaTheme="minorEastAsia"/>
          <w:color w:val="auto"/>
          <w:spacing w:val="-1"/>
          <w:sz w:val="21"/>
          <w:highlight w:val="none"/>
          <w:lang w:eastAsia="zh-CN"/>
        </w:rPr>
        <w:t>投标人名称：</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hint="eastAsia" w:asciiTheme="minorEastAsia" w:hAnsiTheme="minorEastAsia" w:eastAsiaTheme="minorEastAsia"/>
          <w:color w:val="auto"/>
          <w:spacing w:val="-1"/>
          <w:sz w:val="21"/>
          <w:highlight w:val="none"/>
          <w:lang w:eastAsia="zh-CN"/>
        </w:rPr>
        <w:t xml:space="preserve">法定代表人姓名： </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hint="eastAsia" w:asciiTheme="minorEastAsia" w:hAnsiTheme="minorEastAsia" w:eastAsiaTheme="minorEastAsia"/>
          <w:color w:val="auto"/>
          <w:spacing w:val="-1"/>
          <w:sz w:val="21"/>
          <w:highlight w:val="none"/>
          <w:lang w:eastAsia="zh-CN"/>
        </w:rPr>
        <w:t>地址：</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hint="eastAsia" w:asciiTheme="minorEastAsia" w:hAnsiTheme="minorEastAsia" w:eastAsiaTheme="minorEastAsia"/>
          <w:color w:val="auto"/>
          <w:spacing w:val="-1"/>
          <w:sz w:val="21"/>
          <w:highlight w:val="none"/>
          <w:lang w:eastAsia="zh-CN"/>
        </w:rPr>
        <w:t xml:space="preserve">传真： </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hint="eastAsia" w:asciiTheme="minorEastAsia" w:hAnsiTheme="minorEastAsia" w:eastAsiaTheme="minorEastAsia"/>
          <w:color w:val="auto"/>
          <w:spacing w:val="-1"/>
          <w:sz w:val="21"/>
          <w:highlight w:val="none"/>
          <w:lang w:eastAsia="zh-CN"/>
        </w:rPr>
        <w:t>电话：</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hint="eastAsia" w:asciiTheme="minorEastAsia" w:hAnsiTheme="minorEastAsia" w:eastAsiaTheme="minorEastAsia"/>
          <w:color w:val="auto"/>
          <w:spacing w:val="-1"/>
          <w:sz w:val="21"/>
          <w:highlight w:val="none"/>
          <w:lang w:eastAsia="zh-CN"/>
        </w:rPr>
        <w:t>电子邮件：</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hint="eastAsia" w:asciiTheme="minorEastAsia" w:hAnsiTheme="minorEastAsia" w:eastAsiaTheme="minorEastAsia"/>
          <w:color w:val="auto"/>
          <w:spacing w:val="-1"/>
          <w:sz w:val="21"/>
          <w:highlight w:val="none"/>
          <w:lang w:eastAsia="zh-CN"/>
        </w:rPr>
        <w:t xml:space="preserve">法定代表人（或授权代表）：（签署） </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hint="eastAsia" w:asciiTheme="minorEastAsia" w:hAnsiTheme="minorEastAsia" w:eastAsiaTheme="minorEastAsia"/>
          <w:color w:val="auto"/>
          <w:spacing w:val="-1"/>
          <w:sz w:val="21"/>
          <w:highlight w:val="none"/>
          <w:lang w:eastAsia="zh-CN"/>
        </w:rPr>
        <w:t xml:space="preserve">投标人名称： </w:t>
      </w:r>
      <w:r>
        <w:rPr>
          <w:rFonts w:asciiTheme="minorEastAsia" w:hAnsiTheme="minorEastAsia" w:eastAsiaTheme="minorEastAsia"/>
          <w:color w:val="auto"/>
          <w:spacing w:val="-1"/>
          <w:sz w:val="21"/>
          <w:highlight w:val="none"/>
          <w:lang w:eastAsia="zh-CN"/>
        </w:rPr>
        <w:t>(</w:t>
      </w:r>
      <w:r>
        <w:rPr>
          <w:rFonts w:hint="eastAsia" w:asciiTheme="minorEastAsia" w:hAnsiTheme="minorEastAsia" w:eastAsiaTheme="minorEastAsia"/>
          <w:color w:val="auto"/>
          <w:spacing w:val="-1"/>
          <w:sz w:val="21"/>
          <w:highlight w:val="none"/>
          <w:lang w:eastAsia="zh-CN"/>
        </w:rPr>
        <w:t>盖章</w:t>
      </w:r>
      <w:r>
        <w:rPr>
          <w:rFonts w:asciiTheme="minorEastAsia" w:hAnsiTheme="minorEastAsia" w:eastAsiaTheme="minorEastAsia"/>
          <w:color w:val="auto"/>
          <w:spacing w:val="-1"/>
          <w:sz w:val="21"/>
          <w:highlight w:val="none"/>
          <w:lang w:eastAsia="zh-CN"/>
        </w:rPr>
        <w:t>)</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pPr>
      <w:r>
        <w:rPr>
          <w:rFonts w:hint="eastAsia" w:asciiTheme="minorEastAsia" w:hAnsiTheme="minorEastAsia" w:eastAsiaTheme="minorEastAsia"/>
          <w:color w:val="auto"/>
          <w:spacing w:val="-1"/>
          <w:sz w:val="21"/>
          <w:highlight w:val="none"/>
          <w:lang w:eastAsia="zh-CN"/>
        </w:rPr>
        <w:t>日期：</w:t>
      </w:r>
    </w:p>
    <w:p>
      <w:pPr>
        <w:adjustRightInd w:val="0"/>
        <w:snapToGrid w:val="0"/>
        <w:spacing w:line="360" w:lineRule="auto"/>
        <w:ind w:firstLine="416" w:firstLineChars="200"/>
        <w:rPr>
          <w:rFonts w:asciiTheme="minorEastAsia" w:hAnsiTheme="minorEastAsia" w:eastAsiaTheme="minorEastAsia"/>
          <w:color w:val="auto"/>
          <w:spacing w:val="-1"/>
          <w:sz w:val="21"/>
          <w:highlight w:val="none"/>
          <w:lang w:eastAsia="zh-CN"/>
        </w:rPr>
        <w:sectPr>
          <w:pgSz w:w="11906" w:h="16838"/>
          <w:pgMar w:top="1440" w:right="1800" w:bottom="1440" w:left="1800" w:header="851" w:footer="992" w:gutter="0"/>
          <w:cols w:space="425" w:num="1"/>
          <w:docGrid w:type="lines" w:linePitch="312" w:charSpace="0"/>
        </w:sectPr>
      </w:pPr>
    </w:p>
    <w:p>
      <w:pPr>
        <w:adjustRightInd w:val="0"/>
        <w:snapToGrid w:val="0"/>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lang w:val="en-US" w:eastAsia="zh-CN"/>
        </w:rPr>
        <w:t>二、</w:t>
      </w:r>
      <w:r>
        <w:rPr>
          <w:rFonts w:ascii="宋体" w:hAnsi="宋体" w:eastAsia="宋体"/>
          <w:b/>
          <w:bCs/>
          <w:color w:val="auto"/>
          <w:sz w:val="36"/>
          <w:szCs w:val="36"/>
          <w:highlight w:val="none"/>
        </w:rPr>
        <w:t>自查表</w:t>
      </w:r>
    </w:p>
    <w:p>
      <w:pPr>
        <w:spacing w:line="360" w:lineRule="auto"/>
        <w:rPr>
          <w:rFonts w:ascii="宋体" w:hAnsi="宋体" w:eastAsia="宋体"/>
          <w:color w:val="auto"/>
          <w:sz w:val="24"/>
          <w:szCs w:val="24"/>
          <w:highlight w:val="none"/>
        </w:rPr>
      </w:pPr>
      <w:r>
        <w:rPr>
          <w:rFonts w:hint="eastAsia" w:ascii="宋体" w:hAnsi="宋体" w:eastAsia="宋体"/>
          <w:color w:val="auto"/>
          <w:spacing w:val="7"/>
          <w:w w:val="105"/>
          <w:sz w:val="24"/>
          <w:szCs w:val="24"/>
          <w:highlight w:val="none"/>
          <w:lang w:val="en-US" w:eastAsia="zh-CN"/>
        </w:rPr>
        <w:t>2</w:t>
      </w:r>
      <w:r>
        <w:rPr>
          <w:rFonts w:ascii="宋体" w:hAnsi="宋体" w:eastAsia="宋体"/>
          <w:color w:val="auto"/>
          <w:spacing w:val="7"/>
          <w:w w:val="105"/>
          <w:sz w:val="24"/>
          <w:szCs w:val="24"/>
          <w:highlight w:val="none"/>
          <w:lang w:eastAsia="zh-CN"/>
        </w:rPr>
        <w:t xml:space="preserve">.1 </w:t>
      </w:r>
      <w:r>
        <w:rPr>
          <w:rFonts w:ascii="宋体" w:hAnsi="宋体" w:eastAsia="宋体"/>
          <w:color w:val="auto"/>
          <w:spacing w:val="7"/>
          <w:w w:val="105"/>
          <w:sz w:val="24"/>
          <w:szCs w:val="24"/>
          <w:highlight w:val="none"/>
        </w:rPr>
        <w:t>资格性自查表</w:t>
      </w:r>
    </w:p>
    <w:tbl>
      <w:tblPr>
        <w:tblStyle w:val="35"/>
        <w:tblW w:w="8336" w:type="dxa"/>
        <w:tblInd w:w="0"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423"/>
        <w:gridCol w:w="4270"/>
        <w:gridCol w:w="1701"/>
        <w:gridCol w:w="1942"/>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tcPr>
          <w:p>
            <w:pPr>
              <w:pStyle w:val="36"/>
              <w:adjustRightInd w:val="0"/>
              <w:snapToGrid w:val="0"/>
              <w:spacing w:line="360" w:lineRule="auto"/>
              <w:jc w:val="center"/>
              <w:rPr>
                <w:rFonts w:ascii="宋体" w:hAnsi="宋体" w:eastAsia="宋体"/>
                <w:b/>
                <w:color w:val="auto"/>
                <w:sz w:val="19"/>
                <w:highlight w:val="none"/>
              </w:rPr>
            </w:pPr>
            <w:r>
              <w:rPr>
                <w:rFonts w:hint="eastAsia" w:ascii="宋体" w:hAnsi="宋体" w:eastAsia="宋体"/>
                <w:b/>
                <w:color w:val="auto"/>
                <w:sz w:val="19"/>
                <w:highlight w:val="none"/>
              </w:rPr>
              <w:t>序号</w:t>
            </w:r>
          </w:p>
        </w:tc>
        <w:tc>
          <w:tcPr>
            <w:tcW w:w="4270" w:type="dxa"/>
          </w:tcPr>
          <w:p>
            <w:pPr>
              <w:pStyle w:val="36"/>
              <w:adjustRightInd w:val="0"/>
              <w:snapToGrid w:val="0"/>
              <w:spacing w:line="360" w:lineRule="auto"/>
              <w:jc w:val="center"/>
              <w:rPr>
                <w:rFonts w:ascii="宋体" w:hAnsi="宋体" w:eastAsia="宋体"/>
                <w:b/>
                <w:color w:val="auto"/>
                <w:sz w:val="19"/>
                <w:highlight w:val="none"/>
              </w:rPr>
            </w:pPr>
            <w:r>
              <w:rPr>
                <w:rFonts w:hint="eastAsia" w:ascii="宋体" w:hAnsi="宋体" w:eastAsia="宋体"/>
                <w:b/>
                <w:color w:val="auto"/>
                <w:sz w:val="19"/>
                <w:highlight w:val="none"/>
              </w:rPr>
              <w:t>招标文件要求</w:t>
            </w:r>
          </w:p>
        </w:tc>
        <w:tc>
          <w:tcPr>
            <w:tcW w:w="1701" w:type="dxa"/>
          </w:tcPr>
          <w:p>
            <w:pPr>
              <w:pStyle w:val="36"/>
              <w:adjustRightInd w:val="0"/>
              <w:snapToGrid w:val="0"/>
              <w:spacing w:line="360" w:lineRule="auto"/>
              <w:jc w:val="center"/>
              <w:rPr>
                <w:rFonts w:ascii="宋体" w:hAnsi="宋体" w:eastAsia="宋体"/>
                <w:b/>
                <w:color w:val="auto"/>
                <w:sz w:val="19"/>
                <w:highlight w:val="none"/>
              </w:rPr>
            </w:pPr>
            <w:r>
              <w:rPr>
                <w:rFonts w:hint="eastAsia" w:ascii="宋体" w:hAnsi="宋体" w:eastAsia="宋体"/>
                <w:b/>
                <w:color w:val="auto"/>
                <w:sz w:val="19"/>
                <w:highlight w:val="none"/>
              </w:rPr>
              <w:t>自查结论</w:t>
            </w:r>
          </w:p>
        </w:tc>
        <w:tc>
          <w:tcPr>
            <w:tcW w:w="1942" w:type="dxa"/>
            <w:tcBorders>
              <w:right w:val="single" w:color="7F7F7F" w:sz="12" w:space="0"/>
            </w:tcBorders>
          </w:tcPr>
          <w:p>
            <w:pPr>
              <w:pStyle w:val="36"/>
              <w:adjustRightInd w:val="0"/>
              <w:snapToGrid w:val="0"/>
              <w:spacing w:line="360" w:lineRule="auto"/>
              <w:jc w:val="center"/>
              <w:rPr>
                <w:rFonts w:ascii="宋体" w:hAnsi="宋体" w:eastAsia="宋体"/>
                <w:b/>
                <w:color w:val="auto"/>
                <w:sz w:val="19"/>
                <w:highlight w:val="none"/>
              </w:rPr>
            </w:pPr>
            <w:r>
              <w:rPr>
                <w:rFonts w:hint="eastAsia" w:ascii="宋体" w:hAnsi="宋体" w:eastAsia="宋体"/>
                <w:b/>
                <w:color w:val="auto"/>
                <w:sz w:val="19"/>
                <w:highlight w:val="none"/>
              </w:rPr>
              <w:t>证明资料（如有）</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vAlign w:val="center"/>
          </w:tcPr>
          <w:p>
            <w:pPr>
              <w:pStyle w:val="36"/>
              <w:adjustRightInd w:val="0"/>
              <w:snapToGrid w:val="0"/>
              <w:spacing w:line="360" w:lineRule="auto"/>
              <w:jc w:val="center"/>
              <w:rPr>
                <w:rFonts w:ascii="宋体" w:hAnsi="宋体" w:eastAsia="宋体"/>
                <w:color w:val="auto"/>
                <w:highlight w:val="none"/>
              </w:rPr>
            </w:pPr>
            <w:r>
              <w:rPr>
                <w:rFonts w:ascii="宋体" w:hAnsi="宋体" w:eastAsia="宋体"/>
                <w:color w:val="auto"/>
                <w:w w:val="92"/>
                <w:highlight w:val="none"/>
              </w:rPr>
              <w:t>1</w:t>
            </w:r>
          </w:p>
        </w:tc>
        <w:tc>
          <w:tcPr>
            <w:tcW w:w="4270" w:type="dxa"/>
            <w:vAlign w:val="center"/>
          </w:tcPr>
          <w:p>
            <w:pPr>
              <w:pStyle w:val="36"/>
              <w:adjustRightInd w:val="0"/>
              <w:snapToGrid w:val="0"/>
              <w:spacing w:line="360" w:lineRule="auto"/>
              <w:jc w:val="center"/>
              <w:rPr>
                <w:rFonts w:ascii="宋体" w:hAnsi="宋体" w:eastAsia="宋体"/>
                <w:color w:val="auto"/>
                <w:sz w:val="19"/>
                <w:highlight w:val="none"/>
                <w:lang w:eastAsia="zh-CN"/>
              </w:rPr>
            </w:pPr>
            <w:r>
              <w:rPr>
                <w:rFonts w:hint="eastAsia" w:asciiTheme="minorEastAsia" w:hAnsiTheme="minorEastAsia" w:eastAsiaTheme="minorEastAsia"/>
                <w:color w:val="auto"/>
                <w:spacing w:val="-1"/>
                <w:sz w:val="21"/>
                <w:szCs w:val="21"/>
                <w:highlight w:val="none"/>
                <w:lang w:eastAsia="zh-CN"/>
              </w:rPr>
              <w:t>投标承诺书：按对应格式文件签署、盖章</w:t>
            </w:r>
            <w:r>
              <w:rPr>
                <w:rFonts w:asciiTheme="minorEastAsia" w:hAnsiTheme="minorEastAsia" w:eastAsiaTheme="minorEastAsia"/>
                <w:color w:val="auto"/>
                <w:spacing w:val="-1"/>
                <w:sz w:val="21"/>
                <w:szCs w:val="21"/>
                <w:highlight w:val="none"/>
                <w:lang w:eastAsia="zh-CN"/>
              </w:rPr>
              <w:t>;</w:t>
            </w:r>
          </w:p>
        </w:tc>
        <w:tc>
          <w:tcPr>
            <w:tcW w:w="1701" w:type="dxa"/>
            <w:vAlign w:val="center"/>
          </w:tcPr>
          <w:p>
            <w:pPr>
              <w:pStyle w:val="36"/>
              <w:adjustRightInd w:val="0"/>
              <w:snapToGrid w:val="0"/>
              <w:spacing w:line="360" w:lineRule="auto"/>
              <w:jc w:val="center"/>
              <w:rPr>
                <w:rFonts w:ascii="宋体" w:hAnsi="宋体" w:eastAsia="宋体"/>
                <w:color w:val="auto"/>
                <w:sz w:val="19"/>
                <w:highlight w:val="none"/>
              </w:rPr>
            </w:pPr>
            <w:r>
              <w:rPr>
                <w:rFonts w:ascii="宋体" w:hAnsi="宋体" w:eastAsia="宋体"/>
                <w:color w:val="auto"/>
                <w:highlight w:val="none"/>
              </w:rPr>
              <w:t>□</w:t>
            </w:r>
            <w:r>
              <w:rPr>
                <w:rFonts w:ascii="宋体" w:hAnsi="宋体" w:eastAsia="宋体"/>
                <w:color w:val="auto"/>
                <w:sz w:val="19"/>
                <w:highlight w:val="none"/>
              </w:rPr>
              <w:t xml:space="preserve">通过 </w:t>
            </w:r>
            <w:r>
              <w:rPr>
                <w:rFonts w:ascii="宋体" w:hAnsi="宋体" w:eastAsia="宋体"/>
                <w:color w:val="auto"/>
                <w:highlight w:val="none"/>
              </w:rPr>
              <w:t>□</w:t>
            </w:r>
            <w:r>
              <w:rPr>
                <w:rFonts w:ascii="宋体" w:hAnsi="宋体" w:eastAsia="宋体"/>
                <w:color w:val="auto"/>
                <w:sz w:val="19"/>
                <w:highlight w:val="none"/>
              </w:rPr>
              <w:t>不通过</w:t>
            </w: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highlight w:val="none"/>
              </w:rPr>
            </w:pPr>
            <w:r>
              <w:rPr>
                <w:rFonts w:ascii="宋体" w:hAnsi="宋体" w:eastAsia="宋体"/>
                <w:color w:val="auto"/>
                <w:sz w:val="19"/>
                <w:highlight w:val="none"/>
              </w:rPr>
              <w:t>见投标文件（）页</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vAlign w:val="center"/>
          </w:tcPr>
          <w:p>
            <w:pPr>
              <w:pStyle w:val="36"/>
              <w:adjustRightInd w:val="0"/>
              <w:snapToGrid w:val="0"/>
              <w:spacing w:line="360" w:lineRule="auto"/>
              <w:jc w:val="center"/>
              <w:rPr>
                <w:rFonts w:ascii="宋体" w:hAnsi="宋体" w:eastAsia="宋体"/>
                <w:color w:val="auto"/>
                <w:highlight w:val="none"/>
              </w:rPr>
            </w:pPr>
            <w:r>
              <w:rPr>
                <w:rFonts w:ascii="宋体" w:hAnsi="宋体" w:eastAsia="宋体"/>
                <w:color w:val="auto"/>
                <w:w w:val="92"/>
                <w:highlight w:val="none"/>
              </w:rPr>
              <w:t>2</w:t>
            </w:r>
          </w:p>
        </w:tc>
        <w:tc>
          <w:tcPr>
            <w:tcW w:w="4270" w:type="dxa"/>
            <w:vAlign w:val="center"/>
          </w:tcPr>
          <w:p>
            <w:pPr>
              <w:pStyle w:val="36"/>
              <w:adjustRightInd w:val="0"/>
              <w:snapToGrid w:val="0"/>
              <w:spacing w:line="360" w:lineRule="auto"/>
              <w:jc w:val="center"/>
              <w:rPr>
                <w:rFonts w:ascii="宋体" w:hAnsi="宋体" w:eastAsia="宋体"/>
                <w:color w:val="auto"/>
                <w:sz w:val="19"/>
                <w:highlight w:val="none"/>
                <w:lang w:eastAsia="zh-CN"/>
              </w:rPr>
            </w:pPr>
            <w:r>
              <w:rPr>
                <w:rFonts w:hint="eastAsia" w:asciiTheme="minorEastAsia" w:hAnsiTheme="minorEastAsia" w:eastAsiaTheme="minorEastAsia"/>
                <w:color w:val="auto"/>
                <w:spacing w:val="-1"/>
                <w:sz w:val="21"/>
                <w:szCs w:val="21"/>
                <w:highlight w:val="none"/>
                <w:lang w:eastAsia="zh-CN"/>
              </w:rPr>
              <w:t>法定代表人证明书及授权委托书：按对应格式文件签署、盖章</w:t>
            </w:r>
            <w:r>
              <w:rPr>
                <w:rFonts w:asciiTheme="minorEastAsia" w:hAnsiTheme="minorEastAsia" w:eastAsiaTheme="minorEastAsia"/>
                <w:color w:val="auto"/>
                <w:spacing w:val="-1"/>
                <w:sz w:val="21"/>
                <w:szCs w:val="21"/>
                <w:highlight w:val="none"/>
                <w:lang w:eastAsia="zh-CN"/>
              </w:rPr>
              <w:t>;</w:t>
            </w:r>
          </w:p>
        </w:tc>
        <w:tc>
          <w:tcPr>
            <w:tcW w:w="1701" w:type="dxa"/>
            <w:vAlign w:val="center"/>
          </w:tcPr>
          <w:p>
            <w:pPr>
              <w:pStyle w:val="36"/>
              <w:adjustRightInd w:val="0"/>
              <w:snapToGrid w:val="0"/>
              <w:spacing w:line="360" w:lineRule="auto"/>
              <w:jc w:val="center"/>
              <w:rPr>
                <w:rFonts w:ascii="宋体" w:hAnsi="宋体" w:eastAsia="宋体"/>
                <w:color w:val="auto"/>
                <w:sz w:val="19"/>
                <w:highlight w:val="none"/>
              </w:rPr>
            </w:pPr>
            <w:r>
              <w:rPr>
                <w:rFonts w:ascii="宋体" w:hAnsi="宋体" w:eastAsia="宋体"/>
                <w:color w:val="auto"/>
                <w:highlight w:val="none"/>
              </w:rPr>
              <w:t>□</w:t>
            </w:r>
            <w:r>
              <w:rPr>
                <w:rFonts w:ascii="宋体" w:hAnsi="宋体" w:eastAsia="宋体"/>
                <w:color w:val="auto"/>
                <w:sz w:val="19"/>
                <w:highlight w:val="none"/>
              </w:rPr>
              <w:t xml:space="preserve">通过 </w:t>
            </w:r>
            <w:r>
              <w:rPr>
                <w:rFonts w:ascii="宋体" w:hAnsi="宋体" w:eastAsia="宋体"/>
                <w:color w:val="auto"/>
                <w:highlight w:val="none"/>
              </w:rPr>
              <w:t>□</w:t>
            </w:r>
            <w:r>
              <w:rPr>
                <w:rFonts w:ascii="宋体" w:hAnsi="宋体" w:eastAsia="宋体"/>
                <w:color w:val="auto"/>
                <w:sz w:val="19"/>
                <w:highlight w:val="none"/>
              </w:rPr>
              <w:t>不通过</w:t>
            </w: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highlight w:val="none"/>
              </w:rPr>
            </w:pPr>
            <w:r>
              <w:rPr>
                <w:rFonts w:ascii="宋体" w:hAnsi="宋体" w:eastAsia="宋体"/>
                <w:color w:val="auto"/>
                <w:sz w:val="19"/>
                <w:highlight w:val="none"/>
              </w:rPr>
              <w:t>见投标文件（）页</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vAlign w:val="center"/>
          </w:tcPr>
          <w:p>
            <w:pPr>
              <w:pStyle w:val="36"/>
              <w:adjustRightInd w:val="0"/>
              <w:snapToGrid w:val="0"/>
              <w:spacing w:line="360" w:lineRule="auto"/>
              <w:jc w:val="center"/>
              <w:rPr>
                <w:rFonts w:ascii="宋体" w:hAnsi="宋体" w:eastAsia="宋体"/>
                <w:color w:val="auto"/>
                <w:w w:val="92"/>
                <w:highlight w:val="none"/>
                <w:lang w:eastAsia="zh-CN"/>
              </w:rPr>
            </w:pPr>
            <w:r>
              <w:rPr>
                <w:rFonts w:hint="eastAsia" w:ascii="宋体" w:hAnsi="宋体" w:eastAsia="宋体"/>
                <w:color w:val="auto"/>
                <w:w w:val="92"/>
                <w:highlight w:val="none"/>
                <w:lang w:eastAsia="zh-CN"/>
              </w:rPr>
              <w:t>3</w:t>
            </w:r>
          </w:p>
        </w:tc>
        <w:tc>
          <w:tcPr>
            <w:tcW w:w="4270" w:type="dxa"/>
            <w:vAlign w:val="center"/>
          </w:tcPr>
          <w:p>
            <w:pPr>
              <w:pStyle w:val="36"/>
              <w:adjustRightInd w:val="0"/>
              <w:snapToGrid w:val="0"/>
              <w:spacing w:line="360" w:lineRule="auto"/>
              <w:jc w:val="center"/>
              <w:rPr>
                <w:rFonts w:ascii="宋体" w:hAnsi="宋体" w:eastAsia="宋体"/>
                <w:color w:val="auto"/>
                <w:sz w:val="19"/>
                <w:highlight w:val="none"/>
                <w:lang w:eastAsia="zh-CN"/>
              </w:rPr>
            </w:pPr>
            <w:r>
              <w:rPr>
                <w:rFonts w:hint="eastAsia" w:asciiTheme="minorEastAsia" w:hAnsiTheme="minorEastAsia" w:eastAsiaTheme="minorEastAsia"/>
                <w:color w:val="auto"/>
                <w:spacing w:val="-1"/>
                <w:sz w:val="21"/>
                <w:szCs w:val="21"/>
                <w:highlight w:val="none"/>
                <w:lang w:eastAsia="zh-CN"/>
              </w:rPr>
              <w:t>准入条件：满足投标人资格条件</w:t>
            </w:r>
          </w:p>
        </w:tc>
        <w:tc>
          <w:tcPr>
            <w:tcW w:w="1701" w:type="dxa"/>
            <w:vAlign w:val="center"/>
          </w:tcPr>
          <w:p>
            <w:pPr>
              <w:pStyle w:val="36"/>
              <w:adjustRightInd w:val="0"/>
              <w:snapToGrid w:val="0"/>
              <w:spacing w:line="360" w:lineRule="auto"/>
              <w:jc w:val="center"/>
              <w:rPr>
                <w:rFonts w:ascii="宋体" w:hAnsi="宋体" w:eastAsia="宋体"/>
                <w:color w:val="auto"/>
                <w:highlight w:val="none"/>
                <w:lang w:eastAsia="zh-CN"/>
              </w:rPr>
            </w:pPr>
            <w:r>
              <w:rPr>
                <w:rFonts w:ascii="宋体" w:hAnsi="宋体" w:eastAsia="宋体"/>
                <w:color w:val="auto"/>
                <w:highlight w:val="none"/>
              </w:rPr>
              <w:t>□</w:t>
            </w:r>
            <w:r>
              <w:rPr>
                <w:rFonts w:ascii="宋体" w:hAnsi="宋体" w:eastAsia="宋体"/>
                <w:color w:val="auto"/>
                <w:sz w:val="19"/>
                <w:highlight w:val="none"/>
              </w:rPr>
              <w:t xml:space="preserve">通过 </w:t>
            </w:r>
            <w:r>
              <w:rPr>
                <w:rFonts w:ascii="宋体" w:hAnsi="宋体" w:eastAsia="宋体"/>
                <w:color w:val="auto"/>
                <w:highlight w:val="none"/>
              </w:rPr>
              <w:t>□</w:t>
            </w:r>
            <w:r>
              <w:rPr>
                <w:rFonts w:ascii="宋体" w:hAnsi="宋体" w:eastAsia="宋体"/>
                <w:color w:val="auto"/>
                <w:sz w:val="19"/>
                <w:highlight w:val="none"/>
              </w:rPr>
              <w:t>不通过</w:t>
            </w: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highlight w:val="none"/>
                <w:lang w:eastAsia="zh-CN"/>
              </w:rPr>
            </w:pPr>
            <w:r>
              <w:rPr>
                <w:rFonts w:ascii="宋体" w:hAnsi="宋体" w:eastAsia="宋体"/>
                <w:color w:val="auto"/>
                <w:sz w:val="19"/>
                <w:highlight w:val="none"/>
              </w:rPr>
              <w:t>见投标文件（）页</w:t>
            </w:r>
          </w:p>
        </w:tc>
      </w:tr>
    </w:tbl>
    <w:p>
      <w:pPr>
        <w:adjustRightInd w:val="0"/>
        <w:snapToGrid w:val="0"/>
        <w:spacing w:line="360" w:lineRule="auto"/>
        <w:ind w:firstLine="402" w:firstLineChars="200"/>
        <w:rPr>
          <w:rFonts w:ascii="宋体" w:hAnsi="宋体" w:eastAsia="宋体"/>
          <w:b/>
          <w:bCs/>
          <w:color w:val="auto"/>
          <w:sz w:val="20"/>
          <w:szCs w:val="20"/>
          <w:highlight w:val="none"/>
          <w:lang w:eastAsia="zh-CN"/>
        </w:rPr>
      </w:pPr>
      <w:r>
        <w:rPr>
          <w:rFonts w:ascii="宋体" w:hAnsi="宋体" w:eastAsia="宋体"/>
          <w:b/>
          <w:bCs/>
          <w:color w:val="auto"/>
          <w:sz w:val="20"/>
          <w:szCs w:val="20"/>
          <w:highlight w:val="none"/>
          <w:lang w:eastAsia="zh-CN"/>
        </w:rPr>
        <w:t>注： 1.表中的材料将作为资格审查和符合性审查的重要依据之一，供应商必须严格按照其内容及序列要求在投标文件中对应如实提供，对资格性和符合性证明文件的任何缺漏和不符合项将会直接导致无效投标</w:t>
      </w:r>
      <w:r>
        <w:rPr>
          <w:rFonts w:hint="eastAsia" w:ascii="宋体" w:hAnsi="宋体" w:eastAsia="宋体"/>
          <w:b/>
          <w:bCs/>
          <w:color w:val="auto"/>
          <w:sz w:val="20"/>
          <w:szCs w:val="20"/>
          <w:highlight w:val="none"/>
          <w:lang w:eastAsia="zh-CN"/>
        </w:rPr>
        <w:t>。</w:t>
      </w:r>
    </w:p>
    <w:p>
      <w:pPr>
        <w:adjustRightInd w:val="0"/>
        <w:snapToGrid w:val="0"/>
        <w:spacing w:line="360" w:lineRule="auto"/>
        <w:ind w:firstLine="402" w:firstLineChars="200"/>
        <w:rPr>
          <w:rFonts w:ascii="宋体" w:hAnsi="宋体" w:eastAsia="宋体" w:cstheme="majorBidi"/>
          <w:b/>
          <w:bCs/>
          <w:color w:val="auto"/>
          <w:sz w:val="20"/>
          <w:szCs w:val="20"/>
          <w:highlight w:val="none"/>
          <w:lang w:eastAsia="zh-CN"/>
        </w:rPr>
      </w:pPr>
      <w:r>
        <w:rPr>
          <w:rFonts w:ascii="宋体" w:hAnsi="宋体" w:eastAsia="宋体" w:cstheme="majorBidi"/>
          <w:b/>
          <w:bCs/>
          <w:color w:val="auto"/>
          <w:sz w:val="20"/>
          <w:szCs w:val="20"/>
          <w:highlight w:val="none"/>
          <w:lang w:eastAsia="zh-CN"/>
        </w:rPr>
        <w:t>2.</w:t>
      </w:r>
      <w:r>
        <w:rPr>
          <w:rFonts w:hint="eastAsia" w:ascii="宋体" w:hAnsi="宋体" w:eastAsia="宋体" w:cstheme="majorBidi"/>
          <w:b/>
          <w:bCs/>
          <w:color w:val="auto"/>
          <w:sz w:val="20"/>
          <w:szCs w:val="20"/>
          <w:highlight w:val="none"/>
          <w:lang w:eastAsia="zh-CN"/>
        </w:rPr>
        <w:t>供应商应根据《资格审查表》（附表一）以及《符合性审查表》（附表二）进行填写此表。</w:t>
      </w:r>
    </w:p>
    <w:p>
      <w:pPr>
        <w:spacing w:line="360" w:lineRule="auto"/>
        <w:rPr>
          <w:rFonts w:ascii="宋体" w:hAnsi="宋体" w:eastAsia="宋体"/>
          <w:color w:val="auto"/>
          <w:spacing w:val="7"/>
          <w:w w:val="105"/>
          <w:sz w:val="24"/>
          <w:szCs w:val="24"/>
          <w:highlight w:val="none"/>
          <w:lang w:eastAsia="zh-CN"/>
        </w:rPr>
      </w:pPr>
      <w:r>
        <w:rPr>
          <w:rFonts w:hint="eastAsia" w:ascii="宋体" w:hAnsi="宋体" w:eastAsia="宋体"/>
          <w:color w:val="auto"/>
          <w:spacing w:val="7"/>
          <w:w w:val="105"/>
          <w:sz w:val="24"/>
          <w:szCs w:val="24"/>
          <w:highlight w:val="none"/>
          <w:lang w:val="en-US" w:eastAsia="zh-CN"/>
        </w:rPr>
        <w:t>2</w:t>
      </w:r>
      <w:r>
        <w:rPr>
          <w:rFonts w:ascii="宋体" w:hAnsi="宋体" w:eastAsia="宋体"/>
          <w:color w:val="auto"/>
          <w:spacing w:val="7"/>
          <w:w w:val="105"/>
          <w:sz w:val="24"/>
          <w:szCs w:val="24"/>
          <w:highlight w:val="none"/>
          <w:lang w:eastAsia="zh-CN"/>
        </w:rPr>
        <w:t xml:space="preserve">.2 </w:t>
      </w:r>
      <w:r>
        <w:rPr>
          <w:rFonts w:hint="eastAsia" w:ascii="宋体" w:hAnsi="宋体" w:eastAsia="宋体"/>
          <w:color w:val="auto"/>
          <w:spacing w:val="7"/>
          <w:w w:val="105"/>
          <w:sz w:val="24"/>
          <w:szCs w:val="24"/>
          <w:highlight w:val="none"/>
          <w:lang w:eastAsia="zh-CN"/>
        </w:rPr>
        <w:t>符合</w:t>
      </w:r>
      <w:r>
        <w:rPr>
          <w:rFonts w:ascii="宋体" w:hAnsi="宋体" w:eastAsia="宋体"/>
          <w:color w:val="auto"/>
          <w:spacing w:val="7"/>
          <w:w w:val="105"/>
          <w:sz w:val="24"/>
          <w:szCs w:val="24"/>
          <w:highlight w:val="none"/>
          <w:lang w:eastAsia="zh-CN"/>
        </w:rPr>
        <w:t>性自查表</w:t>
      </w:r>
    </w:p>
    <w:tbl>
      <w:tblPr>
        <w:tblStyle w:val="35"/>
        <w:tblW w:w="8336" w:type="dxa"/>
        <w:tblInd w:w="0"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423"/>
        <w:gridCol w:w="4270"/>
        <w:gridCol w:w="1701"/>
        <w:gridCol w:w="1942"/>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tcPr>
          <w:p>
            <w:pPr>
              <w:pStyle w:val="36"/>
              <w:adjustRightInd w:val="0"/>
              <w:snapToGrid w:val="0"/>
              <w:spacing w:line="360" w:lineRule="auto"/>
              <w:jc w:val="center"/>
              <w:rPr>
                <w:rFonts w:ascii="宋体" w:hAnsi="宋体" w:eastAsia="宋体"/>
                <w:b/>
                <w:color w:val="auto"/>
                <w:sz w:val="19"/>
                <w:highlight w:val="none"/>
              </w:rPr>
            </w:pPr>
            <w:r>
              <w:rPr>
                <w:rFonts w:hint="eastAsia" w:ascii="宋体" w:hAnsi="宋体" w:eastAsia="宋体"/>
                <w:b/>
                <w:color w:val="auto"/>
                <w:sz w:val="19"/>
                <w:highlight w:val="none"/>
              </w:rPr>
              <w:t>序号</w:t>
            </w:r>
          </w:p>
        </w:tc>
        <w:tc>
          <w:tcPr>
            <w:tcW w:w="4270" w:type="dxa"/>
          </w:tcPr>
          <w:p>
            <w:pPr>
              <w:pStyle w:val="36"/>
              <w:adjustRightInd w:val="0"/>
              <w:snapToGrid w:val="0"/>
              <w:spacing w:line="360" w:lineRule="auto"/>
              <w:jc w:val="center"/>
              <w:rPr>
                <w:rFonts w:ascii="宋体" w:hAnsi="宋体" w:eastAsia="宋体"/>
                <w:b/>
                <w:color w:val="auto"/>
                <w:sz w:val="19"/>
                <w:highlight w:val="none"/>
              </w:rPr>
            </w:pPr>
            <w:r>
              <w:rPr>
                <w:rFonts w:hint="eastAsia" w:ascii="宋体" w:hAnsi="宋体" w:eastAsia="宋体"/>
                <w:b/>
                <w:color w:val="auto"/>
                <w:sz w:val="19"/>
                <w:highlight w:val="none"/>
              </w:rPr>
              <w:t>招标文件要求</w:t>
            </w:r>
          </w:p>
        </w:tc>
        <w:tc>
          <w:tcPr>
            <w:tcW w:w="1701" w:type="dxa"/>
          </w:tcPr>
          <w:p>
            <w:pPr>
              <w:pStyle w:val="36"/>
              <w:adjustRightInd w:val="0"/>
              <w:snapToGrid w:val="0"/>
              <w:spacing w:line="360" w:lineRule="auto"/>
              <w:jc w:val="center"/>
              <w:rPr>
                <w:rFonts w:ascii="宋体" w:hAnsi="宋体" w:eastAsia="宋体"/>
                <w:b/>
                <w:color w:val="auto"/>
                <w:sz w:val="19"/>
                <w:highlight w:val="none"/>
              </w:rPr>
            </w:pPr>
            <w:r>
              <w:rPr>
                <w:rFonts w:hint="eastAsia" w:ascii="宋体" w:hAnsi="宋体" w:eastAsia="宋体"/>
                <w:b/>
                <w:color w:val="auto"/>
                <w:sz w:val="19"/>
                <w:highlight w:val="none"/>
              </w:rPr>
              <w:t>自查结论</w:t>
            </w:r>
          </w:p>
        </w:tc>
        <w:tc>
          <w:tcPr>
            <w:tcW w:w="1942" w:type="dxa"/>
            <w:tcBorders>
              <w:right w:val="single" w:color="7F7F7F" w:sz="12" w:space="0"/>
            </w:tcBorders>
          </w:tcPr>
          <w:p>
            <w:pPr>
              <w:pStyle w:val="36"/>
              <w:adjustRightInd w:val="0"/>
              <w:snapToGrid w:val="0"/>
              <w:spacing w:line="360" w:lineRule="auto"/>
              <w:jc w:val="center"/>
              <w:rPr>
                <w:rFonts w:ascii="宋体" w:hAnsi="宋体" w:eastAsia="宋体"/>
                <w:b/>
                <w:color w:val="auto"/>
                <w:sz w:val="19"/>
                <w:highlight w:val="none"/>
              </w:rPr>
            </w:pPr>
            <w:r>
              <w:rPr>
                <w:rFonts w:hint="eastAsia" w:ascii="宋体" w:hAnsi="宋体" w:eastAsia="宋体"/>
                <w:b/>
                <w:color w:val="auto"/>
                <w:sz w:val="19"/>
                <w:highlight w:val="none"/>
              </w:rPr>
              <w:t>证明资料（如有）</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69" w:hRule="atLeast"/>
        </w:trPr>
        <w:tc>
          <w:tcPr>
            <w:tcW w:w="423" w:type="dxa"/>
            <w:vAlign w:val="center"/>
          </w:tcPr>
          <w:p>
            <w:pPr>
              <w:pStyle w:val="36"/>
              <w:adjustRightInd w:val="0"/>
              <w:snapToGrid w:val="0"/>
              <w:spacing w:line="360" w:lineRule="auto"/>
              <w:jc w:val="center"/>
              <w:rPr>
                <w:rFonts w:ascii="宋体" w:hAnsi="宋体" w:eastAsia="宋体"/>
                <w:color w:val="auto"/>
                <w:highlight w:val="none"/>
              </w:rPr>
            </w:pPr>
            <w:r>
              <w:rPr>
                <w:rFonts w:ascii="宋体" w:hAnsi="宋体" w:eastAsia="宋体"/>
                <w:color w:val="auto"/>
                <w:w w:val="92"/>
                <w:highlight w:val="none"/>
              </w:rPr>
              <w:t>1</w:t>
            </w:r>
          </w:p>
        </w:tc>
        <w:tc>
          <w:tcPr>
            <w:tcW w:w="4270" w:type="dxa"/>
            <w:vAlign w:val="center"/>
          </w:tcPr>
          <w:p>
            <w:pPr>
              <w:pStyle w:val="36"/>
              <w:adjustRightInd w:val="0"/>
              <w:snapToGrid w:val="0"/>
              <w:spacing w:line="360" w:lineRule="auto"/>
              <w:jc w:val="center"/>
              <w:rPr>
                <w:rFonts w:ascii="宋体" w:hAnsi="宋体" w:eastAsia="宋体"/>
                <w:color w:val="auto"/>
                <w:sz w:val="19"/>
                <w:highlight w:val="none"/>
                <w:lang w:eastAsia="zh-CN"/>
              </w:rPr>
            </w:pPr>
            <w:r>
              <w:rPr>
                <w:rFonts w:hint="eastAsia" w:asciiTheme="minorEastAsia" w:hAnsiTheme="minorEastAsia" w:eastAsiaTheme="minorEastAsia"/>
                <w:color w:val="auto"/>
                <w:spacing w:val="-1"/>
                <w:sz w:val="21"/>
                <w:szCs w:val="21"/>
                <w:highlight w:val="none"/>
                <w:lang w:eastAsia="zh-CN"/>
              </w:rPr>
              <w:t>商务技术要求</w:t>
            </w:r>
            <w:r>
              <w:rPr>
                <w:rFonts w:asciiTheme="minorEastAsia" w:hAnsiTheme="minorEastAsia" w:eastAsiaTheme="minorEastAsia"/>
                <w:color w:val="auto"/>
                <w:spacing w:val="-1"/>
                <w:sz w:val="21"/>
                <w:szCs w:val="21"/>
                <w:highlight w:val="none"/>
                <w:lang w:eastAsia="zh-CN"/>
              </w:rPr>
              <w:t>:实质性响应标书中“★”号参数的商务要求</w:t>
            </w:r>
          </w:p>
        </w:tc>
        <w:tc>
          <w:tcPr>
            <w:tcW w:w="1701" w:type="dxa"/>
            <w:vAlign w:val="center"/>
          </w:tcPr>
          <w:p>
            <w:pPr>
              <w:pStyle w:val="36"/>
              <w:adjustRightInd w:val="0"/>
              <w:snapToGrid w:val="0"/>
              <w:spacing w:line="360" w:lineRule="auto"/>
              <w:jc w:val="center"/>
              <w:rPr>
                <w:rFonts w:ascii="宋体" w:hAnsi="宋体" w:eastAsia="宋体"/>
                <w:color w:val="auto"/>
                <w:sz w:val="19"/>
                <w:highlight w:val="none"/>
              </w:rPr>
            </w:pPr>
            <w:r>
              <w:rPr>
                <w:rFonts w:ascii="宋体" w:hAnsi="宋体" w:eastAsia="宋体"/>
                <w:color w:val="auto"/>
                <w:highlight w:val="none"/>
              </w:rPr>
              <w:t>□</w:t>
            </w:r>
            <w:r>
              <w:rPr>
                <w:rFonts w:ascii="宋体" w:hAnsi="宋体" w:eastAsia="宋体"/>
                <w:color w:val="auto"/>
                <w:sz w:val="19"/>
                <w:highlight w:val="none"/>
              </w:rPr>
              <w:t xml:space="preserve">通过 </w:t>
            </w:r>
            <w:r>
              <w:rPr>
                <w:rFonts w:ascii="宋体" w:hAnsi="宋体" w:eastAsia="宋体"/>
                <w:color w:val="auto"/>
                <w:highlight w:val="none"/>
              </w:rPr>
              <w:t>□</w:t>
            </w:r>
            <w:r>
              <w:rPr>
                <w:rFonts w:ascii="宋体" w:hAnsi="宋体" w:eastAsia="宋体"/>
                <w:color w:val="auto"/>
                <w:sz w:val="19"/>
                <w:highlight w:val="none"/>
              </w:rPr>
              <w:t>不通过</w:t>
            </w: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highlight w:val="none"/>
              </w:rPr>
            </w:pPr>
            <w:r>
              <w:rPr>
                <w:rFonts w:ascii="宋体" w:hAnsi="宋体" w:eastAsia="宋体"/>
                <w:color w:val="auto"/>
                <w:sz w:val="19"/>
                <w:highlight w:val="none"/>
              </w:rPr>
              <w:t>见投标文件（）页</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vAlign w:val="center"/>
          </w:tcPr>
          <w:p>
            <w:pPr>
              <w:pStyle w:val="36"/>
              <w:adjustRightInd w:val="0"/>
              <w:snapToGrid w:val="0"/>
              <w:spacing w:line="360" w:lineRule="auto"/>
              <w:jc w:val="center"/>
              <w:rPr>
                <w:rFonts w:hint="default" w:ascii="宋体" w:hAnsi="宋体" w:eastAsia="宋体"/>
                <w:color w:val="auto"/>
                <w:highlight w:val="none"/>
                <w:lang w:val="en-US" w:eastAsia="zh-CN"/>
              </w:rPr>
            </w:pPr>
            <w:r>
              <w:rPr>
                <w:rFonts w:hint="eastAsia" w:ascii="宋体" w:hAnsi="宋体" w:eastAsia="宋体"/>
                <w:color w:val="auto"/>
                <w:w w:val="92"/>
                <w:highlight w:val="none"/>
                <w:lang w:val="en-US" w:eastAsia="zh-CN"/>
              </w:rPr>
              <w:t>2</w:t>
            </w:r>
          </w:p>
        </w:tc>
        <w:tc>
          <w:tcPr>
            <w:tcW w:w="4270" w:type="dxa"/>
            <w:vAlign w:val="center"/>
          </w:tcPr>
          <w:p>
            <w:pPr>
              <w:pStyle w:val="36"/>
              <w:adjustRightInd w:val="0"/>
              <w:snapToGrid w:val="0"/>
              <w:spacing w:line="360" w:lineRule="auto"/>
              <w:jc w:val="center"/>
              <w:rPr>
                <w:rFonts w:ascii="宋体" w:hAnsi="宋体" w:eastAsia="宋体"/>
                <w:color w:val="auto"/>
                <w:sz w:val="19"/>
                <w:highlight w:val="none"/>
                <w:lang w:eastAsia="zh-CN"/>
              </w:rPr>
            </w:pPr>
            <w:r>
              <w:rPr>
                <w:rFonts w:hint="eastAsia" w:asciiTheme="minorEastAsia" w:hAnsiTheme="minorEastAsia" w:eastAsiaTheme="minorEastAsia"/>
                <w:color w:val="auto"/>
                <w:spacing w:val="-1"/>
                <w:sz w:val="21"/>
                <w:szCs w:val="21"/>
                <w:highlight w:val="none"/>
                <w:lang w:eastAsia="zh-CN"/>
              </w:rPr>
              <w:t>其它：实质性响应招标文件中规定的其它情况</w:t>
            </w:r>
          </w:p>
        </w:tc>
        <w:tc>
          <w:tcPr>
            <w:tcW w:w="1701" w:type="dxa"/>
            <w:vAlign w:val="center"/>
          </w:tcPr>
          <w:p>
            <w:pPr>
              <w:pStyle w:val="36"/>
              <w:adjustRightInd w:val="0"/>
              <w:snapToGrid w:val="0"/>
              <w:spacing w:line="360" w:lineRule="auto"/>
              <w:jc w:val="center"/>
              <w:rPr>
                <w:rFonts w:ascii="宋体" w:hAnsi="宋体" w:eastAsia="宋体"/>
                <w:color w:val="auto"/>
                <w:sz w:val="19"/>
                <w:highlight w:val="none"/>
              </w:rPr>
            </w:pPr>
            <w:r>
              <w:rPr>
                <w:rFonts w:ascii="宋体" w:hAnsi="宋体" w:eastAsia="宋体"/>
                <w:color w:val="auto"/>
                <w:highlight w:val="none"/>
              </w:rPr>
              <w:t>□</w:t>
            </w:r>
            <w:r>
              <w:rPr>
                <w:rFonts w:ascii="宋体" w:hAnsi="宋体" w:eastAsia="宋体"/>
                <w:color w:val="auto"/>
                <w:sz w:val="19"/>
                <w:highlight w:val="none"/>
              </w:rPr>
              <w:t xml:space="preserve">通过 </w:t>
            </w:r>
            <w:r>
              <w:rPr>
                <w:rFonts w:ascii="宋体" w:hAnsi="宋体" w:eastAsia="宋体"/>
                <w:color w:val="auto"/>
                <w:highlight w:val="none"/>
              </w:rPr>
              <w:t>□</w:t>
            </w:r>
            <w:r>
              <w:rPr>
                <w:rFonts w:ascii="宋体" w:hAnsi="宋体" w:eastAsia="宋体"/>
                <w:color w:val="auto"/>
                <w:sz w:val="19"/>
                <w:highlight w:val="none"/>
              </w:rPr>
              <w:t>不通过</w:t>
            </w: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highlight w:val="none"/>
              </w:rPr>
            </w:pPr>
            <w:r>
              <w:rPr>
                <w:rFonts w:ascii="宋体" w:hAnsi="宋体" w:eastAsia="宋体"/>
                <w:color w:val="auto"/>
                <w:sz w:val="19"/>
                <w:highlight w:val="none"/>
              </w:rPr>
              <w:t>见投标文件（）页</w:t>
            </w:r>
          </w:p>
        </w:tc>
      </w:tr>
    </w:tbl>
    <w:p>
      <w:pPr>
        <w:adjustRightInd w:val="0"/>
        <w:snapToGrid w:val="0"/>
        <w:spacing w:line="360" w:lineRule="auto"/>
        <w:ind w:firstLine="381" w:firstLineChars="200"/>
        <w:rPr>
          <w:rFonts w:ascii="宋体" w:hAnsi="宋体" w:eastAsia="宋体"/>
          <w:b/>
          <w:color w:val="auto"/>
          <w:sz w:val="19"/>
          <w:highlight w:val="none"/>
          <w:lang w:eastAsia="zh-CN"/>
        </w:rPr>
      </w:pPr>
      <w:r>
        <w:rPr>
          <w:rFonts w:hint="eastAsia" w:ascii="宋体" w:hAnsi="宋体" w:eastAsia="宋体"/>
          <w:b/>
          <w:color w:val="auto"/>
          <w:sz w:val="19"/>
          <w:highlight w:val="none"/>
          <w:lang w:eastAsia="zh-CN"/>
        </w:rPr>
        <w:t xml:space="preserve">注： </w:t>
      </w:r>
      <w:r>
        <w:rPr>
          <w:rFonts w:ascii="宋体" w:hAnsi="宋体" w:eastAsia="宋体"/>
          <w:b/>
          <w:color w:val="auto"/>
          <w:highlight w:val="none"/>
          <w:lang w:eastAsia="zh-CN"/>
        </w:rPr>
        <w:t>1.</w:t>
      </w:r>
      <w:r>
        <w:rPr>
          <w:rFonts w:hint="eastAsia" w:ascii="宋体" w:hAnsi="宋体" w:eastAsia="宋体"/>
          <w:b/>
          <w:color w:val="auto"/>
          <w:sz w:val="19"/>
          <w:highlight w:val="none"/>
          <w:lang w:eastAsia="zh-CN"/>
        </w:rPr>
        <w:t>表中的材料将作为资格审查和符合性审查的重要依据之一，供应商必须严格按照其内容及序列要求在投标文件中对应如实提供，对资格性和符合性证明文件的任何缺漏和不符合项将会直接导致无效投标！</w:t>
      </w:r>
    </w:p>
    <w:p>
      <w:pPr>
        <w:adjustRightInd w:val="0"/>
        <w:snapToGrid w:val="0"/>
        <w:spacing w:line="360" w:lineRule="auto"/>
        <w:ind w:firstLine="442" w:firstLineChars="200"/>
        <w:rPr>
          <w:rFonts w:ascii="宋体" w:hAnsi="宋体" w:eastAsia="宋体"/>
          <w:b/>
          <w:color w:val="auto"/>
          <w:sz w:val="19"/>
          <w:highlight w:val="none"/>
          <w:lang w:eastAsia="zh-CN"/>
        </w:rPr>
      </w:pPr>
      <w:r>
        <w:rPr>
          <w:rFonts w:ascii="宋体" w:hAnsi="宋体" w:eastAsia="宋体"/>
          <w:b/>
          <w:color w:val="auto"/>
          <w:highlight w:val="none"/>
          <w:lang w:eastAsia="zh-CN"/>
        </w:rPr>
        <w:t>2.</w:t>
      </w:r>
      <w:r>
        <w:rPr>
          <w:rFonts w:hint="eastAsia" w:ascii="宋体" w:hAnsi="宋体" w:eastAsia="宋体"/>
          <w:b/>
          <w:color w:val="auto"/>
          <w:sz w:val="19"/>
          <w:highlight w:val="none"/>
          <w:lang w:eastAsia="zh-CN"/>
        </w:rPr>
        <w:t>供应商应根据《资格审查表》（附表一）以及《符合性审查表》（附表二）进行填写此表。</w:t>
      </w:r>
    </w:p>
    <w:p>
      <w:pPr>
        <w:spacing w:line="360" w:lineRule="auto"/>
        <w:rPr>
          <w:rFonts w:ascii="宋体" w:hAnsi="宋体" w:eastAsia="宋体"/>
          <w:color w:val="auto"/>
          <w:spacing w:val="7"/>
          <w:w w:val="105"/>
          <w:sz w:val="24"/>
          <w:szCs w:val="24"/>
          <w:highlight w:val="none"/>
          <w:lang w:eastAsia="zh-CN"/>
        </w:rPr>
      </w:pPr>
      <w:r>
        <w:rPr>
          <w:rFonts w:hint="eastAsia" w:ascii="宋体" w:hAnsi="宋体" w:eastAsia="宋体"/>
          <w:color w:val="auto"/>
          <w:spacing w:val="7"/>
          <w:w w:val="105"/>
          <w:sz w:val="24"/>
          <w:szCs w:val="24"/>
          <w:highlight w:val="none"/>
          <w:lang w:val="en-US" w:eastAsia="zh-CN"/>
        </w:rPr>
        <w:t>2</w:t>
      </w:r>
      <w:r>
        <w:rPr>
          <w:rFonts w:ascii="宋体" w:hAnsi="宋体" w:eastAsia="宋体"/>
          <w:color w:val="auto"/>
          <w:spacing w:val="7"/>
          <w:w w:val="105"/>
          <w:sz w:val="24"/>
          <w:szCs w:val="24"/>
          <w:highlight w:val="none"/>
          <w:lang w:eastAsia="zh-CN"/>
        </w:rPr>
        <w:t>.3 “</w:t>
      </w:r>
      <w:r>
        <w:rPr>
          <w:rFonts w:hint="eastAsia" w:ascii="宋体" w:hAnsi="宋体" w:eastAsia="宋体"/>
          <w:color w:val="auto"/>
          <w:spacing w:val="7"/>
          <w:w w:val="105"/>
          <w:sz w:val="24"/>
          <w:szCs w:val="24"/>
          <w:highlight w:val="none"/>
          <w:lang w:eastAsia="zh-CN"/>
        </w:rPr>
        <w:t>★</w:t>
      </w:r>
      <w:r>
        <w:rPr>
          <w:rFonts w:ascii="宋体" w:hAnsi="宋体" w:eastAsia="宋体"/>
          <w:color w:val="auto"/>
          <w:spacing w:val="7"/>
          <w:w w:val="105"/>
          <w:sz w:val="24"/>
          <w:szCs w:val="24"/>
          <w:highlight w:val="none"/>
          <w:lang w:eastAsia="zh-CN"/>
        </w:rPr>
        <w:t>”</w:t>
      </w:r>
      <w:r>
        <w:rPr>
          <w:rFonts w:hint="eastAsia" w:ascii="宋体" w:hAnsi="宋体" w:eastAsia="宋体"/>
          <w:color w:val="auto"/>
          <w:spacing w:val="7"/>
          <w:w w:val="105"/>
          <w:sz w:val="24"/>
          <w:szCs w:val="24"/>
          <w:highlight w:val="none"/>
          <w:lang w:eastAsia="zh-CN"/>
        </w:rPr>
        <w:t>条款自查表</w:t>
      </w:r>
    </w:p>
    <w:tbl>
      <w:tblPr>
        <w:tblStyle w:val="35"/>
        <w:tblW w:w="8336" w:type="dxa"/>
        <w:tblInd w:w="0"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423"/>
        <w:gridCol w:w="4270"/>
        <w:gridCol w:w="1701"/>
        <w:gridCol w:w="1942"/>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tcPr>
          <w:p>
            <w:pPr>
              <w:pStyle w:val="36"/>
              <w:adjustRightInd w:val="0"/>
              <w:snapToGrid w:val="0"/>
              <w:spacing w:line="360" w:lineRule="auto"/>
              <w:jc w:val="center"/>
              <w:rPr>
                <w:rFonts w:ascii="宋体" w:hAnsi="宋体" w:eastAsia="宋体"/>
                <w:b/>
                <w:color w:val="auto"/>
                <w:sz w:val="19"/>
                <w:szCs w:val="19"/>
                <w:highlight w:val="none"/>
              </w:rPr>
            </w:pPr>
            <w:r>
              <w:rPr>
                <w:rFonts w:hint="eastAsia" w:ascii="宋体" w:hAnsi="宋体" w:eastAsia="宋体"/>
                <w:b/>
                <w:color w:val="auto"/>
                <w:sz w:val="19"/>
                <w:szCs w:val="19"/>
                <w:highlight w:val="none"/>
              </w:rPr>
              <w:t>序号</w:t>
            </w:r>
          </w:p>
        </w:tc>
        <w:tc>
          <w:tcPr>
            <w:tcW w:w="4270" w:type="dxa"/>
          </w:tcPr>
          <w:p>
            <w:pPr>
              <w:pStyle w:val="36"/>
              <w:adjustRightInd w:val="0"/>
              <w:snapToGrid w:val="0"/>
              <w:spacing w:line="360" w:lineRule="auto"/>
              <w:jc w:val="center"/>
              <w:rPr>
                <w:rFonts w:ascii="宋体" w:hAnsi="宋体" w:eastAsia="宋体"/>
                <w:b/>
                <w:color w:val="auto"/>
                <w:sz w:val="19"/>
                <w:szCs w:val="19"/>
                <w:highlight w:val="none"/>
              </w:rPr>
            </w:pPr>
            <w:r>
              <w:rPr>
                <w:rFonts w:ascii="宋体" w:hAnsi="宋体" w:eastAsia="宋体"/>
                <w:color w:val="auto"/>
                <w:spacing w:val="7"/>
                <w:w w:val="105"/>
                <w:sz w:val="19"/>
                <w:szCs w:val="19"/>
                <w:highlight w:val="none"/>
                <w:lang w:eastAsia="zh-CN"/>
              </w:rPr>
              <w:t>“</w:t>
            </w:r>
            <w:r>
              <w:rPr>
                <w:rFonts w:hint="eastAsia" w:ascii="宋体" w:hAnsi="宋体" w:eastAsia="宋体"/>
                <w:color w:val="auto"/>
                <w:spacing w:val="7"/>
                <w:w w:val="105"/>
                <w:sz w:val="19"/>
                <w:szCs w:val="19"/>
                <w:highlight w:val="none"/>
                <w:lang w:eastAsia="zh-CN"/>
              </w:rPr>
              <w:t>★</w:t>
            </w:r>
            <w:r>
              <w:rPr>
                <w:rFonts w:ascii="宋体" w:hAnsi="宋体" w:eastAsia="宋体"/>
                <w:color w:val="auto"/>
                <w:spacing w:val="7"/>
                <w:w w:val="105"/>
                <w:sz w:val="19"/>
                <w:szCs w:val="19"/>
                <w:highlight w:val="none"/>
                <w:lang w:eastAsia="zh-CN"/>
              </w:rPr>
              <w:t>”</w:t>
            </w:r>
            <w:r>
              <w:rPr>
                <w:rFonts w:hint="eastAsia" w:ascii="宋体" w:hAnsi="宋体" w:eastAsia="宋体"/>
                <w:color w:val="auto"/>
                <w:spacing w:val="7"/>
                <w:w w:val="105"/>
                <w:sz w:val="19"/>
                <w:szCs w:val="19"/>
                <w:highlight w:val="none"/>
                <w:lang w:eastAsia="zh-CN"/>
              </w:rPr>
              <w:t>条款自查表</w:t>
            </w:r>
          </w:p>
        </w:tc>
        <w:tc>
          <w:tcPr>
            <w:tcW w:w="1701" w:type="dxa"/>
          </w:tcPr>
          <w:p>
            <w:pPr>
              <w:pStyle w:val="36"/>
              <w:adjustRightInd w:val="0"/>
              <w:snapToGrid w:val="0"/>
              <w:spacing w:line="360" w:lineRule="auto"/>
              <w:jc w:val="center"/>
              <w:rPr>
                <w:rFonts w:ascii="宋体" w:hAnsi="宋体" w:eastAsia="宋体"/>
                <w:b/>
                <w:color w:val="auto"/>
                <w:sz w:val="19"/>
                <w:szCs w:val="19"/>
                <w:highlight w:val="none"/>
              </w:rPr>
            </w:pPr>
            <w:r>
              <w:rPr>
                <w:rFonts w:hint="eastAsia" w:ascii="宋体" w:hAnsi="宋体" w:eastAsia="宋体"/>
                <w:b/>
                <w:color w:val="auto"/>
                <w:sz w:val="19"/>
                <w:szCs w:val="19"/>
                <w:highlight w:val="none"/>
              </w:rPr>
              <w:t>自查结论</w:t>
            </w:r>
          </w:p>
        </w:tc>
        <w:tc>
          <w:tcPr>
            <w:tcW w:w="1942" w:type="dxa"/>
            <w:tcBorders>
              <w:right w:val="single" w:color="7F7F7F" w:sz="12" w:space="0"/>
            </w:tcBorders>
          </w:tcPr>
          <w:p>
            <w:pPr>
              <w:pStyle w:val="36"/>
              <w:adjustRightInd w:val="0"/>
              <w:snapToGrid w:val="0"/>
              <w:spacing w:line="360" w:lineRule="auto"/>
              <w:jc w:val="center"/>
              <w:rPr>
                <w:rFonts w:ascii="宋体" w:hAnsi="宋体" w:eastAsia="宋体"/>
                <w:b/>
                <w:color w:val="auto"/>
                <w:sz w:val="19"/>
                <w:szCs w:val="19"/>
                <w:highlight w:val="none"/>
              </w:rPr>
            </w:pPr>
            <w:r>
              <w:rPr>
                <w:rFonts w:hint="eastAsia" w:ascii="宋体" w:hAnsi="宋体" w:eastAsia="宋体"/>
                <w:b/>
                <w:color w:val="auto"/>
                <w:sz w:val="19"/>
                <w:szCs w:val="19"/>
                <w:highlight w:val="none"/>
              </w:rPr>
              <w:t>证明资料（如有）</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vAlign w:val="center"/>
          </w:tcPr>
          <w:p>
            <w:pPr>
              <w:pStyle w:val="36"/>
              <w:adjustRightInd w:val="0"/>
              <w:snapToGrid w:val="0"/>
              <w:spacing w:line="360" w:lineRule="auto"/>
              <w:jc w:val="center"/>
              <w:rPr>
                <w:rFonts w:ascii="宋体" w:hAnsi="宋体" w:eastAsia="宋体"/>
                <w:color w:val="auto"/>
                <w:sz w:val="19"/>
                <w:szCs w:val="19"/>
                <w:highlight w:val="none"/>
              </w:rPr>
            </w:pPr>
            <w:r>
              <w:rPr>
                <w:rFonts w:ascii="宋体" w:hAnsi="宋体" w:eastAsia="宋体"/>
                <w:color w:val="auto"/>
                <w:w w:val="92"/>
                <w:sz w:val="19"/>
                <w:szCs w:val="19"/>
                <w:highlight w:val="none"/>
              </w:rPr>
              <w:t>1</w:t>
            </w:r>
          </w:p>
        </w:tc>
        <w:tc>
          <w:tcPr>
            <w:tcW w:w="4270" w:type="dxa"/>
            <w:vAlign w:val="center"/>
          </w:tcPr>
          <w:p>
            <w:pPr>
              <w:pStyle w:val="36"/>
              <w:adjustRightInd w:val="0"/>
              <w:snapToGrid w:val="0"/>
              <w:spacing w:line="360" w:lineRule="auto"/>
              <w:jc w:val="center"/>
              <w:rPr>
                <w:rFonts w:ascii="宋体" w:hAnsi="宋体" w:eastAsia="宋体"/>
                <w:color w:val="auto"/>
                <w:sz w:val="19"/>
                <w:szCs w:val="19"/>
                <w:highlight w:val="none"/>
                <w:lang w:eastAsia="zh-CN"/>
              </w:rPr>
            </w:pPr>
          </w:p>
        </w:tc>
        <w:tc>
          <w:tcPr>
            <w:tcW w:w="1701" w:type="dxa"/>
            <w:vAlign w:val="center"/>
          </w:tcPr>
          <w:p>
            <w:pPr>
              <w:pStyle w:val="36"/>
              <w:adjustRightInd w:val="0"/>
              <w:snapToGrid w:val="0"/>
              <w:spacing w:line="360" w:lineRule="auto"/>
              <w:jc w:val="center"/>
              <w:rPr>
                <w:rFonts w:ascii="宋体" w:hAnsi="宋体" w:eastAsia="宋体"/>
                <w:color w:val="auto"/>
                <w:sz w:val="19"/>
                <w:szCs w:val="19"/>
                <w:highlight w:val="none"/>
              </w:rPr>
            </w:pP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szCs w:val="19"/>
                <w:highlight w:val="none"/>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vAlign w:val="center"/>
          </w:tcPr>
          <w:p>
            <w:pPr>
              <w:pStyle w:val="36"/>
              <w:adjustRightInd w:val="0"/>
              <w:snapToGrid w:val="0"/>
              <w:spacing w:line="360" w:lineRule="auto"/>
              <w:jc w:val="center"/>
              <w:rPr>
                <w:rFonts w:ascii="宋体" w:hAnsi="宋体" w:eastAsia="宋体"/>
                <w:color w:val="auto"/>
                <w:sz w:val="19"/>
                <w:szCs w:val="19"/>
                <w:highlight w:val="none"/>
              </w:rPr>
            </w:pPr>
            <w:r>
              <w:rPr>
                <w:rFonts w:ascii="宋体" w:hAnsi="宋体" w:eastAsia="宋体"/>
                <w:color w:val="auto"/>
                <w:w w:val="92"/>
                <w:sz w:val="19"/>
                <w:szCs w:val="19"/>
                <w:highlight w:val="none"/>
              </w:rPr>
              <w:t>2</w:t>
            </w:r>
          </w:p>
        </w:tc>
        <w:tc>
          <w:tcPr>
            <w:tcW w:w="4270" w:type="dxa"/>
            <w:vAlign w:val="center"/>
          </w:tcPr>
          <w:p>
            <w:pPr>
              <w:pStyle w:val="36"/>
              <w:adjustRightInd w:val="0"/>
              <w:snapToGrid w:val="0"/>
              <w:spacing w:line="360" w:lineRule="auto"/>
              <w:jc w:val="center"/>
              <w:rPr>
                <w:rFonts w:ascii="宋体" w:hAnsi="宋体" w:eastAsia="宋体"/>
                <w:color w:val="auto"/>
                <w:sz w:val="19"/>
                <w:szCs w:val="19"/>
                <w:highlight w:val="none"/>
                <w:lang w:eastAsia="zh-CN"/>
              </w:rPr>
            </w:pPr>
          </w:p>
        </w:tc>
        <w:tc>
          <w:tcPr>
            <w:tcW w:w="1701" w:type="dxa"/>
            <w:vAlign w:val="center"/>
          </w:tcPr>
          <w:p>
            <w:pPr>
              <w:pStyle w:val="36"/>
              <w:adjustRightInd w:val="0"/>
              <w:snapToGrid w:val="0"/>
              <w:spacing w:line="360" w:lineRule="auto"/>
              <w:jc w:val="center"/>
              <w:rPr>
                <w:rFonts w:ascii="宋体" w:hAnsi="宋体" w:eastAsia="宋体"/>
                <w:color w:val="auto"/>
                <w:sz w:val="19"/>
                <w:szCs w:val="19"/>
                <w:highlight w:val="none"/>
              </w:rPr>
            </w:pP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szCs w:val="19"/>
                <w:highlight w:val="none"/>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vAlign w:val="center"/>
          </w:tcPr>
          <w:p>
            <w:pPr>
              <w:pStyle w:val="36"/>
              <w:adjustRightInd w:val="0"/>
              <w:snapToGrid w:val="0"/>
              <w:spacing w:line="360" w:lineRule="auto"/>
              <w:jc w:val="center"/>
              <w:rPr>
                <w:rFonts w:ascii="宋体" w:hAnsi="宋体" w:eastAsia="宋体"/>
                <w:color w:val="auto"/>
                <w:sz w:val="19"/>
                <w:szCs w:val="19"/>
                <w:highlight w:val="none"/>
              </w:rPr>
            </w:pPr>
            <w:r>
              <w:rPr>
                <w:rFonts w:ascii="宋体" w:hAnsi="宋体" w:eastAsia="宋体"/>
                <w:color w:val="auto"/>
                <w:w w:val="92"/>
                <w:sz w:val="19"/>
                <w:szCs w:val="19"/>
                <w:highlight w:val="none"/>
              </w:rPr>
              <w:t>3</w:t>
            </w:r>
          </w:p>
        </w:tc>
        <w:tc>
          <w:tcPr>
            <w:tcW w:w="4270" w:type="dxa"/>
            <w:vAlign w:val="center"/>
          </w:tcPr>
          <w:p>
            <w:pPr>
              <w:pStyle w:val="36"/>
              <w:adjustRightInd w:val="0"/>
              <w:snapToGrid w:val="0"/>
              <w:spacing w:line="360" w:lineRule="auto"/>
              <w:jc w:val="center"/>
              <w:rPr>
                <w:rFonts w:ascii="宋体" w:hAnsi="宋体" w:eastAsia="宋体"/>
                <w:color w:val="auto"/>
                <w:sz w:val="19"/>
                <w:szCs w:val="19"/>
                <w:highlight w:val="none"/>
                <w:lang w:eastAsia="zh-CN"/>
              </w:rPr>
            </w:pPr>
          </w:p>
        </w:tc>
        <w:tc>
          <w:tcPr>
            <w:tcW w:w="1701" w:type="dxa"/>
            <w:vAlign w:val="center"/>
          </w:tcPr>
          <w:p>
            <w:pPr>
              <w:pStyle w:val="36"/>
              <w:adjustRightInd w:val="0"/>
              <w:snapToGrid w:val="0"/>
              <w:spacing w:line="360" w:lineRule="auto"/>
              <w:jc w:val="center"/>
              <w:rPr>
                <w:rFonts w:ascii="宋体" w:hAnsi="宋体" w:eastAsia="宋体"/>
                <w:color w:val="auto"/>
                <w:sz w:val="19"/>
                <w:szCs w:val="19"/>
                <w:highlight w:val="none"/>
              </w:rPr>
            </w:pP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szCs w:val="19"/>
                <w:highlight w:val="none"/>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tcBorders>
              <w:bottom w:val="single" w:color="7F7F7F" w:sz="12" w:space="0"/>
            </w:tcBorders>
            <w:vAlign w:val="center"/>
          </w:tcPr>
          <w:p>
            <w:pPr>
              <w:pStyle w:val="36"/>
              <w:adjustRightInd w:val="0"/>
              <w:snapToGrid w:val="0"/>
              <w:spacing w:line="360" w:lineRule="auto"/>
              <w:jc w:val="center"/>
              <w:rPr>
                <w:rFonts w:ascii="宋体" w:hAnsi="宋体" w:eastAsia="宋体"/>
                <w:color w:val="auto"/>
                <w:w w:val="92"/>
                <w:highlight w:val="none"/>
                <w:lang w:eastAsia="zh-CN"/>
              </w:rPr>
            </w:pPr>
            <w:r>
              <w:rPr>
                <w:rFonts w:hint="eastAsia" w:ascii="宋体" w:hAnsi="宋体" w:eastAsia="宋体"/>
                <w:color w:val="auto"/>
                <w:w w:val="92"/>
                <w:highlight w:val="none"/>
                <w:lang w:eastAsia="zh-CN"/>
              </w:rPr>
              <w:t>4</w:t>
            </w:r>
          </w:p>
        </w:tc>
        <w:tc>
          <w:tcPr>
            <w:tcW w:w="4270" w:type="dxa"/>
            <w:tcBorders>
              <w:bottom w:val="single" w:color="7F7F7F" w:sz="12" w:space="0"/>
            </w:tcBorders>
            <w:vAlign w:val="center"/>
          </w:tcPr>
          <w:p>
            <w:pPr>
              <w:pStyle w:val="36"/>
              <w:adjustRightInd w:val="0"/>
              <w:snapToGrid w:val="0"/>
              <w:spacing w:line="360" w:lineRule="auto"/>
              <w:jc w:val="center"/>
              <w:rPr>
                <w:rFonts w:ascii="宋体" w:hAnsi="宋体" w:eastAsia="宋体"/>
                <w:color w:val="auto"/>
                <w:sz w:val="19"/>
                <w:highlight w:val="none"/>
                <w:lang w:eastAsia="zh-CN"/>
              </w:rPr>
            </w:pPr>
          </w:p>
        </w:tc>
        <w:tc>
          <w:tcPr>
            <w:tcW w:w="1701" w:type="dxa"/>
            <w:tcBorders>
              <w:bottom w:val="single" w:color="7F7F7F" w:sz="12" w:space="0"/>
            </w:tcBorders>
            <w:vAlign w:val="center"/>
          </w:tcPr>
          <w:p>
            <w:pPr>
              <w:pStyle w:val="36"/>
              <w:adjustRightInd w:val="0"/>
              <w:snapToGrid w:val="0"/>
              <w:spacing w:line="360" w:lineRule="auto"/>
              <w:jc w:val="center"/>
              <w:rPr>
                <w:rFonts w:ascii="宋体" w:hAnsi="宋体" w:eastAsia="宋体"/>
                <w:color w:val="auto"/>
                <w:highlight w:val="none"/>
                <w:lang w:eastAsia="zh-CN"/>
              </w:rPr>
            </w:pPr>
          </w:p>
        </w:tc>
        <w:tc>
          <w:tcPr>
            <w:tcW w:w="1942" w:type="dxa"/>
            <w:tcBorders>
              <w:bottom w:val="single" w:color="7F7F7F" w:sz="12" w:space="0"/>
              <w:right w:val="single" w:color="7F7F7F" w:sz="12" w:space="0"/>
            </w:tcBorders>
            <w:vAlign w:val="center"/>
          </w:tcPr>
          <w:p>
            <w:pPr>
              <w:pStyle w:val="36"/>
              <w:adjustRightInd w:val="0"/>
              <w:snapToGrid w:val="0"/>
              <w:spacing w:line="360" w:lineRule="auto"/>
              <w:jc w:val="center"/>
              <w:rPr>
                <w:rFonts w:ascii="宋体" w:hAnsi="宋体" w:eastAsia="宋体"/>
                <w:color w:val="auto"/>
                <w:sz w:val="19"/>
                <w:highlight w:val="none"/>
                <w:lang w:eastAsia="zh-CN"/>
              </w:rPr>
            </w:pPr>
          </w:p>
        </w:tc>
      </w:tr>
    </w:tbl>
    <w:p>
      <w:pPr>
        <w:rPr>
          <w:rFonts w:ascii="宋体" w:hAnsi="宋体" w:eastAsia="宋体"/>
          <w:b/>
          <w:color w:val="auto"/>
          <w:sz w:val="19"/>
          <w:highlight w:val="none"/>
          <w:lang w:eastAsia="zh-CN"/>
        </w:rPr>
      </w:pPr>
      <w:r>
        <w:rPr>
          <w:rFonts w:ascii="宋体" w:hAnsi="宋体" w:eastAsia="宋体"/>
          <w:b/>
          <w:color w:val="auto"/>
          <w:sz w:val="19"/>
          <w:highlight w:val="none"/>
          <w:lang w:eastAsia="zh-CN"/>
        </w:rPr>
        <w:t>注： 1.此表内容必须与投标文件中所介绍的内容一致。</w:t>
      </w:r>
    </w:p>
    <w:p>
      <w:pPr>
        <w:rPr>
          <w:rFonts w:ascii="宋体" w:hAnsi="宋体" w:eastAsia="宋体"/>
          <w:b/>
          <w:color w:val="auto"/>
          <w:sz w:val="19"/>
          <w:highlight w:val="none"/>
          <w:lang w:eastAsia="zh-CN"/>
        </w:rPr>
      </w:pPr>
      <w:r>
        <w:rPr>
          <w:rFonts w:ascii="宋体" w:hAnsi="宋体" w:eastAsia="宋体"/>
          <w:b/>
          <w:color w:val="auto"/>
          <w:sz w:val="19"/>
          <w:highlight w:val="none"/>
          <w:lang w:eastAsia="zh-CN"/>
        </w:rPr>
        <w:t>2.</w:t>
      </w:r>
      <w:r>
        <w:rPr>
          <w:rFonts w:hint="eastAsia" w:ascii="宋体" w:hAnsi="宋体" w:eastAsia="宋体"/>
          <w:b/>
          <w:color w:val="auto"/>
          <w:sz w:val="19"/>
          <w:highlight w:val="none"/>
          <w:lang w:eastAsia="zh-CN"/>
        </w:rPr>
        <w:t>《用户需求书》中标注有</w:t>
      </w:r>
      <w:r>
        <w:rPr>
          <w:rFonts w:ascii="宋体" w:hAnsi="宋体" w:eastAsia="宋体"/>
          <w:b/>
          <w:color w:val="auto"/>
          <w:sz w:val="19"/>
          <w:highlight w:val="none"/>
          <w:lang w:eastAsia="zh-CN"/>
        </w:rPr>
        <w:t>“</w:t>
      </w:r>
      <w:r>
        <w:rPr>
          <w:rFonts w:hint="eastAsia" w:ascii="宋体" w:hAnsi="宋体" w:eastAsia="宋体"/>
          <w:b/>
          <w:color w:val="auto"/>
          <w:sz w:val="19"/>
          <w:highlight w:val="none"/>
          <w:lang w:eastAsia="zh-CN"/>
        </w:rPr>
        <w:t>★</w:t>
      </w:r>
      <w:r>
        <w:rPr>
          <w:rFonts w:ascii="宋体" w:hAnsi="宋体" w:eastAsia="宋体"/>
          <w:b/>
          <w:color w:val="auto"/>
          <w:sz w:val="19"/>
          <w:highlight w:val="none"/>
          <w:lang w:eastAsia="zh-CN"/>
        </w:rPr>
        <w:t>”</w:t>
      </w:r>
      <w:r>
        <w:rPr>
          <w:rFonts w:hint="eastAsia" w:ascii="宋体" w:hAnsi="宋体" w:eastAsia="宋体"/>
          <w:b/>
          <w:color w:val="auto"/>
          <w:sz w:val="19"/>
          <w:highlight w:val="none"/>
          <w:lang w:eastAsia="zh-CN"/>
        </w:rPr>
        <w:t>号参数为实质性条款，逐条响应，如不满足要求将导致无效投标。</w:t>
      </w:r>
    </w:p>
    <w:p>
      <w:pPr>
        <w:rPr>
          <w:rFonts w:ascii="宋体" w:hAnsi="宋体" w:eastAsia="宋体"/>
          <w:b/>
          <w:color w:val="auto"/>
          <w:sz w:val="19"/>
          <w:highlight w:val="none"/>
          <w:lang w:eastAsia="zh-CN"/>
        </w:rPr>
      </w:pPr>
      <w:r>
        <w:rPr>
          <w:rFonts w:ascii="宋体" w:hAnsi="宋体" w:eastAsia="宋体"/>
          <w:b/>
          <w:color w:val="auto"/>
          <w:sz w:val="19"/>
          <w:highlight w:val="none"/>
          <w:lang w:eastAsia="zh-CN"/>
        </w:rPr>
        <w:t>3.</w:t>
      </w:r>
      <w:r>
        <w:rPr>
          <w:rFonts w:hint="eastAsia" w:ascii="宋体" w:hAnsi="宋体" w:eastAsia="宋体"/>
          <w:b/>
          <w:color w:val="auto"/>
          <w:sz w:val="19"/>
          <w:highlight w:val="none"/>
          <w:lang w:eastAsia="zh-CN"/>
        </w:rPr>
        <w:t>供应商根据自查结论在对应的</w:t>
      </w:r>
      <w:r>
        <w:rPr>
          <w:rFonts w:ascii="宋体" w:hAnsi="宋体" w:eastAsia="宋体"/>
          <w:b/>
          <w:color w:val="auto"/>
          <w:sz w:val="19"/>
          <w:highlight w:val="none"/>
          <w:lang w:eastAsia="zh-CN"/>
        </w:rPr>
        <w:t>□</w:t>
      </w:r>
      <w:r>
        <w:rPr>
          <w:rFonts w:hint="eastAsia" w:ascii="宋体" w:hAnsi="宋体" w:eastAsia="宋体"/>
          <w:b/>
          <w:color w:val="auto"/>
          <w:sz w:val="19"/>
          <w:highlight w:val="none"/>
          <w:lang w:eastAsia="zh-CN"/>
        </w:rPr>
        <w:t>打</w:t>
      </w:r>
      <w:r>
        <w:rPr>
          <w:rFonts w:ascii="宋体" w:hAnsi="宋体" w:eastAsia="宋体"/>
          <w:b/>
          <w:color w:val="auto"/>
          <w:sz w:val="19"/>
          <w:highlight w:val="none"/>
          <w:lang w:eastAsia="zh-CN"/>
        </w:rPr>
        <w:t>“√”</w:t>
      </w:r>
      <w:r>
        <w:rPr>
          <w:rFonts w:hint="eastAsia" w:ascii="宋体" w:hAnsi="宋体" w:eastAsia="宋体"/>
          <w:b/>
          <w:color w:val="auto"/>
          <w:sz w:val="19"/>
          <w:highlight w:val="none"/>
          <w:lang w:eastAsia="zh-CN"/>
        </w:rPr>
        <w:t>。</w:t>
      </w:r>
    </w:p>
    <w:p>
      <w:pPr>
        <w:rPr>
          <w:rFonts w:ascii="宋体" w:hAnsi="宋体" w:eastAsia="宋体"/>
          <w:b/>
          <w:color w:val="auto"/>
          <w:sz w:val="19"/>
          <w:highlight w:val="none"/>
          <w:lang w:eastAsia="zh-CN"/>
        </w:rPr>
      </w:pPr>
      <w:r>
        <w:rPr>
          <w:rFonts w:ascii="宋体" w:hAnsi="宋体" w:eastAsia="宋体"/>
          <w:b/>
          <w:color w:val="auto"/>
          <w:sz w:val="19"/>
          <w:highlight w:val="none"/>
          <w:lang w:eastAsia="zh-CN"/>
        </w:rPr>
        <w:t>4.</w:t>
      </w:r>
      <w:r>
        <w:rPr>
          <w:rFonts w:hint="eastAsia" w:ascii="宋体" w:hAnsi="宋体" w:eastAsia="宋体"/>
          <w:b/>
          <w:color w:val="auto"/>
          <w:sz w:val="19"/>
          <w:highlight w:val="none"/>
          <w:lang w:eastAsia="zh-CN"/>
        </w:rPr>
        <w:t>如无</w:t>
      </w:r>
      <w:r>
        <w:rPr>
          <w:rFonts w:ascii="宋体" w:hAnsi="宋体" w:eastAsia="宋体"/>
          <w:b/>
          <w:color w:val="auto"/>
          <w:sz w:val="19"/>
          <w:highlight w:val="none"/>
          <w:lang w:eastAsia="zh-CN"/>
        </w:rPr>
        <w:t>“</w:t>
      </w:r>
      <w:r>
        <w:rPr>
          <w:rFonts w:hint="eastAsia" w:ascii="宋体" w:hAnsi="宋体" w:eastAsia="宋体"/>
          <w:b/>
          <w:color w:val="auto"/>
          <w:sz w:val="19"/>
          <w:highlight w:val="none"/>
          <w:lang w:eastAsia="zh-CN"/>
        </w:rPr>
        <w:t>★</w:t>
      </w:r>
      <w:r>
        <w:rPr>
          <w:rFonts w:ascii="宋体" w:hAnsi="宋体" w:eastAsia="宋体"/>
          <w:b/>
          <w:color w:val="auto"/>
          <w:sz w:val="19"/>
          <w:highlight w:val="none"/>
          <w:lang w:eastAsia="zh-CN"/>
        </w:rPr>
        <w:t>”</w:t>
      </w:r>
      <w:r>
        <w:rPr>
          <w:rFonts w:hint="eastAsia" w:ascii="宋体" w:hAnsi="宋体" w:eastAsia="宋体"/>
          <w:b/>
          <w:color w:val="auto"/>
          <w:sz w:val="19"/>
          <w:highlight w:val="none"/>
          <w:lang w:eastAsia="zh-CN"/>
        </w:rPr>
        <w:t>条款，可不填写此表。</w:t>
      </w:r>
    </w:p>
    <w:p>
      <w:pPr>
        <w:rPr>
          <w:rFonts w:ascii="宋体" w:hAnsi="宋体" w:eastAsia="宋体"/>
          <w:b/>
          <w:color w:val="auto"/>
          <w:highlight w:val="none"/>
          <w:lang w:eastAsia="zh-CN"/>
        </w:rPr>
      </w:pPr>
    </w:p>
    <w:p>
      <w:pPr>
        <w:spacing w:line="360" w:lineRule="auto"/>
        <w:rPr>
          <w:rFonts w:ascii="宋体" w:hAnsi="宋体" w:eastAsia="宋体"/>
          <w:color w:val="auto"/>
          <w:spacing w:val="7"/>
          <w:w w:val="105"/>
          <w:sz w:val="24"/>
          <w:szCs w:val="24"/>
          <w:highlight w:val="none"/>
          <w:lang w:eastAsia="zh-CN"/>
        </w:rPr>
      </w:pPr>
      <w:r>
        <w:rPr>
          <w:rFonts w:hint="eastAsia" w:ascii="宋体" w:hAnsi="宋体" w:eastAsia="宋体"/>
          <w:color w:val="auto"/>
          <w:spacing w:val="7"/>
          <w:w w:val="105"/>
          <w:sz w:val="24"/>
          <w:szCs w:val="24"/>
          <w:highlight w:val="none"/>
          <w:lang w:val="en-US" w:eastAsia="zh-CN"/>
        </w:rPr>
        <w:t>2</w:t>
      </w:r>
      <w:r>
        <w:rPr>
          <w:rFonts w:ascii="宋体" w:hAnsi="宋体" w:eastAsia="宋体"/>
          <w:color w:val="auto"/>
          <w:spacing w:val="7"/>
          <w:w w:val="105"/>
          <w:sz w:val="24"/>
          <w:szCs w:val="24"/>
          <w:highlight w:val="none"/>
          <w:lang w:eastAsia="zh-CN"/>
        </w:rPr>
        <w:t>.4 “▲”</w:t>
      </w:r>
      <w:r>
        <w:rPr>
          <w:rFonts w:hint="eastAsia" w:ascii="宋体" w:hAnsi="宋体" w:eastAsia="宋体"/>
          <w:color w:val="auto"/>
          <w:spacing w:val="7"/>
          <w:w w:val="105"/>
          <w:sz w:val="24"/>
          <w:szCs w:val="24"/>
          <w:highlight w:val="none"/>
          <w:lang w:eastAsia="zh-CN"/>
        </w:rPr>
        <w:t>条款自查表</w:t>
      </w:r>
    </w:p>
    <w:tbl>
      <w:tblPr>
        <w:tblStyle w:val="35"/>
        <w:tblW w:w="8336" w:type="dxa"/>
        <w:tblInd w:w="0"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423"/>
        <w:gridCol w:w="4270"/>
        <w:gridCol w:w="1701"/>
        <w:gridCol w:w="1942"/>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tcPr>
          <w:p>
            <w:pPr>
              <w:pStyle w:val="36"/>
              <w:adjustRightInd w:val="0"/>
              <w:snapToGrid w:val="0"/>
              <w:spacing w:line="360" w:lineRule="auto"/>
              <w:jc w:val="center"/>
              <w:rPr>
                <w:rFonts w:ascii="宋体" w:hAnsi="宋体" w:eastAsia="宋体"/>
                <w:b/>
                <w:color w:val="auto"/>
                <w:sz w:val="19"/>
                <w:szCs w:val="19"/>
                <w:highlight w:val="none"/>
              </w:rPr>
            </w:pPr>
            <w:r>
              <w:rPr>
                <w:rFonts w:hint="eastAsia" w:ascii="宋体" w:hAnsi="宋体" w:eastAsia="宋体"/>
                <w:b/>
                <w:color w:val="auto"/>
                <w:sz w:val="19"/>
                <w:szCs w:val="19"/>
                <w:highlight w:val="none"/>
              </w:rPr>
              <w:t>序号</w:t>
            </w:r>
          </w:p>
        </w:tc>
        <w:tc>
          <w:tcPr>
            <w:tcW w:w="4270" w:type="dxa"/>
          </w:tcPr>
          <w:p>
            <w:pPr>
              <w:pStyle w:val="36"/>
              <w:adjustRightInd w:val="0"/>
              <w:snapToGrid w:val="0"/>
              <w:spacing w:line="360" w:lineRule="auto"/>
              <w:jc w:val="center"/>
              <w:rPr>
                <w:rFonts w:ascii="宋体" w:hAnsi="宋体" w:eastAsia="宋体"/>
                <w:b/>
                <w:color w:val="auto"/>
                <w:sz w:val="19"/>
                <w:szCs w:val="19"/>
                <w:highlight w:val="none"/>
              </w:rPr>
            </w:pPr>
            <w:r>
              <w:rPr>
                <w:rFonts w:ascii="宋体" w:hAnsi="宋体" w:eastAsia="宋体"/>
                <w:color w:val="auto"/>
                <w:spacing w:val="7"/>
                <w:w w:val="105"/>
                <w:sz w:val="19"/>
                <w:szCs w:val="19"/>
                <w:highlight w:val="none"/>
                <w:lang w:eastAsia="zh-CN"/>
              </w:rPr>
              <w:t>“</w:t>
            </w:r>
            <w:r>
              <w:rPr>
                <w:rFonts w:ascii="宋体" w:hAnsi="宋体" w:eastAsia="宋体"/>
                <w:b/>
                <w:color w:val="auto"/>
                <w:spacing w:val="-5"/>
                <w:sz w:val="19"/>
                <w:szCs w:val="19"/>
                <w:highlight w:val="none"/>
              </w:rPr>
              <w:t>▲</w:t>
            </w:r>
            <w:r>
              <w:rPr>
                <w:rFonts w:ascii="宋体" w:hAnsi="宋体" w:eastAsia="宋体"/>
                <w:color w:val="auto"/>
                <w:spacing w:val="7"/>
                <w:w w:val="105"/>
                <w:sz w:val="19"/>
                <w:szCs w:val="19"/>
                <w:highlight w:val="none"/>
                <w:lang w:eastAsia="zh-CN"/>
              </w:rPr>
              <w:t>”</w:t>
            </w:r>
            <w:r>
              <w:rPr>
                <w:rFonts w:hint="eastAsia" w:ascii="宋体" w:hAnsi="宋体" w:eastAsia="宋体"/>
                <w:color w:val="auto"/>
                <w:spacing w:val="7"/>
                <w:w w:val="105"/>
                <w:sz w:val="19"/>
                <w:szCs w:val="19"/>
                <w:highlight w:val="none"/>
                <w:lang w:eastAsia="zh-CN"/>
              </w:rPr>
              <w:t>条款自查表</w:t>
            </w:r>
          </w:p>
        </w:tc>
        <w:tc>
          <w:tcPr>
            <w:tcW w:w="1701" w:type="dxa"/>
          </w:tcPr>
          <w:p>
            <w:pPr>
              <w:pStyle w:val="36"/>
              <w:adjustRightInd w:val="0"/>
              <w:snapToGrid w:val="0"/>
              <w:spacing w:line="360" w:lineRule="auto"/>
              <w:jc w:val="center"/>
              <w:rPr>
                <w:rFonts w:ascii="宋体" w:hAnsi="宋体" w:eastAsia="宋体"/>
                <w:b/>
                <w:color w:val="auto"/>
                <w:sz w:val="19"/>
                <w:szCs w:val="19"/>
                <w:highlight w:val="none"/>
              </w:rPr>
            </w:pPr>
            <w:r>
              <w:rPr>
                <w:rFonts w:hint="eastAsia" w:ascii="宋体" w:hAnsi="宋体" w:eastAsia="宋体"/>
                <w:b/>
                <w:color w:val="auto"/>
                <w:sz w:val="19"/>
                <w:szCs w:val="19"/>
                <w:highlight w:val="none"/>
              </w:rPr>
              <w:t>自查结论</w:t>
            </w:r>
          </w:p>
        </w:tc>
        <w:tc>
          <w:tcPr>
            <w:tcW w:w="1942" w:type="dxa"/>
            <w:tcBorders>
              <w:right w:val="single" w:color="7F7F7F" w:sz="12" w:space="0"/>
            </w:tcBorders>
          </w:tcPr>
          <w:p>
            <w:pPr>
              <w:pStyle w:val="36"/>
              <w:adjustRightInd w:val="0"/>
              <w:snapToGrid w:val="0"/>
              <w:spacing w:line="360" w:lineRule="auto"/>
              <w:jc w:val="center"/>
              <w:rPr>
                <w:rFonts w:ascii="宋体" w:hAnsi="宋体" w:eastAsia="宋体"/>
                <w:b/>
                <w:color w:val="auto"/>
                <w:sz w:val="19"/>
                <w:szCs w:val="19"/>
                <w:highlight w:val="none"/>
              </w:rPr>
            </w:pPr>
            <w:r>
              <w:rPr>
                <w:rFonts w:hint="eastAsia" w:ascii="宋体" w:hAnsi="宋体" w:eastAsia="宋体"/>
                <w:b/>
                <w:color w:val="auto"/>
                <w:sz w:val="19"/>
                <w:szCs w:val="19"/>
                <w:highlight w:val="none"/>
              </w:rPr>
              <w:t>证明资料（如有）</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vAlign w:val="center"/>
          </w:tcPr>
          <w:p>
            <w:pPr>
              <w:pStyle w:val="36"/>
              <w:adjustRightInd w:val="0"/>
              <w:snapToGrid w:val="0"/>
              <w:spacing w:line="360" w:lineRule="auto"/>
              <w:jc w:val="center"/>
              <w:rPr>
                <w:rFonts w:ascii="宋体" w:hAnsi="宋体" w:eastAsia="宋体"/>
                <w:color w:val="auto"/>
                <w:sz w:val="19"/>
                <w:szCs w:val="19"/>
                <w:highlight w:val="none"/>
              </w:rPr>
            </w:pPr>
            <w:r>
              <w:rPr>
                <w:rFonts w:ascii="宋体" w:hAnsi="宋体" w:eastAsia="宋体"/>
                <w:color w:val="auto"/>
                <w:w w:val="92"/>
                <w:sz w:val="19"/>
                <w:szCs w:val="19"/>
                <w:highlight w:val="none"/>
              </w:rPr>
              <w:t>1</w:t>
            </w:r>
          </w:p>
        </w:tc>
        <w:tc>
          <w:tcPr>
            <w:tcW w:w="4270" w:type="dxa"/>
            <w:vAlign w:val="center"/>
          </w:tcPr>
          <w:p>
            <w:pPr>
              <w:pStyle w:val="36"/>
              <w:adjustRightInd w:val="0"/>
              <w:snapToGrid w:val="0"/>
              <w:spacing w:line="360" w:lineRule="auto"/>
              <w:jc w:val="center"/>
              <w:rPr>
                <w:rFonts w:ascii="宋体" w:hAnsi="宋体" w:eastAsia="宋体"/>
                <w:color w:val="auto"/>
                <w:sz w:val="19"/>
                <w:szCs w:val="19"/>
                <w:highlight w:val="none"/>
                <w:lang w:eastAsia="zh-CN"/>
              </w:rPr>
            </w:pPr>
          </w:p>
        </w:tc>
        <w:tc>
          <w:tcPr>
            <w:tcW w:w="1701" w:type="dxa"/>
            <w:vAlign w:val="center"/>
          </w:tcPr>
          <w:p>
            <w:pPr>
              <w:pStyle w:val="36"/>
              <w:adjustRightInd w:val="0"/>
              <w:snapToGrid w:val="0"/>
              <w:spacing w:line="360" w:lineRule="auto"/>
              <w:jc w:val="center"/>
              <w:rPr>
                <w:rFonts w:ascii="宋体" w:hAnsi="宋体" w:eastAsia="宋体"/>
                <w:color w:val="auto"/>
                <w:sz w:val="19"/>
                <w:szCs w:val="19"/>
                <w:highlight w:val="none"/>
              </w:rPr>
            </w:pP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szCs w:val="19"/>
                <w:highlight w:val="none"/>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vAlign w:val="center"/>
          </w:tcPr>
          <w:p>
            <w:pPr>
              <w:pStyle w:val="36"/>
              <w:adjustRightInd w:val="0"/>
              <w:snapToGrid w:val="0"/>
              <w:spacing w:line="360" w:lineRule="auto"/>
              <w:jc w:val="center"/>
              <w:rPr>
                <w:rFonts w:ascii="宋体" w:hAnsi="宋体" w:eastAsia="宋体"/>
                <w:color w:val="auto"/>
                <w:sz w:val="19"/>
                <w:szCs w:val="19"/>
                <w:highlight w:val="none"/>
              </w:rPr>
            </w:pPr>
            <w:r>
              <w:rPr>
                <w:rFonts w:ascii="宋体" w:hAnsi="宋体" w:eastAsia="宋体"/>
                <w:color w:val="auto"/>
                <w:w w:val="92"/>
                <w:sz w:val="19"/>
                <w:szCs w:val="19"/>
                <w:highlight w:val="none"/>
              </w:rPr>
              <w:t>2</w:t>
            </w:r>
          </w:p>
        </w:tc>
        <w:tc>
          <w:tcPr>
            <w:tcW w:w="4270" w:type="dxa"/>
            <w:vAlign w:val="center"/>
          </w:tcPr>
          <w:p>
            <w:pPr>
              <w:pStyle w:val="36"/>
              <w:adjustRightInd w:val="0"/>
              <w:snapToGrid w:val="0"/>
              <w:spacing w:line="360" w:lineRule="auto"/>
              <w:jc w:val="center"/>
              <w:rPr>
                <w:rFonts w:ascii="宋体" w:hAnsi="宋体" w:eastAsia="宋体"/>
                <w:color w:val="auto"/>
                <w:sz w:val="19"/>
                <w:szCs w:val="19"/>
                <w:highlight w:val="none"/>
                <w:lang w:eastAsia="zh-CN"/>
              </w:rPr>
            </w:pPr>
          </w:p>
        </w:tc>
        <w:tc>
          <w:tcPr>
            <w:tcW w:w="1701" w:type="dxa"/>
            <w:vAlign w:val="center"/>
          </w:tcPr>
          <w:p>
            <w:pPr>
              <w:pStyle w:val="36"/>
              <w:adjustRightInd w:val="0"/>
              <w:snapToGrid w:val="0"/>
              <w:spacing w:line="360" w:lineRule="auto"/>
              <w:jc w:val="center"/>
              <w:rPr>
                <w:rFonts w:ascii="宋体" w:hAnsi="宋体" w:eastAsia="宋体"/>
                <w:color w:val="auto"/>
                <w:sz w:val="19"/>
                <w:szCs w:val="19"/>
                <w:highlight w:val="none"/>
              </w:rPr>
            </w:pP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szCs w:val="19"/>
                <w:highlight w:val="none"/>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vAlign w:val="center"/>
          </w:tcPr>
          <w:p>
            <w:pPr>
              <w:pStyle w:val="36"/>
              <w:adjustRightInd w:val="0"/>
              <w:snapToGrid w:val="0"/>
              <w:spacing w:line="360" w:lineRule="auto"/>
              <w:jc w:val="center"/>
              <w:rPr>
                <w:rFonts w:ascii="宋体" w:hAnsi="宋体" w:eastAsia="宋体"/>
                <w:color w:val="auto"/>
                <w:sz w:val="19"/>
                <w:szCs w:val="19"/>
                <w:highlight w:val="none"/>
              </w:rPr>
            </w:pPr>
            <w:r>
              <w:rPr>
                <w:rFonts w:ascii="宋体" w:hAnsi="宋体" w:eastAsia="宋体"/>
                <w:color w:val="auto"/>
                <w:w w:val="92"/>
                <w:sz w:val="19"/>
                <w:szCs w:val="19"/>
                <w:highlight w:val="none"/>
              </w:rPr>
              <w:t>3</w:t>
            </w:r>
          </w:p>
        </w:tc>
        <w:tc>
          <w:tcPr>
            <w:tcW w:w="4270" w:type="dxa"/>
            <w:vAlign w:val="center"/>
          </w:tcPr>
          <w:p>
            <w:pPr>
              <w:pStyle w:val="36"/>
              <w:adjustRightInd w:val="0"/>
              <w:snapToGrid w:val="0"/>
              <w:spacing w:line="360" w:lineRule="auto"/>
              <w:jc w:val="center"/>
              <w:rPr>
                <w:rFonts w:ascii="宋体" w:hAnsi="宋体" w:eastAsia="宋体"/>
                <w:color w:val="auto"/>
                <w:sz w:val="19"/>
                <w:szCs w:val="19"/>
                <w:highlight w:val="none"/>
                <w:lang w:eastAsia="zh-CN"/>
              </w:rPr>
            </w:pPr>
          </w:p>
        </w:tc>
        <w:tc>
          <w:tcPr>
            <w:tcW w:w="1701" w:type="dxa"/>
            <w:vAlign w:val="center"/>
          </w:tcPr>
          <w:p>
            <w:pPr>
              <w:pStyle w:val="36"/>
              <w:adjustRightInd w:val="0"/>
              <w:snapToGrid w:val="0"/>
              <w:spacing w:line="360" w:lineRule="auto"/>
              <w:jc w:val="center"/>
              <w:rPr>
                <w:rFonts w:ascii="宋体" w:hAnsi="宋体" w:eastAsia="宋体"/>
                <w:color w:val="auto"/>
                <w:sz w:val="19"/>
                <w:szCs w:val="19"/>
                <w:highlight w:val="none"/>
              </w:rPr>
            </w:pPr>
          </w:p>
        </w:tc>
        <w:tc>
          <w:tcPr>
            <w:tcW w:w="1942"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9"/>
                <w:szCs w:val="19"/>
                <w:highlight w:val="none"/>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423" w:type="dxa"/>
            <w:tcBorders>
              <w:bottom w:val="single" w:color="7F7F7F" w:sz="12" w:space="0"/>
            </w:tcBorders>
            <w:vAlign w:val="center"/>
          </w:tcPr>
          <w:p>
            <w:pPr>
              <w:pStyle w:val="36"/>
              <w:adjustRightInd w:val="0"/>
              <w:snapToGrid w:val="0"/>
              <w:spacing w:line="360" w:lineRule="auto"/>
              <w:jc w:val="center"/>
              <w:rPr>
                <w:rFonts w:ascii="宋体" w:hAnsi="宋体" w:eastAsia="宋体"/>
                <w:color w:val="auto"/>
                <w:w w:val="92"/>
                <w:sz w:val="19"/>
                <w:szCs w:val="19"/>
                <w:highlight w:val="none"/>
                <w:lang w:eastAsia="zh-CN"/>
              </w:rPr>
            </w:pPr>
            <w:r>
              <w:rPr>
                <w:rFonts w:hint="eastAsia" w:ascii="宋体" w:hAnsi="宋体" w:eastAsia="宋体"/>
                <w:color w:val="auto"/>
                <w:w w:val="92"/>
                <w:sz w:val="19"/>
                <w:szCs w:val="19"/>
                <w:highlight w:val="none"/>
                <w:lang w:eastAsia="zh-CN"/>
              </w:rPr>
              <w:t>4</w:t>
            </w:r>
          </w:p>
        </w:tc>
        <w:tc>
          <w:tcPr>
            <w:tcW w:w="4270" w:type="dxa"/>
            <w:tcBorders>
              <w:bottom w:val="single" w:color="7F7F7F" w:sz="12" w:space="0"/>
            </w:tcBorders>
            <w:vAlign w:val="center"/>
          </w:tcPr>
          <w:p>
            <w:pPr>
              <w:pStyle w:val="36"/>
              <w:adjustRightInd w:val="0"/>
              <w:snapToGrid w:val="0"/>
              <w:spacing w:line="360" w:lineRule="auto"/>
              <w:jc w:val="center"/>
              <w:rPr>
                <w:rFonts w:ascii="宋体" w:hAnsi="宋体" w:eastAsia="宋体"/>
                <w:color w:val="auto"/>
                <w:sz w:val="19"/>
                <w:szCs w:val="19"/>
                <w:highlight w:val="none"/>
                <w:lang w:eastAsia="zh-CN"/>
              </w:rPr>
            </w:pPr>
          </w:p>
        </w:tc>
        <w:tc>
          <w:tcPr>
            <w:tcW w:w="1701" w:type="dxa"/>
            <w:tcBorders>
              <w:bottom w:val="single" w:color="7F7F7F" w:sz="12" w:space="0"/>
            </w:tcBorders>
            <w:vAlign w:val="center"/>
          </w:tcPr>
          <w:p>
            <w:pPr>
              <w:pStyle w:val="36"/>
              <w:adjustRightInd w:val="0"/>
              <w:snapToGrid w:val="0"/>
              <w:spacing w:line="360" w:lineRule="auto"/>
              <w:jc w:val="center"/>
              <w:rPr>
                <w:rFonts w:ascii="宋体" w:hAnsi="宋体" w:eastAsia="宋体"/>
                <w:color w:val="auto"/>
                <w:sz w:val="19"/>
                <w:szCs w:val="19"/>
                <w:highlight w:val="none"/>
                <w:lang w:eastAsia="zh-CN"/>
              </w:rPr>
            </w:pPr>
          </w:p>
        </w:tc>
        <w:tc>
          <w:tcPr>
            <w:tcW w:w="1942" w:type="dxa"/>
            <w:tcBorders>
              <w:bottom w:val="single" w:color="7F7F7F" w:sz="12" w:space="0"/>
              <w:right w:val="single" w:color="7F7F7F" w:sz="12" w:space="0"/>
            </w:tcBorders>
            <w:vAlign w:val="center"/>
          </w:tcPr>
          <w:p>
            <w:pPr>
              <w:pStyle w:val="36"/>
              <w:adjustRightInd w:val="0"/>
              <w:snapToGrid w:val="0"/>
              <w:spacing w:line="360" w:lineRule="auto"/>
              <w:jc w:val="center"/>
              <w:rPr>
                <w:rFonts w:ascii="宋体" w:hAnsi="宋体" w:eastAsia="宋体"/>
                <w:color w:val="auto"/>
                <w:sz w:val="19"/>
                <w:szCs w:val="19"/>
                <w:highlight w:val="none"/>
                <w:lang w:eastAsia="zh-CN"/>
              </w:rPr>
            </w:pPr>
          </w:p>
        </w:tc>
      </w:tr>
    </w:tbl>
    <w:p>
      <w:pPr>
        <w:rPr>
          <w:rFonts w:ascii="宋体" w:hAnsi="宋体" w:eastAsia="宋体"/>
          <w:b/>
          <w:color w:val="auto"/>
          <w:sz w:val="19"/>
          <w:highlight w:val="none"/>
          <w:lang w:eastAsia="zh-CN"/>
        </w:rPr>
      </w:pPr>
      <w:r>
        <w:rPr>
          <w:rFonts w:ascii="宋体" w:hAnsi="宋体" w:eastAsia="宋体"/>
          <w:b/>
          <w:color w:val="auto"/>
          <w:sz w:val="19"/>
          <w:highlight w:val="none"/>
          <w:lang w:eastAsia="zh-CN"/>
        </w:rPr>
        <w:t>注： 1.此表内容必须与投标文件中所介绍的内容一致。</w:t>
      </w:r>
    </w:p>
    <w:p>
      <w:pPr>
        <w:rPr>
          <w:rFonts w:ascii="宋体" w:hAnsi="宋体" w:eastAsia="宋体"/>
          <w:b/>
          <w:color w:val="auto"/>
          <w:sz w:val="19"/>
          <w:highlight w:val="none"/>
          <w:lang w:eastAsia="zh-CN"/>
        </w:rPr>
      </w:pPr>
      <w:r>
        <w:rPr>
          <w:rFonts w:ascii="宋体" w:hAnsi="宋体" w:eastAsia="宋体"/>
          <w:b/>
          <w:color w:val="auto"/>
          <w:sz w:val="19"/>
          <w:highlight w:val="none"/>
          <w:lang w:eastAsia="zh-CN"/>
        </w:rPr>
        <w:t>2.</w:t>
      </w:r>
      <w:r>
        <w:rPr>
          <w:rFonts w:hint="eastAsia" w:ascii="宋体" w:hAnsi="宋体" w:eastAsia="宋体"/>
          <w:b/>
          <w:color w:val="auto"/>
          <w:sz w:val="19"/>
          <w:highlight w:val="none"/>
          <w:lang w:eastAsia="zh-CN"/>
        </w:rPr>
        <w:t>《用户需求书》中标注有</w:t>
      </w:r>
      <w:r>
        <w:rPr>
          <w:rFonts w:ascii="宋体" w:hAnsi="宋体" w:eastAsia="宋体"/>
          <w:b/>
          <w:color w:val="auto"/>
          <w:sz w:val="19"/>
          <w:highlight w:val="none"/>
          <w:lang w:eastAsia="zh-CN"/>
        </w:rPr>
        <w:t>“▲”</w:t>
      </w:r>
      <w:r>
        <w:rPr>
          <w:rFonts w:hint="eastAsia" w:ascii="宋体" w:hAnsi="宋体" w:eastAsia="宋体"/>
          <w:b/>
          <w:color w:val="auto"/>
          <w:sz w:val="19"/>
          <w:highlight w:val="none"/>
          <w:lang w:eastAsia="zh-CN"/>
        </w:rPr>
        <w:t>号参数为实质性条款，逐条响应，如不满足要求将导致无效投标。</w:t>
      </w:r>
    </w:p>
    <w:p>
      <w:pPr>
        <w:rPr>
          <w:rFonts w:ascii="宋体" w:hAnsi="宋体" w:eastAsia="宋体"/>
          <w:b/>
          <w:color w:val="auto"/>
          <w:sz w:val="19"/>
          <w:highlight w:val="none"/>
          <w:lang w:eastAsia="zh-CN"/>
        </w:rPr>
      </w:pPr>
      <w:r>
        <w:rPr>
          <w:rFonts w:ascii="宋体" w:hAnsi="宋体" w:eastAsia="宋体"/>
          <w:b/>
          <w:color w:val="auto"/>
          <w:sz w:val="19"/>
          <w:highlight w:val="none"/>
          <w:lang w:eastAsia="zh-CN"/>
        </w:rPr>
        <w:t>3.</w:t>
      </w:r>
      <w:r>
        <w:rPr>
          <w:rFonts w:hint="eastAsia" w:ascii="宋体" w:hAnsi="宋体" w:eastAsia="宋体"/>
          <w:b/>
          <w:color w:val="auto"/>
          <w:sz w:val="19"/>
          <w:highlight w:val="none"/>
          <w:lang w:eastAsia="zh-CN"/>
        </w:rPr>
        <w:t>供应商根据自查结论在对应的</w:t>
      </w:r>
      <w:r>
        <w:rPr>
          <w:rFonts w:ascii="宋体" w:hAnsi="宋体" w:eastAsia="宋体"/>
          <w:b/>
          <w:color w:val="auto"/>
          <w:sz w:val="19"/>
          <w:highlight w:val="none"/>
          <w:lang w:eastAsia="zh-CN"/>
        </w:rPr>
        <w:t>□</w:t>
      </w:r>
      <w:r>
        <w:rPr>
          <w:rFonts w:hint="eastAsia" w:ascii="宋体" w:hAnsi="宋体" w:eastAsia="宋体"/>
          <w:b/>
          <w:color w:val="auto"/>
          <w:sz w:val="19"/>
          <w:highlight w:val="none"/>
          <w:lang w:eastAsia="zh-CN"/>
        </w:rPr>
        <w:t>打</w:t>
      </w:r>
      <w:r>
        <w:rPr>
          <w:rFonts w:ascii="宋体" w:hAnsi="宋体" w:eastAsia="宋体"/>
          <w:b/>
          <w:color w:val="auto"/>
          <w:sz w:val="19"/>
          <w:highlight w:val="none"/>
          <w:lang w:eastAsia="zh-CN"/>
        </w:rPr>
        <w:t>“√”</w:t>
      </w:r>
      <w:r>
        <w:rPr>
          <w:rFonts w:hint="eastAsia" w:ascii="宋体" w:hAnsi="宋体" w:eastAsia="宋体"/>
          <w:b/>
          <w:color w:val="auto"/>
          <w:sz w:val="19"/>
          <w:highlight w:val="none"/>
          <w:lang w:eastAsia="zh-CN"/>
        </w:rPr>
        <w:t>。</w:t>
      </w:r>
    </w:p>
    <w:p>
      <w:pPr>
        <w:rPr>
          <w:rFonts w:ascii="宋体" w:hAnsi="宋体" w:eastAsia="宋体"/>
          <w:b/>
          <w:color w:val="auto"/>
          <w:sz w:val="19"/>
          <w:highlight w:val="none"/>
          <w:lang w:eastAsia="zh-CN"/>
        </w:rPr>
      </w:pPr>
      <w:r>
        <w:rPr>
          <w:rFonts w:ascii="宋体" w:hAnsi="宋体" w:eastAsia="宋体"/>
          <w:b/>
          <w:color w:val="auto"/>
          <w:sz w:val="19"/>
          <w:highlight w:val="none"/>
          <w:lang w:eastAsia="zh-CN"/>
        </w:rPr>
        <w:t>4.</w:t>
      </w:r>
      <w:r>
        <w:rPr>
          <w:rFonts w:hint="eastAsia" w:ascii="宋体" w:hAnsi="宋体" w:eastAsia="宋体"/>
          <w:b/>
          <w:color w:val="auto"/>
          <w:sz w:val="19"/>
          <w:highlight w:val="none"/>
          <w:lang w:eastAsia="zh-CN"/>
        </w:rPr>
        <w:t>如无</w:t>
      </w:r>
      <w:r>
        <w:rPr>
          <w:rFonts w:ascii="宋体" w:hAnsi="宋体" w:eastAsia="宋体"/>
          <w:b/>
          <w:color w:val="auto"/>
          <w:sz w:val="19"/>
          <w:highlight w:val="none"/>
          <w:lang w:eastAsia="zh-CN"/>
        </w:rPr>
        <w:t>“▲”</w:t>
      </w:r>
      <w:r>
        <w:rPr>
          <w:rFonts w:hint="eastAsia" w:ascii="宋体" w:hAnsi="宋体" w:eastAsia="宋体"/>
          <w:b/>
          <w:color w:val="auto"/>
          <w:sz w:val="19"/>
          <w:highlight w:val="none"/>
          <w:lang w:eastAsia="zh-CN"/>
        </w:rPr>
        <w:t>条款，可不填写此表。</w:t>
      </w:r>
    </w:p>
    <w:p>
      <w:pPr>
        <w:rPr>
          <w:rFonts w:ascii="宋体" w:hAnsi="宋体" w:eastAsia="宋体"/>
          <w:b/>
          <w:color w:val="auto"/>
          <w:highlight w:val="none"/>
          <w:lang w:eastAsia="zh-CN"/>
        </w:rPr>
      </w:pPr>
    </w:p>
    <w:p>
      <w:pPr>
        <w:spacing w:line="360" w:lineRule="auto"/>
        <w:rPr>
          <w:rFonts w:ascii="宋体" w:hAnsi="宋体" w:eastAsia="宋体"/>
          <w:color w:val="auto"/>
          <w:spacing w:val="7"/>
          <w:w w:val="105"/>
          <w:sz w:val="24"/>
          <w:szCs w:val="24"/>
          <w:highlight w:val="none"/>
          <w:lang w:eastAsia="zh-CN"/>
        </w:rPr>
      </w:pPr>
      <w:r>
        <w:rPr>
          <w:rFonts w:hint="eastAsia" w:ascii="宋体" w:hAnsi="宋体" w:eastAsia="宋体"/>
          <w:color w:val="auto"/>
          <w:spacing w:val="7"/>
          <w:w w:val="105"/>
          <w:sz w:val="24"/>
          <w:szCs w:val="24"/>
          <w:highlight w:val="none"/>
          <w:lang w:val="en-US" w:eastAsia="zh-CN"/>
        </w:rPr>
        <w:t>2</w:t>
      </w:r>
      <w:r>
        <w:rPr>
          <w:rFonts w:ascii="宋体" w:hAnsi="宋体" w:eastAsia="宋体"/>
          <w:color w:val="auto"/>
          <w:spacing w:val="7"/>
          <w:w w:val="105"/>
          <w:sz w:val="24"/>
          <w:szCs w:val="24"/>
          <w:highlight w:val="none"/>
          <w:lang w:eastAsia="zh-CN"/>
        </w:rPr>
        <w:t xml:space="preserve">.5 </w:t>
      </w:r>
      <w:r>
        <w:rPr>
          <w:rFonts w:hint="eastAsia" w:ascii="宋体" w:hAnsi="宋体" w:eastAsia="宋体"/>
          <w:color w:val="auto"/>
          <w:spacing w:val="7"/>
          <w:w w:val="105"/>
          <w:sz w:val="24"/>
          <w:szCs w:val="24"/>
          <w:highlight w:val="none"/>
          <w:lang w:val="en-US" w:eastAsia="zh-CN"/>
        </w:rPr>
        <w:t>商务</w:t>
      </w:r>
      <w:r>
        <w:rPr>
          <w:rFonts w:ascii="宋体" w:hAnsi="宋体" w:eastAsia="宋体"/>
          <w:color w:val="auto"/>
          <w:spacing w:val="7"/>
          <w:w w:val="105"/>
          <w:sz w:val="24"/>
          <w:szCs w:val="24"/>
          <w:highlight w:val="none"/>
          <w:lang w:eastAsia="zh-CN"/>
        </w:rPr>
        <w:t>技术评审自查表</w:t>
      </w:r>
    </w:p>
    <w:tbl>
      <w:tblPr>
        <w:tblStyle w:val="35"/>
        <w:tblW w:w="8336" w:type="dxa"/>
        <w:tblInd w:w="0"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724"/>
        <w:gridCol w:w="852"/>
        <w:gridCol w:w="4681"/>
        <w:gridCol w:w="2079"/>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69" w:hRule="atLeast"/>
        </w:trPr>
        <w:tc>
          <w:tcPr>
            <w:tcW w:w="724" w:type="dxa"/>
            <w:vAlign w:val="center"/>
          </w:tcPr>
          <w:p>
            <w:pPr>
              <w:pStyle w:val="36"/>
              <w:adjustRightInd w:val="0"/>
              <w:snapToGrid w:val="0"/>
              <w:spacing w:line="360" w:lineRule="auto"/>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序号</w:t>
            </w:r>
          </w:p>
        </w:tc>
        <w:tc>
          <w:tcPr>
            <w:tcW w:w="852" w:type="dxa"/>
            <w:vAlign w:val="center"/>
          </w:tcPr>
          <w:p>
            <w:pPr>
              <w:pStyle w:val="36"/>
              <w:adjustRightInd w:val="0"/>
              <w:snapToGrid w:val="0"/>
              <w:spacing w:line="360" w:lineRule="auto"/>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评审分项</w:t>
            </w:r>
          </w:p>
        </w:tc>
        <w:tc>
          <w:tcPr>
            <w:tcW w:w="4681" w:type="dxa"/>
            <w:vAlign w:val="center"/>
          </w:tcPr>
          <w:p>
            <w:pPr>
              <w:pStyle w:val="36"/>
              <w:adjustRightInd w:val="0"/>
              <w:snapToGrid w:val="0"/>
              <w:spacing w:line="360" w:lineRule="auto"/>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内容</w:t>
            </w:r>
          </w:p>
        </w:tc>
        <w:tc>
          <w:tcPr>
            <w:tcW w:w="2079" w:type="dxa"/>
            <w:tcBorders>
              <w:right w:val="single" w:color="7F7F7F" w:sz="12" w:space="0"/>
            </w:tcBorders>
            <w:vAlign w:val="center"/>
          </w:tcPr>
          <w:p>
            <w:pPr>
              <w:pStyle w:val="36"/>
              <w:adjustRightInd w:val="0"/>
              <w:snapToGrid w:val="0"/>
              <w:spacing w:line="360" w:lineRule="auto"/>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证明资料（如有）</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680" w:hRule="atLeast"/>
        </w:trPr>
        <w:tc>
          <w:tcPr>
            <w:tcW w:w="724" w:type="dxa"/>
            <w:vAlign w:val="center"/>
          </w:tcPr>
          <w:p>
            <w:pPr>
              <w:pStyle w:val="36"/>
              <w:adjustRightInd w:val="0"/>
              <w:snapToGrid w:val="0"/>
              <w:spacing w:line="360" w:lineRule="auto"/>
              <w:jc w:val="center"/>
              <w:rPr>
                <w:rFonts w:ascii="宋体" w:hAnsi="宋体" w:eastAsia="宋体"/>
                <w:color w:val="auto"/>
                <w:sz w:val="18"/>
                <w:szCs w:val="18"/>
                <w:highlight w:val="none"/>
              </w:rPr>
            </w:pPr>
            <w:r>
              <w:rPr>
                <w:rFonts w:ascii="宋体" w:hAnsi="宋体" w:eastAsia="宋体"/>
                <w:color w:val="auto"/>
                <w:w w:val="92"/>
                <w:sz w:val="18"/>
                <w:szCs w:val="18"/>
                <w:highlight w:val="none"/>
              </w:rPr>
              <w:t>1</w:t>
            </w:r>
          </w:p>
        </w:tc>
        <w:tc>
          <w:tcPr>
            <w:tcW w:w="852" w:type="dxa"/>
            <w:vAlign w:val="center"/>
          </w:tcPr>
          <w:p>
            <w:pPr>
              <w:pStyle w:val="36"/>
              <w:adjustRightInd w:val="0"/>
              <w:snapToGrid w:val="0"/>
              <w:spacing w:line="276" w:lineRule="auto"/>
              <w:jc w:val="center"/>
              <w:rPr>
                <w:rFonts w:ascii="宋体" w:hAnsi="宋体" w:eastAsia="宋体"/>
                <w:bCs/>
                <w:color w:val="auto"/>
                <w:sz w:val="18"/>
                <w:szCs w:val="18"/>
                <w:highlight w:val="none"/>
              </w:rPr>
            </w:pPr>
          </w:p>
        </w:tc>
        <w:tc>
          <w:tcPr>
            <w:tcW w:w="4681" w:type="dxa"/>
            <w:vAlign w:val="center"/>
          </w:tcPr>
          <w:p>
            <w:pPr>
              <w:pStyle w:val="36"/>
              <w:adjustRightInd w:val="0"/>
              <w:snapToGrid w:val="0"/>
              <w:spacing w:line="276" w:lineRule="auto"/>
              <w:rPr>
                <w:rFonts w:ascii="宋体" w:hAnsi="宋体" w:eastAsia="宋体"/>
                <w:bCs/>
                <w:color w:val="auto"/>
                <w:sz w:val="18"/>
                <w:szCs w:val="18"/>
                <w:highlight w:val="none"/>
                <w:lang w:eastAsia="zh-CN"/>
              </w:rPr>
            </w:pPr>
          </w:p>
        </w:tc>
        <w:tc>
          <w:tcPr>
            <w:tcW w:w="2079"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8"/>
                <w:szCs w:val="18"/>
                <w:highlight w:val="none"/>
              </w:rPr>
            </w:pPr>
            <w:r>
              <w:rPr>
                <w:rFonts w:ascii="宋体" w:hAnsi="宋体" w:eastAsia="宋体"/>
                <w:color w:val="auto"/>
                <w:sz w:val="18"/>
                <w:szCs w:val="18"/>
                <w:highlight w:val="none"/>
              </w:rPr>
              <w:t>见投标文件（）页</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680" w:hRule="atLeast"/>
        </w:trPr>
        <w:tc>
          <w:tcPr>
            <w:tcW w:w="724" w:type="dxa"/>
            <w:vAlign w:val="center"/>
          </w:tcPr>
          <w:p>
            <w:pPr>
              <w:pStyle w:val="36"/>
              <w:adjustRightInd w:val="0"/>
              <w:snapToGrid w:val="0"/>
              <w:spacing w:line="360" w:lineRule="auto"/>
              <w:jc w:val="center"/>
              <w:rPr>
                <w:rFonts w:hint="eastAsia" w:ascii="宋体" w:hAnsi="宋体" w:eastAsia="宋体"/>
                <w:color w:val="auto"/>
                <w:w w:val="92"/>
                <w:sz w:val="18"/>
                <w:szCs w:val="18"/>
                <w:highlight w:val="none"/>
                <w:lang w:val="en-US" w:eastAsia="zh-CN"/>
              </w:rPr>
            </w:pPr>
            <w:r>
              <w:rPr>
                <w:rFonts w:hint="eastAsia" w:ascii="宋体" w:hAnsi="宋体" w:eastAsia="宋体"/>
                <w:color w:val="auto"/>
                <w:w w:val="92"/>
                <w:sz w:val="18"/>
                <w:szCs w:val="18"/>
                <w:highlight w:val="none"/>
                <w:lang w:val="en-US" w:eastAsia="zh-CN"/>
              </w:rPr>
              <w:t>2</w:t>
            </w:r>
          </w:p>
        </w:tc>
        <w:tc>
          <w:tcPr>
            <w:tcW w:w="852" w:type="dxa"/>
            <w:vAlign w:val="center"/>
          </w:tcPr>
          <w:p>
            <w:pPr>
              <w:pStyle w:val="36"/>
              <w:adjustRightInd w:val="0"/>
              <w:snapToGrid w:val="0"/>
              <w:spacing w:line="276" w:lineRule="auto"/>
              <w:jc w:val="center"/>
              <w:rPr>
                <w:rFonts w:ascii="宋体" w:hAnsi="宋体" w:eastAsia="宋体"/>
                <w:bCs/>
                <w:color w:val="auto"/>
                <w:sz w:val="18"/>
                <w:szCs w:val="18"/>
                <w:highlight w:val="none"/>
              </w:rPr>
            </w:pPr>
          </w:p>
        </w:tc>
        <w:tc>
          <w:tcPr>
            <w:tcW w:w="4681" w:type="dxa"/>
            <w:vAlign w:val="center"/>
          </w:tcPr>
          <w:p>
            <w:pPr>
              <w:pStyle w:val="36"/>
              <w:adjustRightInd w:val="0"/>
              <w:snapToGrid w:val="0"/>
              <w:spacing w:line="276" w:lineRule="auto"/>
              <w:rPr>
                <w:rFonts w:ascii="宋体" w:hAnsi="宋体" w:eastAsia="宋体"/>
                <w:bCs/>
                <w:color w:val="auto"/>
                <w:sz w:val="18"/>
                <w:szCs w:val="18"/>
                <w:highlight w:val="none"/>
                <w:lang w:eastAsia="zh-CN"/>
              </w:rPr>
            </w:pPr>
          </w:p>
        </w:tc>
        <w:tc>
          <w:tcPr>
            <w:tcW w:w="2079"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8"/>
                <w:szCs w:val="18"/>
                <w:highlight w:val="none"/>
              </w:rPr>
            </w:pPr>
            <w:r>
              <w:rPr>
                <w:rFonts w:ascii="宋体" w:hAnsi="宋体" w:eastAsia="宋体"/>
                <w:color w:val="auto"/>
                <w:sz w:val="18"/>
                <w:szCs w:val="18"/>
                <w:highlight w:val="none"/>
              </w:rPr>
              <w:t>见投标文件（）页</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680" w:hRule="atLeast"/>
        </w:trPr>
        <w:tc>
          <w:tcPr>
            <w:tcW w:w="724" w:type="dxa"/>
            <w:vAlign w:val="center"/>
          </w:tcPr>
          <w:p>
            <w:pPr>
              <w:pStyle w:val="36"/>
              <w:adjustRightInd w:val="0"/>
              <w:snapToGrid w:val="0"/>
              <w:spacing w:line="360" w:lineRule="auto"/>
              <w:jc w:val="center"/>
              <w:rPr>
                <w:rFonts w:hint="eastAsia" w:ascii="宋体" w:hAnsi="宋体" w:eastAsia="宋体"/>
                <w:color w:val="auto"/>
                <w:w w:val="92"/>
                <w:sz w:val="18"/>
                <w:szCs w:val="18"/>
                <w:highlight w:val="none"/>
                <w:lang w:val="en-US" w:eastAsia="zh-CN"/>
              </w:rPr>
            </w:pPr>
            <w:r>
              <w:rPr>
                <w:rFonts w:hint="eastAsia" w:ascii="宋体" w:hAnsi="宋体" w:eastAsia="宋体"/>
                <w:color w:val="auto"/>
                <w:w w:val="92"/>
                <w:sz w:val="18"/>
                <w:szCs w:val="18"/>
                <w:highlight w:val="none"/>
                <w:lang w:val="en-US" w:eastAsia="zh-CN"/>
              </w:rPr>
              <w:t>3</w:t>
            </w:r>
          </w:p>
        </w:tc>
        <w:tc>
          <w:tcPr>
            <w:tcW w:w="852" w:type="dxa"/>
            <w:vAlign w:val="center"/>
          </w:tcPr>
          <w:p>
            <w:pPr>
              <w:pStyle w:val="36"/>
              <w:adjustRightInd w:val="0"/>
              <w:snapToGrid w:val="0"/>
              <w:spacing w:line="276" w:lineRule="auto"/>
              <w:jc w:val="center"/>
              <w:rPr>
                <w:rFonts w:ascii="宋体" w:hAnsi="宋体" w:eastAsia="宋体"/>
                <w:bCs/>
                <w:color w:val="auto"/>
                <w:sz w:val="18"/>
                <w:szCs w:val="18"/>
                <w:highlight w:val="none"/>
              </w:rPr>
            </w:pPr>
          </w:p>
        </w:tc>
        <w:tc>
          <w:tcPr>
            <w:tcW w:w="4681" w:type="dxa"/>
            <w:vAlign w:val="center"/>
          </w:tcPr>
          <w:p>
            <w:pPr>
              <w:pStyle w:val="36"/>
              <w:adjustRightInd w:val="0"/>
              <w:snapToGrid w:val="0"/>
              <w:spacing w:line="276" w:lineRule="auto"/>
              <w:rPr>
                <w:rFonts w:ascii="宋体" w:hAnsi="宋体" w:eastAsia="宋体"/>
                <w:bCs/>
                <w:color w:val="auto"/>
                <w:sz w:val="18"/>
                <w:szCs w:val="18"/>
                <w:highlight w:val="none"/>
                <w:lang w:eastAsia="zh-CN"/>
              </w:rPr>
            </w:pPr>
          </w:p>
        </w:tc>
        <w:tc>
          <w:tcPr>
            <w:tcW w:w="2079" w:type="dxa"/>
            <w:tcBorders>
              <w:right w:val="single" w:color="7F7F7F" w:sz="12" w:space="0"/>
            </w:tcBorders>
            <w:vAlign w:val="center"/>
          </w:tcPr>
          <w:p>
            <w:pPr>
              <w:pStyle w:val="36"/>
              <w:adjustRightInd w:val="0"/>
              <w:snapToGrid w:val="0"/>
              <w:spacing w:line="360" w:lineRule="auto"/>
              <w:jc w:val="center"/>
              <w:rPr>
                <w:rFonts w:ascii="宋体" w:hAnsi="宋体" w:eastAsia="宋体"/>
                <w:color w:val="auto"/>
                <w:sz w:val="18"/>
                <w:szCs w:val="18"/>
                <w:highlight w:val="none"/>
              </w:rPr>
            </w:pPr>
            <w:r>
              <w:rPr>
                <w:rFonts w:ascii="宋体" w:hAnsi="宋体" w:eastAsia="宋体"/>
                <w:color w:val="auto"/>
                <w:sz w:val="18"/>
                <w:szCs w:val="18"/>
                <w:highlight w:val="none"/>
              </w:rPr>
              <w:t>见投标文件（）页</w:t>
            </w:r>
          </w:p>
        </w:tc>
      </w:tr>
    </w:tbl>
    <w:p>
      <w:pPr>
        <w:adjustRightInd w:val="0"/>
        <w:snapToGrid w:val="0"/>
        <w:spacing w:line="360" w:lineRule="auto"/>
        <w:ind w:firstLine="381" w:firstLineChars="200"/>
        <w:rPr>
          <w:rFonts w:hint="eastAsia" w:ascii="宋体" w:hAnsi="宋体" w:eastAsia="宋体"/>
          <w:b/>
          <w:color w:val="auto"/>
          <w:sz w:val="19"/>
          <w:highlight w:val="none"/>
          <w:lang w:eastAsia="zh-CN"/>
        </w:rPr>
      </w:pPr>
      <w:r>
        <w:rPr>
          <w:rFonts w:hint="eastAsia" w:ascii="宋体" w:hAnsi="宋体" w:eastAsia="宋体"/>
          <w:b/>
          <w:color w:val="auto"/>
          <w:sz w:val="19"/>
          <w:highlight w:val="none"/>
          <w:lang w:eastAsia="zh-CN"/>
        </w:rPr>
        <w:t>注：供应商应根据《</w:t>
      </w:r>
      <w:r>
        <w:rPr>
          <w:rFonts w:hint="eastAsia" w:ascii="宋体" w:hAnsi="宋体" w:eastAsia="宋体"/>
          <w:b/>
          <w:color w:val="auto"/>
          <w:sz w:val="19"/>
          <w:highlight w:val="none"/>
          <w:lang w:val="en-US" w:eastAsia="zh-CN"/>
        </w:rPr>
        <w:t>商务</w:t>
      </w:r>
      <w:r>
        <w:rPr>
          <w:rFonts w:hint="eastAsia" w:ascii="宋体" w:hAnsi="宋体" w:eastAsia="宋体"/>
          <w:b/>
          <w:color w:val="auto"/>
          <w:sz w:val="19"/>
          <w:highlight w:val="none"/>
          <w:lang w:eastAsia="zh-CN"/>
        </w:rPr>
        <w:t>技术评审表》的各项内容填写此表。</w:t>
      </w:r>
    </w:p>
    <w:p>
      <w:pPr>
        <w:rPr>
          <w:rFonts w:ascii="宋体" w:hAnsi="宋体" w:eastAsia="宋体"/>
          <w:b/>
          <w:color w:val="auto"/>
          <w:highlight w:val="none"/>
          <w:lang w:eastAsia="zh-CN"/>
        </w:rPr>
      </w:pPr>
    </w:p>
    <w:p>
      <w:pPr>
        <w:adjustRightInd w:val="0"/>
        <w:snapToGrid w:val="0"/>
        <w:spacing w:line="360" w:lineRule="auto"/>
        <w:ind w:firstLine="381" w:firstLineChars="200"/>
        <w:rPr>
          <w:rFonts w:ascii="宋体" w:hAnsi="宋体" w:eastAsia="宋体"/>
          <w:b/>
          <w:color w:val="auto"/>
          <w:sz w:val="19"/>
          <w:highlight w:val="none"/>
          <w:lang w:eastAsia="zh-CN"/>
        </w:rPr>
      </w:pPr>
    </w:p>
    <w:p>
      <w:pPr>
        <w:adjustRightInd w:val="0"/>
        <w:snapToGrid w:val="0"/>
        <w:spacing w:line="360" w:lineRule="auto"/>
        <w:ind w:firstLine="381" w:firstLineChars="200"/>
        <w:rPr>
          <w:rFonts w:ascii="宋体" w:hAnsi="宋体" w:eastAsia="宋体"/>
          <w:b/>
          <w:color w:val="auto"/>
          <w:sz w:val="19"/>
          <w:highlight w:val="none"/>
          <w:lang w:eastAsia="zh-CN"/>
        </w:rPr>
      </w:pPr>
    </w:p>
    <w:p>
      <w:pPr>
        <w:widowControl/>
        <w:autoSpaceDE/>
        <w:autoSpaceDN/>
        <w:rPr>
          <w:rFonts w:ascii="宋体" w:hAnsi="宋体" w:eastAsia="宋体"/>
          <w:b/>
          <w:color w:val="auto"/>
          <w:sz w:val="28"/>
          <w:szCs w:val="28"/>
          <w:highlight w:val="none"/>
          <w:lang w:eastAsia="zh-CN"/>
        </w:rPr>
      </w:pPr>
      <w:r>
        <w:rPr>
          <w:rFonts w:ascii="宋体" w:hAnsi="宋体" w:eastAsia="宋体"/>
          <w:b/>
          <w:color w:val="auto"/>
          <w:sz w:val="28"/>
          <w:szCs w:val="28"/>
          <w:highlight w:val="none"/>
          <w:lang w:eastAsia="zh-CN"/>
        </w:rPr>
        <w:br w:type="page"/>
      </w:r>
    </w:p>
    <w:p>
      <w:pPr>
        <w:adjustRightInd w:val="0"/>
        <w:snapToGrid w:val="0"/>
        <w:jc w:val="center"/>
        <w:rPr>
          <w:rFonts w:ascii="宋体" w:hAnsi="宋体" w:eastAsia="宋体"/>
          <w:b/>
          <w:bCs/>
          <w:color w:val="auto"/>
          <w:sz w:val="36"/>
          <w:szCs w:val="36"/>
          <w:highlight w:val="none"/>
          <w:lang w:eastAsia="zh-CN"/>
        </w:rPr>
      </w:pPr>
      <w:r>
        <w:rPr>
          <w:rFonts w:hint="eastAsia" w:ascii="宋体" w:hAnsi="宋体" w:eastAsia="宋体"/>
          <w:b/>
          <w:bCs/>
          <w:color w:val="auto"/>
          <w:sz w:val="36"/>
          <w:szCs w:val="36"/>
          <w:highlight w:val="none"/>
          <w:lang w:val="en-US" w:eastAsia="zh-CN"/>
        </w:rPr>
        <w:t>三、</w:t>
      </w:r>
      <w:r>
        <w:rPr>
          <w:rFonts w:hint="eastAsia" w:ascii="宋体" w:hAnsi="宋体" w:eastAsia="宋体"/>
          <w:b/>
          <w:bCs/>
          <w:color w:val="auto"/>
          <w:sz w:val="36"/>
          <w:szCs w:val="36"/>
          <w:highlight w:val="none"/>
          <w:lang w:eastAsia="zh-CN"/>
        </w:rPr>
        <w:t>投标人资格声明函</w:t>
      </w:r>
    </w:p>
    <w:p>
      <w:pPr>
        <w:spacing w:line="360" w:lineRule="auto"/>
        <w:rPr>
          <w:rFonts w:ascii="宋体" w:hAnsi="宋体" w:eastAsia="宋体"/>
          <w:color w:val="auto"/>
          <w:szCs w:val="21"/>
          <w:highlight w:val="none"/>
          <w:lang w:eastAsia="zh-CN"/>
        </w:rPr>
      </w:pPr>
      <w:r>
        <w:rPr>
          <w:rFonts w:hint="eastAsia" w:ascii="宋体" w:hAnsi="宋体" w:eastAsia="宋体"/>
          <w:color w:val="auto"/>
          <w:szCs w:val="21"/>
          <w:highlight w:val="none"/>
          <w:lang w:eastAsia="zh-CN"/>
        </w:rPr>
        <w:t>致：_</w:t>
      </w:r>
      <w:r>
        <w:rPr>
          <w:rFonts w:ascii="宋体" w:hAnsi="宋体" w:eastAsia="宋体"/>
          <w:color w:val="auto"/>
          <w:szCs w:val="21"/>
          <w:highlight w:val="none"/>
          <w:lang w:eastAsia="zh-CN"/>
        </w:rPr>
        <w:t>__________</w:t>
      </w:r>
    </w:p>
    <w:p>
      <w:pPr>
        <w:spacing w:line="360" w:lineRule="auto"/>
        <w:rPr>
          <w:rFonts w:ascii="宋体" w:hAnsi="宋体" w:eastAsia="宋体"/>
          <w:color w:val="auto"/>
          <w:highlight w:val="none"/>
          <w:lang w:eastAsia="zh-CN"/>
        </w:rPr>
      </w:pPr>
      <w:r>
        <w:rPr>
          <w:rFonts w:ascii="宋体" w:hAnsi="宋体" w:eastAsia="宋体"/>
          <w:color w:val="auto"/>
          <w:szCs w:val="21"/>
          <w:highlight w:val="none"/>
          <w:lang w:eastAsia="zh-CN"/>
        </w:rPr>
        <w:t xml:space="preserve">    </w:t>
      </w:r>
      <w:r>
        <w:rPr>
          <w:rFonts w:hint="eastAsia" w:ascii="宋体" w:hAnsi="宋体" w:eastAsia="宋体"/>
          <w:color w:val="auto"/>
          <w:szCs w:val="21"/>
          <w:highlight w:val="none"/>
          <w:lang w:eastAsia="zh-CN"/>
        </w:rPr>
        <w:t>关于贵方采购的北乡镇前村村委会党群服务中心大楼及地块公开招租项目（第二次）（项目编号：</w:t>
      </w:r>
      <w:r>
        <w:rPr>
          <w:rFonts w:hint="eastAsia" w:ascii="宋体" w:hAnsi="宋体" w:eastAsia="宋体"/>
          <w:color w:val="auto"/>
          <w:szCs w:val="21"/>
          <w:highlight w:val="none"/>
          <w:u w:val="single"/>
          <w:lang w:eastAsia="zh-CN"/>
        </w:rPr>
        <w:t>04-06-04A-2024-D-E28285C01</w:t>
      </w:r>
      <w:r>
        <w:rPr>
          <w:rFonts w:hint="eastAsia" w:ascii="宋体" w:hAnsi="宋体" w:eastAsia="宋体"/>
          <w:color w:val="auto"/>
          <w:szCs w:val="21"/>
          <w:highlight w:val="none"/>
          <w:lang w:eastAsia="zh-CN"/>
        </w:rPr>
        <w:t>）投标邀请，</w:t>
      </w:r>
      <w:r>
        <w:rPr>
          <w:rFonts w:hint="eastAsia" w:ascii="宋体" w:hAnsi="宋体" w:eastAsia="宋体"/>
          <w:color w:val="auto"/>
          <w:highlight w:val="none"/>
          <w:lang w:eastAsia="zh-CN"/>
        </w:rPr>
        <w:t>本公司（企业）愿意参加投标响应，提供招标文件中规定的货物及服务，提交的下列文件和说明是准确的和真实的。并声明：</w:t>
      </w:r>
    </w:p>
    <w:p>
      <w:pPr>
        <w:spacing w:line="400" w:lineRule="exact"/>
        <w:ind w:firstLine="440" w:firstLineChars="200"/>
        <w:rPr>
          <w:rFonts w:ascii="宋体" w:hAnsi="宋体" w:eastAsia="宋体"/>
          <w:color w:val="auto"/>
          <w:highlight w:val="none"/>
          <w:lang w:val="hr-HR" w:eastAsia="zh-CN"/>
        </w:rPr>
      </w:pPr>
      <w:r>
        <w:rPr>
          <w:rFonts w:hint="eastAsia" w:ascii="宋体" w:hAnsi="宋体" w:eastAsia="宋体"/>
          <w:color w:val="auto"/>
          <w:highlight w:val="none"/>
          <w:lang w:val="hr-HR" w:eastAsia="zh-CN"/>
        </w:rPr>
        <w:t>一、</w:t>
      </w:r>
      <w:r>
        <w:rPr>
          <w:rFonts w:hint="eastAsia" w:ascii="宋体" w:hAnsi="宋体" w:eastAsia="宋体"/>
          <w:color w:val="auto"/>
          <w:highlight w:val="none"/>
          <w:lang w:eastAsia="zh-CN"/>
        </w:rPr>
        <w:t>本公司（企业）</w:t>
      </w:r>
      <w:r>
        <w:rPr>
          <w:rFonts w:ascii="宋体" w:hAnsi="宋体" w:eastAsia="宋体"/>
          <w:color w:val="auto"/>
          <w:highlight w:val="none"/>
          <w:lang w:val="hr-HR" w:eastAsia="zh-CN"/>
        </w:rPr>
        <w:t>具备《中华人民共和国政府采购法》第二十二条规定的条件</w:t>
      </w:r>
      <w:r>
        <w:rPr>
          <w:rFonts w:hint="eastAsia" w:ascii="宋体" w:hAnsi="宋体" w:eastAsia="宋体"/>
          <w:color w:val="auto"/>
          <w:highlight w:val="none"/>
          <w:lang w:val="hr-HR" w:eastAsia="zh-CN"/>
        </w:rPr>
        <w:t>。</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（一）</w:t>
      </w:r>
      <w:r>
        <w:rPr>
          <w:rFonts w:ascii="宋体" w:hAnsi="宋体" w:eastAsia="宋体"/>
          <w:color w:val="auto"/>
          <w:highlight w:val="none"/>
          <w:lang w:eastAsia="zh-CN"/>
        </w:rPr>
        <w:t>具有独立承担民事责任的能力；</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（二）</w:t>
      </w:r>
      <w:r>
        <w:rPr>
          <w:rFonts w:ascii="宋体" w:hAnsi="宋体" w:eastAsia="宋体"/>
          <w:color w:val="auto"/>
          <w:highlight w:val="none"/>
          <w:lang w:eastAsia="zh-CN"/>
        </w:rPr>
        <w:t>具有良好的商业信誉和健全的财务会计制度；</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（三）</w:t>
      </w:r>
      <w:r>
        <w:rPr>
          <w:rFonts w:ascii="宋体" w:hAnsi="宋体" w:eastAsia="宋体"/>
          <w:color w:val="auto"/>
          <w:highlight w:val="none"/>
          <w:lang w:eastAsia="zh-CN"/>
        </w:rPr>
        <w:t>具有履行合同所必需的设备和专业技术能力；</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（四）</w:t>
      </w:r>
      <w:r>
        <w:rPr>
          <w:rFonts w:ascii="宋体" w:hAnsi="宋体" w:eastAsia="宋体"/>
          <w:color w:val="auto"/>
          <w:highlight w:val="none"/>
          <w:lang w:eastAsia="zh-CN"/>
        </w:rPr>
        <w:t>有依法缴纳税收和社会保障资金的良好记录；</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（五）</w:t>
      </w:r>
      <w:r>
        <w:rPr>
          <w:rFonts w:ascii="宋体" w:hAnsi="宋体" w:eastAsia="宋体"/>
          <w:color w:val="auto"/>
          <w:highlight w:val="none"/>
          <w:lang w:eastAsia="zh-CN"/>
        </w:rPr>
        <w:t>参加采购活动前三年内，在经营活动中没有重大违法记录；</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（六）</w:t>
      </w:r>
      <w:r>
        <w:rPr>
          <w:rFonts w:ascii="宋体" w:hAnsi="宋体" w:eastAsia="宋体"/>
          <w:color w:val="auto"/>
          <w:highlight w:val="none"/>
          <w:lang w:eastAsia="zh-CN"/>
        </w:rPr>
        <w:t>法律、行政法规规定的其他条件。</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二、本公司（企业）如为本采购项目提供整体设计、规范编制或者项目管理、监理、检测等服务的供应商，不得再参加该采购项目的其他采购活动。否则，由此所造成的损失、不良后果及法律责任，一律由我公司（企业）承担。</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三、本公司（企业）未处于财产被接管、破产或关、停、并、转状态及重大诉讼事件情况。</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四、本公司（企业）的法定代表人或单位负责人与所参投的本采购项目的其他投标人的法定代表人或单位负责人不为同一人且与其他投标人之间不存在直接控股、管理关系，不存在</w:t>
      </w:r>
      <w:r>
        <w:rPr>
          <w:rFonts w:ascii="宋体" w:hAnsi="宋体" w:eastAsia="宋体"/>
          <w:color w:val="auto"/>
          <w:highlight w:val="none"/>
          <w:lang w:eastAsia="zh-CN"/>
        </w:rPr>
        <w:t>母子公司同时</w:t>
      </w:r>
      <w:r>
        <w:rPr>
          <w:rFonts w:hint="eastAsia" w:ascii="宋体" w:hAnsi="宋体" w:eastAsia="宋体"/>
          <w:color w:val="auto"/>
          <w:highlight w:val="none"/>
          <w:lang w:eastAsia="zh-CN"/>
        </w:rPr>
        <w:t>投标的情况</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五、本公司（企业）承诺，如我司中标，未经招标人同意，不</w:t>
      </w:r>
      <w:r>
        <w:rPr>
          <w:rFonts w:ascii="宋体" w:hAnsi="宋体" w:eastAsia="宋体"/>
          <w:color w:val="auto"/>
          <w:highlight w:val="none"/>
          <w:lang w:eastAsia="zh-CN"/>
        </w:rPr>
        <w:t>对本</w:t>
      </w:r>
      <w:r>
        <w:rPr>
          <w:rFonts w:hint="eastAsia" w:ascii="宋体" w:hAnsi="宋体" w:eastAsia="宋体"/>
          <w:color w:val="auto"/>
          <w:highlight w:val="none"/>
          <w:lang w:eastAsia="zh-CN"/>
        </w:rPr>
        <w:t>项目</w:t>
      </w:r>
      <w:r>
        <w:rPr>
          <w:rFonts w:ascii="宋体" w:hAnsi="宋体" w:eastAsia="宋体"/>
          <w:color w:val="auto"/>
          <w:highlight w:val="none"/>
          <w:lang w:eastAsia="zh-CN"/>
        </w:rPr>
        <w:t>进行分包和转包</w:t>
      </w:r>
      <w:r>
        <w:rPr>
          <w:rFonts w:hint="eastAsia" w:ascii="宋体" w:hAnsi="宋体" w:eastAsia="宋体"/>
          <w:color w:val="auto"/>
          <w:highlight w:val="none"/>
          <w:lang w:eastAsia="zh-CN"/>
        </w:rPr>
        <w:t>。</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val="en-US" w:eastAsia="zh-CN"/>
        </w:rPr>
        <w:t>六、</w:t>
      </w:r>
      <w:r>
        <w:rPr>
          <w:rFonts w:hint="eastAsia" w:ascii="宋体" w:hAnsi="宋体" w:eastAsia="宋体"/>
          <w:color w:val="auto"/>
          <w:highlight w:val="none"/>
          <w:lang w:eastAsia="zh-CN"/>
        </w:rPr>
        <w:t>本公司（企业）承诺在本次招标采购活动中，如有违法、违规</w:t>
      </w:r>
      <w:r>
        <w:rPr>
          <w:rFonts w:hint="eastAsia" w:ascii="宋体" w:hAnsi="宋体" w:eastAsia="宋体"/>
          <w:color w:val="auto"/>
          <w:szCs w:val="21"/>
          <w:highlight w:val="none"/>
          <w:lang w:eastAsia="zh-CN"/>
        </w:rPr>
        <w:t>、</w:t>
      </w:r>
      <w:r>
        <w:rPr>
          <w:rFonts w:hint="eastAsia" w:ascii="宋体" w:hAnsi="宋体" w:eastAsia="宋体"/>
          <w:color w:val="auto"/>
          <w:highlight w:val="none"/>
          <w:lang w:eastAsia="zh-CN"/>
        </w:rPr>
        <w:t>弄虚作假行为，所造成的损失、不良后果及法律责任，一律由我公司（企业）承担。</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val="en-US" w:eastAsia="zh-CN"/>
        </w:rPr>
        <w:t>七、</w:t>
      </w:r>
      <w:r>
        <w:rPr>
          <w:rFonts w:hint="eastAsia" w:ascii="宋体" w:hAnsi="宋体" w:eastAsia="宋体"/>
          <w:color w:val="auto"/>
          <w:highlight w:val="none"/>
          <w:lang w:eastAsia="zh-CN"/>
        </w:rPr>
        <w:t>本公司（企业）非联合体参与本项目投标。</w:t>
      </w:r>
    </w:p>
    <w:p>
      <w:pPr>
        <w:spacing w:line="400" w:lineRule="exact"/>
        <w:ind w:firstLine="440" w:firstLineChars="200"/>
        <w:rPr>
          <w:rFonts w:ascii="宋体" w:hAnsi="宋体" w:eastAsia="宋体"/>
          <w:color w:val="auto"/>
          <w:szCs w:val="21"/>
          <w:highlight w:val="none"/>
          <w:lang w:eastAsia="zh-CN"/>
        </w:rPr>
      </w:pPr>
      <w:r>
        <w:rPr>
          <w:rFonts w:hint="eastAsia" w:ascii="宋体" w:hAnsi="宋体" w:eastAsia="宋体"/>
          <w:color w:val="auto"/>
          <w:szCs w:val="21"/>
          <w:highlight w:val="none"/>
          <w:lang w:eastAsia="zh-CN"/>
        </w:rPr>
        <w:t>特此声明。</w:t>
      </w:r>
      <w:r>
        <w:rPr>
          <w:rFonts w:ascii="宋体" w:hAnsi="宋体" w:eastAsia="宋体"/>
          <w:color w:val="auto"/>
          <w:szCs w:val="21"/>
          <w:highlight w:val="none"/>
          <w:lang w:eastAsia="zh-CN"/>
        </w:rPr>
        <w:tab/>
      </w:r>
    </w:p>
    <w:p>
      <w:pPr>
        <w:spacing w:line="400" w:lineRule="exact"/>
        <w:ind w:firstLine="440" w:firstLineChars="200"/>
        <w:rPr>
          <w:rFonts w:ascii="宋体" w:hAnsi="宋体" w:eastAsia="宋体"/>
          <w:color w:val="auto"/>
          <w:szCs w:val="21"/>
          <w:highlight w:val="none"/>
          <w:lang w:eastAsia="zh-CN"/>
        </w:rPr>
      </w:pPr>
      <w:r>
        <w:rPr>
          <w:rFonts w:hint="eastAsia" w:ascii="宋体" w:hAnsi="宋体" w:eastAsia="宋体"/>
          <w:color w:val="auto"/>
          <w:szCs w:val="21"/>
          <w:highlight w:val="none"/>
          <w:lang w:eastAsia="zh-CN"/>
        </w:rPr>
        <w:t>注：本声明函如有虚假或与事实不符的，作无效投标处理。</w:t>
      </w:r>
    </w:p>
    <w:p>
      <w:pPr>
        <w:spacing w:line="400" w:lineRule="exact"/>
        <w:ind w:firstLine="440" w:firstLineChars="200"/>
        <w:rPr>
          <w:rFonts w:ascii="宋体" w:hAnsi="宋体" w:eastAsia="宋体"/>
          <w:color w:val="auto"/>
          <w:szCs w:val="21"/>
          <w:highlight w:val="none"/>
          <w:lang w:eastAsia="zh-CN"/>
        </w:rPr>
      </w:pPr>
    </w:p>
    <w:p>
      <w:pPr>
        <w:spacing w:line="400" w:lineRule="exact"/>
        <w:ind w:firstLine="440" w:firstLineChars="200"/>
        <w:rPr>
          <w:rFonts w:ascii="宋体" w:hAnsi="宋体" w:eastAsia="宋体"/>
          <w:color w:val="auto"/>
          <w:szCs w:val="21"/>
          <w:highlight w:val="none"/>
          <w:lang w:eastAsia="zh-CN"/>
        </w:rPr>
      </w:pPr>
      <w:r>
        <w:rPr>
          <w:rFonts w:hint="eastAsia" w:ascii="宋体" w:hAnsi="宋体" w:eastAsia="宋体"/>
          <w:color w:val="auto"/>
          <w:szCs w:val="21"/>
          <w:highlight w:val="none"/>
          <w:lang w:eastAsia="zh-CN"/>
        </w:rPr>
        <w:t>投 标 人（盖章）：</w:t>
      </w:r>
    </w:p>
    <w:p>
      <w:pPr>
        <w:spacing w:line="400" w:lineRule="exact"/>
        <w:ind w:firstLine="440" w:firstLineChars="200"/>
        <w:rPr>
          <w:rFonts w:ascii="宋体" w:hAnsi="宋体" w:eastAsia="宋体"/>
          <w:color w:val="auto"/>
          <w:szCs w:val="21"/>
          <w:highlight w:val="none"/>
          <w:lang w:eastAsia="zh-CN"/>
        </w:rPr>
      </w:pPr>
      <w:r>
        <w:rPr>
          <w:rFonts w:hint="eastAsia" w:ascii="宋体" w:hAnsi="宋体" w:eastAsia="宋体"/>
          <w:color w:val="auto"/>
          <w:szCs w:val="21"/>
          <w:highlight w:val="none"/>
          <w:lang w:eastAsia="zh-CN"/>
        </w:rPr>
        <w:t>授权代表（签字）：</w:t>
      </w:r>
    </w:p>
    <w:p>
      <w:pPr>
        <w:spacing w:line="400" w:lineRule="exact"/>
        <w:ind w:firstLine="440" w:firstLineChars="200"/>
        <w:rPr>
          <w:rFonts w:ascii="宋体" w:hAnsi="宋体" w:eastAsia="宋体"/>
          <w:color w:val="auto"/>
          <w:szCs w:val="21"/>
          <w:highlight w:val="none"/>
          <w:lang w:eastAsia="zh-CN"/>
        </w:rPr>
      </w:pPr>
      <w:r>
        <w:rPr>
          <w:rFonts w:hint="eastAsia" w:ascii="宋体" w:hAnsi="宋体" w:eastAsia="宋体"/>
          <w:color w:val="auto"/>
          <w:szCs w:val="21"/>
          <w:highlight w:val="none"/>
          <w:lang w:eastAsia="zh-CN"/>
        </w:rPr>
        <w:t>职    务：</w:t>
      </w:r>
    </w:p>
    <w:p>
      <w:pPr>
        <w:spacing w:line="400" w:lineRule="exact"/>
        <w:ind w:firstLine="440" w:firstLineChars="200"/>
        <w:rPr>
          <w:rFonts w:ascii="宋体" w:hAnsi="宋体" w:eastAsia="宋体"/>
          <w:color w:val="auto"/>
          <w:szCs w:val="21"/>
          <w:highlight w:val="none"/>
          <w:lang w:eastAsia="zh-CN"/>
        </w:rPr>
      </w:pPr>
      <w:r>
        <w:rPr>
          <w:rFonts w:hint="eastAsia" w:ascii="宋体" w:hAnsi="宋体" w:eastAsia="宋体"/>
          <w:color w:val="auto"/>
          <w:szCs w:val="21"/>
          <w:highlight w:val="none"/>
          <w:lang w:eastAsia="zh-CN"/>
        </w:rPr>
        <w:t>日    期：    年   月   日</w:t>
      </w:r>
    </w:p>
    <w:p>
      <w:pPr>
        <w:spacing w:line="400" w:lineRule="exact"/>
        <w:ind w:firstLine="440" w:firstLineChars="200"/>
        <w:rPr>
          <w:rFonts w:ascii="宋体" w:hAnsi="宋体" w:eastAsia="宋体"/>
          <w:color w:val="auto"/>
          <w:szCs w:val="21"/>
          <w:highlight w:val="none"/>
          <w:lang w:eastAsia="zh-CN"/>
        </w:rPr>
      </w:pPr>
    </w:p>
    <w:p>
      <w:pPr>
        <w:spacing w:line="480" w:lineRule="auto"/>
        <w:ind w:left="52" w:leftChars="-85" w:hanging="239" w:hangingChars="85"/>
        <w:rPr>
          <w:rFonts w:ascii="宋体" w:hAnsi="宋体"/>
          <w:color w:val="auto"/>
          <w:highlight w:val="none"/>
          <w:lang w:eastAsia="zh-CN"/>
        </w:rPr>
      </w:pPr>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lang w:eastAsia="zh-CN"/>
        </w:rPr>
        <w:t>.1相关证明文件</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1.营业执照副本（复印件加盖公章）；</w:t>
      </w:r>
    </w:p>
    <w:p>
      <w:pPr>
        <w:spacing w:line="400" w:lineRule="exact"/>
        <w:ind w:firstLine="440" w:firstLineChars="200"/>
        <w:rPr>
          <w:rFonts w:ascii="宋体" w:hAnsi="宋体" w:eastAsia="宋体"/>
          <w:color w:val="auto"/>
          <w:highlight w:val="none"/>
          <w:lang w:eastAsia="zh-CN"/>
        </w:rPr>
      </w:pPr>
      <w:r>
        <w:rPr>
          <w:rFonts w:ascii="宋体" w:hAnsi="宋体" w:eastAsia="宋体"/>
          <w:color w:val="auto"/>
          <w:highlight w:val="none"/>
          <w:lang w:eastAsia="zh-CN"/>
        </w:rPr>
        <w:t>2.</w:t>
      </w:r>
      <w:r>
        <w:rPr>
          <w:rFonts w:hint="eastAsia" w:ascii="宋体" w:hAnsi="宋体" w:eastAsia="宋体"/>
          <w:color w:val="auto"/>
          <w:highlight w:val="none"/>
          <w:lang w:eastAsia="zh-CN"/>
        </w:rPr>
        <w:t>投标人未被列入“信用中国”网站</w:t>
      </w:r>
      <w:r>
        <w:rPr>
          <w:rFonts w:ascii="宋体" w:hAnsi="宋体" w:eastAsia="宋体"/>
          <w:color w:val="auto"/>
          <w:highlight w:val="none"/>
          <w:lang w:eastAsia="zh-CN"/>
        </w:rPr>
        <w:t>(www.creditchina.gov.cn)“失信被执行人或重大税收违法失信主体或政府采购严重违法失信行为记录名单”；不处于中国政府采购网(www.ccgp.gov.cn)“政府采购严重违法失信行为记录名单”中的禁止参加政府采购活动期间。供应商须提供查询结果截图并加盖应答方公章</w:t>
      </w:r>
      <w:r>
        <w:rPr>
          <w:rFonts w:hint="eastAsia" w:ascii="宋体" w:hAnsi="宋体" w:eastAsia="宋体"/>
          <w:color w:val="auto"/>
          <w:highlight w:val="none"/>
          <w:lang w:eastAsia="zh-CN"/>
        </w:rPr>
        <w:t>。</w:t>
      </w:r>
    </w:p>
    <w:p>
      <w:pPr>
        <w:spacing w:line="400" w:lineRule="exact"/>
        <w:ind w:firstLine="440" w:firstLineChars="200"/>
        <w:rPr>
          <w:rFonts w:ascii="宋体" w:hAnsi="宋体" w:eastAsia="宋体"/>
          <w:color w:val="auto"/>
          <w:highlight w:val="none"/>
          <w:lang w:eastAsia="zh-CN"/>
        </w:rPr>
      </w:pPr>
      <w:r>
        <w:rPr>
          <w:rFonts w:hint="eastAsia" w:ascii="宋体" w:hAnsi="宋体" w:eastAsia="宋体"/>
          <w:color w:val="auto"/>
          <w:highlight w:val="none"/>
          <w:lang w:eastAsia="zh-CN"/>
        </w:rPr>
        <w:t>（提供网站的信用记录查询结果打印页面加盖公章）</w:t>
      </w:r>
    </w:p>
    <w:p>
      <w:pPr>
        <w:adjustRightInd w:val="0"/>
        <w:snapToGrid w:val="0"/>
        <w:spacing w:line="360" w:lineRule="auto"/>
        <w:rPr>
          <w:rFonts w:ascii="宋体" w:hAnsi="宋体" w:eastAsia="宋体"/>
          <w:b/>
          <w:color w:val="auto"/>
          <w:sz w:val="19"/>
          <w:highlight w:val="none"/>
          <w:lang w:eastAsia="zh-CN"/>
        </w:rPr>
      </w:pPr>
    </w:p>
    <w:p>
      <w:pPr>
        <w:adjustRightInd w:val="0"/>
        <w:snapToGrid w:val="0"/>
        <w:spacing w:line="360" w:lineRule="auto"/>
        <w:ind w:firstLine="562" w:firstLineChars="200"/>
        <w:jc w:val="center"/>
        <w:rPr>
          <w:rFonts w:ascii="宋体" w:hAnsi="宋体" w:eastAsia="宋体"/>
          <w:b/>
          <w:color w:val="auto"/>
          <w:sz w:val="28"/>
          <w:szCs w:val="18"/>
          <w:highlight w:val="none"/>
          <w:lang w:eastAsia="zh-CN"/>
        </w:rPr>
      </w:pPr>
      <w:r>
        <w:rPr>
          <w:rFonts w:hint="eastAsia" w:ascii="宋体" w:hAnsi="宋体" w:eastAsia="宋体"/>
          <w:b/>
          <w:color w:val="auto"/>
          <w:sz w:val="28"/>
          <w:szCs w:val="18"/>
          <w:highlight w:val="none"/>
          <w:lang w:eastAsia="zh-CN"/>
        </w:rPr>
        <w:t>资格性评审</w:t>
      </w:r>
    </w:p>
    <w:p>
      <w:pPr>
        <w:spacing w:line="360" w:lineRule="auto"/>
        <w:ind w:firstLine="360" w:firstLineChars="200"/>
        <w:rPr>
          <w:rFonts w:ascii="宋体" w:hAnsi="宋体" w:eastAsia="宋体"/>
          <w:color w:val="auto"/>
          <w:sz w:val="18"/>
          <w:szCs w:val="15"/>
          <w:highlight w:val="none"/>
          <w:lang w:eastAsia="zh-CN"/>
        </w:rPr>
      </w:pPr>
      <w:r>
        <w:rPr>
          <w:rFonts w:ascii="宋体" w:hAnsi="宋体" w:eastAsia="宋体"/>
          <w:color w:val="auto"/>
          <w:sz w:val="18"/>
          <w:szCs w:val="15"/>
          <w:highlight w:val="none"/>
          <w:lang w:eastAsia="zh-CN"/>
        </w:rPr>
        <w:t>1、投标承诺书：按对应格式文件填写、签署、盖章。</w:t>
      </w:r>
    </w:p>
    <w:p>
      <w:pPr>
        <w:spacing w:line="360" w:lineRule="auto"/>
        <w:ind w:firstLine="360" w:firstLineChars="200"/>
        <w:rPr>
          <w:rFonts w:ascii="宋体" w:hAnsi="宋体" w:eastAsia="宋体"/>
          <w:color w:val="auto"/>
          <w:sz w:val="18"/>
          <w:szCs w:val="15"/>
          <w:highlight w:val="none"/>
          <w:lang w:eastAsia="zh-CN"/>
        </w:rPr>
      </w:pPr>
      <w:r>
        <w:rPr>
          <w:rFonts w:ascii="宋体" w:hAnsi="宋体" w:eastAsia="宋体"/>
          <w:color w:val="auto"/>
          <w:sz w:val="18"/>
          <w:szCs w:val="15"/>
          <w:highlight w:val="none"/>
          <w:lang w:eastAsia="zh-CN"/>
        </w:rPr>
        <w:t>2、法定代表人证明书及授权委托书:按对应格式文件签署、盖章。</w:t>
      </w:r>
    </w:p>
    <w:p>
      <w:pPr>
        <w:spacing w:line="360" w:lineRule="auto"/>
        <w:ind w:firstLine="360" w:firstLineChars="200"/>
        <w:rPr>
          <w:rFonts w:ascii="宋体" w:hAnsi="宋体" w:eastAsia="宋体"/>
          <w:color w:val="auto"/>
          <w:sz w:val="18"/>
          <w:szCs w:val="15"/>
          <w:highlight w:val="none"/>
          <w:lang w:eastAsia="zh-CN"/>
        </w:rPr>
      </w:pPr>
      <w:r>
        <w:rPr>
          <w:rFonts w:hint="eastAsia" w:ascii="宋体" w:hAnsi="宋体" w:eastAsia="宋体"/>
          <w:color w:val="auto"/>
          <w:sz w:val="18"/>
          <w:szCs w:val="15"/>
          <w:highlight w:val="none"/>
          <w:lang w:eastAsia="zh-CN"/>
        </w:rPr>
        <w:t>3</w:t>
      </w:r>
      <w:r>
        <w:rPr>
          <w:rFonts w:ascii="宋体" w:hAnsi="宋体" w:eastAsia="宋体"/>
          <w:color w:val="auto"/>
          <w:sz w:val="18"/>
          <w:szCs w:val="15"/>
          <w:highlight w:val="none"/>
          <w:lang w:eastAsia="zh-CN"/>
        </w:rPr>
        <w:t>、准入条件：投标人资格条件。</w:t>
      </w:r>
    </w:p>
    <w:p>
      <w:pPr>
        <w:adjustRightInd w:val="0"/>
        <w:snapToGrid w:val="0"/>
        <w:spacing w:line="360" w:lineRule="auto"/>
        <w:ind w:firstLine="562" w:firstLineChars="200"/>
        <w:jc w:val="center"/>
        <w:rPr>
          <w:rFonts w:ascii="宋体" w:hAnsi="宋体" w:eastAsia="宋体"/>
          <w:b/>
          <w:color w:val="auto"/>
          <w:sz w:val="28"/>
          <w:szCs w:val="18"/>
          <w:highlight w:val="none"/>
          <w:lang w:eastAsia="zh-CN"/>
        </w:rPr>
      </w:pPr>
      <w:r>
        <w:rPr>
          <w:rFonts w:ascii="宋体" w:hAnsi="宋体" w:eastAsia="宋体"/>
          <w:b/>
          <w:color w:val="auto"/>
          <w:sz w:val="28"/>
          <w:szCs w:val="18"/>
          <w:highlight w:val="none"/>
          <w:lang w:eastAsia="zh-CN"/>
        </w:rPr>
        <w:t>符合性评审</w:t>
      </w:r>
    </w:p>
    <w:p>
      <w:pPr>
        <w:spacing w:line="360" w:lineRule="auto"/>
        <w:ind w:firstLine="360" w:firstLineChars="200"/>
        <w:rPr>
          <w:rFonts w:ascii="宋体" w:hAnsi="宋体" w:eastAsia="宋体"/>
          <w:color w:val="auto"/>
          <w:sz w:val="18"/>
          <w:szCs w:val="15"/>
          <w:highlight w:val="none"/>
          <w:lang w:eastAsia="zh-CN"/>
        </w:rPr>
      </w:pPr>
      <w:r>
        <w:rPr>
          <w:rFonts w:ascii="宋体" w:hAnsi="宋体" w:eastAsia="宋体"/>
          <w:color w:val="auto"/>
          <w:sz w:val="18"/>
          <w:szCs w:val="15"/>
          <w:highlight w:val="none"/>
          <w:lang w:eastAsia="zh-CN"/>
        </w:rPr>
        <w:t>1、</w:t>
      </w:r>
      <w:r>
        <w:rPr>
          <w:rFonts w:hint="eastAsia" w:ascii="宋体" w:hAnsi="宋体" w:eastAsia="宋体"/>
          <w:color w:val="auto"/>
          <w:sz w:val="18"/>
          <w:szCs w:val="15"/>
          <w:highlight w:val="none"/>
          <w:lang w:eastAsia="zh-CN"/>
        </w:rPr>
        <w:t>商务</w:t>
      </w:r>
      <w:r>
        <w:rPr>
          <w:rFonts w:ascii="宋体" w:hAnsi="宋体" w:eastAsia="宋体"/>
          <w:color w:val="auto"/>
          <w:sz w:val="18"/>
          <w:szCs w:val="15"/>
          <w:highlight w:val="none"/>
          <w:lang w:eastAsia="zh-CN"/>
        </w:rPr>
        <w:t>技术要求：实质性响应标书中“★”号参数的技术要求。</w:t>
      </w:r>
    </w:p>
    <w:p>
      <w:pPr>
        <w:spacing w:line="360" w:lineRule="auto"/>
        <w:ind w:firstLine="360" w:firstLineChars="200"/>
        <w:rPr>
          <w:rFonts w:ascii="宋体" w:hAnsi="宋体" w:eastAsia="宋体"/>
          <w:color w:val="auto"/>
          <w:sz w:val="18"/>
          <w:szCs w:val="15"/>
          <w:highlight w:val="none"/>
          <w:lang w:eastAsia="zh-CN"/>
        </w:rPr>
      </w:pPr>
      <w:r>
        <w:rPr>
          <w:rFonts w:hint="eastAsia" w:ascii="宋体" w:hAnsi="宋体" w:eastAsia="宋体"/>
          <w:color w:val="auto"/>
          <w:sz w:val="18"/>
          <w:szCs w:val="15"/>
          <w:highlight w:val="none"/>
          <w:lang w:val="en-US" w:eastAsia="zh-CN"/>
        </w:rPr>
        <w:t>2</w:t>
      </w:r>
      <w:r>
        <w:rPr>
          <w:rFonts w:ascii="宋体" w:hAnsi="宋体" w:eastAsia="宋体"/>
          <w:color w:val="auto"/>
          <w:sz w:val="18"/>
          <w:szCs w:val="15"/>
          <w:highlight w:val="none"/>
          <w:lang w:eastAsia="zh-CN"/>
        </w:rPr>
        <w:t>、其它：实质性响应招标文件中规定的其它情况。</w:t>
      </w:r>
    </w:p>
    <w:p>
      <w:pPr>
        <w:spacing w:line="360" w:lineRule="auto"/>
        <w:ind w:firstLine="360" w:firstLineChars="200"/>
        <w:rPr>
          <w:rFonts w:ascii="宋体" w:hAnsi="宋体" w:eastAsia="宋体"/>
          <w:color w:val="auto"/>
          <w:sz w:val="18"/>
          <w:szCs w:val="15"/>
          <w:highlight w:val="none"/>
          <w:lang w:eastAsia="zh-CN"/>
        </w:rPr>
      </w:pPr>
    </w:p>
    <w:p>
      <w:pPr>
        <w:spacing w:line="360" w:lineRule="auto"/>
        <w:ind w:firstLine="360" w:firstLineChars="200"/>
        <w:rPr>
          <w:rFonts w:ascii="宋体" w:hAnsi="宋体" w:eastAsia="宋体"/>
          <w:color w:val="auto"/>
          <w:sz w:val="18"/>
          <w:szCs w:val="15"/>
          <w:highlight w:val="none"/>
          <w:lang w:eastAsia="zh-CN"/>
        </w:rPr>
      </w:pPr>
    </w:p>
    <w:p>
      <w:pPr>
        <w:adjustRightInd w:val="0"/>
        <w:snapToGrid w:val="0"/>
        <w:spacing w:line="360" w:lineRule="auto"/>
        <w:ind w:firstLine="562" w:firstLineChars="200"/>
        <w:jc w:val="center"/>
        <w:rPr>
          <w:rFonts w:ascii="宋体" w:hAnsi="宋体" w:eastAsia="宋体"/>
          <w:b/>
          <w:color w:val="auto"/>
          <w:sz w:val="28"/>
          <w:szCs w:val="18"/>
          <w:highlight w:val="none"/>
          <w:lang w:eastAsia="zh-CN"/>
        </w:rPr>
      </w:pPr>
      <w:r>
        <w:rPr>
          <w:rFonts w:hint="eastAsia" w:ascii="宋体" w:hAnsi="宋体" w:eastAsia="宋体"/>
          <w:b/>
          <w:color w:val="auto"/>
          <w:sz w:val="28"/>
          <w:szCs w:val="18"/>
          <w:highlight w:val="none"/>
          <w:lang w:eastAsia="zh-CN"/>
        </w:rPr>
        <w:t>技术标评审</w:t>
      </w:r>
    </w:p>
    <w:p>
      <w:pPr>
        <w:numPr>
          <w:ilvl w:val="0"/>
          <w:numId w:val="19"/>
        </w:numPr>
        <w:adjustRightInd w:val="0"/>
        <w:snapToGrid w:val="0"/>
        <w:spacing w:line="360" w:lineRule="auto"/>
        <w:ind w:firstLine="360" w:firstLineChars="200"/>
        <w:rPr>
          <w:rFonts w:hint="eastAsia" w:ascii="宋体" w:hAnsi="宋体" w:eastAsia="宋体"/>
          <w:color w:val="auto"/>
          <w:sz w:val="18"/>
          <w:szCs w:val="15"/>
          <w:highlight w:val="none"/>
          <w:lang w:eastAsia="zh-CN"/>
        </w:rPr>
      </w:pPr>
      <w:r>
        <w:rPr>
          <w:rFonts w:hint="eastAsia" w:ascii="宋体" w:hAnsi="宋体" w:eastAsia="宋体"/>
          <w:color w:val="auto"/>
          <w:sz w:val="18"/>
          <w:szCs w:val="15"/>
          <w:highlight w:val="none"/>
          <w:lang w:eastAsia="zh-CN"/>
        </w:rPr>
        <w:t>运营管理目标与计划</w:t>
      </w:r>
    </w:p>
    <w:p>
      <w:pPr>
        <w:numPr>
          <w:ilvl w:val="0"/>
          <w:numId w:val="19"/>
        </w:numPr>
        <w:adjustRightInd w:val="0"/>
        <w:snapToGrid w:val="0"/>
        <w:spacing w:line="360" w:lineRule="auto"/>
        <w:ind w:firstLine="360" w:firstLineChars="200"/>
        <w:rPr>
          <w:rFonts w:ascii="宋体" w:hAnsi="宋体" w:eastAsia="宋体" w:cs="宋体"/>
          <w:color w:val="auto"/>
          <w:sz w:val="19"/>
          <w:szCs w:val="19"/>
          <w:highlight w:val="none"/>
          <w:lang w:eastAsia="zh-CN"/>
        </w:rPr>
      </w:pPr>
      <w:r>
        <w:rPr>
          <w:rFonts w:hint="eastAsia" w:ascii="宋体" w:hAnsi="宋体" w:eastAsia="宋体"/>
          <w:color w:val="auto"/>
          <w:sz w:val="18"/>
          <w:szCs w:val="15"/>
          <w:highlight w:val="none"/>
          <w:lang w:eastAsia="zh-CN"/>
        </w:rPr>
        <w:t>实施方案</w:t>
      </w:r>
    </w:p>
    <w:p>
      <w:pPr>
        <w:numPr>
          <w:ilvl w:val="0"/>
          <w:numId w:val="19"/>
        </w:numPr>
        <w:adjustRightInd w:val="0"/>
        <w:snapToGrid w:val="0"/>
        <w:spacing w:line="360" w:lineRule="auto"/>
        <w:ind w:firstLine="360" w:firstLineChars="200"/>
        <w:rPr>
          <w:rFonts w:ascii="宋体" w:hAnsi="宋体" w:eastAsia="宋体" w:cs="宋体"/>
          <w:color w:val="auto"/>
          <w:sz w:val="19"/>
          <w:szCs w:val="19"/>
          <w:highlight w:val="none"/>
          <w:lang w:eastAsia="zh-CN"/>
        </w:rPr>
      </w:pPr>
      <w:r>
        <w:rPr>
          <w:rFonts w:hint="eastAsia" w:ascii="宋体" w:hAnsi="宋体" w:eastAsia="宋体"/>
          <w:color w:val="auto"/>
          <w:sz w:val="18"/>
          <w:szCs w:val="15"/>
          <w:highlight w:val="none"/>
          <w:lang w:eastAsia="zh-CN"/>
        </w:rPr>
        <w:t>团队组建及管理方案</w:t>
      </w:r>
    </w:p>
    <w:p>
      <w:pPr>
        <w:numPr>
          <w:ilvl w:val="0"/>
          <w:numId w:val="19"/>
        </w:numPr>
        <w:adjustRightInd w:val="0"/>
        <w:snapToGrid w:val="0"/>
        <w:spacing w:line="360" w:lineRule="auto"/>
        <w:ind w:firstLine="360" w:firstLineChars="200"/>
        <w:rPr>
          <w:rFonts w:ascii="宋体" w:hAnsi="宋体" w:eastAsia="宋体" w:cs="宋体"/>
          <w:color w:val="auto"/>
          <w:sz w:val="19"/>
          <w:szCs w:val="19"/>
          <w:highlight w:val="none"/>
          <w:lang w:eastAsia="zh-CN"/>
        </w:rPr>
      </w:pPr>
      <w:r>
        <w:rPr>
          <w:rFonts w:hint="eastAsia" w:ascii="宋体" w:hAnsi="宋体" w:eastAsia="宋体"/>
          <w:color w:val="auto"/>
          <w:sz w:val="18"/>
          <w:szCs w:val="15"/>
          <w:highlight w:val="none"/>
          <w:lang w:eastAsia="zh-CN"/>
        </w:rPr>
        <w:t>安全管理工作方案</w:t>
      </w:r>
    </w:p>
    <w:p>
      <w:pPr>
        <w:numPr>
          <w:ilvl w:val="0"/>
          <w:numId w:val="19"/>
        </w:numPr>
        <w:adjustRightInd w:val="0"/>
        <w:snapToGrid w:val="0"/>
        <w:spacing w:line="360" w:lineRule="auto"/>
        <w:ind w:firstLine="360" w:firstLineChars="200"/>
        <w:rPr>
          <w:rFonts w:ascii="宋体" w:hAnsi="宋体" w:eastAsia="宋体" w:cs="宋体"/>
          <w:color w:val="auto"/>
          <w:sz w:val="19"/>
          <w:szCs w:val="19"/>
          <w:highlight w:val="none"/>
          <w:lang w:eastAsia="zh-CN"/>
        </w:rPr>
      </w:pPr>
      <w:r>
        <w:rPr>
          <w:rFonts w:hint="eastAsia" w:ascii="宋体" w:hAnsi="宋体" w:eastAsia="宋体"/>
          <w:color w:val="auto"/>
          <w:sz w:val="18"/>
          <w:szCs w:val="15"/>
          <w:highlight w:val="none"/>
          <w:lang w:eastAsia="zh-CN"/>
        </w:rPr>
        <w:t>预防应急管理方案</w:t>
      </w:r>
    </w:p>
    <w:p>
      <w:pPr>
        <w:adjustRightInd w:val="0"/>
        <w:snapToGrid w:val="0"/>
        <w:spacing w:line="360" w:lineRule="auto"/>
        <w:ind w:firstLine="360" w:firstLineChars="200"/>
        <w:rPr>
          <w:rFonts w:hint="default" w:ascii="宋体" w:hAnsi="宋体" w:eastAsia="宋体"/>
          <w:color w:val="auto"/>
          <w:sz w:val="18"/>
          <w:szCs w:val="15"/>
          <w:highlight w:val="none"/>
          <w:lang w:val="en-US" w:eastAsia="zh-CN"/>
        </w:rPr>
      </w:pPr>
      <w:r>
        <w:rPr>
          <w:rFonts w:hint="eastAsia" w:ascii="宋体" w:hAnsi="宋体" w:eastAsia="宋体"/>
          <w:color w:val="auto"/>
          <w:sz w:val="18"/>
          <w:szCs w:val="15"/>
          <w:highlight w:val="none"/>
          <w:lang w:eastAsia="zh-CN"/>
        </w:rPr>
        <w:t>说明：</w:t>
      </w:r>
      <w:r>
        <w:rPr>
          <w:rFonts w:hint="eastAsia" w:ascii="宋体" w:hAnsi="宋体" w:eastAsia="宋体"/>
          <w:color w:val="auto"/>
          <w:sz w:val="18"/>
          <w:szCs w:val="15"/>
          <w:highlight w:val="none"/>
          <w:lang w:val="en-US" w:eastAsia="zh-CN"/>
        </w:rPr>
        <w:t>根据“第三部分 开标、资格审查、评标、定标”商务技术评审表的要求提供相关材料。</w:t>
      </w:r>
    </w:p>
    <w:p>
      <w:pPr>
        <w:ind w:firstLine="440" w:firstLineChars="200"/>
        <w:jc w:val="center"/>
        <w:rPr>
          <w:rFonts w:hint="eastAsia" w:ascii="宋体" w:hAnsi="宋体" w:eastAsia="宋体" w:cs="Arial Unicode MS"/>
          <w:b/>
          <w:color w:val="auto"/>
          <w:sz w:val="28"/>
          <w:szCs w:val="18"/>
          <w:highlight w:val="none"/>
          <w:lang w:val="en-US" w:eastAsia="zh-CN" w:bidi="ar-SA"/>
        </w:rPr>
      </w:pPr>
      <w:r>
        <w:rPr>
          <w:rFonts w:ascii="宋体" w:hAnsi="宋体" w:eastAsia="宋体"/>
          <w:color w:val="auto"/>
          <w:highlight w:val="none"/>
          <w:lang w:eastAsia="zh-CN"/>
        </w:rPr>
        <w:br w:type="page"/>
      </w:r>
      <w:r>
        <w:rPr>
          <w:rFonts w:hint="eastAsia" w:ascii="宋体" w:hAnsi="宋体" w:eastAsia="宋体" w:cs="Arial Unicode MS"/>
          <w:b/>
          <w:color w:val="auto"/>
          <w:sz w:val="28"/>
          <w:szCs w:val="18"/>
          <w:highlight w:val="none"/>
          <w:lang w:val="en-US" w:eastAsia="zh-CN" w:bidi="ar-SA"/>
        </w:rPr>
        <w:t>投标一览表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487"/>
        <w:gridCol w:w="2148"/>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57"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序号</w:t>
            </w:r>
          </w:p>
        </w:tc>
        <w:tc>
          <w:tcPr>
            <w:tcW w:w="1459"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项目内容</w:t>
            </w:r>
          </w:p>
        </w:tc>
        <w:tc>
          <w:tcPr>
            <w:tcW w:w="1260"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合作期（年）</w:t>
            </w:r>
          </w:p>
        </w:tc>
        <w:tc>
          <w:tcPr>
            <w:tcW w:w="1522"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1"/>
                <w:szCs w:val="21"/>
                <w:highlight w:val="none"/>
                <w:lang w:val="en-US" w:eastAsia="zh-CN"/>
              </w:rPr>
            </w:pPr>
            <w:r>
              <w:rPr>
                <w:rFonts w:hint="default" w:ascii="宋体" w:hAnsi="宋体" w:eastAsia="宋体" w:cs="宋体"/>
                <w:b/>
                <w:bCs/>
                <w:color w:val="auto"/>
                <w:kern w:val="0"/>
                <w:sz w:val="21"/>
                <w:szCs w:val="21"/>
                <w:highlight w:val="none"/>
                <w:lang w:val="en-US" w:eastAsia="zh-CN"/>
              </w:rPr>
              <w:t>投标</w:t>
            </w:r>
            <w:r>
              <w:rPr>
                <w:rFonts w:hint="eastAsia" w:ascii="宋体" w:hAnsi="宋体" w:eastAsia="宋体" w:cs="宋体"/>
                <w:b/>
                <w:bCs/>
                <w:color w:val="auto"/>
                <w:kern w:val="0"/>
                <w:sz w:val="21"/>
                <w:szCs w:val="21"/>
                <w:highlight w:val="none"/>
                <w:lang w:val="en-US" w:eastAsia="zh-CN"/>
              </w:rPr>
              <w:t>总</w:t>
            </w:r>
            <w:r>
              <w:rPr>
                <w:rFonts w:hint="default" w:ascii="宋体" w:hAnsi="宋体" w:eastAsia="宋体" w:cs="宋体"/>
                <w:b/>
                <w:bCs/>
                <w:color w:val="auto"/>
                <w:kern w:val="0"/>
                <w:sz w:val="21"/>
                <w:szCs w:val="21"/>
                <w:highlight w:val="no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57"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p>
        </w:tc>
        <w:tc>
          <w:tcPr>
            <w:tcW w:w="1459"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北乡镇前村村委会党群服务中心大楼及地块公开招租项目（第二次）</w:t>
            </w:r>
          </w:p>
        </w:tc>
        <w:tc>
          <w:tcPr>
            <w:tcW w:w="1260" w:type="pct"/>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w:t>
            </w:r>
          </w:p>
        </w:tc>
        <w:tc>
          <w:tcPr>
            <w:tcW w:w="1522" w:type="pct"/>
            <w:shd w:val="clear" w:color="auto" w:fill="FFFF00"/>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0"/>
                <w:sz w:val="21"/>
                <w:szCs w:val="21"/>
                <w:highlight w:val="none"/>
                <w:lang w:val="en-US" w:eastAsia="zh-CN"/>
              </w:rPr>
            </w:pPr>
          </w:p>
        </w:tc>
      </w:tr>
    </w:tbl>
    <w:p>
      <w:pPr>
        <w:keepNext w:val="0"/>
        <w:keepLines w:val="0"/>
        <w:pageBreakBefore w:val="0"/>
        <w:widowControl w:val="0"/>
        <w:kinsoku/>
        <w:wordWrap/>
        <w:overflowPunct/>
        <w:topLinePunct w:val="0"/>
        <w:autoSpaceDE w:val="0"/>
        <w:autoSpaceDN w:val="0"/>
        <w:bidi w:val="0"/>
        <w:spacing w:line="360" w:lineRule="auto"/>
        <w:ind w:firstLine="400" w:firstLineChars="200"/>
        <w:textAlignment w:val="auto"/>
        <w:rPr>
          <w:rFonts w:hint="eastAsia" w:ascii="宋体" w:hAnsi="宋体" w:eastAsia="宋体"/>
          <w:color w:val="auto"/>
          <w:sz w:val="20"/>
          <w:szCs w:val="16"/>
          <w:highlight w:val="none"/>
          <w:lang w:val="en-US" w:eastAsia="zh-CN"/>
        </w:rPr>
      </w:pPr>
      <w:r>
        <w:rPr>
          <w:rFonts w:hint="eastAsia" w:ascii="宋体" w:hAnsi="宋体" w:eastAsia="宋体"/>
          <w:color w:val="auto"/>
          <w:sz w:val="20"/>
          <w:szCs w:val="16"/>
          <w:highlight w:val="none"/>
          <w:lang w:val="en-US" w:eastAsia="zh-CN"/>
        </w:rPr>
        <w:t>说明：</w:t>
      </w:r>
    </w:p>
    <w:p>
      <w:pPr>
        <w:keepNext w:val="0"/>
        <w:keepLines w:val="0"/>
        <w:pageBreakBefore w:val="0"/>
        <w:widowControl w:val="0"/>
        <w:kinsoku/>
        <w:wordWrap/>
        <w:overflowPunct/>
        <w:topLinePunct w:val="0"/>
        <w:autoSpaceDE w:val="0"/>
        <w:autoSpaceDN w:val="0"/>
        <w:bidi w:val="0"/>
        <w:spacing w:line="360" w:lineRule="auto"/>
        <w:ind w:firstLine="400" w:firstLineChars="200"/>
        <w:textAlignment w:val="auto"/>
        <w:rPr>
          <w:rFonts w:hint="default" w:ascii="宋体" w:hAnsi="宋体" w:eastAsia="宋体"/>
          <w:color w:val="auto"/>
          <w:sz w:val="20"/>
          <w:szCs w:val="16"/>
          <w:highlight w:val="none"/>
          <w:lang w:val="en-US" w:eastAsia="zh-CN"/>
        </w:rPr>
      </w:pPr>
      <w:r>
        <w:rPr>
          <w:rFonts w:hint="eastAsia" w:ascii="宋体" w:hAnsi="宋体" w:eastAsia="宋体"/>
          <w:color w:val="auto"/>
          <w:sz w:val="20"/>
          <w:szCs w:val="16"/>
          <w:highlight w:val="none"/>
          <w:lang w:val="en-US" w:eastAsia="zh-CN"/>
        </w:rPr>
        <w:t>1、租金预算1,857,931.25元，年租金81,360.00元/年，合作期20年，装修期免租3个月，租金每三年在上年租金基础上递增5%。</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firstLine="400" w:firstLineChars="200"/>
        <w:textAlignment w:val="auto"/>
        <w:rPr>
          <w:rFonts w:ascii="宋体" w:hAnsi="宋体" w:eastAsia="宋体"/>
          <w:color w:val="auto"/>
          <w:sz w:val="20"/>
          <w:szCs w:val="20"/>
          <w:highlight w:val="none"/>
          <w:lang w:eastAsia="zh-CN"/>
        </w:rPr>
      </w:pPr>
      <w:r>
        <w:rPr>
          <w:rFonts w:hint="eastAsia" w:ascii="宋体" w:hAnsi="宋体" w:eastAsia="宋体"/>
          <w:color w:val="auto"/>
          <w:sz w:val="20"/>
          <w:szCs w:val="16"/>
          <w:highlight w:val="none"/>
          <w:lang w:val="en-US" w:eastAsia="zh-CN"/>
        </w:rPr>
        <w:t>2、投标人如实在系统填报价格，报价不得低于预算总价，报价保留小数点后两位。</w:t>
      </w:r>
    </w:p>
    <w:p>
      <w:pPr>
        <w:rPr>
          <w:rFonts w:hint="eastAsia" w:ascii="宋体" w:hAnsi="宋体" w:eastAsia="宋体"/>
          <w:color w:val="auto"/>
          <w:sz w:val="36"/>
          <w:szCs w:val="36"/>
          <w:highlight w:val="none"/>
          <w:lang w:eastAsia="zh-CN"/>
        </w:rPr>
      </w:pPr>
      <w:r>
        <w:rPr>
          <w:rFonts w:hint="eastAsia" w:ascii="宋体" w:hAnsi="宋体" w:eastAsia="宋体"/>
          <w:color w:val="auto"/>
          <w:sz w:val="36"/>
          <w:szCs w:val="36"/>
          <w:highlight w:val="none"/>
          <w:lang w:eastAsia="zh-CN"/>
        </w:rPr>
        <w:br w:type="page"/>
      </w:r>
    </w:p>
    <w:p>
      <w:pPr>
        <w:jc w:val="center"/>
        <w:outlineLvl w:val="0"/>
        <w:rPr>
          <w:rFonts w:ascii="宋体" w:hAnsi="宋体" w:eastAsia="宋体"/>
          <w:color w:val="auto"/>
          <w:sz w:val="36"/>
          <w:szCs w:val="36"/>
          <w:highlight w:val="none"/>
          <w:lang w:eastAsia="zh-CN"/>
        </w:rPr>
      </w:pPr>
      <w:r>
        <w:rPr>
          <w:rFonts w:hint="eastAsia" w:ascii="宋体" w:hAnsi="宋体" w:eastAsia="宋体"/>
          <w:color w:val="auto"/>
          <w:sz w:val="36"/>
          <w:szCs w:val="36"/>
          <w:highlight w:val="none"/>
          <w:lang w:eastAsia="zh-CN"/>
        </w:rPr>
        <w:t xml:space="preserve">第五部分 </w:t>
      </w:r>
      <w:bookmarkStart w:id="2" w:name="_Hlk115180974"/>
      <w:r>
        <w:rPr>
          <w:rFonts w:hint="eastAsia" w:ascii="宋体" w:hAnsi="宋体" w:eastAsia="宋体"/>
          <w:color w:val="auto"/>
          <w:sz w:val="36"/>
          <w:szCs w:val="36"/>
          <w:highlight w:val="none"/>
          <w:lang w:eastAsia="zh-CN"/>
        </w:rPr>
        <w:t>用户需求书</w:t>
      </w:r>
      <w:bookmarkEnd w:id="2"/>
    </w:p>
    <w:p>
      <w:pPr>
        <w:tabs>
          <w:tab w:val="left" w:pos="790"/>
        </w:tabs>
        <w:rPr>
          <w:color w:val="auto"/>
          <w:sz w:val="24"/>
          <w:szCs w:val="24"/>
          <w:highlight w:val="none"/>
          <w:lang w:eastAsia="zh-CN"/>
        </w:rPr>
      </w:pP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根据镇政府关于乡村振兴工作的指示精神，为了带动全镇的乡村振兴，规划对乐昌市北乡镇前村村委楼进行农产品加工车间改造，并在北乡镇范围内成立农产品加工公司进行马蹄香芋切粒加工、产品研发等。为经营好乡村振兴示范项目，经研究论证，拟采取面向社会引进农产品加工经验丰富的企业进行运营，达到项目在全市乃至全省范围内起到有一定示范带动作用。</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（一）业主职责：</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.负责提供乐昌市北乡镇前村村委</w:t>
      </w:r>
      <w:r>
        <w:rPr>
          <w:rFonts w:hint="eastAsia" w:ascii="宋体" w:hAnsi="宋体" w:eastAsia="宋体"/>
          <w:color w:val="auto"/>
          <w:sz w:val="24"/>
          <w:szCs w:val="24"/>
          <w:highlight w:val="none"/>
          <w:lang w:val="en-US" w:eastAsia="zh-CN"/>
        </w:rPr>
        <w:t>楼</w:t>
      </w:r>
      <w:r>
        <w:rPr>
          <w:rFonts w:hint="eastAsia" w:ascii="宋体" w:hAnsi="宋体" w:eastAsia="宋体"/>
          <w:color w:val="auto"/>
          <w:sz w:val="24"/>
          <w:szCs w:val="24"/>
          <w:highlight w:val="none"/>
          <w:lang w:eastAsia="zh-CN"/>
        </w:rPr>
        <w:t>，并移交运营方进行农产品加工车间改造，确保项目建设顺利完成</w:t>
      </w:r>
      <w:r>
        <w:rPr>
          <w:rFonts w:ascii="宋体" w:hAnsi="宋体" w:eastAsia="宋体"/>
          <w:color w:val="auto"/>
          <w:sz w:val="24"/>
          <w:szCs w:val="24"/>
          <w:highlight w:val="none"/>
          <w:lang w:eastAsia="zh-CN"/>
        </w:rPr>
        <w:t>。</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2.协助运营方处理该项目的相关事务（协调周边的民事关系，</w:t>
      </w:r>
      <w:r>
        <w:rPr>
          <w:rFonts w:hint="eastAsia" w:ascii="宋体" w:hAnsi="宋体" w:eastAsia="宋体"/>
          <w:color w:val="auto"/>
          <w:sz w:val="24"/>
          <w:szCs w:val="24"/>
          <w:highlight w:val="none"/>
          <w:lang w:eastAsia="zh-CN"/>
        </w:rPr>
        <w:t>协助运营方办理特种行业许可证、消防许可证等营业必备证件</w:t>
      </w:r>
      <w:r>
        <w:rPr>
          <w:rFonts w:ascii="宋体" w:hAnsi="宋体" w:eastAsia="宋体"/>
          <w:color w:val="auto"/>
          <w:sz w:val="24"/>
          <w:szCs w:val="24"/>
          <w:highlight w:val="none"/>
          <w:lang w:eastAsia="zh-CN"/>
        </w:rPr>
        <w:t>），不参与运营方的日常经营管理事务。</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3.项目正式运营后，落实</w:t>
      </w:r>
      <w:r>
        <w:rPr>
          <w:rFonts w:hint="eastAsia" w:ascii="宋体" w:hAnsi="宋体" w:eastAsia="宋体"/>
          <w:color w:val="auto"/>
          <w:sz w:val="24"/>
          <w:szCs w:val="24"/>
          <w:highlight w:val="none"/>
          <w:lang w:eastAsia="zh-CN"/>
        </w:rPr>
        <w:t>乐昌市</w:t>
      </w:r>
      <w:r>
        <w:rPr>
          <w:rFonts w:ascii="宋体" w:hAnsi="宋体" w:eastAsia="宋体"/>
          <w:color w:val="auto"/>
          <w:sz w:val="24"/>
          <w:szCs w:val="24"/>
          <w:highlight w:val="none"/>
          <w:lang w:eastAsia="zh-CN"/>
        </w:rPr>
        <w:t>特定的现行相关优惠扶持政策，并协助争取国家、省、市等上级相关部门的优惠扶持政策。</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4.项目正式运营后，协助运营方上规，积极推动北乡镇乡村振兴工作，做好“百千万工程”。</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5</w:t>
      </w:r>
      <w:r>
        <w:rPr>
          <w:rFonts w:ascii="宋体" w:hAnsi="宋体" w:eastAsia="宋体"/>
          <w:color w:val="auto"/>
          <w:sz w:val="24"/>
          <w:szCs w:val="24"/>
          <w:highlight w:val="none"/>
          <w:lang w:eastAsia="zh-CN"/>
        </w:rPr>
        <w:t>.以</w:t>
      </w:r>
      <w:r>
        <w:rPr>
          <w:rFonts w:hint="eastAsia" w:ascii="宋体" w:hAnsi="宋体" w:eastAsia="宋体"/>
          <w:color w:val="auto"/>
          <w:sz w:val="24"/>
          <w:szCs w:val="24"/>
          <w:highlight w:val="none"/>
          <w:lang w:eastAsia="zh-CN"/>
        </w:rPr>
        <w:t>乐昌市北乡镇人民政府为业主，根据市委、市政府及有关部门规定，对整个北乡镇农产品加工</w:t>
      </w:r>
      <w:r>
        <w:rPr>
          <w:rFonts w:ascii="宋体" w:hAnsi="宋体" w:eastAsia="宋体"/>
          <w:color w:val="auto"/>
          <w:sz w:val="24"/>
          <w:szCs w:val="24"/>
          <w:highlight w:val="none"/>
          <w:lang w:eastAsia="zh-CN"/>
        </w:rPr>
        <w:t>乡村振兴示范项目运营进行监督管理，督促上缴国家各种税收和规费，合法经营。</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（二）运营方职责：</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1）接受和服从</w:t>
      </w:r>
      <w:r>
        <w:rPr>
          <w:rFonts w:hint="eastAsia" w:ascii="宋体" w:hAnsi="宋体" w:eastAsia="宋体"/>
          <w:color w:val="auto"/>
          <w:sz w:val="24"/>
          <w:szCs w:val="24"/>
          <w:highlight w:val="none"/>
          <w:lang w:eastAsia="zh-CN"/>
        </w:rPr>
        <w:t>乐昌市北乡镇人民政府</w:t>
      </w:r>
      <w:r>
        <w:rPr>
          <w:rFonts w:ascii="宋体" w:hAnsi="宋体" w:eastAsia="宋体"/>
          <w:color w:val="auto"/>
          <w:sz w:val="24"/>
          <w:szCs w:val="24"/>
          <w:highlight w:val="none"/>
          <w:lang w:eastAsia="zh-CN"/>
        </w:rPr>
        <w:t>及有关部门的监督和管理，依法经营，自负盈亏。</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2）运营方负责做好人员招聘、管理和培训，对项目的经营做好整体规划</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确保原材料采购、生产加工、仓储物流等</w:t>
      </w:r>
      <w:r>
        <w:rPr>
          <w:rFonts w:hint="default" w:ascii="宋体" w:hAnsi="宋体" w:eastAsia="宋体"/>
          <w:color w:val="auto"/>
          <w:sz w:val="24"/>
          <w:szCs w:val="24"/>
          <w:highlight w:val="none"/>
          <w:lang w:eastAsia="zh-CN"/>
        </w:rPr>
        <w:t>环节的顺畅运行。</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3）运营方在经营管理期间，要维护好</w:t>
      </w:r>
      <w:r>
        <w:rPr>
          <w:rFonts w:hint="eastAsia" w:ascii="宋体" w:hAnsi="宋体" w:eastAsia="宋体"/>
          <w:color w:val="auto"/>
          <w:sz w:val="24"/>
          <w:szCs w:val="24"/>
          <w:highlight w:val="none"/>
          <w:lang w:eastAsia="zh-CN"/>
        </w:rPr>
        <w:t>乐昌市北乡镇人民政府</w:t>
      </w:r>
      <w:r>
        <w:rPr>
          <w:rFonts w:ascii="宋体" w:hAnsi="宋体" w:eastAsia="宋体"/>
          <w:color w:val="auto"/>
          <w:sz w:val="24"/>
          <w:szCs w:val="24"/>
          <w:highlight w:val="none"/>
          <w:lang w:eastAsia="zh-CN"/>
        </w:rPr>
        <w:t>移交的资产，避免人为的损坏，每年</w:t>
      </w:r>
      <w:r>
        <w:rPr>
          <w:rFonts w:hint="eastAsia" w:ascii="宋体" w:hAnsi="宋体" w:eastAsia="宋体"/>
          <w:color w:val="auto"/>
          <w:sz w:val="24"/>
          <w:szCs w:val="24"/>
          <w:highlight w:val="none"/>
          <w:lang w:eastAsia="zh-CN"/>
        </w:rPr>
        <w:t>不定期</w:t>
      </w:r>
      <w:r>
        <w:rPr>
          <w:rFonts w:ascii="宋体" w:hAnsi="宋体" w:eastAsia="宋体"/>
          <w:color w:val="auto"/>
          <w:sz w:val="24"/>
          <w:szCs w:val="24"/>
          <w:highlight w:val="none"/>
          <w:lang w:eastAsia="zh-CN"/>
        </w:rPr>
        <w:t>向</w:t>
      </w:r>
      <w:r>
        <w:rPr>
          <w:rFonts w:hint="eastAsia" w:ascii="宋体" w:hAnsi="宋体" w:eastAsia="宋体"/>
          <w:color w:val="auto"/>
          <w:sz w:val="24"/>
          <w:szCs w:val="24"/>
          <w:highlight w:val="none"/>
          <w:lang w:eastAsia="zh-CN"/>
        </w:rPr>
        <w:t>乐昌市北乡镇人民政府</w:t>
      </w:r>
      <w:r>
        <w:rPr>
          <w:rFonts w:ascii="宋体" w:hAnsi="宋体" w:eastAsia="宋体"/>
          <w:color w:val="auto"/>
          <w:sz w:val="24"/>
          <w:szCs w:val="24"/>
          <w:highlight w:val="none"/>
          <w:lang w:eastAsia="zh-CN"/>
        </w:rPr>
        <w:t>汇报经营情况和今后经营的规划工作。</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4）配合</w:t>
      </w:r>
      <w:r>
        <w:rPr>
          <w:rFonts w:hint="eastAsia" w:ascii="宋体" w:hAnsi="宋体" w:eastAsia="宋体"/>
          <w:color w:val="auto"/>
          <w:sz w:val="24"/>
          <w:szCs w:val="24"/>
          <w:highlight w:val="none"/>
          <w:lang w:eastAsia="zh-CN"/>
        </w:rPr>
        <w:t>市</w:t>
      </w:r>
      <w:r>
        <w:rPr>
          <w:rFonts w:ascii="宋体" w:hAnsi="宋体" w:eastAsia="宋体"/>
          <w:color w:val="auto"/>
          <w:sz w:val="24"/>
          <w:szCs w:val="24"/>
          <w:highlight w:val="none"/>
          <w:lang w:eastAsia="zh-CN"/>
        </w:rPr>
        <w:t>行政主管部门和</w:t>
      </w:r>
      <w:r>
        <w:rPr>
          <w:rFonts w:hint="eastAsia" w:ascii="宋体" w:hAnsi="宋体" w:eastAsia="宋体"/>
          <w:color w:val="auto"/>
          <w:sz w:val="24"/>
          <w:szCs w:val="24"/>
          <w:highlight w:val="none"/>
          <w:lang w:eastAsia="zh-CN"/>
        </w:rPr>
        <w:t>乐昌市北乡镇人民政府</w:t>
      </w:r>
      <w:r>
        <w:rPr>
          <w:rFonts w:ascii="宋体" w:hAnsi="宋体" w:eastAsia="宋体"/>
          <w:color w:val="auto"/>
          <w:sz w:val="24"/>
          <w:szCs w:val="24"/>
          <w:highlight w:val="none"/>
          <w:lang w:eastAsia="zh-CN"/>
        </w:rPr>
        <w:t>，加强对</w:t>
      </w:r>
      <w:r>
        <w:rPr>
          <w:rFonts w:hint="eastAsia" w:ascii="宋体" w:hAnsi="宋体" w:eastAsia="宋体"/>
          <w:color w:val="auto"/>
          <w:sz w:val="24"/>
          <w:szCs w:val="24"/>
          <w:highlight w:val="none"/>
          <w:lang w:eastAsia="zh-CN"/>
        </w:rPr>
        <w:t>北乡镇农产品加工</w:t>
      </w:r>
      <w:r>
        <w:rPr>
          <w:rFonts w:ascii="宋体" w:hAnsi="宋体" w:eastAsia="宋体"/>
          <w:color w:val="auto"/>
          <w:sz w:val="24"/>
          <w:szCs w:val="24"/>
          <w:highlight w:val="none"/>
          <w:lang w:eastAsia="zh-CN"/>
        </w:rPr>
        <w:t>示范项目经营活动的日常监管检查，做好</w:t>
      </w:r>
      <w:r>
        <w:rPr>
          <w:rFonts w:hint="eastAsia" w:ascii="宋体" w:hAnsi="宋体" w:eastAsia="宋体"/>
          <w:color w:val="auto"/>
          <w:sz w:val="24"/>
          <w:szCs w:val="24"/>
          <w:highlight w:val="none"/>
          <w:lang w:eastAsia="zh-CN"/>
        </w:rPr>
        <w:t>日常</w:t>
      </w:r>
      <w:r>
        <w:rPr>
          <w:rFonts w:ascii="宋体" w:hAnsi="宋体" w:eastAsia="宋体"/>
          <w:color w:val="auto"/>
          <w:sz w:val="24"/>
          <w:szCs w:val="24"/>
          <w:highlight w:val="none"/>
          <w:lang w:eastAsia="zh-CN"/>
        </w:rPr>
        <w:t>管理工作，确保项目运营合法合规。</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5）项目运营期间做好消防、食品安全等工作，杜绝火灾、食物中毒、群体事件发生，并落实好事件的应急处理预案措施。</w:t>
      </w:r>
    </w:p>
    <w:p>
      <w:pPr>
        <w:pStyle w:val="3"/>
        <w:adjustRightInd w:val="0"/>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6）运营方在项目运营中不得从事经营有损国家社会利益的事项，确保该项目运营品质、形成</w:t>
      </w:r>
      <w:r>
        <w:rPr>
          <w:rFonts w:hint="eastAsia" w:ascii="宋体" w:hAnsi="宋体" w:eastAsia="宋体"/>
          <w:color w:val="auto"/>
          <w:sz w:val="24"/>
          <w:szCs w:val="24"/>
          <w:highlight w:val="none"/>
          <w:lang w:eastAsia="zh-CN"/>
        </w:rPr>
        <w:t>农产品加工</w:t>
      </w:r>
      <w:r>
        <w:rPr>
          <w:rFonts w:ascii="宋体" w:hAnsi="宋体" w:eastAsia="宋体"/>
          <w:color w:val="auto"/>
          <w:sz w:val="24"/>
          <w:szCs w:val="24"/>
          <w:highlight w:val="none"/>
          <w:lang w:eastAsia="zh-CN"/>
        </w:rPr>
        <w:t>业态规模，如需开发新的经营项目需</w:t>
      </w:r>
      <w:r>
        <w:rPr>
          <w:rFonts w:hint="eastAsia" w:ascii="宋体" w:hAnsi="宋体" w:eastAsia="宋体"/>
          <w:color w:val="auto"/>
          <w:sz w:val="24"/>
          <w:szCs w:val="24"/>
          <w:highlight w:val="none"/>
          <w:lang w:eastAsia="zh-CN"/>
        </w:rPr>
        <w:t>乐昌市北乡镇人民政府</w:t>
      </w:r>
      <w:r>
        <w:rPr>
          <w:rFonts w:ascii="宋体" w:hAnsi="宋体" w:eastAsia="宋体"/>
          <w:color w:val="auto"/>
          <w:sz w:val="24"/>
          <w:szCs w:val="24"/>
          <w:highlight w:val="none"/>
          <w:lang w:eastAsia="zh-CN"/>
        </w:rPr>
        <w:t>同意的前提下方可实施经营。</w:t>
      </w:r>
    </w:p>
    <w:p>
      <w:pPr>
        <w:pStyle w:val="3"/>
        <w:adjustRightInd w:val="0"/>
        <w:snapToGrid w:val="0"/>
        <w:spacing w:line="360" w:lineRule="auto"/>
        <w:ind w:firstLine="416" w:firstLineChars="200"/>
        <w:rPr>
          <w:rFonts w:hint="default" w:ascii="宋体" w:hAnsi="宋体" w:eastAsia="宋体"/>
          <w:color w:val="auto"/>
          <w:sz w:val="24"/>
          <w:szCs w:val="24"/>
          <w:highlight w:val="none"/>
          <w:lang w:val="en-US" w:eastAsia="zh-CN"/>
        </w:rPr>
      </w:pPr>
      <w:r>
        <w:rPr>
          <w:rFonts w:hint="eastAsia" w:asciiTheme="minorEastAsia" w:hAnsiTheme="minorEastAsia" w:eastAsiaTheme="minorEastAsia"/>
          <w:color w:val="auto"/>
          <w:spacing w:val="-1"/>
          <w:sz w:val="21"/>
          <w:szCs w:val="21"/>
          <w:highlight w:val="none"/>
          <w:lang w:eastAsia="zh-CN"/>
        </w:rPr>
        <w:t>★</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7）运营方</w:t>
      </w:r>
      <w:r>
        <w:rPr>
          <w:rFonts w:hint="eastAsia" w:ascii="宋体" w:hAnsi="宋体" w:eastAsia="宋体"/>
          <w:color w:val="auto"/>
          <w:sz w:val="24"/>
          <w:szCs w:val="24"/>
          <w:highlight w:val="none"/>
          <w:lang w:val="en-US" w:eastAsia="zh-CN"/>
        </w:rPr>
        <w:t>承诺中标后</w:t>
      </w:r>
      <w:r>
        <w:rPr>
          <w:rFonts w:ascii="宋体" w:hAnsi="宋体" w:eastAsia="宋体"/>
          <w:color w:val="auto"/>
          <w:sz w:val="24"/>
          <w:szCs w:val="24"/>
          <w:highlight w:val="none"/>
          <w:lang w:eastAsia="zh-CN"/>
        </w:rPr>
        <w:t>在</w:t>
      </w:r>
      <w:r>
        <w:rPr>
          <w:rFonts w:hint="eastAsia" w:ascii="宋体" w:hAnsi="宋体" w:eastAsia="宋体"/>
          <w:color w:val="auto"/>
          <w:sz w:val="24"/>
          <w:szCs w:val="24"/>
          <w:highlight w:val="none"/>
          <w:lang w:eastAsia="zh-CN"/>
        </w:rPr>
        <w:t>乐昌市北乡镇</w:t>
      </w:r>
      <w:r>
        <w:rPr>
          <w:rFonts w:ascii="宋体" w:hAnsi="宋体" w:eastAsia="宋体"/>
          <w:color w:val="auto"/>
          <w:sz w:val="24"/>
          <w:szCs w:val="24"/>
          <w:highlight w:val="none"/>
          <w:lang w:eastAsia="zh-CN"/>
        </w:rPr>
        <w:t>注册成立具有独立法人资格的项目运营公司，注册资本金不低于人民币</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lang w:eastAsia="zh-CN"/>
        </w:rPr>
        <w:t>0</w:t>
      </w:r>
      <w:r>
        <w:rPr>
          <w:rFonts w:ascii="宋体" w:hAnsi="宋体" w:eastAsia="宋体"/>
          <w:color w:val="auto"/>
          <w:sz w:val="24"/>
          <w:szCs w:val="24"/>
          <w:highlight w:val="none"/>
          <w:lang w:eastAsia="zh-CN"/>
        </w:rPr>
        <w:t>万元，并将工商及税收关系注册至</w:t>
      </w:r>
      <w:r>
        <w:rPr>
          <w:rFonts w:hint="eastAsia" w:ascii="宋体" w:hAnsi="宋体" w:eastAsia="宋体"/>
          <w:color w:val="auto"/>
          <w:sz w:val="24"/>
          <w:szCs w:val="24"/>
          <w:highlight w:val="none"/>
          <w:lang w:eastAsia="zh-CN"/>
        </w:rPr>
        <w:t>乐昌市，</w:t>
      </w:r>
      <w:r>
        <w:rPr>
          <w:rFonts w:ascii="宋体" w:hAnsi="宋体" w:eastAsia="宋体"/>
          <w:color w:val="auto"/>
          <w:sz w:val="24"/>
          <w:szCs w:val="24"/>
          <w:highlight w:val="none"/>
          <w:lang w:eastAsia="zh-CN"/>
        </w:rPr>
        <w:t>应依法经营、照章纳税</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提供承诺函，格式自拟</w:t>
      </w:r>
      <w:r>
        <w:rPr>
          <w:rFonts w:hint="eastAsia" w:ascii="宋体" w:hAnsi="宋体" w:eastAsia="宋体"/>
          <w:color w:val="auto"/>
          <w:sz w:val="24"/>
          <w:szCs w:val="24"/>
          <w:highlight w:val="none"/>
          <w:lang w:eastAsia="zh-CN"/>
        </w:rPr>
        <w:t>）</w:t>
      </w:r>
    </w:p>
    <w:p>
      <w:pPr>
        <w:pStyle w:val="3"/>
        <w:adjustRightInd w:val="0"/>
        <w:snapToGrid w:val="0"/>
        <w:spacing w:line="360" w:lineRule="auto"/>
        <w:ind w:firstLine="416" w:firstLineChars="200"/>
        <w:rPr>
          <w:rFonts w:ascii="宋体" w:hAnsi="宋体" w:eastAsia="宋体"/>
          <w:color w:val="auto"/>
          <w:sz w:val="24"/>
          <w:szCs w:val="24"/>
          <w:highlight w:val="none"/>
          <w:lang w:eastAsia="zh-CN"/>
        </w:rPr>
      </w:pPr>
      <w:r>
        <w:rPr>
          <w:rFonts w:hint="eastAsia" w:asciiTheme="minorEastAsia" w:hAnsiTheme="minorEastAsia" w:eastAsiaTheme="minorEastAsia"/>
          <w:color w:val="auto"/>
          <w:spacing w:val="-1"/>
          <w:sz w:val="21"/>
          <w:szCs w:val="21"/>
          <w:highlight w:val="none"/>
          <w:lang w:eastAsia="zh-CN"/>
        </w:rPr>
        <w:t>★</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8）</w:t>
      </w:r>
      <w:r>
        <w:rPr>
          <w:rFonts w:hint="eastAsia" w:ascii="宋体" w:hAnsi="宋体" w:eastAsia="宋体"/>
          <w:color w:val="auto"/>
          <w:sz w:val="24"/>
          <w:szCs w:val="24"/>
          <w:highlight w:val="none"/>
          <w:lang w:eastAsia="zh-CN"/>
        </w:rPr>
        <w:t>如因业主原因要求终止协议，所有经营期间的固定资产均归业主所有，无形资产归运营方所有。如因运营方原因中途退出停止经营，所有经营期间的固定资产和无形资产投入均归业主所有，并赔偿业主的经济损失，业主有权追究其法律责任。当20年租期满，同等条件下，运营方有优先续约权</w:t>
      </w:r>
      <w:r>
        <w:rPr>
          <w:rFonts w:ascii="宋体" w:hAnsi="宋体" w:eastAsia="宋体"/>
          <w:color w:val="auto"/>
          <w:sz w:val="24"/>
          <w:szCs w:val="24"/>
          <w:highlight w:val="none"/>
          <w:lang w:eastAsia="zh-CN"/>
        </w:rPr>
        <w:t>。</w:t>
      </w:r>
    </w:p>
    <w:p>
      <w:pPr>
        <w:pStyle w:val="3"/>
        <w:adjustRightInd w:val="0"/>
        <w:snapToGrid w:val="0"/>
        <w:spacing w:line="360" w:lineRule="auto"/>
        <w:ind w:firstLine="476" w:firstLineChars="200"/>
        <w:rPr>
          <w:rFonts w:hint="eastAsia" w:asciiTheme="minorEastAsia" w:hAnsiTheme="minorEastAsia" w:eastAsiaTheme="minorEastAsia"/>
          <w:color w:val="auto"/>
          <w:spacing w:val="-1"/>
          <w:sz w:val="24"/>
          <w:szCs w:val="24"/>
          <w:highlight w:val="none"/>
          <w:lang w:eastAsia="zh-CN"/>
        </w:rPr>
      </w:pPr>
      <w:r>
        <w:rPr>
          <w:rFonts w:hint="eastAsia" w:asciiTheme="minorEastAsia" w:hAnsiTheme="minorEastAsia" w:eastAsiaTheme="minorEastAsia"/>
          <w:color w:val="auto"/>
          <w:spacing w:val="-1"/>
          <w:sz w:val="24"/>
          <w:szCs w:val="24"/>
          <w:highlight w:val="none"/>
          <w:lang w:eastAsia="zh-CN"/>
        </w:rPr>
        <w:t>★（9）在合作经营期间，租金预算1,857,931.25元，其中年租金81,360.00元/年，</w:t>
      </w:r>
      <w:r>
        <w:rPr>
          <w:rFonts w:hint="eastAsia" w:asciiTheme="minorEastAsia" w:hAnsiTheme="minorEastAsia" w:eastAsiaTheme="minorEastAsia"/>
          <w:color w:val="auto"/>
          <w:spacing w:val="-1"/>
          <w:sz w:val="24"/>
          <w:szCs w:val="24"/>
          <w:highlight w:val="none"/>
          <w:lang w:val="en-US" w:eastAsia="zh-CN"/>
        </w:rPr>
        <w:t>合作期20年，</w:t>
      </w:r>
      <w:r>
        <w:rPr>
          <w:rFonts w:hint="eastAsia" w:asciiTheme="minorEastAsia" w:hAnsiTheme="minorEastAsia" w:eastAsiaTheme="minorEastAsia"/>
          <w:color w:val="auto"/>
          <w:spacing w:val="-1"/>
          <w:sz w:val="24"/>
          <w:szCs w:val="24"/>
          <w:highlight w:val="none"/>
          <w:lang w:eastAsia="zh-CN"/>
        </w:rPr>
        <w:t>装修期免租3个月，</w:t>
      </w:r>
      <w:r>
        <w:rPr>
          <w:rFonts w:hint="eastAsia" w:ascii="宋体" w:hAnsi="宋体"/>
          <w:color w:val="auto"/>
          <w:sz w:val="24"/>
          <w:highlight w:val="none"/>
          <w:lang w:eastAsia="zh-CN"/>
        </w:rPr>
        <w:t>租金每三年在上年租金基础上递增5%</w:t>
      </w:r>
      <w:r>
        <w:rPr>
          <w:rFonts w:hint="eastAsia" w:asciiTheme="minorEastAsia" w:hAnsiTheme="minorEastAsia" w:eastAsiaTheme="minorEastAsia"/>
          <w:color w:val="auto"/>
          <w:spacing w:val="-1"/>
          <w:sz w:val="24"/>
          <w:szCs w:val="24"/>
          <w:highlight w:val="none"/>
          <w:lang w:eastAsia="zh-CN"/>
        </w:rPr>
        <w:t>。</w:t>
      </w:r>
    </w:p>
    <w:p>
      <w:pPr>
        <w:pStyle w:val="3"/>
        <w:adjustRightInd w:val="0"/>
        <w:snapToGrid w:val="0"/>
        <w:spacing w:line="360" w:lineRule="auto"/>
        <w:ind w:firstLine="476" w:firstLineChars="200"/>
        <w:rPr>
          <w:rFonts w:hint="eastAsia" w:asciiTheme="minorEastAsia" w:hAnsiTheme="minorEastAsia" w:eastAsiaTheme="minorEastAsia"/>
          <w:color w:val="auto"/>
          <w:spacing w:val="-1"/>
          <w:sz w:val="24"/>
          <w:szCs w:val="24"/>
          <w:highlight w:val="none"/>
          <w:lang w:eastAsia="zh-CN"/>
        </w:rPr>
      </w:pPr>
      <w:r>
        <w:rPr>
          <w:rFonts w:hint="eastAsia" w:asciiTheme="minorEastAsia" w:hAnsiTheme="minorEastAsia" w:eastAsiaTheme="minorEastAsia"/>
          <w:color w:val="auto"/>
          <w:spacing w:val="-1"/>
          <w:sz w:val="24"/>
          <w:szCs w:val="24"/>
          <w:highlight w:val="none"/>
          <w:lang w:eastAsia="zh-CN"/>
        </w:rPr>
        <w:t>★（</w:t>
      </w:r>
      <w:r>
        <w:rPr>
          <w:rFonts w:hint="eastAsia" w:asciiTheme="minorEastAsia" w:hAnsiTheme="minorEastAsia" w:eastAsiaTheme="minorEastAsia"/>
          <w:color w:val="auto"/>
          <w:spacing w:val="-1"/>
          <w:sz w:val="24"/>
          <w:szCs w:val="24"/>
          <w:highlight w:val="none"/>
          <w:lang w:val="en-US" w:eastAsia="zh-CN"/>
        </w:rPr>
        <w:t>10</w:t>
      </w:r>
      <w:r>
        <w:rPr>
          <w:rFonts w:hint="eastAsia" w:asciiTheme="minorEastAsia" w:hAnsiTheme="minorEastAsia" w:eastAsiaTheme="minorEastAsia"/>
          <w:color w:val="auto"/>
          <w:spacing w:val="-1"/>
          <w:sz w:val="24"/>
          <w:szCs w:val="24"/>
          <w:highlight w:val="none"/>
          <w:lang w:eastAsia="zh-CN"/>
        </w:rPr>
        <w:t>）建设时限：甲方配合乙方办理开工前期所有的手续后，项目在6个月内建成并投入运营。</w:t>
      </w:r>
    </w:p>
    <w:p>
      <w:pPr>
        <w:pStyle w:val="3"/>
        <w:adjustRightInd w:val="0"/>
        <w:snapToGrid w:val="0"/>
        <w:spacing w:line="360" w:lineRule="auto"/>
        <w:ind w:firstLine="476" w:firstLineChars="200"/>
        <w:rPr>
          <w:rFonts w:hint="eastAsia" w:asciiTheme="minorEastAsia" w:hAnsiTheme="minorEastAsia" w:eastAsiaTheme="minorEastAsia"/>
          <w:color w:val="auto"/>
          <w:spacing w:val="-1"/>
          <w:sz w:val="24"/>
          <w:szCs w:val="24"/>
          <w:highlight w:val="none"/>
          <w:lang w:eastAsia="zh-CN"/>
        </w:rPr>
      </w:pPr>
      <w:r>
        <w:rPr>
          <w:rFonts w:hint="eastAsia" w:asciiTheme="minorEastAsia" w:hAnsiTheme="minorEastAsia" w:eastAsiaTheme="minorEastAsia"/>
          <w:color w:val="auto"/>
          <w:spacing w:val="-1"/>
          <w:sz w:val="24"/>
          <w:szCs w:val="24"/>
          <w:highlight w:val="none"/>
          <w:lang w:eastAsia="zh-CN"/>
        </w:rPr>
        <w:t>★（</w:t>
      </w:r>
      <w:r>
        <w:rPr>
          <w:rFonts w:hint="eastAsia" w:asciiTheme="minorEastAsia" w:hAnsiTheme="minorEastAsia" w:eastAsiaTheme="minorEastAsia"/>
          <w:color w:val="auto"/>
          <w:spacing w:val="-1"/>
          <w:sz w:val="24"/>
          <w:szCs w:val="24"/>
          <w:highlight w:val="none"/>
          <w:lang w:val="en-US" w:eastAsia="zh-CN"/>
        </w:rPr>
        <w:t>11</w:t>
      </w:r>
      <w:r>
        <w:rPr>
          <w:rFonts w:hint="eastAsia" w:asciiTheme="minorEastAsia" w:hAnsiTheme="minorEastAsia" w:eastAsiaTheme="minorEastAsia"/>
          <w:color w:val="auto"/>
          <w:spacing w:val="-1"/>
          <w:sz w:val="24"/>
          <w:szCs w:val="24"/>
          <w:highlight w:val="none"/>
          <w:lang w:eastAsia="zh-CN"/>
        </w:rPr>
        <w:t>）投资规模：为确保资产得到充分利用，乙方一期投资规模不得低于500万元，总投资规模不得低于2000万元。</w:t>
      </w:r>
    </w:p>
    <w:p>
      <w:pPr>
        <w:rPr>
          <w:rFonts w:hint="eastAsia" w:asciiTheme="minorEastAsia" w:hAnsiTheme="minorEastAsia" w:eastAsiaTheme="minorEastAsia"/>
          <w:color w:val="auto"/>
          <w:spacing w:val="-1"/>
          <w:sz w:val="21"/>
          <w:szCs w:val="21"/>
          <w:highlight w:val="none"/>
          <w:lang w:eastAsia="zh-CN"/>
        </w:rPr>
      </w:pPr>
    </w:p>
    <w:p>
      <w:pPr>
        <w:pStyle w:val="2"/>
        <w:rPr>
          <w:rFonts w:hint="eastAsia" w:asciiTheme="minorEastAsia" w:hAnsiTheme="minorEastAsia" w:eastAsiaTheme="minorEastAsia"/>
          <w:color w:val="auto"/>
          <w:spacing w:val="-1"/>
          <w:sz w:val="21"/>
          <w:szCs w:val="21"/>
          <w:highlight w:val="none"/>
          <w:lang w:eastAsia="zh-CN"/>
        </w:rPr>
      </w:pPr>
    </w:p>
    <w:p>
      <w:pPr>
        <w:pStyle w:val="3"/>
        <w:rPr>
          <w:rFonts w:hint="eastAsia"/>
          <w:color w:val="auto"/>
          <w:highlight w:val="none"/>
          <w:lang w:eastAsia="zh-CN"/>
        </w:rPr>
      </w:pPr>
    </w:p>
    <w:p>
      <w:pPr>
        <w:pStyle w:val="2"/>
        <w:rPr>
          <w:rFonts w:hint="eastAsia" w:ascii="宋体" w:hAnsi="宋体" w:eastAsia="宋体"/>
          <w:color w:val="auto"/>
          <w:sz w:val="24"/>
          <w:szCs w:val="24"/>
          <w:highlight w:val="none"/>
          <w:lang w:eastAsia="zh-CN"/>
        </w:rPr>
      </w:pPr>
    </w:p>
    <w:p>
      <w:pPr>
        <w:pStyle w:val="3"/>
        <w:rPr>
          <w:color w:val="auto"/>
          <w:highlight w:val="none"/>
          <w:lang w:eastAsia="zh-CN"/>
        </w:rPr>
      </w:pPr>
    </w:p>
    <w:p>
      <w:pPr>
        <w:jc w:val="center"/>
        <w:rPr>
          <w:rFonts w:ascii="宋体" w:hAnsi="宋体" w:eastAsia="宋体"/>
          <w:color w:val="auto"/>
          <w:sz w:val="24"/>
          <w:szCs w:val="24"/>
          <w:highlight w:val="none"/>
          <w:lang w:eastAsia="zh-CN"/>
        </w:rPr>
      </w:pPr>
    </w:p>
    <w:p>
      <w:pPr>
        <w:jc w:val="center"/>
        <w:rPr>
          <w:rFonts w:ascii="宋体" w:hAnsi="宋体" w:eastAsia="宋体"/>
          <w:color w:val="auto"/>
          <w:sz w:val="24"/>
          <w:szCs w:val="24"/>
          <w:highlight w:val="none"/>
          <w:lang w:eastAsia="zh-CN"/>
        </w:rPr>
      </w:pPr>
    </w:p>
    <w:p>
      <w:pPr>
        <w:jc w:val="center"/>
        <w:rPr>
          <w:rFonts w:ascii="宋体" w:hAnsi="宋体" w:eastAsia="宋体"/>
          <w:color w:val="auto"/>
          <w:sz w:val="24"/>
          <w:szCs w:val="24"/>
          <w:highlight w:val="none"/>
          <w:lang w:eastAsia="zh-CN"/>
        </w:rPr>
      </w:pPr>
    </w:p>
    <w:p>
      <w:pPr>
        <w:jc w:val="center"/>
        <w:rPr>
          <w:rFonts w:ascii="宋体" w:hAnsi="宋体" w:eastAsia="宋体"/>
          <w:color w:val="auto"/>
          <w:sz w:val="36"/>
          <w:szCs w:val="36"/>
          <w:highlight w:val="none"/>
          <w:lang w:eastAsia="zh-CN"/>
        </w:rPr>
      </w:pPr>
    </w:p>
    <w:p>
      <w:pPr>
        <w:jc w:val="center"/>
        <w:rPr>
          <w:rFonts w:ascii="宋体" w:hAnsi="宋体" w:eastAsia="宋体"/>
          <w:color w:val="auto"/>
          <w:sz w:val="36"/>
          <w:szCs w:val="36"/>
          <w:highlight w:val="none"/>
          <w:lang w:eastAsia="zh-CN"/>
        </w:rPr>
      </w:pPr>
    </w:p>
    <w:p>
      <w:pPr>
        <w:jc w:val="center"/>
        <w:rPr>
          <w:rFonts w:ascii="宋体" w:hAnsi="宋体" w:eastAsia="宋体"/>
          <w:color w:val="auto"/>
          <w:sz w:val="36"/>
          <w:szCs w:val="36"/>
          <w:highlight w:val="none"/>
          <w:lang w:eastAsia="zh-CN"/>
        </w:rPr>
      </w:pPr>
    </w:p>
    <w:p>
      <w:pPr>
        <w:jc w:val="center"/>
        <w:outlineLvl w:val="0"/>
        <w:rPr>
          <w:rFonts w:hint="eastAsia" w:ascii="宋体" w:hAnsi="宋体" w:eastAsia="宋体"/>
          <w:color w:val="auto"/>
          <w:sz w:val="36"/>
          <w:szCs w:val="36"/>
          <w:highlight w:val="none"/>
          <w:lang w:eastAsia="zh-CN"/>
        </w:rPr>
      </w:pPr>
      <w:r>
        <w:rPr>
          <w:rFonts w:hint="eastAsia" w:ascii="宋体" w:hAnsi="宋体" w:eastAsia="宋体"/>
          <w:color w:val="auto"/>
          <w:sz w:val="36"/>
          <w:szCs w:val="36"/>
          <w:highlight w:val="none"/>
          <w:lang w:eastAsia="zh-CN"/>
        </w:rPr>
        <w:t>第六部分 合同范本</w:t>
      </w:r>
    </w:p>
    <w:p>
      <w:pPr>
        <w:pStyle w:val="3"/>
        <w:adjustRightInd w:val="0"/>
        <w:snapToGrid w:val="0"/>
        <w:spacing w:line="360" w:lineRule="auto"/>
        <w:ind w:firstLine="380" w:firstLineChars="200"/>
        <w:rPr>
          <w:rFonts w:ascii="宋体" w:hAnsi="宋体" w:eastAsia="宋体"/>
          <w:color w:val="auto"/>
          <w:highlight w:val="none"/>
          <w:lang w:eastAsia="zh-CN"/>
        </w:rPr>
      </w:pPr>
    </w:p>
    <w:p>
      <w:pPr>
        <w:pStyle w:val="4"/>
        <w:rPr>
          <w:rFonts w:ascii="宋体" w:hAnsi="宋体"/>
          <w:color w:val="auto"/>
          <w:sz w:val="52"/>
          <w:szCs w:val="52"/>
          <w:highlight w:val="none"/>
          <w:lang w:eastAsia="zh-CN"/>
        </w:rPr>
      </w:pPr>
      <w:r>
        <w:rPr>
          <w:rFonts w:hint="eastAsia" w:ascii="宋体" w:hAnsi="宋体"/>
          <w:color w:val="auto"/>
          <w:sz w:val="52"/>
          <w:szCs w:val="52"/>
          <w:highlight w:val="none"/>
          <w:lang w:eastAsia="zh-CN"/>
        </w:rPr>
        <w:t>乐昌市行政事业单位国有资产租赁</w:t>
      </w:r>
    </w:p>
    <w:p>
      <w:pPr>
        <w:rPr>
          <w:rFonts w:ascii="宋体" w:hAnsi="宋体"/>
          <w:color w:val="auto"/>
          <w:sz w:val="84"/>
          <w:highlight w:val="none"/>
          <w:lang w:eastAsia="zh-CN"/>
        </w:rPr>
      </w:pPr>
    </w:p>
    <w:p>
      <w:pPr>
        <w:jc w:val="center"/>
        <w:rPr>
          <w:rFonts w:ascii="宋体" w:hAnsi="宋体"/>
          <w:color w:val="auto"/>
          <w:sz w:val="84"/>
          <w:highlight w:val="none"/>
          <w:lang w:eastAsia="zh-CN"/>
        </w:rPr>
      </w:pPr>
      <w:r>
        <w:rPr>
          <w:rFonts w:hint="eastAsia" w:ascii="宋体" w:hAnsi="宋体"/>
          <w:color w:val="auto"/>
          <w:sz w:val="84"/>
          <w:highlight w:val="none"/>
          <w:lang w:eastAsia="zh-CN"/>
        </w:rPr>
        <w:t>合</w:t>
      </w:r>
    </w:p>
    <w:p>
      <w:pPr>
        <w:jc w:val="center"/>
        <w:rPr>
          <w:rFonts w:ascii="宋体" w:hAnsi="宋体"/>
          <w:color w:val="auto"/>
          <w:sz w:val="84"/>
          <w:highlight w:val="none"/>
          <w:lang w:eastAsia="zh-CN"/>
        </w:rPr>
      </w:pPr>
    </w:p>
    <w:p>
      <w:pPr>
        <w:jc w:val="center"/>
        <w:rPr>
          <w:rFonts w:ascii="宋体" w:hAnsi="宋体"/>
          <w:color w:val="auto"/>
          <w:sz w:val="84"/>
          <w:highlight w:val="none"/>
          <w:lang w:eastAsia="zh-CN"/>
        </w:rPr>
      </w:pPr>
      <w:r>
        <w:rPr>
          <w:rFonts w:hint="eastAsia" w:ascii="宋体" w:hAnsi="宋体"/>
          <w:color w:val="auto"/>
          <w:sz w:val="84"/>
          <w:highlight w:val="none"/>
          <w:lang w:eastAsia="zh-CN"/>
        </w:rPr>
        <w:t>同</w:t>
      </w:r>
    </w:p>
    <w:p>
      <w:pPr>
        <w:jc w:val="center"/>
        <w:rPr>
          <w:rFonts w:ascii="宋体" w:hAnsi="宋体"/>
          <w:color w:val="auto"/>
          <w:sz w:val="84"/>
          <w:highlight w:val="none"/>
          <w:lang w:eastAsia="zh-CN"/>
        </w:rPr>
      </w:pPr>
    </w:p>
    <w:p>
      <w:pPr>
        <w:jc w:val="center"/>
        <w:rPr>
          <w:rFonts w:ascii="宋体" w:hAnsi="宋体"/>
          <w:color w:val="auto"/>
          <w:sz w:val="84"/>
          <w:highlight w:val="none"/>
          <w:lang w:eastAsia="zh-CN"/>
        </w:rPr>
      </w:pPr>
      <w:r>
        <w:rPr>
          <w:rFonts w:hint="eastAsia" w:ascii="宋体" w:hAnsi="宋体"/>
          <w:color w:val="auto"/>
          <w:sz w:val="84"/>
          <w:highlight w:val="none"/>
          <w:lang w:eastAsia="zh-CN"/>
        </w:rPr>
        <w:t>书</w:t>
      </w:r>
    </w:p>
    <w:p>
      <w:pPr>
        <w:rPr>
          <w:rFonts w:ascii="宋体" w:hAnsi="宋体"/>
          <w:color w:val="auto"/>
          <w:sz w:val="84"/>
          <w:highlight w:val="none"/>
          <w:lang w:eastAsia="zh-CN"/>
        </w:rPr>
      </w:pPr>
    </w:p>
    <w:p>
      <w:pPr>
        <w:rPr>
          <w:rFonts w:ascii="宋体" w:hAnsi="宋体"/>
          <w:color w:val="auto"/>
          <w:sz w:val="30"/>
          <w:szCs w:val="30"/>
          <w:highlight w:val="none"/>
          <w:lang w:eastAsia="zh-CN"/>
        </w:rPr>
      </w:pPr>
    </w:p>
    <w:p>
      <w:pPr>
        <w:jc w:val="center"/>
        <w:rPr>
          <w:rFonts w:ascii="宋体" w:hAnsi="宋体"/>
          <w:color w:val="auto"/>
          <w:sz w:val="30"/>
          <w:szCs w:val="30"/>
          <w:highlight w:val="none"/>
          <w:lang w:eastAsia="zh-CN"/>
        </w:rPr>
      </w:pPr>
      <w:r>
        <w:rPr>
          <w:rFonts w:hint="eastAsia" w:ascii="宋体" w:hAnsi="宋体"/>
          <w:color w:val="auto"/>
          <w:sz w:val="30"/>
          <w:szCs w:val="30"/>
          <w:highlight w:val="none"/>
          <w:lang w:eastAsia="zh-CN"/>
        </w:rPr>
        <w:t>合同编号（     ）</w:t>
      </w:r>
    </w:p>
    <w:p>
      <w:pPr>
        <w:jc w:val="center"/>
        <w:rPr>
          <w:rFonts w:ascii="宋体" w:hAnsi="宋体"/>
          <w:color w:val="auto"/>
          <w:sz w:val="30"/>
          <w:szCs w:val="30"/>
          <w:highlight w:val="none"/>
          <w:lang w:eastAsia="zh-CN"/>
        </w:rPr>
      </w:pPr>
      <w:r>
        <w:rPr>
          <w:rFonts w:hint="eastAsia" w:ascii="宋体" w:hAnsi="宋体"/>
          <w:color w:val="auto"/>
          <w:sz w:val="30"/>
          <w:szCs w:val="30"/>
          <w:highlight w:val="none"/>
          <w:lang w:eastAsia="zh-CN"/>
        </w:rPr>
        <w:t xml:space="preserve">  年   月    日</w:t>
      </w:r>
    </w:p>
    <w:p>
      <w:pPr>
        <w:jc w:val="center"/>
        <w:rPr>
          <w:rFonts w:ascii="宋体" w:hAnsi="宋体"/>
          <w:color w:val="auto"/>
          <w:sz w:val="30"/>
          <w:szCs w:val="30"/>
          <w:highlight w:val="none"/>
          <w:lang w:eastAsia="zh-CN"/>
        </w:rPr>
      </w:pPr>
    </w:p>
    <w:p>
      <w:pPr>
        <w:tabs>
          <w:tab w:val="left" w:pos="5040"/>
          <w:tab w:val="left" w:pos="5220"/>
        </w:tabs>
        <w:spacing w:line="480" w:lineRule="exact"/>
        <w:jc w:val="center"/>
        <w:rPr>
          <w:rFonts w:ascii="宋体" w:hAnsi="宋体"/>
          <w:b/>
          <w:color w:val="auto"/>
          <w:sz w:val="48"/>
          <w:szCs w:val="48"/>
          <w:highlight w:val="none"/>
          <w:lang w:eastAsia="zh-CN"/>
        </w:rPr>
      </w:pPr>
      <w:r>
        <w:rPr>
          <w:rFonts w:hint="eastAsia" w:ascii="宋体" w:hAnsi="宋体"/>
          <w:b/>
          <w:color w:val="auto"/>
          <w:sz w:val="48"/>
          <w:szCs w:val="48"/>
          <w:highlight w:val="none"/>
          <w:lang w:eastAsia="zh-CN"/>
        </w:rPr>
        <w:t>乐昌市行政事业单位国有资产租赁合同</w:t>
      </w:r>
    </w:p>
    <w:p>
      <w:pPr>
        <w:spacing w:line="390" w:lineRule="exact"/>
        <w:rPr>
          <w:rFonts w:ascii="宋体" w:hAnsi="宋体"/>
          <w:b/>
          <w:bCs/>
          <w:color w:val="auto"/>
          <w:sz w:val="24"/>
          <w:highlight w:val="none"/>
          <w:lang w:eastAsia="zh-CN"/>
        </w:rPr>
      </w:pPr>
    </w:p>
    <w:p>
      <w:pPr>
        <w:tabs>
          <w:tab w:val="left" w:pos="4320"/>
        </w:tabs>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甲方：      </w:t>
      </w:r>
      <w:r>
        <w:rPr>
          <w:rFonts w:hint="eastAsia" w:ascii="宋体" w:hAnsi="宋体" w:eastAsia="宋体" w:cs="宋体"/>
          <w:color w:val="auto"/>
          <w:sz w:val="24"/>
          <w:szCs w:val="24"/>
          <w:highlight w:val="none"/>
          <w:lang w:eastAsia="zh-CN"/>
        </w:rPr>
        <w:t xml:space="preserve">                （以下简称甲方）</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乙方：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（以下简称乙方）</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身份证号码：</w:t>
      </w:r>
      <w:r>
        <w:rPr>
          <w:rFonts w:hint="eastAsia" w:ascii="宋体" w:hAnsi="宋体" w:eastAsia="宋体" w:cs="宋体"/>
          <w:b/>
          <w:bCs/>
          <w:color w:val="auto"/>
          <w:sz w:val="24"/>
          <w:szCs w:val="24"/>
          <w:highlight w:val="none"/>
          <w:lang w:eastAsia="zh-CN"/>
        </w:rPr>
        <w:t xml:space="preserve"> </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p>
    <w:p>
      <w:pPr>
        <w:spacing w:line="480" w:lineRule="exac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联系电话： </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邮箱： </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shd w:val="clear" w:color="auto" w:fill="FFFFFF"/>
          <w:lang w:eastAsia="zh-CN"/>
        </w:rPr>
        <w:t>中华人民共和国民法典</w:t>
      </w:r>
      <w:r>
        <w:rPr>
          <w:rFonts w:hint="eastAsia" w:ascii="宋体" w:hAnsi="宋体" w:eastAsia="宋体" w:cs="宋体"/>
          <w:color w:val="auto"/>
          <w:sz w:val="24"/>
          <w:szCs w:val="24"/>
          <w:highlight w:val="none"/>
          <w:lang w:eastAsia="zh-CN"/>
        </w:rPr>
        <w:t>》及相关法律、法规的有关规定，甲、乙双方在公平、公正、自愿的基础上，经充分协商一致，就租赁事宜达成如下协议：</w:t>
      </w:r>
    </w:p>
    <w:p>
      <w:pPr>
        <w:tabs>
          <w:tab w:val="left" w:pos="1440"/>
        </w:tabs>
        <w:spacing w:line="4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第一条</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bCs/>
          <w:color w:val="auto"/>
          <w:sz w:val="24"/>
          <w:szCs w:val="24"/>
          <w:highlight w:val="none"/>
          <w:lang w:eastAsia="zh-CN"/>
        </w:rPr>
        <w:t>标的及用途</w:t>
      </w:r>
    </w:p>
    <w:p>
      <w:pPr>
        <w:spacing w:line="480" w:lineRule="exact"/>
        <w:ind w:left="480" w:leftChars="218"/>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1．租赁标的：甲方将位于</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租赁给乙方使用（</w:t>
      </w:r>
      <w:r>
        <w:rPr>
          <w:rFonts w:hint="eastAsia" w:ascii="宋体" w:hAnsi="宋体" w:eastAsia="宋体" w:cs="宋体"/>
          <w:b/>
          <w:color w:val="auto"/>
          <w:sz w:val="24"/>
          <w:szCs w:val="24"/>
          <w:highlight w:val="none"/>
          <w:lang w:eastAsia="zh-CN"/>
        </w:rPr>
        <w:t>面积约为</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w:t>
      </w:r>
    </w:p>
    <w:p>
      <w:pPr>
        <w:spacing w:line="48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2．租赁期间，对房产的门（含卷闸门）、窗、锁、水龙头、灯管等室内设施（含有关费用）由乙方自行修缮、更换并至租赁期限届满完整归还甲方。</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3．乙方基于对标的物已进行了实地了解，同意依照本合同规定的条款租赁该商铺。</w:t>
      </w:r>
    </w:p>
    <w:p>
      <w:pPr>
        <w:spacing w:line="48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4．租赁用途：乙方租用该资产作为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使用，如乙方单方面改变原用途或未经甲方同意擅自改变原用途的，甲方有权单方解除合同并将标的收回。</w:t>
      </w:r>
    </w:p>
    <w:p>
      <w:pPr>
        <w:spacing w:line="480" w:lineRule="exact"/>
        <w:ind w:firstLine="472" w:firstLineChars="196"/>
        <w:rPr>
          <w:rFonts w:hint="eastAsia" w:ascii="宋体" w:hAnsi="宋体" w:eastAsia="宋体" w:cs="宋体"/>
          <w:b/>
          <w:color w:val="auto"/>
          <w:sz w:val="24"/>
          <w:szCs w:val="24"/>
          <w:highlight w:val="none"/>
          <w:lang w:eastAsia="zh-CN"/>
        </w:rPr>
      </w:pPr>
    </w:p>
    <w:p>
      <w:pPr>
        <w:spacing w:line="480" w:lineRule="exact"/>
        <w:ind w:firstLine="472" w:firstLineChars="196"/>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第二条</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bCs/>
          <w:color w:val="auto"/>
          <w:sz w:val="24"/>
          <w:szCs w:val="24"/>
          <w:highlight w:val="none"/>
          <w:lang w:eastAsia="zh-CN"/>
        </w:rPr>
        <w:t>租赁期限</w:t>
      </w:r>
    </w:p>
    <w:p>
      <w:pPr>
        <w:pStyle w:val="1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本合同的有效期限为</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年，从</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日起至</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日止。租赁期间，因规划、城市建设、教育的需要等政府行为及重点工程建设需要征收或征用租赁标的时，甲方有权单方解除本合同，乙方应在收到甲方解除合同通知之日起</w:t>
      </w:r>
      <w:r>
        <w:rPr>
          <w:rFonts w:hint="eastAsia" w:ascii="宋体" w:hAnsi="宋体" w:eastAsia="宋体" w:cs="宋体"/>
          <w:color w:val="auto"/>
          <w:sz w:val="24"/>
          <w:szCs w:val="24"/>
          <w:highlight w:val="none"/>
          <w:u w:val="single"/>
          <w:lang w:eastAsia="zh-CN"/>
        </w:rPr>
        <w:t xml:space="preserve"> 三个月内 </w:t>
      </w:r>
      <w:r>
        <w:rPr>
          <w:rFonts w:hint="eastAsia" w:ascii="宋体" w:hAnsi="宋体" w:eastAsia="宋体" w:cs="宋体"/>
          <w:color w:val="auto"/>
          <w:sz w:val="24"/>
          <w:szCs w:val="24"/>
          <w:highlight w:val="none"/>
          <w:lang w:eastAsia="zh-CN"/>
        </w:rPr>
        <w:t>搬离清场并交还租赁标的给甲方，甲方已收取的保证金无息退还给乙方。</w:t>
      </w:r>
    </w:p>
    <w:p>
      <w:pPr>
        <w:pStyle w:val="10"/>
        <w:spacing w:line="480" w:lineRule="exact"/>
        <w:ind w:firstLine="472" w:firstLineChars="196"/>
        <w:rPr>
          <w:rFonts w:hint="eastAsia" w:ascii="宋体" w:hAnsi="宋体" w:eastAsia="宋体" w:cs="宋体"/>
          <w:b/>
          <w:color w:val="auto"/>
          <w:sz w:val="24"/>
          <w:szCs w:val="24"/>
          <w:highlight w:val="none"/>
          <w:lang w:eastAsia="zh-CN"/>
        </w:rPr>
      </w:pPr>
    </w:p>
    <w:p>
      <w:pPr>
        <w:pStyle w:val="10"/>
        <w:spacing w:line="480" w:lineRule="exact"/>
        <w:ind w:firstLine="472" w:firstLineChars="196"/>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第三条  关于租金、保证金及水电费等</w:t>
      </w:r>
    </w:p>
    <w:p>
      <w:pPr>
        <w:pStyle w:val="1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1．租金：租金标准为</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元/月，租金按本合同规定按</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收取，租金每三年在上年租金基础上递增5%，具体如下。</w:t>
      </w:r>
    </w:p>
    <w:tbl>
      <w:tblPr>
        <w:tblStyle w:val="19"/>
        <w:tblpPr w:leftFromText="180" w:rightFromText="180" w:vertAnchor="text" w:horzAnchor="page" w:tblpX="1927" w:tblpY="767"/>
        <w:tblOverlap w:val="never"/>
        <w:tblW w:w="86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61"/>
        <w:gridCol w:w="3231"/>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3" w:hRule="atLeast"/>
        </w:trPr>
        <w:tc>
          <w:tcPr>
            <w:tcW w:w="862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520" w:lineRule="exact"/>
              <w:ind w:left="0" w:right="0"/>
              <w:jc w:val="center"/>
              <w:textAlignment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0"/>
                <w:sz w:val="24"/>
                <w:szCs w:val="24"/>
                <w:highlight w:val="none"/>
                <w:lang w:val="en-US" w:eastAsia="zh-CN" w:bidi="ar"/>
              </w:rPr>
              <w:t>承租期租金明细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520" w:lineRule="exact"/>
              <w:ind w:left="0" w:right="0"/>
              <w:jc w:val="center"/>
              <w:textAlignment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0"/>
                <w:sz w:val="24"/>
                <w:szCs w:val="24"/>
                <w:highlight w:val="none"/>
                <w:lang w:val="en-US" w:eastAsia="zh-CN" w:bidi="ar"/>
              </w:rPr>
              <w:t>支付时间</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520" w:lineRule="exact"/>
              <w:ind w:left="0" w:right="0"/>
              <w:jc w:val="center"/>
              <w:textAlignment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0"/>
                <w:sz w:val="24"/>
                <w:szCs w:val="24"/>
                <w:highlight w:val="none"/>
                <w:lang w:val="en-US" w:eastAsia="zh-CN" w:bidi="ar"/>
              </w:rPr>
              <w:t>每季度支付金额</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before="0" w:beforeAutospacing="0" w:after="0" w:afterAutospacing="0" w:line="520" w:lineRule="exact"/>
              <w:ind w:left="0" w:right="0"/>
              <w:jc w:val="center"/>
              <w:textAlignment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0"/>
                <w:sz w:val="24"/>
                <w:szCs w:val="24"/>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38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kern w:val="2"/>
                <w:sz w:val="24"/>
                <w:szCs w:val="24"/>
                <w:highlight w:val="none"/>
                <w:lang w:val="en-US"/>
              </w:rPr>
            </w:pPr>
          </w:p>
        </w:tc>
      </w:tr>
    </w:tbl>
    <w:p>
      <w:pPr>
        <w:pStyle w:val="10"/>
        <w:spacing w:line="480" w:lineRule="exact"/>
        <w:rPr>
          <w:rFonts w:hint="eastAsia" w:ascii="宋体" w:hAnsi="宋体" w:eastAsia="宋体" w:cs="宋体"/>
          <w:color w:val="auto"/>
          <w:sz w:val="24"/>
          <w:szCs w:val="24"/>
          <w:highlight w:val="none"/>
          <w:lang w:eastAsia="zh-CN"/>
        </w:rPr>
      </w:pPr>
    </w:p>
    <w:p>
      <w:pPr>
        <w:pStyle w:val="1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2.租金支付时间：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       </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a.租金按月支付，则每月10日前付清当月租金；</w:t>
      </w:r>
    </w:p>
    <w:p>
      <w:pPr>
        <w:pStyle w:val="10"/>
        <w:widowControl/>
        <w:spacing w:line="520" w:lineRule="exact"/>
        <w:ind w:left="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b.</w:t>
      </w:r>
      <w:r>
        <w:rPr>
          <w:rFonts w:hint="eastAsia" w:ascii="宋体" w:hAnsi="宋体" w:eastAsia="宋体" w:cs="宋体"/>
          <w:color w:val="auto"/>
          <w:sz w:val="24"/>
          <w:szCs w:val="24"/>
          <w:highlight w:val="none"/>
          <w:lang w:eastAsia="zh-CN"/>
        </w:rPr>
        <w:t>租金按季支付，则每个季度第一个月的</w:t>
      </w:r>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lang w:eastAsia="zh-CN"/>
        </w:rPr>
        <w:t>日前付清当季租金；</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c.租金按年支付，则在每年1月10日前付清当年的租金；</w:t>
      </w:r>
    </w:p>
    <w:p>
      <w:pPr>
        <w:spacing w:line="48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3．保证金：公开竞租成功之日起十个工作日内，乙方必须向甲方交纳数额等同于四个月租金的保证金，合计：人民币叁万捌仟伍佰捌拾肆元整（小写¥38584元），乙方所交纳的保证金在合同期限内不计利息。乙方须在合同签订之日将保证金缴入甲方指定账户（户名：乐昌市政府物业服务中心，开户银行：广东乐昌农村商业银行股份有限公司乐银支行，开户账号： 80020000001778752）。合同履行完毕，在乙方无违约情形下，甲方按乙方提供的原甲方开具的有效保证金凭证在 五 个工作日内退还。乙方如因自己行为不能提供甲方原开具的有效保证金凭证或存在违约情形的，甲方将不退还该保证金。</w:t>
      </w:r>
    </w:p>
    <w:p>
      <w:pPr>
        <w:tabs>
          <w:tab w:val="left" w:pos="720"/>
        </w:tabs>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4、水、电、税等各项费用全部由乙方自行向各相关部门缴纳。</w:t>
      </w:r>
    </w:p>
    <w:p>
      <w:pPr>
        <w:spacing w:line="480" w:lineRule="exact"/>
        <w:ind w:firstLine="482" w:firstLineChars="200"/>
        <w:rPr>
          <w:rFonts w:hint="eastAsia" w:ascii="宋体" w:hAnsi="宋体" w:eastAsia="宋体" w:cs="宋体"/>
          <w:b/>
          <w:color w:val="auto"/>
          <w:sz w:val="24"/>
          <w:szCs w:val="24"/>
          <w:highlight w:val="none"/>
          <w:lang w:eastAsia="zh-CN"/>
        </w:rPr>
      </w:pPr>
    </w:p>
    <w:p>
      <w:pPr>
        <w:spacing w:line="4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第四条  租金缴纳方式</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本合同的具体租金缴纳方式如下：</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本合同的具体租金缴纳方式如下</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b/>
          <w:bCs w:val="0"/>
          <w:color w:val="auto"/>
          <w:kern w:val="2"/>
          <w:sz w:val="24"/>
          <w:szCs w:val="24"/>
          <w:highlight w:val="none"/>
          <w:u w:val="single"/>
          <w:lang w:val="en-US" w:eastAsia="zh-CN" w:bidi="ar"/>
        </w:rPr>
        <w:t>B</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A.由甲方、乙方、银行签订三方协议，通过银行于每</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b/>
          <w:bCs w:val="0"/>
          <w:color w:val="auto"/>
          <w:kern w:val="2"/>
          <w:sz w:val="24"/>
          <w:szCs w:val="24"/>
          <w:highlight w:val="none"/>
          <w:u w:val="single"/>
          <w:lang w:val="en-US" w:eastAsia="zh-CN" w:bidi="ar"/>
        </w:rPr>
        <w:t>季度</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10日前划扣乙方账户资金划入甲方指定账户，乙方账户在每月5日前必须有足够款项，以确保足额支付。</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甲方指定银行账户信息：</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开户户名：乐昌市政府物业服务中心</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开户银行：</w:t>
      </w:r>
      <w:r>
        <w:rPr>
          <w:rFonts w:hint="eastAsia" w:ascii="宋体" w:hAnsi="宋体" w:eastAsia="宋体" w:cs="宋体"/>
          <w:b/>
          <w:bCs/>
          <w:color w:val="auto"/>
          <w:kern w:val="2"/>
          <w:sz w:val="24"/>
          <w:szCs w:val="24"/>
          <w:highlight w:val="none"/>
          <w:lang w:val="en-US" w:eastAsia="zh-CN" w:bidi="ar"/>
        </w:rPr>
        <w:t>广东乐昌农村商业银行股份有限公司乐银支行</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 xml:space="preserve">开户账号： </w:t>
      </w:r>
      <w:r>
        <w:rPr>
          <w:rFonts w:hint="eastAsia" w:ascii="宋体" w:hAnsi="宋体" w:eastAsia="宋体" w:cs="宋体"/>
          <w:b/>
          <w:bCs/>
          <w:color w:val="auto"/>
          <w:kern w:val="2"/>
          <w:sz w:val="24"/>
          <w:szCs w:val="24"/>
          <w:highlight w:val="none"/>
          <w:lang w:val="en-US" w:eastAsia="zh-CN" w:bidi="ar"/>
        </w:rPr>
        <w:t>80020000001778752</w:t>
      </w:r>
      <w:r>
        <w:rPr>
          <w:rFonts w:hint="eastAsia" w:ascii="宋体" w:hAnsi="宋体" w:eastAsia="宋体" w:cs="宋体"/>
          <w:b/>
          <w:bCs w:val="0"/>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乙方银行账户信息：</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开户户名：</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开户银行：</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开户账号：</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B. 由乙方通过银行转账或现金缴存方式于每</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b/>
          <w:bCs w:val="0"/>
          <w:color w:val="auto"/>
          <w:kern w:val="2"/>
          <w:sz w:val="24"/>
          <w:szCs w:val="24"/>
          <w:highlight w:val="none"/>
          <w:u w:val="single"/>
          <w:lang w:val="en-US" w:eastAsia="zh-CN" w:bidi="ar"/>
        </w:rPr>
        <w:t>季度</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10日前将租金划入甲方指定账户。</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甲方指定银行账户信息：</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开户户名：乐昌市政府物业服务中心</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开户银行：广东乐昌农村商业银行股份有限公司乐银支行</w:t>
      </w:r>
    </w:p>
    <w:p>
      <w:pPr>
        <w:keepNext w:val="0"/>
        <w:keepLines w:val="0"/>
        <w:widowControl w:val="0"/>
        <w:suppressLineNumbers w:val="0"/>
        <w:spacing w:before="0" w:beforeAutospacing="0" w:after="0" w:afterAutospacing="0" w:line="520" w:lineRule="exact"/>
        <w:ind w:left="0" w:right="0" w:firstLine="482" w:firstLineChars="20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开户账号： 80020000001778752</w:t>
      </w:r>
    </w:p>
    <w:p>
      <w:pPr>
        <w:spacing w:line="480" w:lineRule="exact"/>
        <w:ind w:firstLine="482" w:firstLineChars="200"/>
        <w:rPr>
          <w:rFonts w:hint="eastAsia" w:ascii="宋体" w:hAnsi="宋体" w:eastAsia="宋体" w:cs="宋体"/>
          <w:b/>
          <w:color w:val="auto"/>
          <w:sz w:val="24"/>
          <w:szCs w:val="24"/>
          <w:highlight w:val="none"/>
          <w:lang w:eastAsia="zh-CN"/>
        </w:rPr>
      </w:pPr>
    </w:p>
    <w:p>
      <w:pPr>
        <w:spacing w:line="4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第五条</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bCs/>
          <w:color w:val="auto"/>
          <w:sz w:val="24"/>
          <w:szCs w:val="24"/>
          <w:highlight w:val="none"/>
          <w:lang w:eastAsia="zh-CN"/>
        </w:rPr>
        <w:t xml:space="preserve">双方权利、义务约定、合同的解除                  </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一、甲方的权利及义务</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1.依据本合同的规定，当乙方出现拖欠租金现象时，向乙方追缴拖欠租金；</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2.依据本合同第六条2款的有关规定解除本合同；</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3.根据合同有关规定将租赁标的物交付给乙方：</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（1）标的物如属闲置的资产，甲方在乙方公开招租应租成功并按规定已缴交了保证金之日起十个工作日之内将租赁标的物交付乙方使用；</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（2）原承租户通过公开招租取得原承租标的物的，甲方在甲、乙双方签订本合同生效之日起将租赁标的物交付乙方使用；</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（3）新承租户通过公开招租取得租赁标的物的，甲方在原承租户清场完毕之日起十个工作日内将租赁标的物交付乙方使用；</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4．协助乙方办理移交手续；</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监督乙方正确使用商铺，保证商铺设施完好并能正常使用；</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协助相关职能部门对违反有关规定的乙方经营行为进行监督、教育。</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二、乙方的权利及义务</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1．依据本合同的有关规定取得标的物使用权；</w:t>
      </w:r>
    </w:p>
    <w:p>
      <w:pPr>
        <w:pStyle w:val="1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2．按本合同规定缴纳租金；</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3．按照本合同规定的用途使用租赁物，不得违反国家法律法规及相关政策的规定，不得违反本合同租赁用途的约定；</w:t>
      </w:r>
    </w:p>
    <w:p>
      <w:pPr>
        <w:pStyle w:val="1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4．租赁期间，租赁标的物的一切维修费用由乙方自行负责，同时，乙方因承租期间的生产经营需要发生的治安费、卫生费、物业管理费等一切费用均由乙方自行负责。</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租赁期间，乙方不得擅自改变房屋的结构及用途，乙方如因故意或过失造成资产毁损的，应负责恢复原状或赔偿甲方；乙方如需对标的物进行装修，须事先经得甲方同意并报政府有关主管部门取得许可，方可实施。有关房屋装修和所需的报批、报审、报建、报装水电等工作及相关费用，均由乙方负责；</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6．乙方在装修施工过程中，必须严格执行国家有关规定，采取严格安全防护措施进行装修施工，否则由此造成的一切后果均由乙方承担；</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7．租赁期间，乙方必须依照国家有关法律、法规及政策规定做好治安、消防防范工作；禁止私自乱拉电线，存放任何易燃、易爆违禁品，否则由此造成的一切后果由乙方负责；</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8．租赁期间，乙方必须持有效证照守法经营，不得利用租赁物进行违法活动、损害公共利益；认真做好消防、安全、疫情防控等工作，并自行负责有关租赁物治安、消防等的办证事宜和有关费用；</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9．禁止乙方私自占用或妨碍他人使用公共设施及公共场地，禁止在公共场地搭建任何建筑物，并服从相关职能部门的管理；</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10．租赁期间，乙方必须妥善保管、维护好甲方的资产（含租用或借用的办公设备、设施等），因乙方的责任给甲方造成损失的，应承担赔偿责任。</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11．乙方对周围卫生环境有管理的义务，做好门前“三包”（三包：包卫生、包设施、包秩序）的工作。</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租赁期间内，乙方是房屋的实际管理人，乙方要时刻注意防水、防火、防盗和防触电，并且不做危及自身安全的活动；在房屋内发生的一切安全事故，都由乙方来承担，与甲方无关，包括但不限于高空抛物、水电煤气等使用不当，在房屋内摔倒等造成的人身伤亡；在租赁期间内私自改变房屋用途的并给甲方造成损失的，要按照实际损失进行赔偿。</w:t>
      </w:r>
    </w:p>
    <w:p>
      <w:pPr>
        <w:spacing w:line="480" w:lineRule="exact"/>
        <w:ind w:firstLine="482" w:firstLineChars="200"/>
        <w:rPr>
          <w:rFonts w:hint="eastAsia" w:ascii="宋体" w:hAnsi="宋体" w:eastAsia="宋体" w:cs="宋体"/>
          <w:b/>
          <w:bCs/>
          <w:color w:val="auto"/>
          <w:sz w:val="24"/>
          <w:szCs w:val="24"/>
          <w:highlight w:val="none"/>
          <w:lang w:eastAsia="zh-CN"/>
        </w:rPr>
      </w:pPr>
    </w:p>
    <w:p>
      <w:pPr>
        <w:spacing w:line="48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第六条 违约责任</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未经甲方书面同意，乙方不得以任何形式或理由将租赁物全部或部分转租、转让、转借他人或擅自调换使用，如经发现，甲方有权单方终止合同，并收回本合同所规定的租赁物。如造成甲方损失的，乙方应承担赔偿责任，且已缴纳保证金不予退还。</w:t>
      </w:r>
    </w:p>
    <w:p>
      <w:pPr>
        <w:spacing w:line="480" w:lineRule="exact"/>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乙方逾期未缴纳租金，每逾期一天，按当年应缴总额的3‰计缴滞纳金，经甲方以书面催款通知形式限期缴交仍未履行的,甲方可单方解除合同；延期缴纳租金超过一个月，除要求乙方付清所欠的租金及滞纳金外，甲方有权终止合同，并收回本合同所规定的租赁物，保证金不予退还。</w:t>
      </w:r>
      <w:r>
        <w:rPr>
          <w:rFonts w:hint="eastAsia" w:ascii="宋体" w:hAnsi="宋体" w:eastAsia="宋体" w:cs="宋体"/>
          <w:b/>
          <w:color w:val="auto"/>
          <w:sz w:val="24"/>
          <w:szCs w:val="24"/>
          <w:highlight w:val="none"/>
          <w:lang w:eastAsia="zh-CN"/>
        </w:rPr>
        <w:t xml:space="preserve">   </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甲方逾期将租赁物交付乙方使用造成乙方经济损失，由甲方负责赔偿损失。并每逾期一天按已支付租金总额1‰向乙方支付违约金。</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4.甲方不及时解决租赁物产权纠纷致租赁物无法正常使用造成乙方经济损失，由甲方负责赔偿损失。</w:t>
      </w:r>
    </w:p>
    <w:p>
      <w:pPr>
        <w:spacing w:line="480" w:lineRule="exact"/>
        <w:ind w:right="-150" w:rightChars="-68"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5.因乙方违约，甲方依约解除本合同的，乙方应在收到甲方发出的解除本合同通知之日起的</w:t>
      </w:r>
      <w:r>
        <w:rPr>
          <w:rFonts w:hint="eastAsia" w:ascii="宋体" w:hAnsi="宋体" w:eastAsia="宋体" w:cs="宋体"/>
          <w:color w:val="auto"/>
          <w:sz w:val="24"/>
          <w:szCs w:val="24"/>
          <w:highlight w:val="none"/>
          <w:u w:val="single"/>
          <w:lang w:eastAsia="zh-CN"/>
        </w:rPr>
        <w:t xml:space="preserve"> 一个</w:t>
      </w:r>
      <w:r>
        <w:rPr>
          <w:rFonts w:hint="eastAsia" w:ascii="宋体" w:hAnsi="宋体" w:eastAsia="宋体" w:cs="宋体"/>
          <w:color w:val="auto"/>
          <w:sz w:val="24"/>
          <w:szCs w:val="24"/>
          <w:highlight w:val="none"/>
          <w:u w:val="none"/>
          <w:lang w:eastAsia="zh-CN"/>
        </w:rPr>
        <w:t>月</w:t>
      </w:r>
      <w:r>
        <w:rPr>
          <w:rFonts w:hint="eastAsia" w:ascii="宋体" w:hAnsi="宋体" w:eastAsia="宋体" w:cs="宋体"/>
          <w:color w:val="auto"/>
          <w:sz w:val="24"/>
          <w:szCs w:val="24"/>
          <w:highlight w:val="none"/>
          <w:lang w:eastAsia="zh-CN"/>
        </w:rPr>
        <w:t>内，向甲方完整无损退还租赁物，并将自有物品移出。乙方逾期未退还租赁物和移出自有物品，甲方有权强行收回租赁物，乙方未移出的物品视为遗弃物处理。由此造成的一切损失，由乙方自行承担，甲方不负任何赔偿或补偿责任。</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6.乙方逾期返还租赁房屋期间按双倍租金计租，由此造成甲方其它经济损失，由乙方承担全部赔偿责任。</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7.因乙方不履行合同期内租赁房屋维修义务，导致甲方在本合同解除后对原租赁期内发生的租赁房屋破损进行维修，由乙方承担全部维修费用。</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8.因乙方欠缴税费和其它费用，经有关部门、单位催缴无果并影响甲方对租赁房屋的使用，甲方因此代缴代付后，有权向乙方追偿。</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9.因乙方违约或因乙方自身原因而解除本合同，甲方不退回乙方的保证金。</w:t>
      </w:r>
    </w:p>
    <w:p>
      <w:pPr>
        <w:spacing w:line="480" w:lineRule="exact"/>
        <w:ind w:firstLine="482" w:firstLineChars="200"/>
        <w:rPr>
          <w:rFonts w:hint="eastAsia" w:ascii="宋体" w:hAnsi="宋体" w:eastAsia="宋体" w:cs="宋体"/>
          <w:b/>
          <w:color w:val="auto"/>
          <w:sz w:val="24"/>
          <w:szCs w:val="24"/>
          <w:highlight w:val="none"/>
          <w:lang w:eastAsia="zh-CN"/>
        </w:rPr>
      </w:pPr>
    </w:p>
    <w:p>
      <w:pPr>
        <w:spacing w:line="4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第七条 </w:t>
      </w:r>
      <w:r>
        <w:rPr>
          <w:rFonts w:hint="eastAsia" w:ascii="宋体" w:hAnsi="宋体" w:eastAsia="宋体" w:cs="宋体"/>
          <w:color w:val="auto"/>
          <w:sz w:val="24"/>
          <w:szCs w:val="24"/>
          <w:highlight w:val="none"/>
          <w:lang w:eastAsia="zh-CN"/>
        </w:rPr>
        <w:t xml:space="preserve"> 合同期满或解除合同，乙方必须在合同期满之日或解除合同之日起十个工作日内将自有物、商品全部搬走, 并将租赁物恢复原状；逾期未搬走，甲方有权自行收回租赁物，并进行强制清场，且不向乙方负任何法律责任</w:t>
      </w:r>
    </w:p>
    <w:p>
      <w:pPr>
        <w:spacing w:line="480" w:lineRule="exact"/>
        <w:ind w:firstLine="482" w:firstLineChars="200"/>
        <w:rPr>
          <w:rFonts w:hint="eastAsia" w:ascii="宋体" w:hAnsi="宋体" w:eastAsia="宋体" w:cs="宋体"/>
          <w:b/>
          <w:color w:val="auto"/>
          <w:sz w:val="24"/>
          <w:szCs w:val="24"/>
          <w:highlight w:val="none"/>
          <w:lang w:eastAsia="zh-CN"/>
        </w:rPr>
      </w:pPr>
    </w:p>
    <w:p>
      <w:pPr>
        <w:spacing w:line="4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第八条 </w:t>
      </w:r>
      <w:r>
        <w:rPr>
          <w:rFonts w:hint="eastAsia" w:ascii="宋体" w:hAnsi="宋体" w:eastAsia="宋体" w:cs="宋体"/>
          <w:color w:val="auto"/>
          <w:sz w:val="24"/>
          <w:szCs w:val="24"/>
          <w:highlight w:val="none"/>
          <w:lang w:eastAsia="zh-CN"/>
        </w:rPr>
        <w:t xml:space="preserve"> 合同双方本着友好协商的原则，如出现问题应友好协商解决，如协商解决不成，可依法起诉至乐昌市人民法院。</w:t>
      </w:r>
    </w:p>
    <w:p>
      <w:pPr>
        <w:spacing w:line="480" w:lineRule="exact"/>
        <w:ind w:firstLine="482" w:firstLineChars="200"/>
        <w:rPr>
          <w:rFonts w:hint="eastAsia" w:ascii="宋体" w:hAnsi="宋体" w:eastAsia="宋体" w:cs="宋体"/>
          <w:b/>
          <w:color w:val="auto"/>
          <w:sz w:val="24"/>
          <w:szCs w:val="24"/>
          <w:highlight w:val="none"/>
          <w:lang w:eastAsia="zh-CN"/>
        </w:rPr>
      </w:pPr>
    </w:p>
    <w:p>
      <w:pPr>
        <w:spacing w:line="4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第九条</w:t>
      </w:r>
      <w:r>
        <w:rPr>
          <w:rFonts w:hint="eastAsia" w:ascii="宋体" w:hAnsi="宋体" w:eastAsia="宋体" w:cs="宋体"/>
          <w:color w:val="auto"/>
          <w:sz w:val="24"/>
          <w:szCs w:val="24"/>
          <w:highlight w:val="none"/>
          <w:lang w:eastAsia="zh-CN"/>
        </w:rPr>
        <w:t xml:space="preserve">  免责条款</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合同履行期间，如发生不可抗力致使本合同无法履行的，免除发生不可抗力方的责任但须履行法定的义务。</w:t>
      </w:r>
    </w:p>
    <w:p>
      <w:pPr>
        <w:numPr>
          <w:ilvl w:val="0"/>
          <w:numId w:val="0"/>
        </w:numPr>
        <w:spacing w:line="480" w:lineRule="exact"/>
        <w:ind w:firstLine="482" w:firstLineChars="200"/>
        <w:rPr>
          <w:rFonts w:hint="eastAsia" w:ascii="宋体" w:hAnsi="宋体" w:eastAsia="宋体" w:cs="宋体"/>
          <w:b/>
          <w:color w:val="auto"/>
          <w:sz w:val="24"/>
          <w:szCs w:val="24"/>
          <w:highlight w:val="none"/>
          <w:lang w:val="en-US" w:eastAsia="zh-CN"/>
        </w:rPr>
      </w:pPr>
    </w:p>
    <w:p>
      <w:pPr>
        <w:numPr>
          <w:ilvl w:val="0"/>
          <w:numId w:val="0"/>
        </w:numPr>
        <w:spacing w:line="4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第十条</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本合同未尽事宜由甲、乙双方另行协商达成补充协议，该补充协议构成本合同的组成部分，具有同等法律效力。本合同自签订之日起生效，合同期满后自行失效。</w:t>
      </w:r>
    </w:p>
    <w:p>
      <w:pPr>
        <w:spacing w:line="480" w:lineRule="exact"/>
        <w:ind w:firstLine="482" w:firstLineChars="200"/>
        <w:rPr>
          <w:rFonts w:hint="eastAsia" w:ascii="宋体" w:hAnsi="宋体" w:eastAsia="宋体" w:cs="宋体"/>
          <w:b/>
          <w:bCs/>
          <w:color w:val="auto"/>
          <w:sz w:val="24"/>
          <w:szCs w:val="24"/>
          <w:highlight w:val="none"/>
          <w:lang w:eastAsia="zh-CN"/>
        </w:rPr>
      </w:pPr>
    </w:p>
    <w:p>
      <w:pPr>
        <w:spacing w:line="4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第十一条</w:t>
      </w:r>
      <w:r>
        <w:rPr>
          <w:rFonts w:hint="eastAsia" w:ascii="宋体" w:hAnsi="宋体" w:eastAsia="宋体" w:cs="宋体"/>
          <w:color w:val="auto"/>
          <w:sz w:val="24"/>
          <w:szCs w:val="24"/>
          <w:highlight w:val="none"/>
          <w:lang w:eastAsia="zh-CN"/>
        </w:rPr>
        <w:t xml:space="preserve">  送达条款 本合同签署的地址为甲乙双方往来文书及法律文书的送达地址。如其中一方地址有变更，须书面告知另一方，书面告知另一方后，变更后的地址为送达地址；如未书面告知另一方的，则本合同签署的地址仍为双方往来文书及法律文书的送达地址。</w:t>
      </w:r>
    </w:p>
    <w:p>
      <w:pPr>
        <w:pStyle w:val="10"/>
        <w:spacing w:line="480" w:lineRule="exact"/>
        <w:ind w:firstLine="472" w:firstLineChars="196"/>
        <w:rPr>
          <w:rFonts w:hint="eastAsia" w:ascii="宋体" w:hAnsi="宋体" w:eastAsia="宋体" w:cs="宋体"/>
          <w:b/>
          <w:bCs/>
          <w:color w:val="auto"/>
          <w:sz w:val="24"/>
          <w:szCs w:val="24"/>
          <w:highlight w:val="none"/>
          <w:lang w:eastAsia="zh-CN"/>
        </w:rPr>
      </w:pPr>
    </w:p>
    <w:p>
      <w:pPr>
        <w:pStyle w:val="10"/>
        <w:spacing w:line="480" w:lineRule="exact"/>
        <w:ind w:firstLine="472" w:firstLineChars="196"/>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第十二条</w:t>
      </w:r>
      <w:r>
        <w:rPr>
          <w:rFonts w:hint="eastAsia" w:ascii="宋体" w:hAnsi="宋体" w:eastAsia="宋体" w:cs="宋体"/>
          <w:color w:val="auto"/>
          <w:sz w:val="24"/>
          <w:szCs w:val="24"/>
          <w:highlight w:val="none"/>
          <w:lang w:eastAsia="zh-CN"/>
        </w:rPr>
        <w:t xml:space="preserve">  本合同自双方签订之日起生效。本合同正本一式四份，甲方三份，乙方一份，均具有同等法律效力。</w:t>
      </w:r>
    </w:p>
    <w:p>
      <w:pPr>
        <w:spacing w:line="480" w:lineRule="exact"/>
        <w:rPr>
          <w:rFonts w:hint="eastAsia" w:ascii="宋体" w:hAnsi="宋体" w:eastAsia="宋体" w:cs="宋体"/>
          <w:color w:val="auto"/>
          <w:sz w:val="24"/>
          <w:szCs w:val="24"/>
          <w:highlight w:val="none"/>
          <w:lang w:eastAsia="zh-CN"/>
        </w:rPr>
      </w:pP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甲方（盖章）：                             乙方（盖章）：      </w:t>
      </w:r>
    </w:p>
    <w:p>
      <w:pPr>
        <w:tabs>
          <w:tab w:val="left" w:pos="5940"/>
        </w:tabs>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法定代表人：                               签约人：             </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                                     地址：</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                                     电话：</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签订日期：    年   月   日                 签订日期：    年   月   日</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签订地点：       </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经办人：                                      初审人： </w:t>
      </w:r>
    </w:p>
    <w:p>
      <w:pPr>
        <w:spacing w:line="480" w:lineRule="exact"/>
        <w:rPr>
          <w:rFonts w:hint="eastAsia" w:ascii="宋体" w:hAnsi="宋体" w:eastAsia="宋体" w:cs="宋体"/>
          <w:color w:val="auto"/>
          <w:sz w:val="24"/>
          <w:szCs w:val="24"/>
          <w:highlight w:val="none"/>
          <w:lang w:eastAsia="zh-CN"/>
        </w:rPr>
      </w:pPr>
    </w:p>
    <w:p>
      <w:pPr>
        <w:spacing w:line="480" w:lineRule="exact"/>
        <w:rPr>
          <w:rFonts w:hint="eastAsia" w:ascii="宋体" w:hAnsi="宋体" w:eastAsia="宋体" w:cs="宋体"/>
          <w:color w:val="auto"/>
          <w:sz w:val="24"/>
          <w:szCs w:val="24"/>
          <w:highlight w:val="none"/>
          <w:lang w:eastAsia="zh-CN"/>
        </w:rPr>
      </w:pP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本合同未提及相关条款参照《乐昌市国有资产租赁管理暂行管理制度》执行。本合同样本中的条款仅作为双方签订合同的参考，为阐明各方的权利和义务，经协商可增加新的条款。但不得与招标文件、中标供应商投标文件的实质性内容相背离。</w:t>
      </w:r>
    </w:p>
    <w:p>
      <w:pPr>
        <w:pStyle w:val="3"/>
        <w:adjustRightInd w:val="0"/>
        <w:snapToGrid w:val="0"/>
        <w:spacing w:line="360" w:lineRule="auto"/>
        <w:ind w:firstLine="380" w:firstLineChars="200"/>
        <w:rPr>
          <w:rFonts w:ascii="宋体" w:hAnsi="宋体" w:eastAsia="宋体"/>
          <w:color w:val="auto"/>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624698"/>
    </w:sdtPr>
    <w:sdtContent>
      <w:p>
        <w:pPr>
          <w:pStyle w:val="15"/>
          <w:jc w:val="center"/>
        </w:pPr>
        <w:r>
          <w:fldChar w:fldCharType="begin"/>
        </w:r>
        <w:r>
          <w:instrText xml:space="preserve">PAGE   \* MERGEFORMAT</w:instrText>
        </w:r>
        <w:r>
          <w:fldChar w:fldCharType="separate"/>
        </w:r>
        <w:r>
          <w:rPr>
            <w:lang w:val="zh-CN" w:eastAsia="zh-CN"/>
          </w:rPr>
          <w:t>2</w:t>
        </w:r>
        <w: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025BA"/>
    <w:multiLevelType w:val="multilevel"/>
    <w:tmpl w:val="00A025BA"/>
    <w:lvl w:ilvl="0" w:tentative="0">
      <w:start w:val="21"/>
      <w:numFmt w:val="decimal"/>
      <w:lvlText w:val="%1"/>
      <w:lvlJc w:val="left"/>
      <w:pPr>
        <w:ind w:left="165" w:hanging="429"/>
      </w:pPr>
      <w:rPr>
        <w:rFonts w:hint="default"/>
      </w:rPr>
    </w:lvl>
    <w:lvl w:ilvl="1" w:tentative="0">
      <w:start w:val="1"/>
      <w:numFmt w:val="decimal"/>
      <w:lvlText w:val="%1.%2"/>
      <w:lvlJc w:val="left"/>
      <w:pPr>
        <w:ind w:left="165" w:hanging="429"/>
      </w:pPr>
      <w:rPr>
        <w:rFonts w:hint="default" w:cs="Verdana" w:asciiTheme="minorEastAsia" w:hAnsiTheme="minorEastAsia" w:eastAsiaTheme="minorEastAsia"/>
        <w:spacing w:val="5"/>
        <w:w w:val="83"/>
        <w:sz w:val="21"/>
        <w:szCs w:val="21"/>
      </w:rPr>
    </w:lvl>
    <w:lvl w:ilvl="2" w:tentative="0">
      <w:start w:val="0"/>
      <w:numFmt w:val="bullet"/>
      <w:lvlText w:val="•"/>
      <w:lvlJc w:val="left"/>
      <w:pPr>
        <w:ind w:left="2300" w:hanging="429"/>
      </w:pPr>
      <w:rPr>
        <w:rFonts w:hint="default"/>
      </w:rPr>
    </w:lvl>
    <w:lvl w:ilvl="3" w:tentative="0">
      <w:start w:val="0"/>
      <w:numFmt w:val="bullet"/>
      <w:lvlText w:val="•"/>
      <w:lvlJc w:val="left"/>
      <w:pPr>
        <w:ind w:left="3370" w:hanging="429"/>
      </w:pPr>
      <w:rPr>
        <w:rFonts w:hint="default"/>
      </w:rPr>
    </w:lvl>
    <w:lvl w:ilvl="4" w:tentative="0">
      <w:start w:val="0"/>
      <w:numFmt w:val="bullet"/>
      <w:lvlText w:val="•"/>
      <w:lvlJc w:val="left"/>
      <w:pPr>
        <w:ind w:left="4440" w:hanging="429"/>
      </w:pPr>
      <w:rPr>
        <w:rFonts w:hint="default"/>
      </w:rPr>
    </w:lvl>
    <w:lvl w:ilvl="5" w:tentative="0">
      <w:start w:val="0"/>
      <w:numFmt w:val="bullet"/>
      <w:lvlText w:val="•"/>
      <w:lvlJc w:val="left"/>
      <w:pPr>
        <w:ind w:left="5510" w:hanging="429"/>
      </w:pPr>
      <w:rPr>
        <w:rFonts w:hint="default"/>
      </w:rPr>
    </w:lvl>
    <w:lvl w:ilvl="6" w:tentative="0">
      <w:start w:val="0"/>
      <w:numFmt w:val="bullet"/>
      <w:lvlText w:val="•"/>
      <w:lvlJc w:val="left"/>
      <w:pPr>
        <w:ind w:left="6580" w:hanging="429"/>
      </w:pPr>
      <w:rPr>
        <w:rFonts w:hint="default"/>
      </w:rPr>
    </w:lvl>
    <w:lvl w:ilvl="7" w:tentative="0">
      <w:start w:val="0"/>
      <w:numFmt w:val="bullet"/>
      <w:lvlText w:val="•"/>
      <w:lvlJc w:val="left"/>
      <w:pPr>
        <w:ind w:left="7650" w:hanging="429"/>
      </w:pPr>
      <w:rPr>
        <w:rFonts w:hint="default"/>
      </w:rPr>
    </w:lvl>
    <w:lvl w:ilvl="8" w:tentative="0">
      <w:start w:val="0"/>
      <w:numFmt w:val="bullet"/>
      <w:lvlText w:val="•"/>
      <w:lvlJc w:val="left"/>
      <w:pPr>
        <w:ind w:left="8720" w:hanging="429"/>
      </w:pPr>
      <w:rPr>
        <w:rFonts w:hint="default"/>
      </w:rPr>
    </w:lvl>
  </w:abstractNum>
  <w:abstractNum w:abstractNumId="1">
    <w:nsid w:val="083B6D61"/>
    <w:multiLevelType w:val="multilevel"/>
    <w:tmpl w:val="083B6D61"/>
    <w:lvl w:ilvl="0" w:tentative="0">
      <w:start w:val="19"/>
      <w:numFmt w:val="decimal"/>
      <w:lvlText w:val="%1"/>
      <w:lvlJc w:val="left"/>
      <w:pPr>
        <w:ind w:left="165" w:hanging="500"/>
      </w:pPr>
      <w:rPr>
        <w:rFonts w:hint="default"/>
      </w:rPr>
    </w:lvl>
    <w:lvl w:ilvl="1" w:tentative="0">
      <w:start w:val="1"/>
      <w:numFmt w:val="decimal"/>
      <w:lvlText w:val="%1.%2"/>
      <w:lvlJc w:val="left"/>
      <w:pPr>
        <w:ind w:left="165" w:hanging="500"/>
      </w:pPr>
      <w:rPr>
        <w:rFonts w:hint="default" w:cs="Verdana" w:asciiTheme="minorEastAsia" w:hAnsiTheme="minorEastAsia" w:eastAsiaTheme="minorEastAsia"/>
        <w:spacing w:val="0"/>
        <w:w w:val="83"/>
        <w:sz w:val="21"/>
        <w:szCs w:val="21"/>
      </w:rPr>
    </w:lvl>
    <w:lvl w:ilvl="2" w:tentative="0">
      <w:start w:val="1"/>
      <w:numFmt w:val="decimal"/>
      <w:suff w:val="space"/>
      <w:lvlText w:val="%1.%2.%3"/>
      <w:lvlJc w:val="left"/>
      <w:pPr>
        <w:ind w:left="783" w:hanging="619"/>
      </w:pPr>
      <w:rPr>
        <w:rFonts w:hint="default" w:cs="Verdana" w:asciiTheme="minorEastAsia" w:hAnsiTheme="minorEastAsia" w:eastAsiaTheme="minorEastAsia"/>
        <w:spacing w:val="5"/>
        <w:w w:val="83"/>
        <w:sz w:val="21"/>
        <w:szCs w:val="21"/>
      </w:rPr>
    </w:lvl>
    <w:lvl w:ilvl="3" w:tentative="0">
      <w:start w:val="0"/>
      <w:numFmt w:val="bullet"/>
      <w:lvlText w:val="•"/>
      <w:lvlJc w:val="left"/>
      <w:pPr>
        <w:ind w:left="3020" w:hanging="619"/>
      </w:pPr>
      <w:rPr>
        <w:rFonts w:hint="default"/>
      </w:rPr>
    </w:lvl>
    <w:lvl w:ilvl="4" w:tentative="0">
      <w:start w:val="0"/>
      <w:numFmt w:val="bullet"/>
      <w:lvlText w:val="•"/>
      <w:lvlJc w:val="left"/>
      <w:pPr>
        <w:ind w:left="4140" w:hanging="619"/>
      </w:pPr>
      <w:rPr>
        <w:rFonts w:hint="default"/>
      </w:rPr>
    </w:lvl>
    <w:lvl w:ilvl="5" w:tentative="0">
      <w:start w:val="0"/>
      <w:numFmt w:val="bullet"/>
      <w:lvlText w:val="•"/>
      <w:lvlJc w:val="left"/>
      <w:pPr>
        <w:ind w:left="5260" w:hanging="619"/>
      </w:pPr>
      <w:rPr>
        <w:rFonts w:hint="default"/>
      </w:rPr>
    </w:lvl>
    <w:lvl w:ilvl="6" w:tentative="0">
      <w:start w:val="0"/>
      <w:numFmt w:val="bullet"/>
      <w:lvlText w:val="•"/>
      <w:lvlJc w:val="left"/>
      <w:pPr>
        <w:ind w:left="6380" w:hanging="619"/>
      </w:pPr>
      <w:rPr>
        <w:rFonts w:hint="default"/>
      </w:rPr>
    </w:lvl>
    <w:lvl w:ilvl="7" w:tentative="0">
      <w:start w:val="0"/>
      <w:numFmt w:val="bullet"/>
      <w:lvlText w:val="•"/>
      <w:lvlJc w:val="left"/>
      <w:pPr>
        <w:ind w:left="7500" w:hanging="619"/>
      </w:pPr>
      <w:rPr>
        <w:rFonts w:hint="default"/>
      </w:rPr>
    </w:lvl>
    <w:lvl w:ilvl="8" w:tentative="0">
      <w:start w:val="0"/>
      <w:numFmt w:val="bullet"/>
      <w:lvlText w:val="•"/>
      <w:lvlJc w:val="left"/>
      <w:pPr>
        <w:ind w:left="8620" w:hanging="619"/>
      </w:pPr>
      <w:rPr>
        <w:rFonts w:hint="default"/>
      </w:rPr>
    </w:lvl>
  </w:abstractNum>
  <w:abstractNum w:abstractNumId="2">
    <w:nsid w:val="154AEE0A"/>
    <w:multiLevelType w:val="singleLevel"/>
    <w:tmpl w:val="154AEE0A"/>
    <w:lvl w:ilvl="0" w:tentative="0">
      <w:start w:val="1"/>
      <w:numFmt w:val="decimal"/>
      <w:suff w:val="nothing"/>
      <w:lvlText w:val="%1、"/>
      <w:lvlJc w:val="left"/>
    </w:lvl>
  </w:abstractNum>
  <w:abstractNum w:abstractNumId="3">
    <w:nsid w:val="1D475F33"/>
    <w:multiLevelType w:val="multilevel"/>
    <w:tmpl w:val="1D475F33"/>
    <w:lvl w:ilvl="0" w:tentative="0">
      <w:start w:val="12"/>
      <w:numFmt w:val="decimal"/>
      <w:lvlText w:val="%1"/>
      <w:lvlJc w:val="left"/>
      <w:pPr>
        <w:ind w:left="165" w:hanging="429"/>
      </w:pPr>
      <w:rPr>
        <w:rFonts w:hint="default"/>
      </w:rPr>
    </w:lvl>
    <w:lvl w:ilvl="1" w:tentative="0">
      <w:start w:val="1"/>
      <w:numFmt w:val="decimal"/>
      <w:lvlText w:val="%1.%2"/>
      <w:lvlJc w:val="left"/>
      <w:pPr>
        <w:ind w:left="165" w:hanging="429"/>
      </w:pPr>
      <w:rPr>
        <w:rFonts w:hint="default" w:ascii="Verdana" w:hAnsi="Verdana" w:eastAsia="Verdana" w:cs="Verdana"/>
        <w:spacing w:val="5"/>
        <w:w w:val="83"/>
        <w:sz w:val="19"/>
        <w:szCs w:val="19"/>
      </w:rPr>
    </w:lvl>
    <w:lvl w:ilvl="2" w:tentative="0">
      <w:start w:val="0"/>
      <w:numFmt w:val="bullet"/>
      <w:lvlText w:val="•"/>
      <w:lvlJc w:val="left"/>
      <w:pPr>
        <w:ind w:left="2300" w:hanging="429"/>
      </w:pPr>
      <w:rPr>
        <w:rFonts w:hint="default"/>
      </w:rPr>
    </w:lvl>
    <w:lvl w:ilvl="3" w:tentative="0">
      <w:start w:val="0"/>
      <w:numFmt w:val="bullet"/>
      <w:lvlText w:val="•"/>
      <w:lvlJc w:val="left"/>
      <w:pPr>
        <w:ind w:left="3370" w:hanging="429"/>
      </w:pPr>
      <w:rPr>
        <w:rFonts w:hint="default"/>
      </w:rPr>
    </w:lvl>
    <w:lvl w:ilvl="4" w:tentative="0">
      <w:start w:val="0"/>
      <w:numFmt w:val="bullet"/>
      <w:lvlText w:val="•"/>
      <w:lvlJc w:val="left"/>
      <w:pPr>
        <w:ind w:left="4440" w:hanging="429"/>
      </w:pPr>
      <w:rPr>
        <w:rFonts w:hint="default"/>
      </w:rPr>
    </w:lvl>
    <w:lvl w:ilvl="5" w:tentative="0">
      <w:start w:val="0"/>
      <w:numFmt w:val="bullet"/>
      <w:lvlText w:val="•"/>
      <w:lvlJc w:val="left"/>
      <w:pPr>
        <w:ind w:left="5510" w:hanging="429"/>
      </w:pPr>
      <w:rPr>
        <w:rFonts w:hint="default"/>
      </w:rPr>
    </w:lvl>
    <w:lvl w:ilvl="6" w:tentative="0">
      <w:start w:val="0"/>
      <w:numFmt w:val="bullet"/>
      <w:lvlText w:val="•"/>
      <w:lvlJc w:val="left"/>
      <w:pPr>
        <w:ind w:left="6580" w:hanging="429"/>
      </w:pPr>
      <w:rPr>
        <w:rFonts w:hint="default"/>
      </w:rPr>
    </w:lvl>
    <w:lvl w:ilvl="7" w:tentative="0">
      <w:start w:val="0"/>
      <w:numFmt w:val="bullet"/>
      <w:lvlText w:val="•"/>
      <w:lvlJc w:val="left"/>
      <w:pPr>
        <w:ind w:left="7650" w:hanging="429"/>
      </w:pPr>
      <w:rPr>
        <w:rFonts w:hint="default"/>
      </w:rPr>
    </w:lvl>
    <w:lvl w:ilvl="8" w:tentative="0">
      <w:start w:val="0"/>
      <w:numFmt w:val="bullet"/>
      <w:lvlText w:val="•"/>
      <w:lvlJc w:val="left"/>
      <w:pPr>
        <w:ind w:left="8720" w:hanging="429"/>
      </w:pPr>
      <w:rPr>
        <w:rFonts w:hint="default"/>
      </w:rPr>
    </w:lvl>
  </w:abstractNum>
  <w:abstractNum w:abstractNumId="4">
    <w:nsid w:val="1FA40ADF"/>
    <w:multiLevelType w:val="multilevel"/>
    <w:tmpl w:val="1FA40ADF"/>
    <w:lvl w:ilvl="0" w:tentative="0">
      <w:start w:val="9"/>
      <w:numFmt w:val="decimal"/>
      <w:lvlText w:val="%1"/>
      <w:lvlJc w:val="left"/>
      <w:pPr>
        <w:ind w:left="165" w:hanging="310"/>
      </w:pPr>
      <w:rPr>
        <w:rFonts w:hint="default"/>
      </w:rPr>
    </w:lvl>
    <w:lvl w:ilvl="1" w:tentative="0">
      <w:start w:val="1"/>
      <w:numFmt w:val="decimal"/>
      <w:lvlText w:val="%1.%2"/>
      <w:lvlJc w:val="left"/>
      <w:pPr>
        <w:ind w:left="165" w:hanging="310"/>
      </w:pPr>
      <w:rPr>
        <w:rFonts w:hint="default" w:ascii="Verdana" w:hAnsi="Verdana" w:eastAsia="Verdana" w:cs="Verdana"/>
        <w:spacing w:val="5"/>
        <w:w w:val="83"/>
        <w:sz w:val="19"/>
        <w:szCs w:val="19"/>
      </w:rPr>
    </w:lvl>
    <w:lvl w:ilvl="2" w:tentative="0">
      <w:start w:val="1"/>
      <w:numFmt w:val="decimal"/>
      <w:lvlText w:val="%1.%2.%3"/>
      <w:lvlJc w:val="left"/>
      <w:pPr>
        <w:ind w:left="664" w:hanging="500"/>
      </w:pPr>
      <w:rPr>
        <w:rFonts w:hint="default" w:ascii="Verdana" w:hAnsi="Verdana" w:eastAsia="Verdana" w:cs="Verdana"/>
        <w:spacing w:val="5"/>
        <w:w w:val="83"/>
        <w:sz w:val="19"/>
        <w:szCs w:val="19"/>
      </w:rPr>
    </w:lvl>
    <w:lvl w:ilvl="3" w:tentative="0">
      <w:start w:val="0"/>
      <w:numFmt w:val="bullet"/>
      <w:lvlText w:val="•"/>
      <w:lvlJc w:val="left"/>
      <w:pPr>
        <w:ind w:left="2926" w:hanging="500"/>
      </w:pPr>
      <w:rPr>
        <w:rFonts w:hint="default"/>
      </w:rPr>
    </w:lvl>
    <w:lvl w:ilvl="4" w:tentative="0">
      <w:start w:val="0"/>
      <w:numFmt w:val="bullet"/>
      <w:lvlText w:val="•"/>
      <w:lvlJc w:val="left"/>
      <w:pPr>
        <w:ind w:left="4060" w:hanging="500"/>
      </w:pPr>
      <w:rPr>
        <w:rFonts w:hint="default"/>
      </w:rPr>
    </w:lvl>
    <w:lvl w:ilvl="5" w:tentative="0">
      <w:start w:val="0"/>
      <w:numFmt w:val="bullet"/>
      <w:lvlText w:val="•"/>
      <w:lvlJc w:val="left"/>
      <w:pPr>
        <w:ind w:left="5193" w:hanging="500"/>
      </w:pPr>
      <w:rPr>
        <w:rFonts w:hint="default"/>
      </w:rPr>
    </w:lvl>
    <w:lvl w:ilvl="6" w:tentative="0">
      <w:start w:val="0"/>
      <w:numFmt w:val="bullet"/>
      <w:lvlText w:val="•"/>
      <w:lvlJc w:val="left"/>
      <w:pPr>
        <w:ind w:left="6326" w:hanging="500"/>
      </w:pPr>
      <w:rPr>
        <w:rFonts w:hint="default"/>
      </w:rPr>
    </w:lvl>
    <w:lvl w:ilvl="7" w:tentative="0">
      <w:start w:val="0"/>
      <w:numFmt w:val="bullet"/>
      <w:lvlText w:val="•"/>
      <w:lvlJc w:val="left"/>
      <w:pPr>
        <w:ind w:left="7460" w:hanging="500"/>
      </w:pPr>
      <w:rPr>
        <w:rFonts w:hint="default"/>
      </w:rPr>
    </w:lvl>
    <w:lvl w:ilvl="8" w:tentative="0">
      <w:start w:val="0"/>
      <w:numFmt w:val="bullet"/>
      <w:lvlText w:val="•"/>
      <w:lvlJc w:val="left"/>
      <w:pPr>
        <w:ind w:left="8593" w:hanging="500"/>
      </w:pPr>
      <w:rPr>
        <w:rFonts w:hint="default"/>
      </w:rPr>
    </w:lvl>
  </w:abstractNum>
  <w:abstractNum w:abstractNumId="5">
    <w:nsid w:val="24325933"/>
    <w:multiLevelType w:val="multilevel"/>
    <w:tmpl w:val="24325933"/>
    <w:lvl w:ilvl="0" w:tentative="0">
      <w:start w:val="6"/>
      <w:numFmt w:val="decimal"/>
      <w:lvlText w:val="%1"/>
      <w:lvlJc w:val="left"/>
      <w:pPr>
        <w:ind w:left="165" w:hanging="310"/>
      </w:pPr>
      <w:rPr>
        <w:rFonts w:hint="default"/>
      </w:rPr>
    </w:lvl>
    <w:lvl w:ilvl="1" w:tentative="0">
      <w:start w:val="1"/>
      <w:numFmt w:val="decimal"/>
      <w:lvlText w:val="%1.%2"/>
      <w:lvlJc w:val="left"/>
      <w:pPr>
        <w:ind w:left="165" w:hanging="310"/>
      </w:pPr>
      <w:rPr>
        <w:rFonts w:hint="default" w:ascii="宋体" w:hAnsi="宋体" w:eastAsia="宋体" w:cs="宋体"/>
        <w:spacing w:val="5"/>
        <w:w w:val="83"/>
        <w:sz w:val="21"/>
        <w:szCs w:val="21"/>
      </w:rPr>
    </w:lvl>
    <w:lvl w:ilvl="2" w:tentative="0">
      <w:start w:val="0"/>
      <w:numFmt w:val="bullet"/>
      <w:lvlText w:val="•"/>
      <w:lvlJc w:val="left"/>
      <w:pPr>
        <w:ind w:left="2300" w:hanging="310"/>
      </w:pPr>
      <w:rPr>
        <w:rFonts w:hint="default"/>
      </w:rPr>
    </w:lvl>
    <w:lvl w:ilvl="3" w:tentative="0">
      <w:start w:val="0"/>
      <w:numFmt w:val="bullet"/>
      <w:lvlText w:val="•"/>
      <w:lvlJc w:val="left"/>
      <w:pPr>
        <w:ind w:left="3370" w:hanging="310"/>
      </w:pPr>
      <w:rPr>
        <w:rFonts w:hint="default"/>
      </w:rPr>
    </w:lvl>
    <w:lvl w:ilvl="4" w:tentative="0">
      <w:start w:val="0"/>
      <w:numFmt w:val="bullet"/>
      <w:lvlText w:val="•"/>
      <w:lvlJc w:val="left"/>
      <w:pPr>
        <w:ind w:left="4440" w:hanging="310"/>
      </w:pPr>
      <w:rPr>
        <w:rFonts w:hint="default"/>
      </w:rPr>
    </w:lvl>
    <w:lvl w:ilvl="5" w:tentative="0">
      <w:start w:val="0"/>
      <w:numFmt w:val="bullet"/>
      <w:lvlText w:val="•"/>
      <w:lvlJc w:val="left"/>
      <w:pPr>
        <w:ind w:left="5510" w:hanging="310"/>
      </w:pPr>
      <w:rPr>
        <w:rFonts w:hint="default"/>
      </w:rPr>
    </w:lvl>
    <w:lvl w:ilvl="6" w:tentative="0">
      <w:start w:val="0"/>
      <w:numFmt w:val="bullet"/>
      <w:lvlText w:val="•"/>
      <w:lvlJc w:val="left"/>
      <w:pPr>
        <w:ind w:left="6580" w:hanging="310"/>
      </w:pPr>
      <w:rPr>
        <w:rFonts w:hint="default"/>
      </w:rPr>
    </w:lvl>
    <w:lvl w:ilvl="7" w:tentative="0">
      <w:start w:val="0"/>
      <w:numFmt w:val="bullet"/>
      <w:lvlText w:val="•"/>
      <w:lvlJc w:val="left"/>
      <w:pPr>
        <w:ind w:left="7650" w:hanging="310"/>
      </w:pPr>
      <w:rPr>
        <w:rFonts w:hint="default"/>
      </w:rPr>
    </w:lvl>
    <w:lvl w:ilvl="8" w:tentative="0">
      <w:start w:val="0"/>
      <w:numFmt w:val="bullet"/>
      <w:lvlText w:val="•"/>
      <w:lvlJc w:val="left"/>
      <w:pPr>
        <w:ind w:left="8720" w:hanging="310"/>
      </w:pPr>
      <w:rPr>
        <w:rFonts w:hint="default"/>
      </w:rPr>
    </w:lvl>
  </w:abstractNum>
  <w:abstractNum w:abstractNumId="6">
    <w:nsid w:val="291D6F1D"/>
    <w:multiLevelType w:val="multilevel"/>
    <w:tmpl w:val="291D6F1D"/>
    <w:lvl w:ilvl="0" w:tentative="0">
      <w:start w:val="1"/>
      <w:numFmt w:val="japaneseCounting"/>
      <w:lvlText w:val="%1、"/>
      <w:lvlJc w:val="left"/>
      <w:pPr>
        <w:ind w:left="850" w:hanging="432"/>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7">
    <w:nsid w:val="2F4A720D"/>
    <w:multiLevelType w:val="multilevel"/>
    <w:tmpl w:val="2F4A720D"/>
    <w:lvl w:ilvl="0" w:tentative="0">
      <w:start w:val="17"/>
      <w:numFmt w:val="decimal"/>
      <w:lvlText w:val="%1"/>
      <w:lvlJc w:val="left"/>
      <w:pPr>
        <w:ind w:left="165" w:hanging="429"/>
      </w:pPr>
      <w:rPr>
        <w:rFonts w:hint="default"/>
      </w:rPr>
    </w:lvl>
    <w:lvl w:ilvl="1" w:tentative="0">
      <w:start w:val="1"/>
      <w:numFmt w:val="decimal"/>
      <w:lvlText w:val="%1.%2"/>
      <w:lvlJc w:val="left"/>
      <w:pPr>
        <w:ind w:left="165" w:hanging="429"/>
      </w:pPr>
      <w:rPr>
        <w:rFonts w:hint="default" w:ascii="Verdana" w:hAnsi="Verdana" w:eastAsia="Verdana" w:cs="Verdana"/>
        <w:spacing w:val="5"/>
        <w:w w:val="83"/>
        <w:sz w:val="19"/>
        <w:szCs w:val="19"/>
      </w:rPr>
    </w:lvl>
    <w:lvl w:ilvl="2" w:tentative="0">
      <w:start w:val="0"/>
      <w:numFmt w:val="bullet"/>
      <w:lvlText w:val="•"/>
      <w:lvlJc w:val="left"/>
      <w:pPr>
        <w:ind w:left="2300" w:hanging="429"/>
      </w:pPr>
      <w:rPr>
        <w:rFonts w:hint="default"/>
      </w:rPr>
    </w:lvl>
    <w:lvl w:ilvl="3" w:tentative="0">
      <w:start w:val="0"/>
      <w:numFmt w:val="bullet"/>
      <w:lvlText w:val="•"/>
      <w:lvlJc w:val="left"/>
      <w:pPr>
        <w:ind w:left="3370" w:hanging="429"/>
      </w:pPr>
      <w:rPr>
        <w:rFonts w:hint="default"/>
      </w:rPr>
    </w:lvl>
    <w:lvl w:ilvl="4" w:tentative="0">
      <w:start w:val="0"/>
      <w:numFmt w:val="bullet"/>
      <w:lvlText w:val="•"/>
      <w:lvlJc w:val="left"/>
      <w:pPr>
        <w:ind w:left="4440" w:hanging="429"/>
      </w:pPr>
      <w:rPr>
        <w:rFonts w:hint="default"/>
      </w:rPr>
    </w:lvl>
    <w:lvl w:ilvl="5" w:tentative="0">
      <w:start w:val="0"/>
      <w:numFmt w:val="bullet"/>
      <w:lvlText w:val="•"/>
      <w:lvlJc w:val="left"/>
      <w:pPr>
        <w:ind w:left="5510" w:hanging="429"/>
      </w:pPr>
      <w:rPr>
        <w:rFonts w:hint="default"/>
      </w:rPr>
    </w:lvl>
    <w:lvl w:ilvl="6" w:tentative="0">
      <w:start w:val="0"/>
      <w:numFmt w:val="bullet"/>
      <w:lvlText w:val="•"/>
      <w:lvlJc w:val="left"/>
      <w:pPr>
        <w:ind w:left="6580" w:hanging="429"/>
      </w:pPr>
      <w:rPr>
        <w:rFonts w:hint="default"/>
      </w:rPr>
    </w:lvl>
    <w:lvl w:ilvl="7" w:tentative="0">
      <w:start w:val="0"/>
      <w:numFmt w:val="bullet"/>
      <w:lvlText w:val="•"/>
      <w:lvlJc w:val="left"/>
      <w:pPr>
        <w:ind w:left="7650" w:hanging="429"/>
      </w:pPr>
      <w:rPr>
        <w:rFonts w:hint="default"/>
      </w:rPr>
    </w:lvl>
    <w:lvl w:ilvl="8" w:tentative="0">
      <w:start w:val="0"/>
      <w:numFmt w:val="bullet"/>
      <w:lvlText w:val="•"/>
      <w:lvlJc w:val="left"/>
      <w:pPr>
        <w:ind w:left="8720" w:hanging="429"/>
      </w:pPr>
      <w:rPr>
        <w:rFonts w:hint="default"/>
      </w:rPr>
    </w:lvl>
  </w:abstractNum>
  <w:abstractNum w:abstractNumId="8">
    <w:nsid w:val="345C69A8"/>
    <w:multiLevelType w:val="multilevel"/>
    <w:tmpl w:val="345C69A8"/>
    <w:lvl w:ilvl="0" w:tentative="0">
      <w:start w:val="13"/>
      <w:numFmt w:val="decimal"/>
      <w:lvlText w:val="%1"/>
      <w:lvlJc w:val="left"/>
      <w:pPr>
        <w:ind w:left="165" w:hanging="429"/>
      </w:pPr>
      <w:rPr>
        <w:rFonts w:hint="default"/>
      </w:rPr>
    </w:lvl>
    <w:lvl w:ilvl="1" w:tentative="0">
      <w:start w:val="1"/>
      <w:numFmt w:val="decimal"/>
      <w:lvlText w:val="%1.%2"/>
      <w:lvlJc w:val="left"/>
      <w:pPr>
        <w:ind w:left="165" w:hanging="429"/>
      </w:pPr>
      <w:rPr>
        <w:rFonts w:hint="default" w:ascii="Verdana" w:hAnsi="Verdana" w:eastAsia="Verdana" w:cs="Verdana"/>
        <w:spacing w:val="5"/>
        <w:w w:val="83"/>
        <w:sz w:val="19"/>
        <w:szCs w:val="19"/>
      </w:rPr>
    </w:lvl>
    <w:lvl w:ilvl="2" w:tentative="0">
      <w:start w:val="0"/>
      <w:numFmt w:val="bullet"/>
      <w:lvlText w:val="•"/>
      <w:lvlJc w:val="left"/>
      <w:pPr>
        <w:ind w:left="2300" w:hanging="429"/>
      </w:pPr>
      <w:rPr>
        <w:rFonts w:hint="default"/>
      </w:rPr>
    </w:lvl>
    <w:lvl w:ilvl="3" w:tentative="0">
      <w:start w:val="0"/>
      <w:numFmt w:val="bullet"/>
      <w:lvlText w:val="•"/>
      <w:lvlJc w:val="left"/>
      <w:pPr>
        <w:ind w:left="3370" w:hanging="429"/>
      </w:pPr>
      <w:rPr>
        <w:rFonts w:hint="default"/>
      </w:rPr>
    </w:lvl>
    <w:lvl w:ilvl="4" w:tentative="0">
      <w:start w:val="0"/>
      <w:numFmt w:val="bullet"/>
      <w:lvlText w:val="•"/>
      <w:lvlJc w:val="left"/>
      <w:pPr>
        <w:ind w:left="4440" w:hanging="429"/>
      </w:pPr>
      <w:rPr>
        <w:rFonts w:hint="default"/>
      </w:rPr>
    </w:lvl>
    <w:lvl w:ilvl="5" w:tentative="0">
      <w:start w:val="0"/>
      <w:numFmt w:val="bullet"/>
      <w:lvlText w:val="•"/>
      <w:lvlJc w:val="left"/>
      <w:pPr>
        <w:ind w:left="5510" w:hanging="429"/>
      </w:pPr>
      <w:rPr>
        <w:rFonts w:hint="default"/>
      </w:rPr>
    </w:lvl>
    <w:lvl w:ilvl="6" w:tentative="0">
      <w:start w:val="0"/>
      <w:numFmt w:val="bullet"/>
      <w:lvlText w:val="•"/>
      <w:lvlJc w:val="left"/>
      <w:pPr>
        <w:ind w:left="6580" w:hanging="429"/>
      </w:pPr>
      <w:rPr>
        <w:rFonts w:hint="default"/>
      </w:rPr>
    </w:lvl>
    <w:lvl w:ilvl="7" w:tentative="0">
      <w:start w:val="0"/>
      <w:numFmt w:val="bullet"/>
      <w:lvlText w:val="•"/>
      <w:lvlJc w:val="left"/>
      <w:pPr>
        <w:ind w:left="7650" w:hanging="429"/>
      </w:pPr>
      <w:rPr>
        <w:rFonts w:hint="default"/>
      </w:rPr>
    </w:lvl>
    <w:lvl w:ilvl="8" w:tentative="0">
      <w:start w:val="0"/>
      <w:numFmt w:val="bullet"/>
      <w:lvlText w:val="•"/>
      <w:lvlJc w:val="left"/>
      <w:pPr>
        <w:ind w:left="8720" w:hanging="429"/>
      </w:pPr>
      <w:rPr>
        <w:rFonts w:hint="default"/>
      </w:rPr>
    </w:lvl>
  </w:abstractNum>
  <w:abstractNum w:abstractNumId="9">
    <w:nsid w:val="34C64E22"/>
    <w:multiLevelType w:val="multilevel"/>
    <w:tmpl w:val="34C64E22"/>
    <w:lvl w:ilvl="0" w:tentative="0">
      <w:start w:val="19"/>
      <w:numFmt w:val="decimal"/>
      <w:lvlText w:val="%1"/>
      <w:lvlJc w:val="left"/>
      <w:pPr>
        <w:ind w:left="165" w:hanging="429"/>
      </w:pPr>
      <w:rPr>
        <w:rFonts w:hint="default"/>
      </w:rPr>
    </w:lvl>
    <w:lvl w:ilvl="1" w:tentative="0">
      <w:start w:val="4"/>
      <w:numFmt w:val="decimal"/>
      <w:lvlText w:val="%1.%2"/>
      <w:lvlJc w:val="left"/>
      <w:pPr>
        <w:ind w:left="165" w:hanging="429"/>
      </w:pPr>
      <w:rPr>
        <w:rFonts w:hint="default" w:cs="Verdana" w:asciiTheme="minorEastAsia" w:hAnsiTheme="minorEastAsia" w:eastAsiaTheme="minorEastAsia"/>
        <w:b w:val="0"/>
        <w:bCs w:val="0"/>
        <w:spacing w:val="5"/>
        <w:w w:val="83"/>
        <w:sz w:val="21"/>
        <w:szCs w:val="21"/>
      </w:rPr>
    </w:lvl>
    <w:lvl w:ilvl="2" w:tentative="0">
      <w:start w:val="0"/>
      <w:numFmt w:val="bullet"/>
      <w:lvlText w:val="•"/>
      <w:lvlJc w:val="left"/>
      <w:pPr>
        <w:ind w:left="2300" w:hanging="429"/>
      </w:pPr>
      <w:rPr>
        <w:rFonts w:hint="default"/>
      </w:rPr>
    </w:lvl>
    <w:lvl w:ilvl="3" w:tentative="0">
      <w:start w:val="0"/>
      <w:numFmt w:val="bullet"/>
      <w:lvlText w:val="•"/>
      <w:lvlJc w:val="left"/>
      <w:pPr>
        <w:ind w:left="3370" w:hanging="429"/>
      </w:pPr>
      <w:rPr>
        <w:rFonts w:hint="default"/>
      </w:rPr>
    </w:lvl>
    <w:lvl w:ilvl="4" w:tentative="0">
      <w:start w:val="0"/>
      <w:numFmt w:val="bullet"/>
      <w:lvlText w:val="•"/>
      <w:lvlJc w:val="left"/>
      <w:pPr>
        <w:ind w:left="4440" w:hanging="429"/>
      </w:pPr>
      <w:rPr>
        <w:rFonts w:hint="default"/>
      </w:rPr>
    </w:lvl>
    <w:lvl w:ilvl="5" w:tentative="0">
      <w:start w:val="0"/>
      <w:numFmt w:val="bullet"/>
      <w:lvlText w:val="•"/>
      <w:lvlJc w:val="left"/>
      <w:pPr>
        <w:ind w:left="5510" w:hanging="429"/>
      </w:pPr>
      <w:rPr>
        <w:rFonts w:hint="default"/>
      </w:rPr>
    </w:lvl>
    <w:lvl w:ilvl="6" w:tentative="0">
      <w:start w:val="0"/>
      <w:numFmt w:val="bullet"/>
      <w:lvlText w:val="•"/>
      <w:lvlJc w:val="left"/>
      <w:pPr>
        <w:ind w:left="6580" w:hanging="429"/>
      </w:pPr>
      <w:rPr>
        <w:rFonts w:hint="default"/>
      </w:rPr>
    </w:lvl>
    <w:lvl w:ilvl="7" w:tentative="0">
      <w:start w:val="0"/>
      <w:numFmt w:val="bullet"/>
      <w:lvlText w:val="•"/>
      <w:lvlJc w:val="left"/>
      <w:pPr>
        <w:ind w:left="7650" w:hanging="429"/>
      </w:pPr>
      <w:rPr>
        <w:rFonts w:hint="default"/>
      </w:rPr>
    </w:lvl>
    <w:lvl w:ilvl="8" w:tentative="0">
      <w:start w:val="0"/>
      <w:numFmt w:val="bullet"/>
      <w:lvlText w:val="•"/>
      <w:lvlJc w:val="left"/>
      <w:pPr>
        <w:ind w:left="8720" w:hanging="429"/>
      </w:pPr>
      <w:rPr>
        <w:rFonts w:hint="default"/>
      </w:rPr>
    </w:lvl>
  </w:abstractNum>
  <w:abstractNum w:abstractNumId="10">
    <w:nsid w:val="38D15CF9"/>
    <w:multiLevelType w:val="multilevel"/>
    <w:tmpl w:val="38D15CF9"/>
    <w:lvl w:ilvl="0" w:tentative="0">
      <w:start w:val="20"/>
      <w:numFmt w:val="decimal"/>
      <w:lvlText w:val="%1"/>
      <w:lvlJc w:val="left"/>
      <w:pPr>
        <w:ind w:left="165" w:hanging="572"/>
      </w:pPr>
      <w:rPr>
        <w:rFonts w:hint="default"/>
      </w:rPr>
    </w:lvl>
    <w:lvl w:ilvl="1" w:tentative="0">
      <w:start w:val="1"/>
      <w:numFmt w:val="decimal"/>
      <w:lvlText w:val="%1.%2"/>
      <w:lvlJc w:val="left"/>
      <w:pPr>
        <w:ind w:left="165" w:hanging="572"/>
      </w:pPr>
      <w:rPr>
        <w:rFonts w:hint="default" w:cs="Verdana" w:asciiTheme="minorEastAsia" w:hAnsiTheme="minorEastAsia" w:eastAsiaTheme="minorEastAsia"/>
        <w:spacing w:val="0"/>
        <w:w w:val="83"/>
        <w:sz w:val="21"/>
        <w:szCs w:val="21"/>
      </w:rPr>
    </w:lvl>
    <w:lvl w:ilvl="2" w:tentative="0">
      <w:start w:val="0"/>
      <w:numFmt w:val="bullet"/>
      <w:lvlText w:val="•"/>
      <w:lvlJc w:val="left"/>
      <w:pPr>
        <w:ind w:left="2300" w:hanging="572"/>
      </w:pPr>
      <w:rPr>
        <w:rFonts w:hint="default"/>
      </w:rPr>
    </w:lvl>
    <w:lvl w:ilvl="3" w:tentative="0">
      <w:start w:val="0"/>
      <w:numFmt w:val="bullet"/>
      <w:lvlText w:val="•"/>
      <w:lvlJc w:val="left"/>
      <w:pPr>
        <w:ind w:left="3370" w:hanging="572"/>
      </w:pPr>
      <w:rPr>
        <w:rFonts w:hint="default"/>
      </w:rPr>
    </w:lvl>
    <w:lvl w:ilvl="4" w:tentative="0">
      <w:start w:val="0"/>
      <w:numFmt w:val="bullet"/>
      <w:lvlText w:val="•"/>
      <w:lvlJc w:val="left"/>
      <w:pPr>
        <w:ind w:left="4440" w:hanging="572"/>
      </w:pPr>
      <w:rPr>
        <w:rFonts w:hint="default"/>
      </w:rPr>
    </w:lvl>
    <w:lvl w:ilvl="5" w:tentative="0">
      <w:start w:val="0"/>
      <w:numFmt w:val="bullet"/>
      <w:lvlText w:val="•"/>
      <w:lvlJc w:val="left"/>
      <w:pPr>
        <w:ind w:left="5510" w:hanging="572"/>
      </w:pPr>
      <w:rPr>
        <w:rFonts w:hint="default"/>
      </w:rPr>
    </w:lvl>
    <w:lvl w:ilvl="6" w:tentative="0">
      <w:start w:val="0"/>
      <w:numFmt w:val="bullet"/>
      <w:lvlText w:val="•"/>
      <w:lvlJc w:val="left"/>
      <w:pPr>
        <w:ind w:left="6580" w:hanging="572"/>
      </w:pPr>
      <w:rPr>
        <w:rFonts w:hint="default"/>
      </w:rPr>
    </w:lvl>
    <w:lvl w:ilvl="7" w:tentative="0">
      <w:start w:val="0"/>
      <w:numFmt w:val="bullet"/>
      <w:lvlText w:val="•"/>
      <w:lvlJc w:val="left"/>
      <w:pPr>
        <w:ind w:left="7650" w:hanging="572"/>
      </w:pPr>
      <w:rPr>
        <w:rFonts w:hint="default"/>
      </w:rPr>
    </w:lvl>
    <w:lvl w:ilvl="8" w:tentative="0">
      <w:start w:val="0"/>
      <w:numFmt w:val="bullet"/>
      <w:lvlText w:val="•"/>
      <w:lvlJc w:val="left"/>
      <w:pPr>
        <w:ind w:left="8720" w:hanging="572"/>
      </w:pPr>
      <w:rPr>
        <w:rFonts w:hint="default"/>
      </w:rPr>
    </w:lvl>
  </w:abstractNum>
  <w:abstractNum w:abstractNumId="11">
    <w:nsid w:val="403B4E10"/>
    <w:multiLevelType w:val="multilevel"/>
    <w:tmpl w:val="403B4E10"/>
    <w:lvl w:ilvl="0" w:tentative="0">
      <w:start w:val="15"/>
      <w:numFmt w:val="decimal"/>
      <w:lvlText w:val="%1"/>
      <w:lvlJc w:val="left"/>
      <w:pPr>
        <w:ind w:left="165" w:hanging="500"/>
      </w:pPr>
      <w:rPr>
        <w:rFonts w:hint="default"/>
      </w:rPr>
    </w:lvl>
    <w:lvl w:ilvl="1" w:tentative="0">
      <w:start w:val="1"/>
      <w:numFmt w:val="decimal"/>
      <w:lvlText w:val="%1.%2"/>
      <w:lvlJc w:val="left"/>
      <w:pPr>
        <w:ind w:left="165" w:hanging="500"/>
      </w:pPr>
      <w:rPr>
        <w:rFonts w:hint="default" w:ascii="Verdana" w:hAnsi="Verdana" w:eastAsia="Verdana" w:cs="Verdana"/>
        <w:spacing w:val="0"/>
        <w:w w:val="83"/>
        <w:sz w:val="21"/>
        <w:szCs w:val="21"/>
      </w:rPr>
    </w:lvl>
    <w:lvl w:ilvl="2" w:tentative="0">
      <w:start w:val="0"/>
      <w:numFmt w:val="bullet"/>
      <w:lvlText w:val="•"/>
      <w:lvlJc w:val="left"/>
      <w:pPr>
        <w:ind w:left="2300" w:hanging="500"/>
      </w:pPr>
      <w:rPr>
        <w:rFonts w:hint="default"/>
      </w:rPr>
    </w:lvl>
    <w:lvl w:ilvl="3" w:tentative="0">
      <w:start w:val="0"/>
      <w:numFmt w:val="bullet"/>
      <w:lvlText w:val="•"/>
      <w:lvlJc w:val="left"/>
      <w:pPr>
        <w:ind w:left="3370" w:hanging="500"/>
      </w:pPr>
      <w:rPr>
        <w:rFonts w:hint="default"/>
      </w:rPr>
    </w:lvl>
    <w:lvl w:ilvl="4" w:tentative="0">
      <w:start w:val="0"/>
      <w:numFmt w:val="bullet"/>
      <w:lvlText w:val="•"/>
      <w:lvlJc w:val="left"/>
      <w:pPr>
        <w:ind w:left="4440" w:hanging="500"/>
      </w:pPr>
      <w:rPr>
        <w:rFonts w:hint="default"/>
      </w:rPr>
    </w:lvl>
    <w:lvl w:ilvl="5" w:tentative="0">
      <w:start w:val="0"/>
      <w:numFmt w:val="bullet"/>
      <w:lvlText w:val="•"/>
      <w:lvlJc w:val="left"/>
      <w:pPr>
        <w:ind w:left="5510" w:hanging="500"/>
      </w:pPr>
      <w:rPr>
        <w:rFonts w:hint="default"/>
      </w:rPr>
    </w:lvl>
    <w:lvl w:ilvl="6" w:tentative="0">
      <w:start w:val="0"/>
      <w:numFmt w:val="bullet"/>
      <w:lvlText w:val="•"/>
      <w:lvlJc w:val="left"/>
      <w:pPr>
        <w:ind w:left="6580" w:hanging="500"/>
      </w:pPr>
      <w:rPr>
        <w:rFonts w:hint="default"/>
      </w:rPr>
    </w:lvl>
    <w:lvl w:ilvl="7" w:tentative="0">
      <w:start w:val="0"/>
      <w:numFmt w:val="bullet"/>
      <w:lvlText w:val="•"/>
      <w:lvlJc w:val="left"/>
      <w:pPr>
        <w:ind w:left="7650" w:hanging="500"/>
      </w:pPr>
      <w:rPr>
        <w:rFonts w:hint="default"/>
      </w:rPr>
    </w:lvl>
    <w:lvl w:ilvl="8" w:tentative="0">
      <w:start w:val="0"/>
      <w:numFmt w:val="bullet"/>
      <w:lvlText w:val="•"/>
      <w:lvlJc w:val="left"/>
      <w:pPr>
        <w:ind w:left="8720" w:hanging="500"/>
      </w:pPr>
      <w:rPr>
        <w:rFonts w:hint="default"/>
      </w:rPr>
    </w:lvl>
  </w:abstractNum>
  <w:abstractNum w:abstractNumId="12">
    <w:nsid w:val="41911BB0"/>
    <w:multiLevelType w:val="multilevel"/>
    <w:tmpl w:val="41911BB0"/>
    <w:lvl w:ilvl="0" w:tentative="0">
      <w:start w:val="8"/>
      <w:numFmt w:val="decimal"/>
      <w:lvlText w:val="%1"/>
      <w:lvlJc w:val="left"/>
      <w:pPr>
        <w:ind w:left="165" w:hanging="310"/>
      </w:pPr>
      <w:rPr>
        <w:rFonts w:hint="default"/>
      </w:rPr>
    </w:lvl>
    <w:lvl w:ilvl="1" w:tentative="0">
      <w:start w:val="1"/>
      <w:numFmt w:val="decimal"/>
      <w:lvlText w:val="%1.%2"/>
      <w:lvlJc w:val="left"/>
      <w:pPr>
        <w:ind w:left="165" w:hanging="310"/>
      </w:pPr>
      <w:rPr>
        <w:rFonts w:hint="default" w:ascii="Verdana" w:hAnsi="Verdana" w:eastAsia="Verdana" w:cs="Verdana"/>
        <w:spacing w:val="5"/>
        <w:w w:val="83"/>
        <w:sz w:val="19"/>
        <w:szCs w:val="19"/>
      </w:rPr>
    </w:lvl>
    <w:lvl w:ilvl="2" w:tentative="0">
      <w:start w:val="0"/>
      <w:numFmt w:val="bullet"/>
      <w:lvlText w:val="•"/>
      <w:lvlJc w:val="left"/>
      <w:pPr>
        <w:ind w:left="2300" w:hanging="310"/>
      </w:pPr>
      <w:rPr>
        <w:rFonts w:hint="default"/>
      </w:rPr>
    </w:lvl>
    <w:lvl w:ilvl="3" w:tentative="0">
      <w:start w:val="0"/>
      <w:numFmt w:val="bullet"/>
      <w:lvlText w:val="•"/>
      <w:lvlJc w:val="left"/>
      <w:pPr>
        <w:ind w:left="3370" w:hanging="310"/>
      </w:pPr>
      <w:rPr>
        <w:rFonts w:hint="default"/>
      </w:rPr>
    </w:lvl>
    <w:lvl w:ilvl="4" w:tentative="0">
      <w:start w:val="0"/>
      <w:numFmt w:val="bullet"/>
      <w:lvlText w:val="•"/>
      <w:lvlJc w:val="left"/>
      <w:pPr>
        <w:ind w:left="4440" w:hanging="310"/>
      </w:pPr>
      <w:rPr>
        <w:rFonts w:hint="default"/>
      </w:rPr>
    </w:lvl>
    <w:lvl w:ilvl="5" w:tentative="0">
      <w:start w:val="0"/>
      <w:numFmt w:val="bullet"/>
      <w:lvlText w:val="•"/>
      <w:lvlJc w:val="left"/>
      <w:pPr>
        <w:ind w:left="5510" w:hanging="310"/>
      </w:pPr>
      <w:rPr>
        <w:rFonts w:hint="default"/>
      </w:rPr>
    </w:lvl>
    <w:lvl w:ilvl="6" w:tentative="0">
      <w:start w:val="0"/>
      <w:numFmt w:val="bullet"/>
      <w:lvlText w:val="•"/>
      <w:lvlJc w:val="left"/>
      <w:pPr>
        <w:ind w:left="6580" w:hanging="310"/>
      </w:pPr>
      <w:rPr>
        <w:rFonts w:hint="default"/>
      </w:rPr>
    </w:lvl>
    <w:lvl w:ilvl="7" w:tentative="0">
      <w:start w:val="0"/>
      <w:numFmt w:val="bullet"/>
      <w:lvlText w:val="•"/>
      <w:lvlJc w:val="left"/>
      <w:pPr>
        <w:ind w:left="7650" w:hanging="310"/>
      </w:pPr>
      <w:rPr>
        <w:rFonts w:hint="default"/>
      </w:rPr>
    </w:lvl>
    <w:lvl w:ilvl="8" w:tentative="0">
      <w:start w:val="0"/>
      <w:numFmt w:val="bullet"/>
      <w:lvlText w:val="•"/>
      <w:lvlJc w:val="left"/>
      <w:pPr>
        <w:ind w:left="8720" w:hanging="310"/>
      </w:pPr>
      <w:rPr>
        <w:rFonts w:hint="default"/>
      </w:rPr>
    </w:lvl>
  </w:abstractNum>
  <w:abstractNum w:abstractNumId="13">
    <w:nsid w:val="5ABC1683"/>
    <w:multiLevelType w:val="multilevel"/>
    <w:tmpl w:val="5ABC1683"/>
    <w:lvl w:ilvl="0" w:tentative="0">
      <w:start w:val="5"/>
      <w:numFmt w:val="decimal"/>
      <w:lvlText w:val="%1"/>
      <w:lvlJc w:val="left"/>
      <w:pPr>
        <w:ind w:left="474" w:hanging="310"/>
      </w:pPr>
      <w:rPr>
        <w:rFonts w:hint="default"/>
      </w:rPr>
    </w:lvl>
    <w:lvl w:ilvl="1" w:tentative="0">
      <w:start w:val="1"/>
      <w:numFmt w:val="decimal"/>
      <w:lvlText w:val="%1.%2"/>
      <w:lvlJc w:val="left"/>
      <w:pPr>
        <w:ind w:left="474" w:hanging="310"/>
      </w:pPr>
      <w:rPr>
        <w:rFonts w:hint="default" w:ascii="宋体" w:hAnsi="宋体" w:eastAsia="宋体" w:cs="宋体"/>
        <w:spacing w:val="5"/>
        <w:w w:val="83"/>
        <w:sz w:val="21"/>
        <w:szCs w:val="21"/>
      </w:rPr>
    </w:lvl>
    <w:lvl w:ilvl="2" w:tentative="0">
      <w:start w:val="1"/>
      <w:numFmt w:val="decimal"/>
      <w:lvlText w:val="%1.%2.%3"/>
      <w:lvlJc w:val="left"/>
      <w:pPr>
        <w:ind w:left="736" w:hanging="572"/>
      </w:pPr>
      <w:rPr>
        <w:rFonts w:hint="default" w:ascii="宋体" w:hAnsi="宋体" w:eastAsia="宋体" w:cs="宋体"/>
        <w:spacing w:val="0"/>
        <w:w w:val="83"/>
        <w:sz w:val="21"/>
        <w:szCs w:val="21"/>
      </w:rPr>
    </w:lvl>
    <w:lvl w:ilvl="3" w:tentative="0">
      <w:start w:val="0"/>
      <w:numFmt w:val="bullet"/>
      <w:lvlText w:val="•"/>
      <w:lvlJc w:val="left"/>
      <w:pPr>
        <w:ind w:left="2988" w:hanging="572"/>
      </w:pPr>
      <w:rPr>
        <w:rFonts w:hint="default"/>
      </w:rPr>
    </w:lvl>
    <w:lvl w:ilvl="4" w:tentative="0">
      <w:start w:val="0"/>
      <w:numFmt w:val="bullet"/>
      <w:lvlText w:val="•"/>
      <w:lvlJc w:val="left"/>
      <w:pPr>
        <w:ind w:left="4113" w:hanging="572"/>
      </w:pPr>
      <w:rPr>
        <w:rFonts w:hint="default"/>
      </w:rPr>
    </w:lvl>
    <w:lvl w:ilvl="5" w:tentative="0">
      <w:start w:val="0"/>
      <w:numFmt w:val="bullet"/>
      <w:lvlText w:val="•"/>
      <w:lvlJc w:val="left"/>
      <w:pPr>
        <w:ind w:left="5237" w:hanging="572"/>
      </w:pPr>
      <w:rPr>
        <w:rFonts w:hint="default"/>
      </w:rPr>
    </w:lvl>
    <w:lvl w:ilvl="6" w:tentative="0">
      <w:start w:val="0"/>
      <w:numFmt w:val="bullet"/>
      <w:lvlText w:val="•"/>
      <w:lvlJc w:val="left"/>
      <w:pPr>
        <w:ind w:left="6362" w:hanging="572"/>
      </w:pPr>
      <w:rPr>
        <w:rFonts w:hint="default"/>
      </w:rPr>
    </w:lvl>
    <w:lvl w:ilvl="7" w:tentative="0">
      <w:start w:val="0"/>
      <w:numFmt w:val="bullet"/>
      <w:lvlText w:val="•"/>
      <w:lvlJc w:val="left"/>
      <w:pPr>
        <w:ind w:left="7486" w:hanging="572"/>
      </w:pPr>
      <w:rPr>
        <w:rFonts w:hint="default"/>
      </w:rPr>
    </w:lvl>
    <w:lvl w:ilvl="8" w:tentative="0">
      <w:start w:val="0"/>
      <w:numFmt w:val="bullet"/>
      <w:lvlText w:val="•"/>
      <w:lvlJc w:val="left"/>
      <w:pPr>
        <w:ind w:left="8611" w:hanging="572"/>
      </w:pPr>
      <w:rPr>
        <w:rFonts w:hint="default"/>
      </w:rPr>
    </w:lvl>
  </w:abstractNum>
  <w:abstractNum w:abstractNumId="14">
    <w:nsid w:val="5B982F54"/>
    <w:multiLevelType w:val="multilevel"/>
    <w:tmpl w:val="5B982F54"/>
    <w:lvl w:ilvl="0" w:tentative="0">
      <w:start w:val="16"/>
      <w:numFmt w:val="decimal"/>
      <w:lvlText w:val="%1"/>
      <w:lvlJc w:val="left"/>
      <w:pPr>
        <w:ind w:left="165" w:hanging="500"/>
      </w:pPr>
      <w:rPr>
        <w:rFonts w:hint="default"/>
      </w:rPr>
    </w:lvl>
    <w:lvl w:ilvl="1" w:tentative="0">
      <w:start w:val="1"/>
      <w:numFmt w:val="decimal"/>
      <w:lvlText w:val="%1.%2"/>
      <w:lvlJc w:val="left"/>
      <w:pPr>
        <w:ind w:left="165" w:hanging="500"/>
      </w:pPr>
      <w:rPr>
        <w:rFonts w:hint="default" w:ascii="Verdana" w:hAnsi="Verdana" w:eastAsia="Verdana" w:cs="Verdana"/>
        <w:spacing w:val="0"/>
        <w:w w:val="83"/>
        <w:sz w:val="21"/>
        <w:szCs w:val="21"/>
      </w:rPr>
    </w:lvl>
    <w:lvl w:ilvl="2" w:tentative="0">
      <w:start w:val="0"/>
      <w:numFmt w:val="bullet"/>
      <w:lvlText w:val="•"/>
      <w:lvlJc w:val="left"/>
      <w:pPr>
        <w:ind w:left="2300" w:hanging="500"/>
      </w:pPr>
      <w:rPr>
        <w:rFonts w:hint="default"/>
      </w:rPr>
    </w:lvl>
    <w:lvl w:ilvl="3" w:tentative="0">
      <w:start w:val="0"/>
      <w:numFmt w:val="bullet"/>
      <w:lvlText w:val="•"/>
      <w:lvlJc w:val="left"/>
      <w:pPr>
        <w:ind w:left="3370" w:hanging="500"/>
      </w:pPr>
      <w:rPr>
        <w:rFonts w:hint="default"/>
      </w:rPr>
    </w:lvl>
    <w:lvl w:ilvl="4" w:tentative="0">
      <w:start w:val="0"/>
      <w:numFmt w:val="bullet"/>
      <w:lvlText w:val="•"/>
      <w:lvlJc w:val="left"/>
      <w:pPr>
        <w:ind w:left="4440" w:hanging="500"/>
      </w:pPr>
      <w:rPr>
        <w:rFonts w:hint="default"/>
      </w:rPr>
    </w:lvl>
    <w:lvl w:ilvl="5" w:tentative="0">
      <w:start w:val="0"/>
      <w:numFmt w:val="bullet"/>
      <w:lvlText w:val="•"/>
      <w:lvlJc w:val="left"/>
      <w:pPr>
        <w:ind w:left="5510" w:hanging="500"/>
      </w:pPr>
      <w:rPr>
        <w:rFonts w:hint="default"/>
      </w:rPr>
    </w:lvl>
    <w:lvl w:ilvl="6" w:tentative="0">
      <w:start w:val="0"/>
      <w:numFmt w:val="bullet"/>
      <w:lvlText w:val="•"/>
      <w:lvlJc w:val="left"/>
      <w:pPr>
        <w:ind w:left="6580" w:hanging="500"/>
      </w:pPr>
      <w:rPr>
        <w:rFonts w:hint="default"/>
      </w:rPr>
    </w:lvl>
    <w:lvl w:ilvl="7" w:tentative="0">
      <w:start w:val="0"/>
      <w:numFmt w:val="bullet"/>
      <w:lvlText w:val="•"/>
      <w:lvlJc w:val="left"/>
      <w:pPr>
        <w:ind w:left="7650" w:hanging="500"/>
      </w:pPr>
      <w:rPr>
        <w:rFonts w:hint="default"/>
      </w:rPr>
    </w:lvl>
    <w:lvl w:ilvl="8" w:tentative="0">
      <w:start w:val="0"/>
      <w:numFmt w:val="bullet"/>
      <w:lvlText w:val="•"/>
      <w:lvlJc w:val="left"/>
      <w:pPr>
        <w:ind w:left="8720" w:hanging="500"/>
      </w:pPr>
      <w:rPr>
        <w:rFonts w:hint="default"/>
      </w:rPr>
    </w:lvl>
  </w:abstractNum>
  <w:abstractNum w:abstractNumId="15">
    <w:nsid w:val="5D3C0FCC"/>
    <w:multiLevelType w:val="multilevel"/>
    <w:tmpl w:val="5D3C0FCC"/>
    <w:lvl w:ilvl="0" w:tentative="0">
      <w:start w:val="7"/>
      <w:numFmt w:val="decimal"/>
      <w:lvlText w:val="%1"/>
      <w:lvlJc w:val="left"/>
      <w:pPr>
        <w:ind w:left="165" w:hanging="310"/>
      </w:pPr>
      <w:rPr>
        <w:rFonts w:hint="default"/>
      </w:rPr>
    </w:lvl>
    <w:lvl w:ilvl="1" w:tentative="0">
      <w:start w:val="1"/>
      <w:numFmt w:val="decimal"/>
      <w:lvlText w:val="%1.%2"/>
      <w:lvlJc w:val="left"/>
      <w:pPr>
        <w:ind w:left="165" w:hanging="310"/>
      </w:pPr>
      <w:rPr>
        <w:rFonts w:hint="default" w:ascii="Verdana" w:hAnsi="Verdana" w:eastAsia="Verdana" w:cs="Verdana"/>
        <w:spacing w:val="5"/>
        <w:w w:val="83"/>
        <w:sz w:val="19"/>
        <w:szCs w:val="19"/>
      </w:rPr>
    </w:lvl>
    <w:lvl w:ilvl="2" w:tentative="0">
      <w:start w:val="0"/>
      <w:numFmt w:val="bullet"/>
      <w:lvlText w:val="•"/>
      <w:lvlJc w:val="left"/>
      <w:pPr>
        <w:ind w:left="2300" w:hanging="310"/>
      </w:pPr>
      <w:rPr>
        <w:rFonts w:hint="default"/>
      </w:rPr>
    </w:lvl>
    <w:lvl w:ilvl="3" w:tentative="0">
      <w:start w:val="0"/>
      <w:numFmt w:val="bullet"/>
      <w:lvlText w:val="•"/>
      <w:lvlJc w:val="left"/>
      <w:pPr>
        <w:ind w:left="3370" w:hanging="310"/>
      </w:pPr>
      <w:rPr>
        <w:rFonts w:hint="default"/>
      </w:rPr>
    </w:lvl>
    <w:lvl w:ilvl="4" w:tentative="0">
      <w:start w:val="0"/>
      <w:numFmt w:val="bullet"/>
      <w:lvlText w:val="•"/>
      <w:lvlJc w:val="left"/>
      <w:pPr>
        <w:ind w:left="4440" w:hanging="310"/>
      </w:pPr>
      <w:rPr>
        <w:rFonts w:hint="default"/>
      </w:rPr>
    </w:lvl>
    <w:lvl w:ilvl="5" w:tentative="0">
      <w:start w:val="0"/>
      <w:numFmt w:val="bullet"/>
      <w:lvlText w:val="•"/>
      <w:lvlJc w:val="left"/>
      <w:pPr>
        <w:ind w:left="5510" w:hanging="310"/>
      </w:pPr>
      <w:rPr>
        <w:rFonts w:hint="default"/>
      </w:rPr>
    </w:lvl>
    <w:lvl w:ilvl="6" w:tentative="0">
      <w:start w:val="0"/>
      <w:numFmt w:val="bullet"/>
      <w:lvlText w:val="•"/>
      <w:lvlJc w:val="left"/>
      <w:pPr>
        <w:ind w:left="6580" w:hanging="310"/>
      </w:pPr>
      <w:rPr>
        <w:rFonts w:hint="default"/>
      </w:rPr>
    </w:lvl>
    <w:lvl w:ilvl="7" w:tentative="0">
      <w:start w:val="0"/>
      <w:numFmt w:val="bullet"/>
      <w:lvlText w:val="•"/>
      <w:lvlJc w:val="left"/>
      <w:pPr>
        <w:ind w:left="7650" w:hanging="310"/>
      </w:pPr>
      <w:rPr>
        <w:rFonts w:hint="default"/>
      </w:rPr>
    </w:lvl>
    <w:lvl w:ilvl="8" w:tentative="0">
      <w:start w:val="0"/>
      <w:numFmt w:val="bullet"/>
      <w:lvlText w:val="•"/>
      <w:lvlJc w:val="left"/>
      <w:pPr>
        <w:ind w:left="8720" w:hanging="310"/>
      </w:pPr>
      <w:rPr>
        <w:rFonts w:hint="default"/>
      </w:rPr>
    </w:lvl>
  </w:abstractNum>
  <w:abstractNum w:abstractNumId="16">
    <w:nsid w:val="6F2E7F1A"/>
    <w:multiLevelType w:val="multilevel"/>
    <w:tmpl w:val="6F2E7F1A"/>
    <w:lvl w:ilvl="0" w:tentative="0">
      <w:start w:val="19"/>
      <w:numFmt w:val="decimal"/>
      <w:lvlText w:val="%1"/>
      <w:lvlJc w:val="left"/>
      <w:pPr>
        <w:ind w:left="593" w:hanging="429"/>
      </w:pPr>
      <w:rPr>
        <w:rFonts w:hint="default"/>
      </w:rPr>
    </w:lvl>
    <w:lvl w:ilvl="1" w:tentative="0">
      <w:start w:val="3"/>
      <w:numFmt w:val="decimal"/>
      <w:lvlText w:val="%1.%2"/>
      <w:lvlJc w:val="left"/>
      <w:pPr>
        <w:ind w:left="593" w:hanging="429"/>
      </w:pPr>
      <w:rPr>
        <w:rFonts w:hint="default" w:cs="Verdana" w:asciiTheme="minorEastAsia" w:hAnsiTheme="minorEastAsia" w:eastAsiaTheme="minorEastAsia"/>
        <w:spacing w:val="5"/>
        <w:w w:val="83"/>
        <w:sz w:val="19"/>
        <w:szCs w:val="19"/>
      </w:rPr>
    </w:lvl>
    <w:lvl w:ilvl="2" w:tentative="0">
      <w:start w:val="1"/>
      <w:numFmt w:val="decimal"/>
      <w:suff w:val="space"/>
      <w:lvlText w:val="%1.%2.%3"/>
      <w:lvlJc w:val="left"/>
      <w:pPr>
        <w:ind w:left="783" w:hanging="619"/>
      </w:pPr>
      <w:rPr>
        <w:rFonts w:hint="default" w:eastAsia="宋体" w:cs="Verdana" w:asciiTheme="minorEastAsia" w:hAnsiTheme="minorEastAsia"/>
        <w:spacing w:val="5"/>
        <w:w w:val="83"/>
        <w:sz w:val="21"/>
        <w:szCs w:val="21"/>
      </w:rPr>
    </w:lvl>
    <w:lvl w:ilvl="3" w:tentative="0">
      <w:start w:val="0"/>
      <w:numFmt w:val="bullet"/>
      <w:lvlText w:val="•"/>
      <w:lvlJc w:val="left"/>
      <w:pPr>
        <w:ind w:left="3020" w:hanging="619"/>
      </w:pPr>
      <w:rPr>
        <w:rFonts w:hint="default"/>
      </w:rPr>
    </w:lvl>
    <w:lvl w:ilvl="4" w:tentative="0">
      <w:start w:val="0"/>
      <w:numFmt w:val="bullet"/>
      <w:lvlText w:val="•"/>
      <w:lvlJc w:val="left"/>
      <w:pPr>
        <w:ind w:left="4140" w:hanging="619"/>
      </w:pPr>
      <w:rPr>
        <w:rFonts w:hint="default"/>
      </w:rPr>
    </w:lvl>
    <w:lvl w:ilvl="5" w:tentative="0">
      <w:start w:val="0"/>
      <w:numFmt w:val="bullet"/>
      <w:lvlText w:val="•"/>
      <w:lvlJc w:val="left"/>
      <w:pPr>
        <w:ind w:left="5260" w:hanging="619"/>
      </w:pPr>
      <w:rPr>
        <w:rFonts w:hint="default"/>
      </w:rPr>
    </w:lvl>
    <w:lvl w:ilvl="6" w:tentative="0">
      <w:start w:val="0"/>
      <w:numFmt w:val="bullet"/>
      <w:lvlText w:val="•"/>
      <w:lvlJc w:val="left"/>
      <w:pPr>
        <w:ind w:left="6380" w:hanging="619"/>
      </w:pPr>
      <w:rPr>
        <w:rFonts w:hint="default"/>
      </w:rPr>
    </w:lvl>
    <w:lvl w:ilvl="7" w:tentative="0">
      <w:start w:val="0"/>
      <w:numFmt w:val="bullet"/>
      <w:lvlText w:val="•"/>
      <w:lvlJc w:val="left"/>
      <w:pPr>
        <w:ind w:left="7500" w:hanging="619"/>
      </w:pPr>
      <w:rPr>
        <w:rFonts w:hint="default"/>
      </w:rPr>
    </w:lvl>
    <w:lvl w:ilvl="8" w:tentative="0">
      <w:start w:val="0"/>
      <w:numFmt w:val="bullet"/>
      <w:lvlText w:val="•"/>
      <w:lvlJc w:val="left"/>
      <w:pPr>
        <w:ind w:left="8620" w:hanging="619"/>
      </w:pPr>
      <w:rPr>
        <w:rFonts w:hint="default"/>
      </w:rPr>
    </w:lvl>
  </w:abstractNum>
  <w:abstractNum w:abstractNumId="17">
    <w:nsid w:val="701815BC"/>
    <w:multiLevelType w:val="multilevel"/>
    <w:tmpl w:val="701815BC"/>
    <w:lvl w:ilvl="0" w:tentative="0">
      <w:start w:val="11"/>
      <w:numFmt w:val="decimal"/>
      <w:lvlText w:val="%1"/>
      <w:lvlJc w:val="left"/>
      <w:pPr>
        <w:ind w:left="165" w:hanging="429"/>
      </w:pPr>
      <w:rPr>
        <w:rFonts w:hint="default"/>
      </w:rPr>
    </w:lvl>
    <w:lvl w:ilvl="1" w:tentative="0">
      <w:start w:val="1"/>
      <w:numFmt w:val="decimal"/>
      <w:lvlText w:val="%1.%2"/>
      <w:lvlJc w:val="left"/>
      <w:pPr>
        <w:ind w:left="165" w:hanging="429"/>
      </w:pPr>
      <w:rPr>
        <w:rFonts w:hint="default" w:ascii="Verdana" w:hAnsi="Verdana" w:eastAsia="Verdana" w:cs="Verdana"/>
        <w:spacing w:val="5"/>
        <w:w w:val="83"/>
        <w:sz w:val="19"/>
        <w:szCs w:val="19"/>
      </w:rPr>
    </w:lvl>
    <w:lvl w:ilvl="2" w:tentative="0">
      <w:start w:val="0"/>
      <w:numFmt w:val="bullet"/>
      <w:lvlText w:val="•"/>
      <w:lvlJc w:val="left"/>
      <w:pPr>
        <w:ind w:left="2300" w:hanging="429"/>
      </w:pPr>
      <w:rPr>
        <w:rFonts w:hint="default"/>
      </w:rPr>
    </w:lvl>
    <w:lvl w:ilvl="3" w:tentative="0">
      <w:start w:val="0"/>
      <w:numFmt w:val="bullet"/>
      <w:lvlText w:val="•"/>
      <w:lvlJc w:val="left"/>
      <w:pPr>
        <w:ind w:left="3370" w:hanging="429"/>
      </w:pPr>
      <w:rPr>
        <w:rFonts w:hint="default"/>
      </w:rPr>
    </w:lvl>
    <w:lvl w:ilvl="4" w:tentative="0">
      <w:start w:val="0"/>
      <w:numFmt w:val="bullet"/>
      <w:lvlText w:val="•"/>
      <w:lvlJc w:val="left"/>
      <w:pPr>
        <w:ind w:left="4440" w:hanging="429"/>
      </w:pPr>
      <w:rPr>
        <w:rFonts w:hint="default"/>
      </w:rPr>
    </w:lvl>
    <w:lvl w:ilvl="5" w:tentative="0">
      <w:start w:val="0"/>
      <w:numFmt w:val="bullet"/>
      <w:lvlText w:val="•"/>
      <w:lvlJc w:val="left"/>
      <w:pPr>
        <w:ind w:left="5510" w:hanging="429"/>
      </w:pPr>
      <w:rPr>
        <w:rFonts w:hint="default"/>
      </w:rPr>
    </w:lvl>
    <w:lvl w:ilvl="6" w:tentative="0">
      <w:start w:val="0"/>
      <w:numFmt w:val="bullet"/>
      <w:lvlText w:val="•"/>
      <w:lvlJc w:val="left"/>
      <w:pPr>
        <w:ind w:left="6580" w:hanging="429"/>
      </w:pPr>
      <w:rPr>
        <w:rFonts w:hint="default"/>
      </w:rPr>
    </w:lvl>
    <w:lvl w:ilvl="7" w:tentative="0">
      <w:start w:val="0"/>
      <w:numFmt w:val="bullet"/>
      <w:lvlText w:val="•"/>
      <w:lvlJc w:val="left"/>
      <w:pPr>
        <w:ind w:left="7650" w:hanging="429"/>
      </w:pPr>
      <w:rPr>
        <w:rFonts w:hint="default"/>
      </w:rPr>
    </w:lvl>
    <w:lvl w:ilvl="8" w:tentative="0">
      <w:start w:val="0"/>
      <w:numFmt w:val="bullet"/>
      <w:lvlText w:val="•"/>
      <w:lvlJc w:val="left"/>
      <w:pPr>
        <w:ind w:left="8720" w:hanging="429"/>
      </w:pPr>
      <w:rPr>
        <w:rFonts w:hint="default"/>
      </w:rPr>
    </w:lvl>
  </w:abstractNum>
  <w:abstractNum w:abstractNumId="18">
    <w:nsid w:val="7E9D3301"/>
    <w:multiLevelType w:val="multilevel"/>
    <w:tmpl w:val="7E9D3301"/>
    <w:lvl w:ilvl="0" w:tentative="0">
      <w:start w:val="2"/>
      <w:numFmt w:val="decimal"/>
      <w:lvlText w:val="%1"/>
      <w:lvlJc w:val="left"/>
      <w:pPr>
        <w:ind w:left="474" w:hanging="310"/>
      </w:pPr>
      <w:rPr>
        <w:rFonts w:hint="default"/>
      </w:rPr>
    </w:lvl>
    <w:lvl w:ilvl="1" w:tentative="0">
      <w:start w:val="1"/>
      <w:numFmt w:val="decimal"/>
      <w:lvlText w:val="%1.%2"/>
      <w:lvlJc w:val="left"/>
      <w:pPr>
        <w:ind w:left="474" w:hanging="310"/>
      </w:pPr>
      <w:rPr>
        <w:rFonts w:hint="default" w:ascii="宋体" w:hAnsi="宋体" w:eastAsia="宋体" w:cs="Verdana"/>
        <w:spacing w:val="5"/>
        <w:w w:val="83"/>
        <w:sz w:val="21"/>
        <w:szCs w:val="21"/>
      </w:rPr>
    </w:lvl>
    <w:lvl w:ilvl="2" w:tentative="0">
      <w:start w:val="1"/>
      <w:numFmt w:val="decimal"/>
      <w:lvlText w:val="%1.%2.%3"/>
      <w:lvlJc w:val="left"/>
      <w:pPr>
        <w:ind w:left="664" w:hanging="500"/>
      </w:pPr>
      <w:rPr>
        <w:rFonts w:hint="default" w:cs="Verdana" w:asciiTheme="minorEastAsia" w:hAnsiTheme="minorEastAsia" w:eastAsiaTheme="minorEastAsia"/>
        <w:spacing w:val="5"/>
        <w:w w:val="83"/>
        <w:sz w:val="21"/>
        <w:szCs w:val="21"/>
      </w:rPr>
    </w:lvl>
    <w:lvl w:ilvl="3" w:tentative="0">
      <w:start w:val="0"/>
      <w:numFmt w:val="bullet"/>
      <w:lvlText w:val="•"/>
      <w:lvlJc w:val="left"/>
      <w:pPr>
        <w:ind w:left="2926" w:hanging="500"/>
      </w:pPr>
      <w:rPr>
        <w:rFonts w:hint="default"/>
      </w:rPr>
    </w:lvl>
    <w:lvl w:ilvl="4" w:tentative="0">
      <w:start w:val="0"/>
      <w:numFmt w:val="bullet"/>
      <w:lvlText w:val="•"/>
      <w:lvlJc w:val="left"/>
      <w:pPr>
        <w:ind w:left="4060" w:hanging="500"/>
      </w:pPr>
      <w:rPr>
        <w:rFonts w:hint="default"/>
      </w:rPr>
    </w:lvl>
    <w:lvl w:ilvl="5" w:tentative="0">
      <w:start w:val="0"/>
      <w:numFmt w:val="bullet"/>
      <w:lvlText w:val="•"/>
      <w:lvlJc w:val="left"/>
      <w:pPr>
        <w:ind w:left="5193" w:hanging="500"/>
      </w:pPr>
      <w:rPr>
        <w:rFonts w:hint="default"/>
      </w:rPr>
    </w:lvl>
    <w:lvl w:ilvl="6" w:tentative="0">
      <w:start w:val="0"/>
      <w:numFmt w:val="bullet"/>
      <w:lvlText w:val="•"/>
      <w:lvlJc w:val="left"/>
      <w:pPr>
        <w:ind w:left="6326" w:hanging="500"/>
      </w:pPr>
      <w:rPr>
        <w:rFonts w:hint="default"/>
      </w:rPr>
    </w:lvl>
    <w:lvl w:ilvl="7" w:tentative="0">
      <w:start w:val="0"/>
      <w:numFmt w:val="bullet"/>
      <w:lvlText w:val="•"/>
      <w:lvlJc w:val="left"/>
      <w:pPr>
        <w:ind w:left="7460" w:hanging="500"/>
      </w:pPr>
      <w:rPr>
        <w:rFonts w:hint="default"/>
      </w:rPr>
    </w:lvl>
    <w:lvl w:ilvl="8" w:tentative="0">
      <w:start w:val="0"/>
      <w:numFmt w:val="bullet"/>
      <w:lvlText w:val="•"/>
      <w:lvlJc w:val="left"/>
      <w:pPr>
        <w:ind w:left="8593" w:hanging="500"/>
      </w:pPr>
      <w:rPr>
        <w:rFonts w:hint="default"/>
      </w:rPr>
    </w:lvl>
  </w:abstractNum>
  <w:num w:numId="1">
    <w:abstractNumId w:val="18"/>
  </w:num>
  <w:num w:numId="2">
    <w:abstractNumId w:val="13"/>
  </w:num>
  <w:num w:numId="3">
    <w:abstractNumId w:val="5"/>
  </w:num>
  <w:num w:numId="4">
    <w:abstractNumId w:val="15"/>
  </w:num>
  <w:num w:numId="5">
    <w:abstractNumId w:val="12"/>
  </w:num>
  <w:num w:numId="6">
    <w:abstractNumId w:val="4"/>
  </w:num>
  <w:num w:numId="7">
    <w:abstractNumId w:val="17"/>
  </w:num>
  <w:num w:numId="8">
    <w:abstractNumId w:val="3"/>
  </w:num>
  <w:num w:numId="9">
    <w:abstractNumId w:val="8"/>
  </w:num>
  <w:num w:numId="10">
    <w:abstractNumId w:val="11"/>
  </w:num>
  <w:num w:numId="11">
    <w:abstractNumId w:val="14"/>
  </w:num>
  <w:num w:numId="12">
    <w:abstractNumId w:val="7"/>
  </w:num>
  <w:num w:numId="13">
    <w:abstractNumId w:val="1"/>
  </w:num>
  <w:num w:numId="14">
    <w:abstractNumId w:val="16"/>
  </w:num>
  <w:num w:numId="15">
    <w:abstractNumId w:val="9"/>
  </w:num>
  <w:num w:numId="16">
    <w:abstractNumId w:val="10"/>
  </w:num>
  <w:num w:numId="17">
    <w:abstractNumId w:val="0"/>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2ViN2I1YjI5ODA0ZTUzY2YwMTg3YzFjMTFmNTEifQ=="/>
  </w:docVars>
  <w:rsids>
    <w:rsidRoot w:val="00BA04B4"/>
    <w:rsid w:val="00011396"/>
    <w:rsid w:val="000119ED"/>
    <w:rsid w:val="00012E5B"/>
    <w:rsid w:val="00012ED0"/>
    <w:rsid w:val="0001654F"/>
    <w:rsid w:val="000167B7"/>
    <w:rsid w:val="000177AE"/>
    <w:rsid w:val="00022FA8"/>
    <w:rsid w:val="00024222"/>
    <w:rsid w:val="000251BA"/>
    <w:rsid w:val="000375D4"/>
    <w:rsid w:val="00050A7F"/>
    <w:rsid w:val="00051CEB"/>
    <w:rsid w:val="000622DF"/>
    <w:rsid w:val="00065541"/>
    <w:rsid w:val="000728EE"/>
    <w:rsid w:val="000753DC"/>
    <w:rsid w:val="00080EEC"/>
    <w:rsid w:val="00081F41"/>
    <w:rsid w:val="00082615"/>
    <w:rsid w:val="000828E9"/>
    <w:rsid w:val="00097E29"/>
    <w:rsid w:val="000A366A"/>
    <w:rsid w:val="000B1794"/>
    <w:rsid w:val="000B4063"/>
    <w:rsid w:val="000C195D"/>
    <w:rsid w:val="000C4238"/>
    <w:rsid w:val="000C5BA9"/>
    <w:rsid w:val="000D5468"/>
    <w:rsid w:val="000E203C"/>
    <w:rsid w:val="000E229C"/>
    <w:rsid w:val="000E59D4"/>
    <w:rsid w:val="000E79AB"/>
    <w:rsid w:val="000E7D06"/>
    <w:rsid w:val="000F49D5"/>
    <w:rsid w:val="000F6A10"/>
    <w:rsid w:val="000F768C"/>
    <w:rsid w:val="00103834"/>
    <w:rsid w:val="0010478B"/>
    <w:rsid w:val="00106AF6"/>
    <w:rsid w:val="00110F30"/>
    <w:rsid w:val="00112CE3"/>
    <w:rsid w:val="0011369D"/>
    <w:rsid w:val="00114CC2"/>
    <w:rsid w:val="0011741D"/>
    <w:rsid w:val="001239AA"/>
    <w:rsid w:val="0012584C"/>
    <w:rsid w:val="001336F1"/>
    <w:rsid w:val="001357F5"/>
    <w:rsid w:val="0013703A"/>
    <w:rsid w:val="00141205"/>
    <w:rsid w:val="001417B7"/>
    <w:rsid w:val="0014464D"/>
    <w:rsid w:val="00155975"/>
    <w:rsid w:val="001571E6"/>
    <w:rsid w:val="0016115D"/>
    <w:rsid w:val="00162F0B"/>
    <w:rsid w:val="0016324B"/>
    <w:rsid w:val="001703E1"/>
    <w:rsid w:val="00172220"/>
    <w:rsid w:val="00175414"/>
    <w:rsid w:val="00176027"/>
    <w:rsid w:val="001812AA"/>
    <w:rsid w:val="0018272F"/>
    <w:rsid w:val="001859F8"/>
    <w:rsid w:val="00192153"/>
    <w:rsid w:val="001B03EB"/>
    <w:rsid w:val="001B25F2"/>
    <w:rsid w:val="001B2989"/>
    <w:rsid w:val="001B4D80"/>
    <w:rsid w:val="001B6124"/>
    <w:rsid w:val="001C4677"/>
    <w:rsid w:val="001C7583"/>
    <w:rsid w:val="001D1835"/>
    <w:rsid w:val="001D3C26"/>
    <w:rsid w:val="001E0B1F"/>
    <w:rsid w:val="001E1BF5"/>
    <w:rsid w:val="001E42B9"/>
    <w:rsid w:val="001F496F"/>
    <w:rsid w:val="00200449"/>
    <w:rsid w:val="00203573"/>
    <w:rsid w:val="00203B17"/>
    <w:rsid w:val="002179DB"/>
    <w:rsid w:val="00221E0B"/>
    <w:rsid w:val="002269DC"/>
    <w:rsid w:val="00234773"/>
    <w:rsid w:val="00237677"/>
    <w:rsid w:val="00241D2D"/>
    <w:rsid w:val="002426C1"/>
    <w:rsid w:val="0024502E"/>
    <w:rsid w:val="00251314"/>
    <w:rsid w:val="00251A9E"/>
    <w:rsid w:val="00260DAA"/>
    <w:rsid w:val="0026223D"/>
    <w:rsid w:val="002673A3"/>
    <w:rsid w:val="0027330E"/>
    <w:rsid w:val="00281F93"/>
    <w:rsid w:val="00286061"/>
    <w:rsid w:val="0029451D"/>
    <w:rsid w:val="00294741"/>
    <w:rsid w:val="002953C1"/>
    <w:rsid w:val="002A6882"/>
    <w:rsid w:val="002A7841"/>
    <w:rsid w:val="002B131D"/>
    <w:rsid w:val="002B1488"/>
    <w:rsid w:val="002B4C6C"/>
    <w:rsid w:val="002B562B"/>
    <w:rsid w:val="002C3C7D"/>
    <w:rsid w:val="002C542A"/>
    <w:rsid w:val="002D29B9"/>
    <w:rsid w:val="002D3D75"/>
    <w:rsid w:val="002D75C4"/>
    <w:rsid w:val="002E4C08"/>
    <w:rsid w:val="002E5EB5"/>
    <w:rsid w:val="002F4D79"/>
    <w:rsid w:val="002F5249"/>
    <w:rsid w:val="0030426F"/>
    <w:rsid w:val="00305CE7"/>
    <w:rsid w:val="003062D6"/>
    <w:rsid w:val="00306623"/>
    <w:rsid w:val="0030775D"/>
    <w:rsid w:val="0031307E"/>
    <w:rsid w:val="00317B50"/>
    <w:rsid w:val="0032280A"/>
    <w:rsid w:val="00322904"/>
    <w:rsid w:val="00322C40"/>
    <w:rsid w:val="00325FAC"/>
    <w:rsid w:val="00327E6C"/>
    <w:rsid w:val="0033025F"/>
    <w:rsid w:val="0033580C"/>
    <w:rsid w:val="00340EAB"/>
    <w:rsid w:val="00344A23"/>
    <w:rsid w:val="00351284"/>
    <w:rsid w:val="00351A85"/>
    <w:rsid w:val="00352CD9"/>
    <w:rsid w:val="0035549B"/>
    <w:rsid w:val="00355C3E"/>
    <w:rsid w:val="00357E7E"/>
    <w:rsid w:val="003649CF"/>
    <w:rsid w:val="0038102C"/>
    <w:rsid w:val="00381E1D"/>
    <w:rsid w:val="003833E2"/>
    <w:rsid w:val="00390312"/>
    <w:rsid w:val="00391661"/>
    <w:rsid w:val="0039244D"/>
    <w:rsid w:val="003957C9"/>
    <w:rsid w:val="003A1220"/>
    <w:rsid w:val="003A3295"/>
    <w:rsid w:val="003A446D"/>
    <w:rsid w:val="003A76E3"/>
    <w:rsid w:val="003A7CE3"/>
    <w:rsid w:val="003B1590"/>
    <w:rsid w:val="003B7B90"/>
    <w:rsid w:val="003B7FCB"/>
    <w:rsid w:val="003C044B"/>
    <w:rsid w:val="003C0552"/>
    <w:rsid w:val="003C3E38"/>
    <w:rsid w:val="003C73D2"/>
    <w:rsid w:val="003D660A"/>
    <w:rsid w:val="003E367E"/>
    <w:rsid w:val="003E756B"/>
    <w:rsid w:val="003F7770"/>
    <w:rsid w:val="003F7925"/>
    <w:rsid w:val="0040060F"/>
    <w:rsid w:val="00414315"/>
    <w:rsid w:val="004150AD"/>
    <w:rsid w:val="00416EB0"/>
    <w:rsid w:val="00417490"/>
    <w:rsid w:val="0041751D"/>
    <w:rsid w:val="0042742E"/>
    <w:rsid w:val="00427622"/>
    <w:rsid w:val="004302A7"/>
    <w:rsid w:val="00455668"/>
    <w:rsid w:val="00464E6A"/>
    <w:rsid w:val="00464F18"/>
    <w:rsid w:val="00466CF8"/>
    <w:rsid w:val="00467CD6"/>
    <w:rsid w:val="00470C4C"/>
    <w:rsid w:val="00471131"/>
    <w:rsid w:val="004722F2"/>
    <w:rsid w:val="00486608"/>
    <w:rsid w:val="004901E5"/>
    <w:rsid w:val="00490E0B"/>
    <w:rsid w:val="004920DD"/>
    <w:rsid w:val="004A0290"/>
    <w:rsid w:val="004A39D5"/>
    <w:rsid w:val="004A5ACC"/>
    <w:rsid w:val="004B1F97"/>
    <w:rsid w:val="004C2737"/>
    <w:rsid w:val="004C6537"/>
    <w:rsid w:val="004C7E8A"/>
    <w:rsid w:val="004D4F79"/>
    <w:rsid w:val="004D6ED0"/>
    <w:rsid w:val="004D6FFF"/>
    <w:rsid w:val="004E5053"/>
    <w:rsid w:val="004F0289"/>
    <w:rsid w:val="004F0ED8"/>
    <w:rsid w:val="004F741B"/>
    <w:rsid w:val="004F7634"/>
    <w:rsid w:val="00505B29"/>
    <w:rsid w:val="0051660C"/>
    <w:rsid w:val="0052262D"/>
    <w:rsid w:val="005273B5"/>
    <w:rsid w:val="0053083D"/>
    <w:rsid w:val="00540ACE"/>
    <w:rsid w:val="00542C91"/>
    <w:rsid w:val="00543211"/>
    <w:rsid w:val="005449CF"/>
    <w:rsid w:val="00556F43"/>
    <w:rsid w:val="005577A5"/>
    <w:rsid w:val="00563597"/>
    <w:rsid w:val="00570867"/>
    <w:rsid w:val="00571296"/>
    <w:rsid w:val="0058152C"/>
    <w:rsid w:val="00590206"/>
    <w:rsid w:val="00592FB5"/>
    <w:rsid w:val="00595F71"/>
    <w:rsid w:val="00596F85"/>
    <w:rsid w:val="005A3A8E"/>
    <w:rsid w:val="005B6B28"/>
    <w:rsid w:val="005C28FD"/>
    <w:rsid w:val="005C521A"/>
    <w:rsid w:val="005D3632"/>
    <w:rsid w:val="005D492C"/>
    <w:rsid w:val="005E4234"/>
    <w:rsid w:val="005E4275"/>
    <w:rsid w:val="005E719C"/>
    <w:rsid w:val="005F62F9"/>
    <w:rsid w:val="0060012E"/>
    <w:rsid w:val="00604681"/>
    <w:rsid w:val="00607011"/>
    <w:rsid w:val="00620725"/>
    <w:rsid w:val="00627F8B"/>
    <w:rsid w:val="00634D53"/>
    <w:rsid w:val="0064010C"/>
    <w:rsid w:val="00640F59"/>
    <w:rsid w:val="00643301"/>
    <w:rsid w:val="00650ABF"/>
    <w:rsid w:val="00653CC4"/>
    <w:rsid w:val="00660273"/>
    <w:rsid w:val="00664BB5"/>
    <w:rsid w:val="00664CFF"/>
    <w:rsid w:val="0067006F"/>
    <w:rsid w:val="00690013"/>
    <w:rsid w:val="00696E77"/>
    <w:rsid w:val="006A1271"/>
    <w:rsid w:val="006A7916"/>
    <w:rsid w:val="006B4880"/>
    <w:rsid w:val="006B5F22"/>
    <w:rsid w:val="006C0FBE"/>
    <w:rsid w:val="006C4375"/>
    <w:rsid w:val="006C64CF"/>
    <w:rsid w:val="006D1BDE"/>
    <w:rsid w:val="006E1ABE"/>
    <w:rsid w:val="006E69E9"/>
    <w:rsid w:val="006F2F3B"/>
    <w:rsid w:val="006F52A0"/>
    <w:rsid w:val="006F6D0B"/>
    <w:rsid w:val="00700735"/>
    <w:rsid w:val="0070253B"/>
    <w:rsid w:val="007066DB"/>
    <w:rsid w:val="007106FF"/>
    <w:rsid w:val="00712744"/>
    <w:rsid w:val="00720C32"/>
    <w:rsid w:val="007235CC"/>
    <w:rsid w:val="00731582"/>
    <w:rsid w:val="00732624"/>
    <w:rsid w:val="00736FE1"/>
    <w:rsid w:val="0073745E"/>
    <w:rsid w:val="00746591"/>
    <w:rsid w:val="00747AFA"/>
    <w:rsid w:val="007521CF"/>
    <w:rsid w:val="00754E70"/>
    <w:rsid w:val="00762B4B"/>
    <w:rsid w:val="007661E1"/>
    <w:rsid w:val="00791369"/>
    <w:rsid w:val="00792516"/>
    <w:rsid w:val="007A03C6"/>
    <w:rsid w:val="007B2AFD"/>
    <w:rsid w:val="007B333F"/>
    <w:rsid w:val="007B3F69"/>
    <w:rsid w:val="007B7FB4"/>
    <w:rsid w:val="007C1868"/>
    <w:rsid w:val="007C42C4"/>
    <w:rsid w:val="007D0C8C"/>
    <w:rsid w:val="007D2FFB"/>
    <w:rsid w:val="007D3B4B"/>
    <w:rsid w:val="007D51C4"/>
    <w:rsid w:val="007E0DF6"/>
    <w:rsid w:val="007E29B0"/>
    <w:rsid w:val="007F4234"/>
    <w:rsid w:val="007F4ACD"/>
    <w:rsid w:val="007F5EBD"/>
    <w:rsid w:val="007F627C"/>
    <w:rsid w:val="007F70CA"/>
    <w:rsid w:val="00800292"/>
    <w:rsid w:val="0080047B"/>
    <w:rsid w:val="008030D3"/>
    <w:rsid w:val="008066D2"/>
    <w:rsid w:val="00810217"/>
    <w:rsid w:val="0081680D"/>
    <w:rsid w:val="00824AC1"/>
    <w:rsid w:val="00834A6B"/>
    <w:rsid w:val="008357CB"/>
    <w:rsid w:val="00835F8A"/>
    <w:rsid w:val="00840501"/>
    <w:rsid w:val="00843D12"/>
    <w:rsid w:val="00855F42"/>
    <w:rsid w:val="00873435"/>
    <w:rsid w:val="00884F8D"/>
    <w:rsid w:val="0089171C"/>
    <w:rsid w:val="008928A0"/>
    <w:rsid w:val="00893800"/>
    <w:rsid w:val="008942B8"/>
    <w:rsid w:val="00894977"/>
    <w:rsid w:val="008A382D"/>
    <w:rsid w:val="008A394E"/>
    <w:rsid w:val="008A3F60"/>
    <w:rsid w:val="008A6846"/>
    <w:rsid w:val="008B050D"/>
    <w:rsid w:val="008B29D7"/>
    <w:rsid w:val="008B55CA"/>
    <w:rsid w:val="008B7843"/>
    <w:rsid w:val="008C1A78"/>
    <w:rsid w:val="008C3750"/>
    <w:rsid w:val="008C6114"/>
    <w:rsid w:val="008D0598"/>
    <w:rsid w:val="008D0A79"/>
    <w:rsid w:val="008D2A37"/>
    <w:rsid w:val="008E037F"/>
    <w:rsid w:val="008E7A48"/>
    <w:rsid w:val="008F0E58"/>
    <w:rsid w:val="00902287"/>
    <w:rsid w:val="00902652"/>
    <w:rsid w:val="00903D5C"/>
    <w:rsid w:val="00907793"/>
    <w:rsid w:val="0091176F"/>
    <w:rsid w:val="00912F9B"/>
    <w:rsid w:val="00917A01"/>
    <w:rsid w:val="00920AB6"/>
    <w:rsid w:val="0092449E"/>
    <w:rsid w:val="00931419"/>
    <w:rsid w:val="00940A8D"/>
    <w:rsid w:val="00946E0F"/>
    <w:rsid w:val="00950EF8"/>
    <w:rsid w:val="00955F77"/>
    <w:rsid w:val="009573F6"/>
    <w:rsid w:val="00961912"/>
    <w:rsid w:val="00961A1B"/>
    <w:rsid w:val="00961BED"/>
    <w:rsid w:val="00965C04"/>
    <w:rsid w:val="00966621"/>
    <w:rsid w:val="00970E42"/>
    <w:rsid w:val="009834CA"/>
    <w:rsid w:val="009A3A5C"/>
    <w:rsid w:val="009A423B"/>
    <w:rsid w:val="009B16FA"/>
    <w:rsid w:val="009B1733"/>
    <w:rsid w:val="009B2882"/>
    <w:rsid w:val="009B3E99"/>
    <w:rsid w:val="009B7AD9"/>
    <w:rsid w:val="009C6F5D"/>
    <w:rsid w:val="009D186A"/>
    <w:rsid w:val="009D1C8F"/>
    <w:rsid w:val="009D205B"/>
    <w:rsid w:val="009D473C"/>
    <w:rsid w:val="009D6E1F"/>
    <w:rsid w:val="009D6EC7"/>
    <w:rsid w:val="009E4324"/>
    <w:rsid w:val="009E53F1"/>
    <w:rsid w:val="009E7805"/>
    <w:rsid w:val="009F4AEC"/>
    <w:rsid w:val="00A06BD6"/>
    <w:rsid w:val="00A06DB3"/>
    <w:rsid w:val="00A114B6"/>
    <w:rsid w:val="00A15E1C"/>
    <w:rsid w:val="00A1600C"/>
    <w:rsid w:val="00A2624D"/>
    <w:rsid w:val="00A33E2E"/>
    <w:rsid w:val="00A35AA9"/>
    <w:rsid w:val="00A36548"/>
    <w:rsid w:val="00A37282"/>
    <w:rsid w:val="00A372B0"/>
    <w:rsid w:val="00A37F8C"/>
    <w:rsid w:val="00A438F0"/>
    <w:rsid w:val="00A50B4F"/>
    <w:rsid w:val="00A511B1"/>
    <w:rsid w:val="00A60101"/>
    <w:rsid w:val="00A60F85"/>
    <w:rsid w:val="00A637FF"/>
    <w:rsid w:val="00A655DD"/>
    <w:rsid w:val="00A707CD"/>
    <w:rsid w:val="00A73437"/>
    <w:rsid w:val="00A828C0"/>
    <w:rsid w:val="00A83302"/>
    <w:rsid w:val="00A836A0"/>
    <w:rsid w:val="00A848D7"/>
    <w:rsid w:val="00A908CD"/>
    <w:rsid w:val="00A9628C"/>
    <w:rsid w:val="00AA0505"/>
    <w:rsid w:val="00AA0C1C"/>
    <w:rsid w:val="00AA2C07"/>
    <w:rsid w:val="00AB49DE"/>
    <w:rsid w:val="00AB4A50"/>
    <w:rsid w:val="00AC01D7"/>
    <w:rsid w:val="00AC1A4D"/>
    <w:rsid w:val="00AC352A"/>
    <w:rsid w:val="00AD1545"/>
    <w:rsid w:val="00AD3766"/>
    <w:rsid w:val="00AE16B7"/>
    <w:rsid w:val="00AE5054"/>
    <w:rsid w:val="00AE5EBE"/>
    <w:rsid w:val="00AF02BF"/>
    <w:rsid w:val="00AF680B"/>
    <w:rsid w:val="00B00001"/>
    <w:rsid w:val="00B076AD"/>
    <w:rsid w:val="00B167FF"/>
    <w:rsid w:val="00B21B98"/>
    <w:rsid w:val="00B21E3C"/>
    <w:rsid w:val="00B27AC7"/>
    <w:rsid w:val="00B30630"/>
    <w:rsid w:val="00B31A66"/>
    <w:rsid w:val="00B3549D"/>
    <w:rsid w:val="00B3740C"/>
    <w:rsid w:val="00B60186"/>
    <w:rsid w:val="00B65B8C"/>
    <w:rsid w:val="00B72D08"/>
    <w:rsid w:val="00B75713"/>
    <w:rsid w:val="00B8192B"/>
    <w:rsid w:val="00B901A9"/>
    <w:rsid w:val="00B929C7"/>
    <w:rsid w:val="00B96DC0"/>
    <w:rsid w:val="00BA043D"/>
    <w:rsid w:val="00BA04B4"/>
    <w:rsid w:val="00BA50FF"/>
    <w:rsid w:val="00BC15FA"/>
    <w:rsid w:val="00BC1966"/>
    <w:rsid w:val="00BC24E9"/>
    <w:rsid w:val="00BC6CA8"/>
    <w:rsid w:val="00BD04E8"/>
    <w:rsid w:val="00BD0621"/>
    <w:rsid w:val="00BD4CFA"/>
    <w:rsid w:val="00BD5974"/>
    <w:rsid w:val="00BD73C5"/>
    <w:rsid w:val="00BD74D1"/>
    <w:rsid w:val="00BD7ABA"/>
    <w:rsid w:val="00BE29C8"/>
    <w:rsid w:val="00BF24DF"/>
    <w:rsid w:val="00BF32AB"/>
    <w:rsid w:val="00BF4D01"/>
    <w:rsid w:val="00C01CAC"/>
    <w:rsid w:val="00C028DD"/>
    <w:rsid w:val="00C105D1"/>
    <w:rsid w:val="00C14EF1"/>
    <w:rsid w:val="00C21048"/>
    <w:rsid w:val="00C218DB"/>
    <w:rsid w:val="00C27706"/>
    <w:rsid w:val="00C356C5"/>
    <w:rsid w:val="00C42D8D"/>
    <w:rsid w:val="00C42F6D"/>
    <w:rsid w:val="00C43513"/>
    <w:rsid w:val="00C46D84"/>
    <w:rsid w:val="00C474DC"/>
    <w:rsid w:val="00C5258C"/>
    <w:rsid w:val="00C56822"/>
    <w:rsid w:val="00C56EB8"/>
    <w:rsid w:val="00C70F2C"/>
    <w:rsid w:val="00C76008"/>
    <w:rsid w:val="00C81225"/>
    <w:rsid w:val="00CA1A92"/>
    <w:rsid w:val="00CA2178"/>
    <w:rsid w:val="00CA2DC7"/>
    <w:rsid w:val="00CA67F0"/>
    <w:rsid w:val="00CB09CD"/>
    <w:rsid w:val="00CB0EFC"/>
    <w:rsid w:val="00CC17CD"/>
    <w:rsid w:val="00CC1DBE"/>
    <w:rsid w:val="00CC2E24"/>
    <w:rsid w:val="00CC37AB"/>
    <w:rsid w:val="00CC3A99"/>
    <w:rsid w:val="00CC3D83"/>
    <w:rsid w:val="00CC6999"/>
    <w:rsid w:val="00CD70BB"/>
    <w:rsid w:val="00CE07D3"/>
    <w:rsid w:val="00CF0B10"/>
    <w:rsid w:val="00CF130C"/>
    <w:rsid w:val="00CF13C6"/>
    <w:rsid w:val="00CF28E9"/>
    <w:rsid w:val="00D03411"/>
    <w:rsid w:val="00D1094E"/>
    <w:rsid w:val="00D1155C"/>
    <w:rsid w:val="00D131B5"/>
    <w:rsid w:val="00D22291"/>
    <w:rsid w:val="00D24590"/>
    <w:rsid w:val="00D306B9"/>
    <w:rsid w:val="00D31259"/>
    <w:rsid w:val="00D3704D"/>
    <w:rsid w:val="00D37E52"/>
    <w:rsid w:val="00D44303"/>
    <w:rsid w:val="00D45B65"/>
    <w:rsid w:val="00D47F01"/>
    <w:rsid w:val="00D522E9"/>
    <w:rsid w:val="00D579B3"/>
    <w:rsid w:val="00D63A1A"/>
    <w:rsid w:val="00D645C9"/>
    <w:rsid w:val="00D72DC2"/>
    <w:rsid w:val="00D735AE"/>
    <w:rsid w:val="00D7395B"/>
    <w:rsid w:val="00D7447A"/>
    <w:rsid w:val="00D75F6B"/>
    <w:rsid w:val="00D76E8F"/>
    <w:rsid w:val="00D85262"/>
    <w:rsid w:val="00D91D93"/>
    <w:rsid w:val="00DB11C9"/>
    <w:rsid w:val="00DB66C8"/>
    <w:rsid w:val="00DC1CA6"/>
    <w:rsid w:val="00DD0CCB"/>
    <w:rsid w:val="00DD6E40"/>
    <w:rsid w:val="00DF4754"/>
    <w:rsid w:val="00DF4CE5"/>
    <w:rsid w:val="00DF6432"/>
    <w:rsid w:val="00E02A78"/>
    <w:rsid w:val="00E059BB"/>
    <w:rsid w:val="00E0707B"/>
    <w:rsid w:val="00E10DBB"/>
    <w:rsid w:val="00E139D0"/>
    <w:rsid w:val="00E1733D"/>
    <w:rsid w:val="00E214DB"/>
    <w:rsid w:val="00E335E5"/>
    <w:rsid w:val="00E6142C"/>
    <w:rsid w:val="00E74EBE"/>
    <w:rsid w:val="00E77DB8"/>
    <w:rsid w:val="00E80735"/>
    <w:rsid w:val="00E80A00"/>
    <w:rsid w:val="00E8244F"/>
    <w:rsid w:val="00E842C4"/>
    <w:rsid w:val="00E85C81"/>
    <w:rsid w:val="00E9595C"/>
    <w:rsid w:val="00E97FA8"/>
    <w:rsid w:val="00EA5859"/>
    <w:rsid w:val="00EB03B8"/>
    <w:rsid w:val="00EB2189"/>
    <w:rsid w:val="00EB2CC3"/>
    <w:rsid w:val="00EB33C0"/>
    <w:rsid w:val="00EB5F1B"/>
    <w:rsid w:val="00EB6B00"/>
    <w:rsid w:val="00EC2027"/>
    <w:rsid w:val="00EE1E7A"/>
    <w:rsid w:val="00EE2B69"/>
    <w:rsid w:val="00EF1DD3"/>
    <w:rsid w:val="00F02CEE"/>
    <w:rsid w:val="00F03B14"/>
    <w:rsid w:val="00F161AB"/>
    <w:rsid w:val="00F210BC"/>
    <w:rsid w:val="00F41BD5"/>
    <w:rsid w:val="00F41E68"/>
    <w:rsid w:val="00F46E48"/>
    <w:rsid w:val="00F506D8"/>
    <w:rsid w:val="00F50D30"/>
    <w:rsid w:val="00F5102B"/>
    <w:rsid w:val="00F524BA"/>
    <w:rsid w:val="00F539A4"/>
    <w:rsid w:val="00F571BC"/>
    <w:rsid w:val="00F61657"/>
    <w:rsid w:val="00F6364D"/>
    <w:rsid w:val="00F64EAE"/>
    <w:rsid w:val="00F659B2"/>
    <w:rsid w:val="00F70E02"/>
    <w:rsid w:val="00F71267"/>
    <w:rsid w:val="00F71F62"/>
    <w:rsid w:val="00F72D47"/>
    <w:rsid w:val="00F736EE"/>
    <w:rsid w:val="00F75D50"/>
    <w:rsid w:val="00F8056D"/>
    <w:rsid w:val="00F84AF6"/>
    <w:rsid w:val="00F84B94"/>
    <w:rsid w:val="00F85181"/>
    <w:rsid w:val="00F858C0"/>
    <w:rsid w:val="00F85DFC"/>
    <w:rsid w:val="00F86894"/>
    <w:rsid w:val="00F90492"/>
    <w:rsid w:val="00F94B1D"/>
    <w:rsid w:val="00F96013"/>
    <w:rsid w:val="00F979CB"/>
    <w:rsid w:val="00FA0AF1"/>
    <w:rsid w:val="00FA17F9"/>
    <w:rsid w:val="00FA1D92"/>
    <w:rsid w:val="00FA71D3"/>
    <w:rsid w:val="00FB3591"/>
    <w:rsid w:val="00FB4DD8"/>
    <w:rsid w:val="00FB55FE"/>
    <w:rsid w:val="00FC00B0"/>
    <w:rsid w:val="00FC0F6D"/>
    <w:rsid w:val="00FC1340"/>
    <w:rsid w:val="00FC1472"/>
    <w:rsid w:val="00FC3021"/>
    <w:rsid w:val="00FC5B03"/>
    <w:rsid w:val="00FC7065"/>
    <w:rsid w:val="00FD21D2"/>
    <w:rsid w:val="00FD3F69"/>
    <w:rsid w:val="00FD536B"/>
    <w:rsid w:val="00FE0096"/>
    <w:rsid w:val="00FE4A63"/>
    <w:rsid w:val="00FF1517"/>
    <w:rsid w:val="00FF2227"/>
    <w:rsid w:val="00FF6D6F"/>
    <w:rsid w:val="00FF74AB"/>
    <w:rsid w:val="026303E3"/>
    <w:rsid w:val="02903A9A"/>
    <w:rsid w:val="02CC6DB4"/>
    <w:rsid w:val="030839D0"/>
    <w:rsid w:val="042F236B"/>
    <w:rsid w:val="047A1011"/>
    <w:rsid w:val="04BC62F8"/>
    <w:rsid w:val="04E54C7D"/>
    <w:rsid w:val="050E1C25"/>
    <w:rsid w:val="05143B80"/>
    <w:rsid w:val="062C6F51"/>
    <w:rsid w:val="068B5C79"/>
    <w:rsid w:val="06D77743"/>
    <w:rsid w:val="06DF2215"/>
    <w:rsid w:val="071C5C86"/>
    <w:rsid w:val="076B010B"/>
    <w:rsid w:val="083A1C9F"/>
    <w:rsid w:val="084B433A"/>
    <w:rsid w:val="08E104C7"/>
    <w:rsid w:val="093D1475"/>
    <w:rsid w:val="0A3E3B3F"/>
    <w:rsid w:val="0A9339CE"/>
    <w:rsid w:val="0AF67B2D"/>
    <w:rsid w:val="0B995089"/>
    <w:rsid w:val="0BE731EC"/>
    <w:rsid w:val="0C63505C"/>
    <w:rsid w:val="0CB01370"/>
    <w:rsid w:val="0CB258E3"/>
    <w:rsid w:val="0CCE2B10"/>
    <w:rsid w:val="0D444E00"/>
    <w:rsid w:val="0D5D3E94"/>
    <w:rsid w:val="0D6F6AF0"/>
    <w:rsid w:val="0DE12751"/>
    <w:rsid w:val="0E0662D9"/>
    <w:rsid w:val="0E1924B1"/>
    <w:rsid w:val="0E8F5094"/>
    <w:rsid w:val="0EF3685E"/>
    <w:rsid w:val="0FEE5277"/>
    <w:rsid w:val="10667503"/>
    <w:rsid w:val="11916802"/>
    <w:rsid w:val="11CA2405"/>
    <w:rsid w:val="124D44D7"/>
    <w:rsid w:val="12A77DBE"/>
    <w:rsid w:val="13CF716E"/>
    <w:rsid w:val="1424570B"/>
    <w:rsid w:val="14752D95"/>
    <w:rsid w:val="153C6A85"/>
    <w:rsid w:val="15634011"/>
    <w:rsid w:val="158A0564"/>
    <w:rsid w:val="159A04EB"/>
    <w:rsid w:val="1677276B"/>
    <w:rsid w:val="16911024"/>
    <w:rsid w:val="169C37CB"/>
    <w:rsid w:val="16A05B2E"/>
    <w:rsid w:val="172F3D6B"/>
    <w:rsid w:val="174A13E7"/>
    <w:rsid w:val="17A34B99"/>
    <w:rsid w:val="182C4B8E"/>
    <w:rsid w:val="184323A2"/>
    <w:rsid w:val="18853CC5"/>
    <w:rsid w:val="1A5333F7"/>
    <w:rsid w:val="1AA90718"/>
    <w:rsid w:val="1AC4336B"/>
    <w:rsid w:val="1B0A7059"/>
    <w:rsid w:val="1BBB10B3"/>
    <w:rsid w:val="1CD86382"/>
    <w:rsid w:val="1D422A0C"/>
    <w:rsid w:val="1D5F0140"/>
    <w:rsid w:val="1D6F78E7"/>
    <w:rsid w:val="1DC67833"/>
    <w:rsid w:val="1DEF6AB6"/>
    <w:rsid w:val="1E3A1C58"/>
    <w:rsid w:val="1E7576AD"/>
    <w:rsid w:val="1EEE0EEA"/>
    <w:rsid w:val="1F073F7D"/>
    <w:rsid w:val="1F5548E2"/>
    <w:rsid w:val="1FA73063"/>
    <w:rsid w:val="1FED10A7"/>
    <w:rsid w:val="2127683B"/>
    <w:rsid w:val="22A84D71"/>
    <w:rsid w:val="22C5455D"/>
    <w:rsid w:val="22C94DED"/>
    <w:rsid w:val="232A7534"/>
    <w:rsid w:val="23645B24"/>
    <w:rsid w:val="238F01FA"/>
    <w:rsid w:val="23BB613A"/>
    <w:rsid w:val="241B595C"/>
    <w:rsid w:val="243B4AD7"/>
    <w:rsid w:val="24925E82"/>
    <w:rsid w:val="250E4686"/>
    <w:rsid w:val="250F7D12"/>
    <w:rsid w:val="25196D69"/>
    <w:rsid w:val="25641E0C"/>
    <w:rsid w:val="25755DC7"/>
    <w:rsid w:val="25E877BF"/>
    <w:rsid w:val="261B1C00"/>
    <w:rsid w:val="26212FB8"/>
    <w:rsid w:val="263E0B1B"/>
    <w:rsid w:val="26812549"/>
    <w:rsid w:val="26826131"/>
    <w:rsid w:val="26E36D60"/>
    <w:rsid w:val="27B55A5D"/>
    <w:rsid w:val="27E50A60"/>
    <w:rsid w:val="281A7519"/>
    <w:rsid w:val="2838380D"/>
    <w:rsid w:val="289522DC"/>
    <w:rsid w:val="297D3590"/>
    <w:rsid w:val="2A646A64"/>
    <w:rsid w:val="2A7523C5"/>
    <w:rsid w:val="2A970306"/>
    <w:rsid w:val="2B2B3A32"/>
    <w:rsid w:val="2B7703BB"/>
    <w:rsid w:val="2B7C2BD5"/>
    <w:rsid w:val="2BE92C98"/>
    <w:rsid w:val="2C0E0D23"/>
    <w:rsid w:val="2C213F02"/>
    <w:rsid w:val="2C7168D2"/>
    <w:rsid w:val="2CA35CF2"/>
    <w:rsid w:val="2D9917F3"/>
    <w:rsid w:val="2E3A7BAD"/>
    <w:rsid w:val="2E6C1D31"/>
    <w:rsid w:val="2EE12EF9"/>
    <w:rsid w:val="2F2B787A"/>
    <w:rsid w:val="2F4B5DEA"/>
    <w:rsid w:val="2F5527C5"/>
    <w:rsid w:val="2F8910E8"/>
    <w:rsid w:val="2F8F56CA"/>
    <w:rsid w:val="2F996B56"/>
    <w:rsid w:val="303E6135"/>
    <w:rsid w:val="30835707"/>
    <w:rsid w:val="30E65DCB"/>
    <w:rsid w:val="310446E2"/>
    <w:rsid w:val="316D78A4"/>
    <w:rsid w:val="31FC517A"/>
    <w:rsid w:val="32FD209F"/>
    <w:rsid w:val="33042538"/>
    <w:rsid w:val="335C6818"/>
    <w:rsid w:val="33964F33"/>
    <w:rsid w:val="33B368D1"/>
    <w:rsid w:val="33DA001A"/>
    <w:rsid w:val="34E30850"/>
    <w:rsid w:val="366C42A3"/>
    <w:rsid w:val="36CA3F9F"/>
    <w:rsid w:val="36D459BD"/>
    <w:rsid w:val="36E92B2E"/>
    <w:rsid w:val="36F42524"/>
    <w:rsid w:val="39543FA7"/>
    <w:rsid w:val="399C39C8"/>
    <w:rsid w:val="3A390CC6"/>
    <w:rsid w:val="3A8F302F"/>
    <w:rsid w:val="3AB47830"/>
    <w:rsid w:val="3AC0143A"/>
    <w:rsid w:val="3AD61E33"/>
    <w:rsid w:val="3B356485"/>
    <w:rsid w:val="3B4262F3"/>
    <w:rsid w:val="3C0B4937"/>
    <w:rsid w:val="3C4E187E"/>
    <w:rsid w:val="3C552056"/>
    <w:rsid w:val="3C81062C"/>
    <w:rsid w:val="3CF96E86"/>
    <w:rsid w:val="3CFD291B"/>
    <w:rsid w:val="3D3B2FFA"/>
    <w:rsid w:val="3D55291F"/>
    <w:rsid w:val="3E0C3494"/>
    <w:rsid w:val="3EE3700B"/>
    <w:rsid w:val="3F7C4554"/>
    <w:rsid w:val="3FDF05B5"/>
    <w:rsid w:val="40842F0A"/>
    <w:rsid w:val="40BB01C3"/>
    <w:rsid w:val="40C93EBC"/>
    <w:rsid w:val="4205007B"/>
    <w:rsid w:val="4278084D"/>
    <w:rsid w:val="43DD305D"/>
    <w:rsid w:val="440A3726"/>
    <w:rsid w:val="4470139D"/>
    <w:rsid w:val="447C2876"/>
    <w:rsid w:val="448C5AFF"/>
    <w:rsid w:val="450038D3"/>
    <w:rsid w:val="451426D4"/>
    <w:rsid w:val="45304F9F"/>
    <w:rsid w:val="458F33E6"/>
    <w:rsid w:val="45D83B37"/>
    <w:rsid w:val="461A28EF"/>
    <w:rsid w:val="472B5681"/>
    <w:rsid w:val="48216CA7"/>
    <w:rsid w:val="492D138F"/>
    <w:rsid w:val="49D35812"/>
    <w:rsid w:val="49DD7020"/>
    <w:rsid w:val="4A103454"/>
    <w:rsid w:val="4A5016A0"/>
    <w:rsid w:val="4A8D048F"/>
    <w:rsid w:val="4AC42904"/>
    <w:rsid w:val="4AEC7547"/>
    <w:rsid w:val="4B1D2095"/>
    <w:rsid w:val="4BCB57F5"/>
    <w:rsid w:val="4BE93B94"/>
    <w:rsid w:val="4BF967ED"/>
    <w:rsid w:val="4C3143B1"/>
    <w:rsid w:val="4C6D5CEF"/>
    <w:rsid w:val="4CB24C66"/>
    <w:rsid w:val="4CD314A1"/>
    <w:rsid w:val="4D792C9E"/>
    <w:rsid w:val="4D9E1AAF"/>
    <w:rsid w:val="4DC96BBF"/>
    <w:rsid w:val="4DEF0259"/>
    <w:rsid w:val="4E0E4912"/>
    <w:rsid w:val="4E7C04E6"/>
    <w:rsid w:val="4EA01E14"/>
    <w:rsid w:val="4EA604F0"/>
    <w:rsid w:val="4F594641"/>
    <w:rsid w:val="508621F4"/>
    <w:rsid w:val="508706AB"/>
    <w:rsid w:val="50F51123"/>
    <w:rsid w:val="51426BF5"/>
    <w:rsid w:val="51E57A85"/>
    <w:rsid w:val="51FF6315"/>
    <w:rsid w:val="52854FEC"/>
    <w:rsid w:val="52BC29D7"/>
    <w:rsid w:val="533671F5"/>
    <w:rsid w:val="536E4C5D"/>
    <w:rsid w:val="539F3E8B"/>
    <w:rsid w:val="552C1A65"/>
    <w:rsid w:val="554124B6"/>
    <w:rsid w:val="555A3408"/>
    <w:rsid w:val="558F7F2F"/>
    <w:rsid w:val="56184645"/>
    <w:rsid w:val="56756E8A"/>
    <w:rsid w:val="57AD18D8"/>
    <w:rsid w:val="58382B00"/>
    <w:rsid w:val="58733B38"/>
    <w:rsid w:val="58FB7E18"/>
    <w:rsid w:val="59184390"/>
    <w:rsid w:val="5976060C"/>
    <w:rsid w:val="5AA1673B"/>
    <w:rsid w:val="5AEB20AC"/>
    <w:rsid w:val="5B031690"/>
    <w:rsid w:val="5BA57168"/>
    <w:rsid w:val="5BF1724E"/>
    <w:rsid w:val="5D152EA3"/>
    <w:rsid w:val="5D9E51B4"/>
    <w:rsid w:val="5DB1622D"/>
    <w:rsid w:val="5DE70A60"/>
    <w:rsid w:val="5EFC745F"/>
    <w:rsid w:val="5F013C4C"/>
    <w:rsid w:val="5F094024"/>
    <w:rsid w:val="5F6C401A"/>
    <w:rsid w:val="5F7D4E32"/>
    <w:rsid w:val="619C01E2"/>
    <w:rsid w:val="62233ED9"/>
    <w:rsid w:val="63495C83"/>
    <w:rsid w:val="63862BD4"/>
    <w:rsid w:val="6428796E"/>
    <w:rsid w:val="64E02E93"/>
    <w:rsid w:val="65941D48"/>
    <w:rsid w:val="65F8349C"/>
    <w:rsid w:val="66203D89"/>
    <w:rsid w:val="66267150"/>
    <w:rsid w:val="666245E7"/>
    <w:rsid w:val="669015B7"/>
    <w:rsid w:val="66B40970"/>
    <w:rsid w:val="66D275FB"/>
    <w:rsid w:val="6771764C"/>
    <w:rsid w:val="67B37AAD"/>
    <w:rsid w:val="67B9441C"/>
    <w:rsid w:val="67BA52E0"/>
    <w:rsid w:val="67D87514"/>
    <w:rsid w:val="68021913"/>
    <w:rsid w:val="68323D7B"/>
    <w:rsid w:val="68596E16"/>
    <w:rsid w:val="68B33E85"/>
    <w:rsid w:val="698718B2"/>
    <w:rsid w:val="6A9E7231"/>
    <w:rsid w:val="6BC06C3D"/>
    <w:rsid w:val="6CD96208"/>
    <w:rsid w:val="6D0E20F8"/>
    <w:rsid w:val="6D25144D"/>
    <w:rsid w:val="6D2531FB"/>
    <w:rsid w:val="6E0D268D"/>
    <w:rsid w:val="6E221391"/>
    <w:rsid w:val="6E3F209B"/>
    <w:rsid w:val="6E531FEA"/>
    <w:rsid w:val="6F013D03"/>
    <w:rsid w:val="6F2375E4"/>
    <w:rsid w:val="6FF7047F"/>
    <w:rsid w:val="703C6D69"/>
    <w:rsid w:val="713B5F44"/>
    <w:rsid w:val="719E1F10"/>
    <w:rsid w:val="71F21981"/>
    <w:rsid w:val="72404633"/>
    <w:rsid w:val="72716128"/>
    <w:rsid w:val="72C31EF4"/>
    <w:rsid w:val="72F378F8"/>
    <w:rsid w:val="72F9239F"/>
    <w:rsid w:val="73125FD0"/>
    <w:rsid w:val="734463A5"/>
    <w:rsid w:val="73487211"/>
    <w:rsid w:val="73FD7BF5"/>
    <w:rsid w:val="740578E3"/>
    <w:rsid w:val="746A3BEA"/>
    <w:rsid w:val="75045DEC"/>
    <w:rsid w:val="7544443B"/>
    <w:rsid w:val="761815B2"/>
    <w:rsid w:val="762410F7"/>
    <w:rsid w:val="765212AD"/>
    <w:rsid w:val="76D35A76"/>
    <w:rsid w:val="781C344D"/>
    <w:rsid w:val="784B5AE0"/>
    <w:rsid w:val="78990E6B"/>
    <w:rsid w:val="789E1DBB"/>
    <w:rsid w:val="78B625CC"/>
    <w:rsid w:val="78B67941"/>
    <w:rsid w:val="78D43D28"/>
    <w:rsid w:val="78EE6B97"/>
    <w:rsid w:val="796F58A4"/>
    <w:rsid w:val="7AAC4F5C"/>
    <w:rsid w:val="7B0A3A31"/>
    <w:rsid w:val="7B14665D"/>
    <w:rsid w:val="7B7471A8"/>
    <w:rsid w:val="7B9D48A5"/>
    <w:rsid w:val="7B9E7BD8"/>
    <w:rsid w:val="7CD27E07"/>
    <w:rsid w:val="7D3E79C1"/>
    <w:rsid w:val="7FEE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Arial Unicode MS" w:hAnsi="Arial Unicode MS" w:eastAsia="Arial Unicode MS" w:cs="Arial Unicode MS"/>
      <w:sz w:val="22"/>
      <w:szCs w:val="22"/>
      <w:lang w:val="en-US" w:eastAsia="en-US"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9"/>
    <w:unhideWhenUsed/>
    <w:qFormat/>
    <w:uiPriority w:val="9"/>
    <w:pPr>
      <w:ind w:left="516"/>
      <w:outlineLvl w:val="3"/>
    </w:pPr>
    <w:rPr>
      <w:rFonts w:ascii="Microsoft JhengHei" w:hAnsi="Microsoft JhengHei" w:eastAsia="Microsoft JhengHei" w:cs="Microsoft JhengHei"/>
      <w:b/>
      <w:bCs/>
      <w:sz w:val="21"/>
      <w:szCs w:val="21"/>
    </w:rPr>
  </w:style>
  <w:style w:type="paragraph" w:styleId="8">
    <w:name w:val="heading 5"/>
    <w:basedOn w:val="1"/>
    <w:next w:val="1"/>
    <w:link w:val="30"/>
    <w:unhideWhenUsed/>
    <w:qFormat/>
    <w:uiPriority w:val="9"/>
    <w:pPr>
      <w:ind w:left="165"/>
      <w:outlineLvl w:val="4"/>
    </w:pPr>
    <w:rPr>
      <w:sz w:val="21"/>
      <w:szCs w:val="21"/>
    </w:rPr>
  </w:style>
  <w:style w:type="paragraph" w:styleId="9">
    <w:name w:val="heading 6"/>
    <w:basedOn w:val="1"/>
    <w:next w:val="1"/>
    <w:link w:val="3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rPr>
  </w:style>
  <w:style w:type="paragraph" w:styleId="3">
    <w:name w:val="Body Text"/>
    <w:basedOn w:val="1"/>
    <w:next w:val="1"/>
    <w:link w:val="31"/>
    <w:qFormat/>
    <w:uiPriority w:val="1"/>
    <w:rPr>
      <w:sz w:val="19"/>
      <w:szCs w:val="19"/>
    </w:rPr>
  </w:style>
  <w:style w:type="paragraph" w:styleId="10">
    <w:name w:val="annotation text"/>
    <w:basedOn w:val="1"/>
    <w:link w:val="37"/>
    <w:semiHidden/>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Date"/>
    <w:basedOn w:val="1"/>
    <w:next w:val="1"/>
    <w:link w:val="27"/>
    <w:semiHidden/>
    <w:unhideWhenUsed/>
    <w:qFormat/>
    <w:uiPriority w:val="99"/>
    <w:pPr>
      <w:ind w:left="100" w:leftChars="2500"/>
    </w:pPr>
  </w:style>
  <w:style w:type="paragraph" w:styleId="14">
    <w:name w:val="Balloon Text"/>
    <w:basedOn w:val="1"/>
    <w:link w:val="41"/>
    <w:semiHidden/>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annotation subject"/>
    <w:basedOn w:val="10"/>
    <w:next w:val="10"/>
    <w:link w:val="38"/>
    <w:semiHidden/>
    <w:unhideWhenUsed/>
    <w:qFormat/>
    <w:uiPriority w:val="99"/>
    <w:rPr>
      <w:b/>
      <w:bCs/>
    </w:rPr>
  </w:style>
  <w:style w:type="paragraph" w:styleId="18">
    <w:name w:val="Body Text First Indent 2"/>
    <w:basedOn w:val="11"/>
    <w:qFormat/>
    <w:uiPriority w:val="0"/>
    <w:pPr>
      <w:adjustRightInd w:val="0"/>
      <w:spacing w:line="360" w:lineRule="auto"/>
      <w:ind w:left="0" w:leftChars="0" w:firstLine="420"/>
      <w:textAlignment w:val="baseline"/>
    </w:pPr>
    <w:rPr>
      <w:color w:val="00000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customStyle="1" w:styleId="25">
    <w:name w:val="页眉 Char"/>
    <w:basedOn w:val="21"/>
    <w:link w:val="16"/>
    <w:qFormat/>
    <w:uiPriority w:val="99"/>
    <w:rPr>
      <w:sz w:val="18"/>
      <w:szCs w:val="18"/>
    </w:rPr>
  </w:style>
  <w:style w:type="character" w:customStyle="1" w:styleId="26">
    <w:name w:val="页脚 Char"/>
    <w:basedOn w:val="21"/>
    <w:link w:val="15"/>
    <w:qFormat/>
    <w:uiPriority w:val="99"/>
    <w:rPr>
      <w:sz w:val="18"/>
      <w:szCs w:val="18"/>
    </w:rPr>
  </w:style>
  <w:style w:type="character" w:customStyle="1" w:styleId="27">
    <w:name w:val="日期 Char"/>
    <w:basedOn w:val="21"/>
    <w:link w:val="13"/>
    <w:semiHidden/>
    <w:qFormat/>
    <w:uiPriority w:val="99"/>
    <w:rPr>
      <w:rFonts w:ascii="Arial Unicode MS" w:hAnsi="Arial Unicode MS" w:eastAsia="Arial Unicode MS" w:cs="Arial Unicode MS"/>
      <w:kern w:val="0"/>
      <w:sz w:val="22"/>
      <w:lang w:eastAsia="en-US"/>
    </w:rPr>
  </w:style>
  <w:style w:type="paragraph" w:styleId="28">
    <w:name w:val="List Paragraph"/>
    <w:basedOn w:val="1"/>
    <w:qFormat/>
    <w:uiPriority w:val="34"/>
    <w:pPr>
      <w:spacing w:before="71"/>
      <w:ind w:left="165"/>
    </w:pPr>
  </w:style>
  <w:style w:type="character" w:customStyle="1" w:styleId="29">
    <w:name w:val="标题 4 Char"/>
    <w:basedOn w:val="21"/>
    <w:link w:val="7"/>
    <w:qFormat/>
    <w:uiPriority w:val="9"/>
    <w:rPr>
      <w:rFonts w:ascii="Microsoft JhengHei" w:hAnsi="Microsoft JhengHei" w:eastAsia="Microsoft JhengHei" w:cs="Microsoft JhengHei"/>
      <w:b/>
      <w:bCs/>
      <w:kern w:val="0"/>
      <w:szCs w:val="21"/>
      <w:lang w:eastAsia="en-US"/>
    </w:rPr>
  </w:style>
  <w:style w:type="character" w:customStyle="1" w:styleId="30">
    <w:name w:val="标题 5 Char"/>
    <w:basedOn w:val="21"/>
    <w:link w:val="8"/>
    <w:qFormat/>
    <w:uiPriority w:val="9"/>
    <w:rPr>
      <w:rFonts w:ascii="Arial Unicode MS" w:hAnsi="Arial Unicode MS" w:eastAsia="Arial Unicode MS" w:cs="Arial Unicode MS"/>
      <w:kern w:val="0"/>
      <w:szCs w:val="21"/>
      <w:lang w:eastAsia="en-US"/>
    </w:rPr>
  </w:style>
  <w:style w:type="character" w:customStyle="1" w:styleId="31">
    <w:name w:val="正文文本 Char"/>
    <w:basedOn w:val="21"/>
    <w:link w:val="3"/>
    <w:qFormat/>
    <w:uiPriority w:val="1"/>
    <w:rPr>
      <w:rFonts w:ascii="Arial Unicode MS" w:hAnsi="Arial Unicode MS" w:eastAsia="Arial Unicode MS" w:cs="Arial Unicode MS"/>
      <w:kern w:val="0"/>
      <w:sz w:val="19"/>
      <w:szCs w:val="19"/>
      <w:lang w:eastAsia="en-US"/>
    </w:rPr>
  </w:style>
  <w:style w:type="character" w:customStyle="1" w:styleId="32">
    <w:name w:val="标题 1 Char"/>
    <w:basedOn w:val="21"/>
    <w:link w:val="4"/>
    <w:qFormat/>
    <w:uiPriority w:val="9"/>
    <w:rPr>
      <w:rFonts w:ascii="Arial Unicode MS" w:hAnsi="Arial Unicode MS" w:eastAsia="Arial Unicode MS" w:cs="Arial Unicode MS"/>
      <w:b/>
      <w:bCs/>
      <w:kern w:val="44"/>
      <w:sz w:val="44"/>
      <w:szCs w:val="44"/>
      <w:lang w:eastAsia="en-US"/>
    </w:rPr>
  </w:style>
  <w:style w:type="character" w:customStyle="1" w:styleId="33">
    <w:name w:val="标题 6 Char"/>
    <w:basedOn w:val="21"/>
    <w:link w:val="9"/>
    <w:semiHidden/>
    <w:qFormat/>
    <w:uiPriority w:val="9"/>
    <w:rPr>
      <w:rFonts w:asciiTheme="majorHAnsi" w:hAnsiTheme="majorHAnsi" w:eastAsiaTheme="majorEastAsia" w:cstheme="majorBidi"/>
      <w:b/>
      <w:bCs/>
      <w:kern w:val="0"/>
      <w:sz w:val="24"/>
      <w:szCs w:val="24"/>
      <w:lang w:eastAsia="en-US"/>
    </w:rPr>
  </w:style>
  <w:style w:type="character" w:customStyle="1" w:styleId="34">
    <w:name w:val="标题 3 Char"/>
    <w:basedOn w:val="21"/>
    <w:link w:val="6"/>
    <w:semiHidden/>
    <w:qFormat/>
    <w:uiPriority w:val="9"/>
    <w:rPr>
      <w:rFonts w:ascii="Arial Unicode MS" w:hAnsi="Arial Unicode MS" w:eastAsia="Arial Unicode MS" w:cs="Arial Unicode MS"/>
      <w:b/>
      <w:bCs/>
      <w:kern w:val="0"/>
      <w:sz w:val="32"/>
      <w:szCs w:val="32"/>
      <w:lang w:eastAsia="en-US"/>
    </w:rPr>
  </w:style>
  <w:style w:type="table" w:customStyle="1" w:styleId="3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6">
    <w:name w:val="Table Paragraph"/>
    <w:basedOn w:val="1"/>
    <w:qFormat/>
    <w:uiPriority w:val="1"/>
  </w:style>
  <w:style w:type="character" w:customStyle="1" w:styleId="37">
    <w:name w:val="批注文字 Char"/>
    <w:basedOn w:val="21"/>
    <w:link w:val="10"/>
    <w:semiHidden/>
    <w:qFormat/>
    <w:uiPriority w:val="99"/>
    <w:rPr>
      <w:rFonts w:ascii="Arial Unicode MS" w:hAnsi="Arial Unicode MS" w:eastAsia="Arial Unicode MS" w:cs="Arial Unicode MS"/>
      <w:kern w:val="0"/>
      <w:sz w:val="22"/>
      <w:lang w:eastAsia="en-US"/>
    </w:rPr>
  </w:style>
  <w:style w:type="character" w:customStyle="1" w:styleId="38">
    <w:name w:val="批注主题 Char"/>
    <w:basedOn w:val="37"/>
    <w:link w:val="17"/>
    <w:semiHidden/>
    <w:qFormat/>
    <w:uiPriority w:val="99"/>
    <w:rPr>
      <w:rFonts w:ascii="Arial Unicode MS" w:hAnsi="Arial Unicode MS" w:eastAsia="Arial Unicode MS" w:cs="Arial Unicode MS"/>
      <w:b/>
      <w:bCs/>
      <w:kern w:val="0"/>
      <w:sz w:val="22"/>
      <w:lang w:eastAsia="en-US"/>
    </w:rPr>
  </w:style>
  <w:style w:type="character" w:customStyle="1" w:styleId="39">
    <w:name w:val="标题 2 Char"/>
    <w:basedOn w:val="21"/>
    <w:link w:val="5"/>
    <w:semiHidden/>
    <w:qFormat/>
    <w:uiPriority w:val="9"/>
    <w:rPr>
      <w:rFonts w:asciiTheme="majorHAnsi" w:hAnsiTheme="majorHAnsi" w:eastAsiaTheme="majorEastAsia" w:cstheme="majorBidi"/>
      <w:b/>
      <w:bCs/>
      <w:kern w:val="0"/>
      <w:sz w:val="32"/>
      <w:szCs w:val="32"/>
      <w:lang w:eastAsia="en-US"/>
    </w:rPr>
  </w:style>
  <w:style w:type="paragraph" w:customStyle="1" w:styleId="40">
    <w:name w:val="修订1"/>
    <w:hidden/>
    <w:semiHidden/>
    <w:qFormat/>
    <w:uiPriority w:val="99"/>
    <w:rPr>
      <w:rFonts w:ascii="Arial Unicode MS" w:hAnsi="Arial Unicode MS" w:eastAsia="Arial Unicode MS" w:cs="Arial Unicode MS"/>
      <w:sz w:val="22"/>
      <w:szCs w:val="22"/>
      <w:lang w:val="en-US" w:eastAsia="en-US" w:bidi="ar-SA"/>
    </w:rPr>
  </w:style>
  <w:style w:type="character" w:customStyle="1" w:styleId="41">
    <w:name w:val="批注框文本 Char"/>
    <w:basedOn w:val="21"/>
    <w:link w:val="14"/>
    <w:semiHidden/>
    <w:qFormat/>
    <w:uiPriority w:val="99"/>
    <w:rPr>
      <w:rFonts w:ascii="Arial Unicode MS" w:hAnsi="Arial Unicode MS" w:eastAsia="Arial Unicode MS" w:cs="Arial Unicode MS"/>
      <w:sz w:val="18"/>
      <w:szCs w:val="18"/>
      <w:lang w:eastAsia="en-US"/>
    </w:rPr>
  </w:style>
  <w:style w:type="character" w:customStyle="1" w:styleId="42">
    <w:name w:val="fontstyle01"/>
    <w:basedOn w:val="21"/>
    <w:qFormat/>
    <w:uiPriority w:val="0"/>
    <w:rPr>
      <w:rFonts w:hint="eastAsia" w:ascii="仿宋_GB2312" w:eastAsia="仿宋_GB2312"/>
      <w:color w:val="000000"/>
      <w:sz w:val="32"/>
      <w:szCs w:val="32"/>
    </w:rPr>
  </w:style>
  <w:style w:type="character" w:customStyle="1" w:styleId="43">
    <w:name w:val="未处理的提及1"/>
    <w:basedOn w:val="21"/>
    <w:semiHidden/>
    <w:unhideWhenUsed/>
    <w:qFormat/>
    <w:uiPriority w:val="99"/>
    <w:rPr>
      <w:color w:val="605E5C"/>
      <w:shd w:val="clear" w:color="auto" w:fill="E1DFDD"/>
    </w:rPr>
  </w:style>
  <w:style w:type="paragraph" w:customStyle="1" w:styleId="44">
    <w:name w:val="修订2"/>
    <w:hidden/>
    <w:semiHidden/>
    <w:qFormat/>
    <w:uiPriority w:val="99"/>
    <w:rPr>
      <w:rFonts w:ascii="Arial Unicode MS" w:hAnsi="Arial Unicode MS" w:eastAsia="Arial Unicode MS" w:cs="Arial Unicode MS"/>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92E4-8DF2-475A-BB7A-1156B6063B5E}">
  <ds:schemaRefs/>
</ds:datastoreItem>
</file>

<file path=docProps/app.xml><?xml version="1.0" encoding="utf-8"?>
<Properties xmlns="http://schemas.openxmlformats.org/officeDocument/2006/extended-properties" xmlns:vt="http://schemas.openxmlformats.org/officeDocument/2006/docPropsVTypes">
  <Template>Normal.dotm</Template>
  <Company>www.window7.com</Company>
  <Pages>34</Pages>
  <Words>17866</Words>
  <Characters>18984</Characters>
  <Lines>141</Lines>
  <Paragraphs>39</Paragraphs>
  <TotalTime>17</TotalTime>
  <ScaleCrop>false</ScaleCrop>
  <LinksUpToDate>false</LinksUpToDate>
  <CharactersWithSpaces>19575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2023-07-20T11:41:00Z</dcterms:created>
  <dc:creator>pwy</dc:creator>
  <cp:lastModifiedBy>HiWin10</cp:lastModifiedBy>
  <cp:lastPrinted>2023-07-21T06:50:00Z</cp:lastPrinted>
  <dcterms:modified xsi:type="dcterms:W3CDTF">2025-01-24T03:23:49Z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D84044509A7A4C71AC8A75FC1BDC48F1</vt:lpwstr>
  </property>
</Properties>
</file>