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1E4E7F8">
      <w:pPr>
        <w:pStyle w:val="105"/>
        <w:wordWrap w:val="0"/>
        <w:adjustRightInd w:val="0"/>
        <w:snapToGrid w:val="0"/>
        <w:spacing w:line="360" w:lineRule="auto"/>
        <w:jc w:val="center"/>
        <w:rPr>
          <w:rFonts w:hint="eastAsia" w:ascii="宋体" w:hAnsi="宋体" w:eastAsia="宋体" w:cs="宋体"/>
          <w:snapToGrid w:val="0"/>
          <w:color w:val="auto"/>
          <w:kern w:val="0"/>
          <w:sz w:val="36"/>
          <w:szCs w:val="20"/>
          <w:highlight w:val="none"/>
          <w:u w:val="single"/>
        </w:rPr>
      </w:pPr>
      <w:r>
        <w:rPr>
          <w:rFonts w:hint="eastAsia" w:ascii="宋体" w:hAnsi="宋体" w:eastAsia="宋体" w:cs="宋体"/>
          <w:b/>
          <w:snapToGrid w:val="0"/>
          <w:color w:val="auto"/>
          <w:kern w:val="0"/>
          <w:sz w:val="48"/>
          <w:szCs w:val="48"/>
          <w:highlight w:val="none"/>
          <w:lang w:val="en-US" w:eastAsia="zh-CN"/>
        </w:rPr>
        <w:t>乐昌市“花果世界”山水人家乡村振兴示范带（庆云段）项目施工</w:t>
      </w:r>
    </w:p>
    <w:p w14:paraId="5542D802">
      <w:pPr>
        <w:pStyle w:val="105"/>
        <w:wordWrap w:val="0"/>
        <w:adjustRightInd w:val="0"/>
        <w:snapToGrid w:val="0"/>
        <w:spacing w:line="360" w:lineRule="auto"/>
        <w:rPr>
          <w:rFonts w:hint="eastAsia" w:ascii="宋体" w:hAnsi="宋体" w:eastAsia="宋体" w:cs="宋体"/>
          <w:snapToGrid w:val="0"/>
          <w:color w:val="auto"/>
          <w:kern w:val="0"/>
          <w:sz w:val="36"/>
          <w:highlight w:val="none"/>
          <w:u w:val="single"/>
        </w:rPr>
      </w:pPr>
    </w:p>
    <w:p w14:paraId="47F40127">
      <w:pPr>
        <w:rPr>
          <w:rFonts w:hint="eastAsia"/>
          <w:color w:val="auto"/>
          <w:highlight w:val="none"/>
        </w:rPr>
      </w:pPr>
    </w:p>
    <w:p w14:paraId="5A84CC65">
      <w:pPr>
        <w:pStyle w:val="6"/>
        <w:rPr>
          <w:rFonts w:hint="eastAsia"/>
          <w:color w:val="auto"/>
          <w:highlight w:val="none"/>
        </w:rPr>
      </w:pPr>
      <w:bookmarkStart w:id="371" w:name="_GoBack"/>
      <w:bookmarkEnd w:id="371"/>
    </w:p>
    <w:p w14:paraId="468DC4E6">
      <w:pPr>
        <w:pStyle w:val="105"/>
        <w:wordWrap w:val="0"/>
        <w:adjustRightInd w:val="0"/>
        <w:snapToGrid w:val="0"/>
        <w:spacing w:line="360" w:lineRule="auto"/>
        <w:jc w:val="center"/>
        <w:rPr>
          <w:rFonts w:hint="eastAsia" w:ascii="宋体" w:hAnsi="宋体" w:eastAsia="宋体" w:cs="宋体"/>
          <w:b/>
          <w:bCs/>
          <w:snapToGrid w:val="0"/>
          <w:color w:val="auto"/>
          <w:kern w:val="0"/>
          <w:sz w:val="72"/>
          <w:szCs w:val="72"/>
          <w:highlight w:val="none"/>
          <w14:shadow w14:blurRad="50800" w14:dist="38100" w14:dir="2700000" w14:sx="100000" w14:sy="100000" w14:kx="0" w14:ky="0" w14:algn="tl">
            <w14:srgbClr w14:val="000000">
              <w14:alpha w14:val="60000"/>
            </w14:srgbClr>
          </w14:shadow>
        </w:rPr>
      </w:pPr>
      <w:r>
        <w:rPr>
          <w:rFonts w:hint="eastAsia" w:ascii="宋体" w:hAnsi="宋体" w:eastAsia="宋体" w:cs="宋体"/>
          <w:b/>
          <w:bCs/>
          <w:snapToGrid w:val="0"/>
          <w:color w:val="auto"/>
          <w:kern w:val="0"/>
          <w:sz w:val="72"/>
          <w:szCs w:val="72"/>
          <w:highlight w:val="none"/>
          <w14:shadow w14:blurRad="50800" w14:dist="38100" w14:dir="2700000" w14:sx="100000" w14:sy="100000" w14:kx="0" w14:ky="0" w14:algn="tl">
            <w14:srgbClr w14:val="000000">
              <w14:alpha w14:val="60000"/>
            </w14:srgbClr>
          </w14:shadow>
        </w:rPr>
        <w:t>招标文件</w:t>
      </w:r>
    </w:p>
    <w:p w14:paraId="759BB127">
      <w:pPr>
        <w:wordWrap w:val="0"/>
        <w:adjustRightInd w:val="0"/>
        <w:snapToGrid w:val="0"/>
        <w:rPr>
          <w:rFonts w:hint="eastAsia" w:ascii="宋体" w:hAnsi="宋体" w:eastAsia="宋体" w:cs="宋体"/>
          <w:b/>
          <w:bCs/>
          <w:snapToGrid w:val="0"/>
          <w:color w:val="auto"/>
          <w:kern w:val="0"/>
          <w:sz w:val="48"/>
          <w:szCs w:val="48"/>
          <w:highlight w:val="none"/>
        </w:rPr>
      </w:pPr>
    </w:p>
    <w:p w14:paraId="33F67AC1">
      <w:pPr>
        <w:pStyle w:val="10"/>
        <w:rPr>
          <w:rFonts w:hint="eastAsia" w:ascii="宋体" w:hAnsi="宋体" w:eastAsia="宋体" w:cs="宋体"/>
          <w:color w:val="auto"/>
          <w:highlight w:val="none"/>
        </w:rPr>
      </w:pPr>
    </w:p>
    <w:tbl>
      <w:tblPr>
        <w:tblStyle w:val="31"/>
        <w:tblW w:w="9728" w:type="dxa"/>
        <w:tblInd w:w="-100" w:type="dxa"/>
        <w:tblLayout w:type="fixed"/>
        <w:tblCellMar>
          <w:top w:w="0" w:type="dxa"/>
          <w:left w:w="0" w:type="dxa"/>
          <w:bottom w:w="0" w:type="dxa"/>
          <w:right w:w="0" w:type="dxa"/>
        </w:tblCellMar>
      </w:tblPr>
      <w:tblGrid>
        <w:gridCol w:w="4708"/>
        <w:gridCol w:w="5020"/>
      </w:tblGrid>
      <w:tr w14:paraId="24803AE6">
        <w:tblPrEx>
          <w:tblCellMar>
            <w:top w:w="0" w:type="dxa"/>
            <w:left w:w="0" w:type="dxa"/>
            <w:bottom w:w="0" w:type="dxa"/>
            <w:right w:w="0" w:type="dxa"/>
          </w:tblCellMar>
        </w:tblPrEx>
        <w:trPr>
          <w:trHeight w:val="1205" w:hRule="atLeast"/>
        </w:trPr>
        <w:tc>
          <w:tcPr>
            <w:tcW w:w="4708" w:type="dxa"/>
            <w:noWrap w:val="0"/>
            <w:vAlign w:val="center"/>
          </w:tcPr>
          <w:p w14:paraId="0258E065">
            <w:pPr>
              <w:pStyle w:val="133"/>
              <w:wordWrap w:val="0"/>
              <w:adjustRightInd w:val="0"/>
              <w:snapToGrid w:val="0"/>
              <w:spacing w:line="240" w:lineRule="auto"/>
              <w:jc w:val="distribute"/>
              <w:rPr>
                <w:rFonts w:hint="eastAsia" w:ascii="宋体" w:hAnsi="宋体" w:eastAsia="宋体" w:cs="宋体"/>
                <w:snapToGrid w:val="0"/>
                <w:color w:val="auto"/>
                <w:kern w:val="0"/>
                <w:sz w:val="28"/>
                <w:highlight w:val="none"/>
              </w:rPr>
            </w:pPr>
            <w:r>
              <w:rPr>
                <w:rFonts w:hint="eastAsia" w:ascii="宋体" w:hAnsi="宋体" w:eastAsia="宋体" w:cs="宋体"/>
                <w:snapToGrid w:val="0"/>
                <w:color w:val="auto"/>
                <w:kern w:val="0"/>
                <w:sz w:val="28"/>
                <w:highlight w:val="none"/>
              </w:rPr>
              <w:t xml:space="preserve"> 招     标     人（盖单位章）：</w:t>
            </w:r>
          </w:p>
        </w:tc>
        <w:tc>
          <w:tcPr>
            <w:tcW w:w="5020" w:type="dxa"/>
            <w:noWrap w:val="0"/>
            <w:vAlign w:val="center"/>
          </w:tcPr>
          <w:p w14:paraId="10A9CB0B">
            <w:pPr>
              <w:pStyle w:val="133"/>
              <w:wordWrap w:val="0"/>
              <w:adjustRightInd w:val="0"/>
              <w:snapToGrid w:val="0"/>
              <w:spacing w:line="240" w:lineRule="auto"/>
              <w:rPr>
                <w:rFonts w:hint="eastAsia" w:ascii="宋体" w:hAnsi="宋体" w:eastAsia="宋体" w:cs="宋体"/>
                <w:snapToGrid w:val="0"/>
                <w:color w:val="auto"/>
                <w:kern w:val="0"/>
                <w:sz w:val="28"/>
                <w:szCs w:val="28"/>
                <w:highlight w:val="none"/>
              </w:rPr>
            </w:pPr>
            <w:r>
              <w:rPr>
                <w:rFonts w:hint="eastAsia" w:hAnsi="宋体" w:cs="宋体"/>
                <w:snapToGrid w:val="0"/>
                <w:color w:val="auto"/>
                <w:kern w:val="0"/>
                <w:sz w:val="28"/>
                <w:szCs w:val="28"/>
                <w:highlight w:val="none"/>
                <w:lang w:eastAsia="zh-CN"/>
              </w:rPr>
              <w:t>乐昌市庆云镇人民政府</w:t>
            </w:r>
          </w:p>
        </w:tc>
      </w:tr>
      <w:tr w14:paraId="505655B0">
        <w:tblPrEx>
          <w:tblCellMar>
            <w:top w:w="0" w:type="dxa"/>
            <w:left w:w="0" w:type="dxa"/>
            <w:bottom w:w="0" w:type="dxa"/>
            <w:right w:w="0" w:type="dxa"/>
          </w:tblCellMar>
        </w:tblPrEx>
        <w:trPr>
          <w:trHeight w:val="1130" w:hRule="atLeast"/>
        </w:trPr>
        <w:tc>
          <w:tcPr>
            <w:tcW w:w="4708" w:type="dxa"/>
            <w:noWrap w:val="0"/>
            <w:vAlign w:val="center"/>
          </w:tcPr>
          <w:p w14:paraId="0665CC3C">
            <w:pPr>
              <w:pStyle w:val="133"/>
              <w:wordWrap w:val="0"/>
              <w:adjustRightInd w:val="0"/>
              <w:snapToGrid w:val="0"/>
              <w:spacing w:line="240" w:lineRule="auto"/>
              <w:jc w:val="distribute"/>
              <w:rPr>
                <w:rFonts w:hint="eastAsia" w:ascii="宋体" w:hAnsi="宋体" w:eastAsia="宋体" w:cs="宋体"/>
                <w:snapToGrid w:val="0"/>
                <w:color w:val="auto"/>
                <w:kern w:val="0"/>
                <w:sz w:val="28"/>
                <w:highlight w:val="none"/>
              </w:rPr>
            </w:pPr>
            <w:r>
              <w:rPr>
                <w:rFonts w:hint="eastAsia" w:ascii="宋体" w:hAnsi="宋体" w:eastAsia="宋体" w:cs="宋体"/>
                <w:snapToGrid w:val="0"/>
                <w:color w:val="auto"/>
                <w:kern w:val="0"/>
                <w:sz w:val="28"/>
                <w:highlight w:val="none"/>
              </w:rPr>
              <w:t xml:space="preserve"> 招标人工作领导小组负责人（签字）：</w:t>
            </w:r>
          </w:p>
        </w:tc>
        <w:tc>
          <w:tcPr>
            <w:tcW w:w="5020" w:type="dxa"/>
            <w:noWrap w:val="0"/>
            <w:vAlign w:val="center"/>
          </w:tcPr>
          <w:p w14:paraId="67E41C51">
            <w:pPr>
              <w:pStyle w:val="133"/>
              <w:wordWrap w:val="0"/>
              <w:adjustRightInd w:val="0"/>
              <w:snapToGrid w:val="0"/>
              <w:spacing w:line="240" w:lineRule="auto"/>
              <w:rPr>
                <w:rFonts w:hint="eastAsia" w:ascii="宋体" w:hAnsi="宋体" w:eastAsia="宋体" w:cs="宋体"/>
                <w:snapToGrid w:val="0"/>
                <w:color w:val="auto"/>
                <w:kern w:val="0"/>
                <w:sz w:val="28"/>
                <w:szCs w:val="28"/>
                <w:highlight w:val="none"/>
              </w:rPr>
            </w:pPr>
          </w:p>
        </w:tc>
      </w:tr>
      <w:tr w14:paraId="0A0EA0D6">
        <w:tblPrEx>
          <w:tblCellMar>
            <w:top w:w="0" w:type="dxa"/>
            <w:left w:w="0" w:type="dxa"/>
            <w:bottom w:w="0" w:type="dxa"/>
            <w:right w:w="0" w:type="dxa"/>
          </w:tblCellMar>
        </w:tblPrEx>
        <w:trPr>
          <w:trHeight w:val="1190" w:hRule="atLeast"/>
        </w:trPr>
        <w:tc>
          <w:tcPr>
            <w:tcW w:w="4708" w:type="dxa"/>
            <w:noWrap w:val="0"/>
            <w:vAlign w:val="center"/>
          </w:tcPr>
          <w:p w14:paraId="2F8964E4">
            <w:pPr>
              <w:pStyle w:val="133"/>
              <w:wordWrap w:val="0"/>
              <w:adjustRightInd w:val="0"/>
              <w:snapToGrid w:val="0"/>
              <w:spacing w:line="240" w:lineRule="auto"/>
              <w:jc w:val="distribute"/>
              <w:rPr>
                <w:rFonts w:hint="eastAsia" w:ascii="宋体" w:hAnsi="宋体" w:eastAsia="宋体" w:cs="宋体"/>
                <w:snapToGrid w:val="0"/>
                <w:color w:val="auto"/>
                <w:kern w:val="0"/>
                <w:sz w:val="28"/>
                <w:highlight w:val="none"/>
              </w:rPr>
            </w:pPr>
            <w:r>
              <w:rPr>
                <w:rFonts w:hint="eastAsia" w:ascii="宋体" w:hAnsi="宋体" w:eastAsia="宋体" w:cs="宋体"/>
                <w:snapToGrid w:val="0"/>
                <w:color w:val="auto"/>
                <w:kern w:val="0"/>
                <w:sz w:val="28"/>
                <w:highlight w:val="none"/>
              </w:rPr>
              <w:t xml:space="preserve"> 招 标 代 理 机 构 （盖单位章）：</w:t>
            </w:r>
          </w:p>
        </w:tc>
        <w:tc>
          <w:tcPr>
            <w:tcW w:w="5020" w:type="dxa"/>
            <w:noWrap w:val="0"/>
            <w:vAlign w:val="center"/>
          </w:tcPr>
          <w:p w14:paraId="5904D003">
            <w:pPr>
              <w:pStyle w:val="133"/>
              <w:wordWrap w:val="0"/>
              <w:adjustRightInd w:val="0"/>
              <w:snapToGrid w:val="0"/>
              <w:spacing w:line="240" w:lineRule="auto"/>
              <w:rPr>
                <w:rFonts w:hint="eastAsia" w:ascii="宋体" w:hAnsi="宋体" w:eastAsia="宋体" w:cs="宋体"/>
                <w:snapToGrid w:val="0"/>
                <w:color w:val="auto"/>
                <w:kern w:val="0"/>
                <w:sz w:val="28"/>
                <w:szCs w:val="28"/>
                <w:highlight w:val="none"/>
              </w:rPr>
            </w:pPr>
            <w:r>
              <w:rPr>
                <w:rFonts w:hint="eastAsia" w:hAnsi="宋体" w:cs="宋体"/>
                <w:snapToGrid w:val="0"/>
                <w:color w:val="auto"/>
                <w:kern w:val="0"/>
                <w:sz w:val="28"/>
                <w:szCs w:val="28"/>
                <w:highlight w:val="none"/>
                <w:lang w:eastAsia="zh-CN"/>
              </w:rPr>
              <w:t>广州穗图项目管理有限公司</w:t>
            </w:r>
          </w:p>
        </w:tc>
      </w:tr>
      <w:tr w14:paraId="2A1D3D73">
        <w:tblPrEx>
          <w:tblCellMar>
            <w:top w:w="0" w:type="dxa"/>
            <w:left w:w="0" w:type="dxa"/>
            <w:bottom w:w="0" w:type="dxa"/>
            <w:right w:w="0" w:type="dxa"/>
          </w:tblCellMar>
        </w:tblPrEx>
        <w:trPr>
          <w:trHeight w:val="1185" w:hRule="atLeast"/>
        </w:trPr>
        <w:tc>
          <w:tcPr>
            <w:tcW w:w="4708" w:type="dxa"/>
            <w:noWrap w:val="0"/>
            <w:vAlign w:val="center"/>
          </w:tcPr>
          <w:p w14:paraId="7C63534D">
            <w:pPr>
              <w:pStyle w:val="133"/>
              <w:wordWrap w:val="0"/>
              <w:adjustRightInd w:val="0"/>
              <w:snapToGrid w:val="0"/>
              <w:spacing w:line="240" w:lineRule="auto"/>
              <w:jc w:val="distribute"/>
              <w:rPr>
                <w:rFonts w:hint="eastAsia" w:ascii="宋体" w:hAnsi="宋体" w:eastAsia="宋体" w:cs="宋体"/>
                <w:snapToGrid w:val="0"/>
                <w:color w:val="auto"/>
                <w:kern w:val="0"/>
                <w:sz w:val="28"/>
                <w:highlight w:val="none"/>
              </w:rPr>
            </w:pPr>
            <w:r>
              <w:rPr>
                <w:rFonts w:hint="eastAsia" w:ascii="宋体" w:hAnsi="宋体" w:eastAsia="宋体" w:cs="宋体"/>
                <w:snapToGrid w:val="0"/>
                <w:color w:val="auto"/>
                <w:kern w:val="0"/>
                <w:sz w:val="28"/>
                <w:highlight w:val="none"/>
              </w:rPr>
              <w:t xml:space="preserve"> 招标文件编制人（签字）：</w:t>
            </w:r>
          </w:p>
        </w:tc>
        <w:tc>
          <w:tcPr>
            <w:tcW w:w="5020" w:type="dxa"/>
            <w:noWrap w:val="0"/>
            <w:vAlign w:val="center"/>
          </w:tcPr>
          <w:p w14:paraId="0130EA5C">
            <w:pPr>
              <w:pStyle w:val="133"/>
              <w:wordWrap w:val="0"/>
              <w:adjustRightInd w:val="0"/>
              <w:snapToGrid w:val="0"/>
              <w:spacing w:line="240" w:lineRule="auto"/>
              <w:rPr>
                <w:rFonts w:hint="eastAsia" w:ascii="宋体" w:hAnsi="宋体" w:eastAsia="宋体" w:cs="宋体"/>
                <w:snapToGrid w:val="0"/>
                <w:color w:val="auto"/>
                <w:kern w:val="0"/>
                <w:sz w:val="28"/>
                <w:szCs w:val="28"/>
                <w:highlight w:val="none"/>
              </w:rPr>
            </w:pPr>
          </w:p>
        </w:tc>
      </w:tr>
      <w:tr w14:paraId="12A406AF">
        <w:tblPrEx>
          <w:tblCellMar>
            <w:top w:w="0" w:type="dxa"/>
            <w:left w:w="0" w:type="dxa"/>
            <w:bottom w:w="0" w:type="dxa"/>
            <w:right w:w="0" w:type="dxa"/>
          </w:tblCellMar>
        </w:tblPrEx>
        <w:trPr>
          <w:trHeight w:val="1185" w:hRule="atLeast"/>
        </w:trPr>
        <w:tc>
          <w:tcPr>
            <w:tcW w:w="4708" w:type="dxa"/>
            <w:noWrap w:val="0"/>
            <w:vAlign w:val="center"/>
          </w:tcPr>
          <w:p w14:paraId="1E941685">
            <w:pPr>
              <w:pStyle w:val="133"/>
              <w:wordWrap w:val="0"/>
              <w:adjustRightInd w:val="0"/>
              <w:snapToGrid w:val="0"/>
              <w:spacing w:line="240" w:lineRule="auto"/>
              <w:jc w:val="distribute"/>
              <w:rPr>
                <w:rFonts w:hint="eastAsia" w:ascii="宋体" w:hAnsi="宋体" w:eastAsia="宋体" w:cs="宋体"/>
                <w:snapToGrid w:val="0"/>
                <w:color w:val="auto"/>
                <w:kern w:val="0"/>
                <w:sz w:val="28"/>
                <w:highlight w:val="none"/>
              </w:rPr>
            </w:pPr>
            <w:r>
              <w:rPr>
                <w:rFonts w:hint="eastAsia" w:ascii="宋体" w:hAnsi="宋体" w:eastAsia="宋体" w:cs="宋体"/>
                <w:snapToGrid w:val="0"/>
                <w:color w:val="auto"/>
                <w:kern w:val="0"/>
                <w:sz w:val="28"/>
                <w:highlight w:val="none"/>
              </w:rPr>
              <w:t xml:space="preserve"> 招标代理机构项目负责人（签字）：</w:t>
            </w:r>
          </w:p>
        </w:tc>
        <w:tc>
          <w:tcPr>
            <w:tcW w:w="5020" w:type="dxa"/>
            <w:noWrap w:val="0"/>
            <w:vAlign w:val="center"/>
          </w:tcPr>
          <w:p w14:paraId="76DD85E2">
            <w:pPr>
              <w:pStyle w:val="133"/>
              <w:wordWrap w:val="0"/>
              <w:adjustRightInd w:val="0"/>
              <w:snapToGrid w:val="0"/>
              <w:spacing w:line="240" w:lineRule="auto"/>
              <w:rPr>
                <w:rFonts w:hint="eastAsia" w:ascii="宋体" w:hAnsi="宋体" w:eastAsia="宋体" w:cs="宋体"/>
                <w:snapToGrid w:val="0"/>
                <w:color w:val="auto"/>
                <w:kern w:val="0"/>
                <w:sz w:val="28"/>
                <w:szCs w:val="28"/>
                <w:highlight w:val="none"/>
              </w:rPr>
            </w:pPr>
          </w:p>
        </w:tc>
      </w:tr>
      <w:tr w14:paraId="2AE31B85">
        <w:tblPrEx>
          <w:tblCellMar>
            <w:top w:w="0" w:type="dxa"/>
            <w:left w:w="0" w:type="dxa"/>
            <w:bottom w:w="0" w:type="dxa"/>
            <w:right w:w="0" w:type="dxa"/>
          </w:tblCellMar>
        </w:tblPrEx>
        <w:trPr>
          <w:trHeight w:val="892" w:hRule="atLeast"/>
        </w:trPr>
        <w:tc>
          <w:tcPr>
            <w:tcW w:w="4708" w:type="dxa"/>
            <w:noWrap w:val="0"/>
            <w:vAlign w:val="center"/>
          </w:tcPr>
          <w:p w14:paraId="769A6FE6">
            <w:pPr>
              <w:pStyle w:val="133"/>
              <w:wordWrap w:val="0"/>
              <w:adjustRightInd w:val="0"/>
              <w:snapToGrid w:val="0"/>
              <w:spacing w:line="240" w:lineRule="auto"/>
              <w:jc w:val="distribute"/>
              <w:rPr>
                <w:rFonts w:hint="eastAsia" w:ascii="宋体" w:hAnsi="宋体" w:eastAsia="宋体" w:cs="宋体"/>
                <w:snapToGrid w:val="0"/>
                <w:color w:val="auto"/>
                <w:kern w:val="0"/>
                <w:sz w:val="28"/>
                <w:highlight w:val="none"/>
              </w:rPr>
            </w:pPr>
            <w:r>
              <w:rPr>
                <w:rFonts w:hint="eastAsia" w:ascii="宋体" w:hAnsi="宋体" w:eastAsia="宋体" w:cs="宋体"/>
                <w:snapToGrid w:val="0"/>
                <w:color w:val="auto"/>
                <w:kern w:val="0"/>
                <w:sz w:val="28"/>
                <w:highlight w:val="none"/>
              </w:rPr>
              <w:t xml:space="preserve"> 招标文件编制日期：</w:t>
            </w:r>
          </w:p>
        </w:tc>
        <w:tc>
          <w:tcPr>
            <w:tcW w:w="5020" w:type="dxa"/>
            <w:noWrap w:val="0"/>
            <w:vAlign w:val="center"/>
          </w:tcPr>
          <w:p w14:paraId="4065A6D2">
            <w:pPr>
              <w:pStyle w:val="133"/>
              <w:wordWrap w:val="0"/>
              <w:adjustRightInd w:val="0"/>
              <w:snapToGrid w:val="0"/>
              <w:spacing w:line="240" w:lineRule="auto"/>
              <w:rPr>
                <w:rFonts w:hint="eastAsia" w:ascii="宋体" w:hAnsi="宋体" w:eastAsia="宋体" w:cs="宋体"/>
                <w:snapToGrid w:val="0"/>
                <w:color w:val="auto"/>
                <w:kern w:val="0"/>
                <w:sz w:val="28"/>
                <w:highlight w:val="none"/>
              </w:rPr>
            </w:pPr>
            <w:r>
              <w:rPr>
                <w:rFonts w:hint="eastAsia" w:ascii="宋体" w:hAnsi="宋体" w:eastAsia="宋体" w:cs="宋体"/>
                <w:snapToGrid w:val="0"/>
                <w:color w:val="auto"/>
                <w:kern w:val="0"/>
                <w:sz w:val="28"/>
                <w:highlight w:val="none"/>
                <w:lang w:val="en-US" w:eastAsia="zh-CN"/>
              </w:rPr>
              <w:t>202</w:t>
            </w:r>
            <w:r>
              <w:rPr>
                <w:rFonts w:hint="eastAsia" w:hAnsi="宋体" w:cs="宋体"/>
                <w:snapToGrid w:val="0"/>
                <w:color w:val="auto"/>
                <w:kern w:val="0"/>
                <w:sz w:val="28"/>
                <w:highlight w:val="none"/>
                <w:lang w:val="en-US" w:eastAsia="zh-CN"/>
              </w:rPr>
              <w:t>5</w:t>
            </w:r>
            <w:r>
              <w:rPr>
                <w:rFonts w:hint="eastAsia" w:ascii="宋体" w:hAnsi="宋体" w:eastAsia="宋体" w:cs="宋体"/>
                <w:snapToGrid w:val="0"/>
                <w:color w:val="auto"/>
                <w:kern w:val="0"/>
                <w:sz w:val="28"/>
                <w:highlight w:val="none"/>
              </w:rPr>
              <w:t>年</w:t>
            </w:r>
            <w:r>
              <w:rPr>
                <w:rFonts w:hint="eastAsia" w:hAnsi="宋体" w:cs="宋体"/>
                <w:snapToGrid w:val="0"/>
                <w:color w:val="auto"/>
                <w:kern w:val="0"/>
                <w:sz w:val="28"/>
                <w:highlight w:val="none"/>
                <w:lang w:val="en-US" w:eastAsia="zh-CN"/>
              </w:rPr>
              <w:t>11</w:t>
            </w:r>
            <w:r>
              <w:rPr>
                <w:rFonts w:hint="eastAsia" w:ascii="宋体" w:hAnsi="宋体" w:eastAsia="宋体" w:cs="宋体"/>
                <w:snapToGrid w:val="0"/>
                <w:color w:val="auto"/>
                <w:kern w:val="0"/>
                <w:sz w:val="28"/>
                <w:highlight w:val="none"/>
              </w:rPr>
              <w:t>月</w:t>
            </w:r>
          </w:p>
        </w:tc>
      </w:tr>
    </w:tbl>
    <w:p w14:paraId="6D92AB77">
      <w:pPr>
        <w:tabs>
          <w:tab w:val="left" w:pos="4935"/>
        </w:tabs>
        <w:wordWrap w:val="0"/>
        <w:adjustRightInd w:val="0"/>
        <w:snapToGrid w:val="0"/>
        <w:jc w:val="center"/>
        <w:rPr>
          <w:rFonts w:hint="eastAsia" w:ascii="宋体" w:hAnsi="宋体" w:eastAsia="宋体" w:cs="宋体"/>
          <w:b/>
          <w:snapToGrid w:val="0"/>
          <w:color w:val="auto"/>
          <w:kern w:val="0"/>
          <w:sz w:val="28"/>
          <w:szCs w:val="28"/>
          <w:highlight w:val="none"/>
        </w:rPr>
        <w:sectPr>
          <w:footerReference r:id="rId5" w:type="default"/>
          <w:endnotePr>
            <w:numFmt w:val="decimal"/>
          </w:endnotePr>
          <w:pgSz w:w="11906" w:h="16838"/>
          <w:pgMar w:top="1134" w:right="1134" w:bottom="1134" w:left="1134" w:header="850" w:footer="992" w:gutter="0"/>
          <w:pgBorders>
            <w:top w:val="none" w:sz="0" w:space="0"/>
            <w:left w:val="none" w:sz="0" w:space="0"/>
            <w:bottom w:val="none" w:sz="0" w:space="0"/>
            <w:right w:val="none" w:sz="0" w:space="0"/>
          </w:pgBorders>
          <w:pgNumType w:start="1"/>
          <w:cols w:space="720" w:num="1"/>
          <w:docGrid w:linePitch="327" w:charSpace="0"/>
        </w:sectPr>
      </w:pPr>
    </w:p>
    <w:p w14:paraId="5743CAD4">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4C5A3157">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458A10D6">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0472E155">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56B92B2C">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65F59A1E">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0E27BFFD">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779A8B20">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7D704B15">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03A6C86C">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769B7F41">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2159F95D">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6997E976">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4E64ADEE">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62D82045">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23D7FE0B">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7B4EE72C">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343C9A2C">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2253D997">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6A1FCC31">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19E69AA4">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41AC95EE">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7CF439E8">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12DC3E91">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06360384">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53D07953">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5C51944A">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795F6213">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3EF053CA">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0AE001D5">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617161F4">
      <w:pPr>
        <w:rPr>
          <w:rFonts w:hint="eastAsia" w:ascii="宋体" w:hAnsi="宋体" w:eastAsia="宋体" w:cs="宋体"/>
          <w:b/>
          <w:snapToGrid w:val="0"/>
          <w:color w:val="auto"/>
          <w:kern w:val="0"/>
          <w:sz w:val="44"/>
          <w:szCs w:val="44"/>
          <w:highlight w:val="none"/>
          <w:lang w:val="en-US" w:eastAsia="zh-CN" w:bidi="ar-SA"/>
        </w:rPr>
      </w:pPr>
      <w:r>
        <w:rPr>
          <w:rFonts w:hint="eastAsia" w:ascii="宋体" w:hAnsi="宋体" w:eastAsia="宋体" w:cs="宋体"/>
          <w:b/>
          <w:snapToGrid w:val="0"/>
          <w:color w:val="auto"/>
          <w:kern w:val="0"/>
          <w:sz w:val="44"/>
          <w:szCs w:val="44"/>
          <w:highlight w:val="none"/>
          <w:lang w:val="en-US" w:eastAsia="zh-CN" w:bidi="ar-SA"/>
        </w:rPr>
        <w:br w:type="page"/>
      </w:r>
    </w:p>
    <w:p w14:paraId="597EAB36">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r>
        <w:rPr>
          <w:rFonts w:hint="eastAsia" w:ascii="宋体" w:hAnsi="宋体" w:eastAsia="宋体" w:cs="宋体"/>
          <w:b/>
          <w:snapToGrid w:val="0"/>
          <w:color w:val="auto"/>
          <w:kern w:val="0"/>
          <w:sz w:val="44"/>
          <w:szCs w:val="44"/>
          <w:highlight w:val="none"/>
          <w:lang w:val="en-US" w:eastAsia="zh-CN" w:bidi="ar-SA"/>
        </w:rPr>
        <w:t>目    录</w:t>
      </w:r>
    </w:p>
    <w:p w14:paraId="2E95E0AC">
      <w:pPr>
        <w:pStyle w:val="22"/>
        <w:keepNext w:val="0"/>
        <w:keepLines w:val="0"/>
        <w:pageBreakBefore w:val="0"/>
        <w:widowControl w:val="0"/>
        <w:tabs>
          <w:tab w:val="right" w:leader="dot" w:pos="8844"/>
        </w:tabs>
        <w:kinsoku/>
        <w:wordWrap/>
        <w:overflowPunct/>
        <w:topLinePunct w:val="0"/>
        <w:autoSpaceDE/>
        <w:autoSpaceDN/>
        <w:bidi w:val="0"/>
        <w:adjustRightInd/>
        <w:snapToGrid/>
        <w:spacing w:before="0" w:beforeLines="0" w:after="0" w:afterLines="0" w:line="360" w:lineRule="auto"/>
        <w:ind w:left="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TOC \o "1-3" \h \u </w:instrText>
      </w:r>
      <w:r>
        <w:rPr>
          <w:rFonts w:hint="eastAsia" w:ascii="宋体" w:hAnsi="宋体" w:eastAsia="宋体" w:cs="宋体"/>
          <w:color w:val="auto"/>
          <w:highlight w:val="none"/>
        </w:rPr>
        <w:fldChar w:fldCharType="separate"/>
      </w:r>
      <w:r>
        <w:rPr>
          <w:rFonts w:hint="eastAsia" w:ascii="宋体" w:hAnsi="宋体" w:eastAsia="宋体" w:cs="宋体"/>
          <w:b/>
          <w:bCs/>
          <w:color w:val="auto"/>
          <w:highlight w:val="none"/>
        </w:rPr>
        <w:fldChar w:fldCharType="begin"/>
      </w:r>
      <w:r>
        <w:rPr>
          <w:rFonts w:hint="eastAsia" w:ascii="宋体" w:hAnsi="宋体" w:eastAsia="宋体" w:cs="宋体"/>
          <w:b/>
          <w:bCs/>
          <w:color w:val="auto"/>
          <w:highlight w:val="none"/>
        </w:rPr>
        <w:instrText xml:space="preserve"> HYPERLINK \l _Toc14635 </w:instrText>
      </w:r>
      <w:r>
        <w:rPr>
          <w:rFonts w:hint="eastAsia" w:ascii="宋体" w:hAnsi="宋体" w:eastAsia="宋体" w:cs="宋体"/>
          <w:b/>
          <w:bCs/>
          <w:color w:val="auto"/>
          <w:highlight w:val="none"/>
        </w:rPr>
        <w:fldChar w:fldCharType="separate"/>
      </w:r>
      <w:r>
        <w:rPr>
          <w:rFonts w:hint="eastAsia" w:ascii="宋体" w:hAnsi="宋体" w:eastAsia="宋体" w:cs="宋体"/>
          <w:b/>
          <w:bCs/>
          <w:snapToGrid w:val="0"/>
          <w:color w:val="auto"/>
          <w:highlight w:val="none"/>
        </w:rPr>
        <w:t>第一章 投标人须知</w:t>
      </w:r>
      <w:r>
        <w:rPr>
          <w:rFonts w:hint="eastAsia" w:ascii="宋体" w:hAnsi="宋体" w:eastAsia="宋体" w:cs="宋体"/>
          <w:b/>
          <w:bCs/>
          <w:color w:val="auto"/>
          <w:highlight w:val="none"/>
        </w:rPr>
        <w:tab/>
      </w:r>
      <w:r>
        <w:rPr>
          <w:rFonts w:hint="eastAsia" w:ascii="宋体" w:hAnsi="宋体" w:eastAsia="宋体" w:cs="宋体"/>
          <w:b/>
          <w:bCs/>
          <w:color w:val="auto"/>
          <w:highlight w:val="none"/>
        </w:rPr>
        <w:fldChar w:fldCharType="begin"/>
      </w:r>
      <w:r>
        <w:rPr>
          <w:rFonts w:hint="eastAsia" w:ascii="宋体" w:hAnsi="宋体" w:eastAsia="宋体" w:cs="宋体"/>
          <w:b/>
          <w:bCs/>
          <w:color w:val="auto"/>
          <w:highlight w:val="none"/>
        </w:rPr>
        <w:instrText xml:space="preserve"> PAGEREF _Toc14635 \h </w:instrText>
      </w:r>
      <w:r>
        <w:rPr>
          <w:rFonts w:hint="eastAsia" w:ascii="宋体" w:hAnsi="宋体" w:eastAsia="宋体" w:cs="宋体"/>
          <w:b/>
          <w:bCs/>
          <w:color w:val="auto"/>
          <w:highlight w:val="none"/>
        </w:rPr>
        <w:fldChar w:fldCharType="separate"/>
      </w:r>
      <w:r>
        <w:rPr>
          <w:rFonts w:hint="eastAsia" w:ascii="宋体" w:hAnsi="宋体" w:eastAsia="宋体" w:cs="宋体"/>
          <w:b/>
          <w:bCs/>
          <w:color w:val="auto"/>
          <w:highlight w:val="none"/>
        </w:rPr>
        <w:t>1</w:t>
      </w:r>
      <w:r>
        <w:rPr>
          <w:rFonts w:hint="eastAsia" w:ascii="宋体" w:hAnsi="宋体" w:eastAsia="宋体" w:cs="宋体"/>
          <w:b/>
          <w:bCs/>
          <w:color w:val="auto"/>
          <w:highlight w:val="none"/>
        </w:rPr>
        <w:fldChar w:fldCharType="end"/>
      </w:r>
      <w:r>
        <w:rPr>
          <w:rFonts w:hint="eastAsia" w:ascii="宋体" w:hAnsi="宋体" w:eastAsia="宋体" w:cs="宋体"/>
          <w:b/>
          <w:bCs/>
          <w:color w:val="auto"/>
          <w:highlight w:val="none"/>
        </w:rPr>
        <w:fldChar w:fldCharType="end"/>
      </w:r>
    </w:p>
    <w:p w14:paraId="7D21D9EF">
      <w:pPr>
        <w:pStyle w:val="2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240" w:firstLineChars="1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_Toc22622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第一节 投标人须知前附表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_Toc22622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2D87D76C">
      <w:pPr>
        <w:pStyle w:val="2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240" w:firstLineChars="1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_Toc27937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第二节 重要事项时间地点一览表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_Toc27937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7D70C156">
      <w:pPr>
        <w:pStyle w:val="2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240" w:firstLineChars="1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_Toc30390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第三节 投标人须知正文</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_Toc30390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7</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0A66191F">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_Toc25995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1．项目概况、招标范围和标段划分、投标费用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_Toc25995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7</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6FFD99FA">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_Toc14498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2．投标人资格要求</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_Toc14498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7</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006D6B72">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_Toc6745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3．招标文件的获取、提问和答疑</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_Toc6745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9</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49A96413">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_Toc10093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工期要求</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_Toc10093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11</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6C6B950A">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_Toc762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5．质量标准和材料、机械要求</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_Toc762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11</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131FAF1F">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_Toc23462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6．施工条件及现场踏勘</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_Toc23462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12</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14A7B6E9">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_Toc29845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7．招标文件的提问和答疑</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_Toc29845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13</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1143485F">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_Toc21026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8．</w:t>
      </w:r>
      <w:r>
        <w:rPr>
          <w:rFonts w:hint="eastAsia" w:ascii="宋体" w:hAnsi="宋体" w:eastAsia="宋体" w:cs="宋体"/>
          <w:strike w:val="0"/>
          <w:snapToGrid w:val="0"/>
          <w:color w:val="auto"/>
          <w:kern w:val="0"/>
          <w:sz w:val="24"/>
          <w:szCs w:val="24"/>
          <w:highlight w:val="none"/>
          <w:lang w:val="en-US" w:eastAsia="zh-CN"/>
        </w:rPr>
        <w:t>最高投标限价</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_Toc21026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13</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2104ADA7">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_Toc19680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9．投标报价</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_Toc19680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14</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02C82BB4">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_Toc15652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10．投标文件的编制要求</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_Toc15652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16</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2396E509">
      <w:pPr>
        <w:pStyle w:val="2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_Toc5963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lang w:val="en-US" w:eastAsia="zh-CN"/>
        </w:rPr>
        <w:t>11.电子投标</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_Toc5963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19</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49884DCC">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_Toc25051 </w:instrText>
      </w:r>
      <w:r>
        <w:rPr>
          <w:rFonts w:hint="eastAsia" w:ascii="宋体" w:hAnsi="宋体" w:eastAsia="宋体" w:cs="宋体"/>
          <w:color w:val="auto"/>
          <w:highlight w:val="none"/>
        </w:rPr>
        <w:fldChar w:fldCharType="separate"/>
      </w:r>
      <w:r>
        <w:rPr>
          <w:rFonts w:hint="eastAsia" w:ascii="宋体" w:hAnsi="宋体" w:eastAsia="宋体" w:cs="宋体"/>
          <w:color w:val="auto"/>
          <w:kern w:val="2"/>
          <w:szCs w:val="20"/>
          <w:highlight w:val="none"/>
          <w:lang w:val="en-US" w:eastAsia="zh-CN" w:bidi="ar-SA"/>
        </w:rPr>
        <w:t>12.电子投标及投标解密失败及突发情况的补救方案</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_Toc25051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19</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781CCDCB">
      <w:pPr>
        <w:pStyle w:val="2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_Toc31800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lang w:val="en-US" w:eastAsia="zh-CN"/>
        </w:rPr>
        <w:t>13．投标文件的提交</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_Toc31800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20</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62BEECCA">
      <w:pPr>
        <w:pStyle w:val="2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_Toc358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lang w:val="en-US" w:eastAsia="zh-CN"/>
        </w:rPr>
        <w:t>14．开标</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_Toc358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20</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6F8E85E9">
      <w:pPr>
        <w:pStyle w:val="2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_Toc28090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lang w:val="en-US" w:eastAsia="zh-CN"/>
        </w:rPr>
        <w:t>15．评标</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_Toc28090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21</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104ADDF0">
      <w:pPr>
        <w:pStyle w:val="2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_Toc2839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lang w:val="en-US" w:eastAsia="zh-CN"/>
        </w:rPr>
        <w:t>16．中标候选人公示</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_Toc2839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32</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3C357389">
      <w:pPr>
        <w:pStyle w:val="2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_Toc18979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lang w:val="en-US" w:eastAsia="zh-CN"/>
        </w:rPr>
        <w:t>1．资格评审环节</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_Toc18979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34</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683CD7CA">
      <w:pPr>
        <w:pStyle w:val="2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_Toc19719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lang w:val="en-US" w:eastAsia="zh-CN"/>
        </w:rPr>
        <w:t>2．形式评审环节</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_Toc19719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35</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44FC4F28">
      <w:pPr>
        <w:pStyle w:val="2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_Toc13299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lang w:val="en-US" w:eastAsia="zh-CN"/>
        </w:rPr>
        <w:t>3．响应性评审环节</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_Toc13299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35</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5B3614CA">
      <w:pPr>
        <w:pStyle w:val="2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_Toc24919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lang w:val="en-US" w:eastAsia="zh-CN"/>
        </w:rPr>
        <w:t>4．其他</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_Toc24919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35</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075738EC">
      <w:pPr>
        <w:pStyle w:val="22"/>
        <w:keepNext w:val="0"/>
        <w:keepLines w:val="0"/>
        <w:pageBreakBefore w:val="0"/>
        <w:widowControl w:val="0"/>
        <w:tabs>
          <w:tab w:val="right" w:leader="dot" w:pos="8844"/>
        </w:tabs>
        <w:kinsoku/>
        <w:wordWrap/>
        <w:overflowPunct/>
        <w:topLinePunct w:val="0"/>
        <w:autoSpaceDE/>
        <w:autoSpaceDN/>
        <w:bidi w:val="0"/>
        <w:adjustRightInd/>
        <w:snapToGrid/>
        <w:spacing w:before="0" w:beforeLines="0" w:after="0" w:afterLines="0" w:line="360" w:lineRule="auto"/>
        <w:ind w:left="0"/>
        <w:jc w:val="center"/>
        <w:textAlignment w:val="auto"/>
        <w:rPr>
          <w:rFonts w:hint="eastAsia" w:ascii="宋体" w:hAnsi="宋体" w:eastAsia="宋体" w:cs="宋体"/>
          <w:color w:val="auto"/>
          <w:highlight w:val="none"/>
        </w:rPr>
      </w:pPr>
      <w:r>
        <w:rPr>
          <w:rFonts w:hint="eastAsia" w:ascii="宋体" w:hAnsi="宋体" w:eastAsia="宋体" w:cs="宋体"/>
          <w:b/>
          <w:bCs/>
          <w:color w:val="auto"/>
          <w:highlight w:val="none"/>
        </w:rPr>
        <w:fldChar w:fldCharType="begin"/>
      </w:r>
      <w:r>
        <w:rPr>
          <w:rFonts w:hint="eastAsia" w:ascii="宋体" w:hAnsi="宋体" w:eastAsia="宋体" w:cs="宋体"/>
          <w:b/>
          <w:bCs/>
          <w:color w:val="auto"/>
          <w:highlight w:val="none"/>
        </w:rPr>
        <w:instrText xml:space="preserve"> HYPERLINK \l _Toc24543 </w:instrText>
      </w:r>
      <w:r>
        <w:rPr>
          <w:rFonts w:hint="eastAsia" w:ascii="宋体" w:hAnsi="宋体" w:eastAsia="宋体" w:cs="宋体"/>
          <w:b/>
          <w:bCs/>
          <w:color w:val="auto"/>
          <w:highlight w:val="none"/>
        </w:rPr>
        <w:fldChar w:fldCharType="separate"/>
      </w:r>
      <w:r>
        <w:rPr>
          <w:rFonts w:hint="eastAsia" w:ascii="宋体" w:hAnsi="宋体" w:eastAsia="宋体" w:cs="宋体"/>
          <w:b/>
          <w:bCs/>
          <w:snapToGrid w:val="0"/>
          <w:color w:val="auto"/>
          <w:highlight w:val="none"/>
          <w:lang w:val="en-US" w:eastAsia="zh-CN"/>
        </w:rPr>
        <w:t>第二章 中标人须知</w:t>
      </w:r>
      <w:r>
        <w:rPr>
          <w:rFonts w:hint="eastAsia" w:ascii="宋体" w:hAnsi="宋体" w:eastAsia="宋体" w:cs="宋体"/>
          <w:b/>
          <w:bCs/>
          <w:color w:val="auto"/>
          <w:highlight w:val="none"/>
        </w:rPr>
        <w:tab/>
      </w:r>
      <w:r>
        <w:rPr>
          <w:rFonts w:hint="eastAsia" w:ascii="宋体" w:hAnsi="宋体" w:eastAsia="宋体" w:cs="宋体"/>
          <w:b/>
          <w:bCs/>
          <w:color w:val="auto"/>
          <w:highlight w:val="none"/>
        </w:rPr>
        <w:fldChar w:fldCharType="begin"/>
      </w:r>
      <w:r>
        <w:rPr>
          <w:rFonts w:hint="eastAsia" w:ascii="宋体" w:hAnsi="宋体" w:eastAsia="宋体" w:cs="宋体"/>
          <w:b/>
          <w:bCs/>
          <w:color w:val="auto"/>
          <w:highlight w:val="none"/>
        </w:rPr>
        <w:instrText xml:space="preserve"> PAGEREF _Toc24543 \h </w:instrText>
      </w:r>
      <w:r>
        <w:rPr>
          <w:rFonts w:hint="eastAsia" w:ascii="宋体" w:hAnsi="宋体" w:eastAsia="宋体" w:cs="宋体"/>
          <w:b/>
          <w:bCs/>
          <w:color w:val="auto"/>
          <w:highlight w:val="none"/>
        </w:rPr>
        <w:fldChar w:fldCharType="separate"/>
      </w:r>
      <w:r>
        <w:rPr>
          <w:rFonts w:hint="eastAsia" w:ascii="宋体" w:hAnsi="宋体" w:eastAsia="宋体" w:cs="宋体"/>
          <w:b/>
          <w:bCs/>
          <w:color w:val="auto"/>
          <w:highlight w:val="none"/>
        </w:rPr>
        <w:t>37</w:t>
      </w:r>
      <w:r>
        <w:rPr>
          <w:rFonts w:hint="eastAsia" w:ascii="宋体" w:hAnsi="宋体" w:eastAsia="宋体" w:cs="宋体"/>
          <w:b/>
          <w:bCs/>
          <w:color w:val="auto"/>
          <w:highlight w:val="none"/>
        </w:rPr>
        <w:fldChar w:fldCharType="end"/>
      </w:r>
      <w:r>
        <w:rPr>
          <w:rFonts w:hint="eastAsia" w:ascii="宋体" w:hAnsi="宋体" w:eastAsia="宋体" w:cs="宋体"/>
          <w:b/>
          <w:bCs/>
          <w:color w:val="auto"/>
          <w:highlight w:val="none"/>
        </w:rPr>
        <w:fldChar w:fldCharType="end"/>
      </w:r>
    </w:p>
    <w:p w14:paraId="15676B42">
      <w:pPr>
        <w:pStyle w:val="22"/>
        <w:keepNext w:val="0"/>
        <w:keepLines w:val="0"/>
        <w:pageBreakBefore w:val="0"/>
        <w:widowControl w:val="0"/>
        <w:tabs>
          <w:tab w:val="right" w:leader="dot" w:pos="8844"/>
        </w:tabs>
        <w:kinsoku/>
        <w:wordWrap/>
        <w:overflowPunct/>
        <w:topLinePunct w:val="0"/>
        <w:autoSpaceDE/>
        <w:autoSpaceDN/>
        <w:bidi w:val="0"/>
        <w:adjustRightInd/>
        <w:snapToGrid/>
        <w:spacing w:before="0" w:beforeLines="0" w:after="0" w:afterLines="0" w:line="360" w:lineRule="auto"/>
        <w:ind w:left="0"/>
        <w:jc w:val="center"/>
        <w:textAlignment w:val="auto"/>
        <w:rPr>
          <w:rFonts w:hint="eastAsia" w:ascii="宋体" w:hAnsi="宋体" w:eastAsia="宋体" w:cs="宋体"/>
          <w:color w:val="auto"/>
          <w:highlight w:val="none"/>
        </w:rPr>
      </w:pPr>
      <w:r>
        <w:rPr>
          <w:rFonts w:hint="eastAsia" w:ascii="宋体" w:hAnsi="宋体" w:eastAsia="宋体" w:cs="宋体"/>
          <w:b/>
          <w:bCs/>
          <w:color w:val="auto"/>
          <w:highlight w:val="none"/>
        </w:rPr>
        <w:fldChar w:fldCharType="begin"/>
      </w:r>
      <w:r>
        <w:rPr>
          <w:rFonts w:hint="eastAsia" w:ascii="宋体" w:hAnsi="宋体" w:eastAsia="宋体" w:cs="宋体"/>
          <w:b/>
          <w:bCs/>
          <w:color w:val="auto"/>
          <w:highlight w:val="none"/>
        </w:rPr>
        <w:instrText xml:space="preserve"> HYPERLINK \l _Toc24436 </w:instrText>
      </w:r>
      <w:r>
        <w:rPr>
          <w:rFonts w:hint="eastAsia" w:ascii="宋体" w:hAnsi="宋体" w:eastAsia="宋体" w:cs="宋体"/>
          <w:b/>
          <w:bCs/>
          <w:color w:val="auto"/>
          <w:highlight w:val="none"/>
        </w:rPr>
        <w:fldChar w:fldCharType="separate"/>
      </w:r>
      <w:r>
        <w:rPr>
          <w:rFonts w:hint="eastAsia" w:ascii="宋体" w:hAnsi="宋体" w:eastAsia="宋体" w:cs="宋体"/>
          <w:b/>
          <w:bCs/>
          <w:snapToGrid w:val="0"/>
          <w:color w:val="auto"/>
          <w:highlight w:val="none"/>
          <w:lang w:val="en-US" w:eastAsia="zh-CN"/>
        </w:rPr>
        <w:t>第三章 拟签订合同的主要条款</w:t>
      </w:r>
      <w:r>
        <w:rPr>
          <w:rFonts w:hint="eastAsia" w:ascii="宋体" w:hAnsi="宋体" w:eastAsia="宋体" w:cs="宋体"/>
          <w:b/>
          <w:bCs/>
          <w:color w:val="auto"/>
          <w:highlight w:val="none"/>
        </w:rPr>
        <w:tab/>
      </w:r>
      <w:r>
        <w:rPr>
          <w:rFonts w:hint="eastAsia" w:ascii="宋体" w:hAnsi="宋体" w:eastAsia="宋体" w:cs="宋体"/>
          <w:b/>
          <w:bCs/>
          <w:color w:val="auto"/>
          <w:highlight w:val="none"/>
        </w:rPr>
        <w:fldChar w:fldCharType="begin"/>
      </w:r>
      <w:r>
        <w:rPr>
          <w:rFonts w:hint="eastAsia" w:ascii="宋体" w:hAnsi="宋体" w:eastAsia="宋体" w:cs="宋体"/>
          <w:b/>
          <w:bCs/>
          <w:color w:val="auto"/>
          <w:highlight w:val="none"/>
        </w:rPr>
        <w:instrText xml:space="preserve"> PAGEREF _Toc24436 \h </w:instrText>
      </w:r>
      <w:r>
        <w:rPr>
          <w:rFonts w:hint="eastAsia" w:ascii="宋体" w:hAnsi="宋体" w:eastAsia="宋体" w:cs="宋体"/>
          <w:b/>
          <w:bCs/>
          <w:color w:val="auto"/>
          <w:highlight w:val="none"/>
        </w:rPr>
        <w:fldChar w:fldCharType="separate"/>
      </w:r>
      <w:r>
        <w:rPr>
          <w:rFonts w:hint="eastAsia" w:ascii="宋体" w:hAnsi="宋体" w:eastAsia="宋体" w:cs="宋体"/>
          <w:b/>
          <w:bCs/>
          <w:color w:val="auto"/>
          <w:highlight w:val="none"/>
        </w:rPr>
        <w:t>40</w:t>
      </w:r>
      <w:r>
        <w:rPr>
          <w:rFonts w:hint="eastAsia" w:ascii="宋体" w:hAnsi="宋体" w:eastAsia="宋体" w:cs="宋体"/>
          <w:b/>
          <w:bCs/>
          <w:color w:val="auto"/>
          <w:highlight w:val="none"/>
        </w:rPr>
        <w:fldChar w:fldCharType="end"/>
      </w:r>
      <w:r>
        <w:rPr>
          <w:rFonts w:hint="eastAsia" w:ascii="宋体" w:hAnsi="宋体" w:eastAsia="宋体" w:cs="宋体"/>
          <w:b/>
          <w:bCs/>
          <w:color w:val="auto"/>
          <w:highlight w:val="none"/>
        </w:rPr>
        <w:fldChar w:fldCharType="end"/>
      </w:r>
    </w:p>
    <w:p w14:paraId="42B78DE7">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_Toc28441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1．工程承包方式</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_Toc28441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40</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0972CB18">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_Toc27001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2．工程结算原则</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_Toc27001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40</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59B7DE34">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_Toc26653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 工程付款办法</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_Toc26653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45</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0ECE95F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eastAsia="宋体"/>
          <w:color w:val="auto"/>
          <w:highlight w:val="none"/>
          <w:lang w:val="en-US" w:eastAsia="zh-CN"/>
        </w:rPr>
      </w:pPr>
      <w:r>
        <w:rPr>
          <w:rFonts w:hint="eastAsia"/>
          <w:color w:val="auto"/>
          <w:highlight w:val="none"/>
          <w:lang w:val="en-US" w:eastAsia="zh-CN"/>
        </w:rPr>
        <w:t>4．其他专用合同条款...............................................</w:t>
      </w:r>
      <w:r>
        <w:rPr>
          <w:rFonts w:hint="eastAsia" w:ascii="宋体" w:hAnsi="宋体" w:eastAsia="宋体" w:cs="宋体"/>
          <w:color w:val="auto"/>
          <w:highlight w:val="none"/>
          <w:lang w:val="en-US" w:eastAsia="zh-CN"/>
        </w:rPr>
        <w:t>.....4</w:t>
      </w:r>
      <w:r>
        <w:rPr>
          <w:rFonts w:hint="eastAsia" w:hAnsi="宋体" w:cs="宋体"/>
          <w:color w:val="auto"/>
          <w:highlight w:val="none"/>
          <w:lang w:val="en-US" w:eastAsia="zh-CN"/>
        </w:rPr>
        <w:t>7</w:t>
      </w:r>
    </w:p>
    <w:p w14:paraId="726D6F5C">
      <w:pPr>
        <w:pStyle w:val="22"/>
        <w:keepNext w:val="0"/>
        <w:keepLines w:val="0"/>
        <w:pageBreakBefore w:val="0"/>
        <w:widowControl w:val="0"/>
        <w:tabs>
          <w:tab w:val="right" w:leader="dot" w:pos="8844"/>
        </w:tabs>
        <w:kinsoku/>
        <w:wordWrap/>
        <w:overflowPunct/>
        <w:topLinePunct w:val="0"/>
        <w:autoSpaceDE/>
        <w:autoSpaceDN/>
        <w:bidi w:val="0"/>
        <w:adjustRightInd/>
        <w:snapToGrid/>
        <w:spacing w:before="0" w:beforeLines="0" w:after="0" w:afterLines="0" w:line="360" w:lineRule="auto"/>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rPr>
        <w:fldChar w:fldCharType="begin"/>
      </w:r>
      <w:r>
        <w:rPr>
          <w:rFonts w:hint="eastAsia" w:ascii="宋体" w:hAnsi="宋体" w:eastAsia="宋体" w:cs="宋体"/>
          <w:b/>
          <w:bCs/>
          <w:color w:val="auto"/>
          <w:highlight w:val="none"/>
        </w:rPr>
        <w:instrText xml:space="preserve"> HYPERLINK \l _Toc9687 </w:instrText>
      </w:r>
      <w:r>
        <w:rPr>
          <w:rFonts w:hint="eastAsia" w:ascii="宋体" w:hAnsi="宋体" w:eastAsia="宋体" w:cs="宋体"/>
          <w:b/>
          <w:bCs/>
          <w:color w:val="auto"/>
          <w:highlight w:val="none"/>
        </w:rPr>
        <w:fldChar w:fldCharType="separate"/>
      </w:r>
      <w:r>
        <w:rPr>
          <w:rFonts w:hint="eastAsia" w:ascii="宋体" w:hAnsi="宋体" w:eastAsia="宋体" w:cs="宋体"/>
          <w:b/>
          <w:bCs/>
          <w:snapToGrid w:val="0"/>
          <w:color w:val="auto"/>
          <w:highlight w:val="none"/>
          <w:lang w:val="en-US" w:eastAsia="zh-CN"/>
        </w:rPr>
        <w:t>第四章 技术要求</w:t>
      </w:r>
      <w:r>
        <w:rPr>
          <w:rFonts w:hint="eastAsia" w:ascii="宋体" w:hAnsi="宋体" w:eastAsia="宋体" w:cs="宋体"/>
          <w:b/>
          <w:bCs/>
          <w:color w:val="auto"/>
          <w:highlight w:val="none"/>
        </w:rPr>
        <w:tab/>
      </w:r>
      <w:r>
        <w:rPr>
          <w:rFonts w:hint="eastAsia" w:ascii="宋体" w:hAnsi="宋体" w:eastAsia="宋体" w:cs="宋体"/>
          <w:b/>
          <w:bCs/>
          <w:color w:val="auto"/>
          <w:highlight w:val="none"/>
        </w:rPr>
        <w:fldChar w:fldCharType="begin"/>
      </w:r>
      <w:r>
        <w:rPr>
          <w:rFonts w:hint="eastAsia" w:ascii="宋体" w:hAnsi="宋体" w:eastAsia="宋体" w:cs="宋体"/>
          <w:b/>
          <w:bCs/>
          <w:color w:val="auto"/>
          <w:highlight w:val="none"/>
        </w:rPr>
        <w:instrText xml:space="preserve"> PAGEREF _Toc9687 \h </w:instrText>
      </w:r>
      <w:r>
        <w:rPr>
          <w:rFonts w:hint="eastAsia" w:ascii="宋体" w:hAnsi="宋体" w:eastAsia="宋体" w:cs="宋体"/>
          <w:b/>
          <w:bCs/>
          <w:color w:val="auto"/>
          <w:highlight w:val="none"/>
        </w:rPr>
        <w:fldChar w:fldCharType="separate"/>
      </w:r>
      <w:r>
        <w:rPr>
          <w:rFonts w:hint="eastAsia" w:ascii="宋体" w:hAnsi="宋体" w:eastAsia="宋体" w:cs="宋体"/>
          <w:b/>
          <w:bCs/>
          <w:color w:val="auto"/>
          <w:highlight w:val="none"/>
        </w:rPr>
        <w:t>54</w:t>
      </w:r>
      <w:r>
        <w:rPr>
          <w:rFonts w:hint="eastAsia" w:ascii="宋体" w:hAnsi="宋体" w:eastAsia="宋体" w:cs="宋体"/>
          <w:b/>
          <w:bCs/>
          <w:color w:val="auto"/>
          <w:highlight w:val="none"/>
        </w:rPr>
        <w:fldChar w:fldCharType="end"/>
      </w:r>
      <w:r>
        <w:rPr>
          <w:rFonts w:hint="eastAsia" w:ascii="宋体" w:hAnsi="宋体" w:eastAsia="宋体" w:cs="宋体"/>
          <w:b/>
          <w:bCs/>
          <w:color w:val="auto"/>
          <w:highlight w:val="none"/>
        </w:rPr>
        <w:fldChar w:fldCharType="end"/>
      </w:r>
    </w:p>
    <w:p w14:paraId="138A42A6">
      <w:pPr>
        <w:pStyle w:val="22"/>
        <w:keepNext w:val="0"/>
        <w:keepLines w:val="0"/>
        <w:pageBreakBefore w:val="0"/>
        <w:widowControl w:val="0"/>
        <w:tabs>
          <w:tab w:val="right" w:leader="dot" w:pos="8844"/>
        </w:tabs>
        <w:kinsoku/>
        <w:wordWrap/>
        <w:overflowPunct/>
        <w:topLinePunct w:val="0"/>
        <w:autoSpaceDE/>
        <w:autoSpaceDN/>
        <w:bidi w:val="0"/>
        <w:adjustRightInd/>
        <w:snapToGrid/>
        <w:spacing w:before="0" w:beforeLines="0" w:after="0" w:afterLines="0" w:line="360" w:lineRule="auto"/>
        <w:ind w:left="0"/>
        <w:jc w:val="center"/>
        <w:textAlignment w:val="auto"/>
        <w:rPr>
          <w:rFonts w:hint="eastAsia" w:ascii="宋体" w:hAnsi="宋体" w:eastAsia="宋体" w:cs="宋体"/>
          <w:color w:val="auto"/>
          <w:highlight w:val="none"/>
        </w:rPr>
      </w:pPr>
      <w:r>
        <w:rPr>
          <w:rFonts w:hint="eastAsia" w:ascii="宋体" w:hAnsi="宋体" w:eastAsia="宋体" w:cs="宋体"/>
          <w:b/>
          <w:bCs/>
          <w:color w:val="auto"/>
          <w:highlight w:val="none"/>
        </w:rPr>
        <w:fldChar w:fldCharType="begin"/>
      </w:r>
      <w:r>
        <w:rPr>
          <w:rFonts w:hint="eastAsia" w:ascii="宋体" w:hAnsi="宋体" w:eastAsia="宋体" w:cs="宋体"/>
          <w:b/>
          <w:bCs/>
          <w:color w:val="auto"/>
          <w:highlight w:val="none"/>
        </w:rPr>
        <w:instrText xml:space="preserve"> HYPERLINK \l _Toc10987 </w:instrText>
      </w:r>
      <w:r>
        <w:rPr>
          <w:rFonts w:hint="eastAsia" w:ascii="宋体" w:hAnsi="宋体" w:eastAsia="宋体" w:cs="宋体"/>
          <w:b/>
          <w:bCs/>
          <w:color w:val="auto"/>
          <w:highlight w:val="none"/>
        </w:rPr>
        <w:fldChar w:fldCharType="separate"/>
      </w:r>
      <w:r>
        <w:rPr>
          <w:rFonts w:hint="eastAsia" w:ascii="宋体" w:hAnsi="宋体" w:eastAsia="宋体" w:cs="宋体"/>
          <w:b/>
          <w:bCs/>
          <w:snapToGrid w:val="0"/>
          <w:color w:val="auto"/>
          <w:highlight w:val="none"/>
          <w:lang w:val="en-US" w:eastAsia="zh-CN"/>
        </w:rPr>
        <w:t>第五章 图纸和招标工程量清单</w:t>
      </w:r>
      <w:r>
        <w:rPr>
          <w:rFonts w:hint="eastAsia" w:ascii="宋体" w:hAnsi="宋体" w:eastAsia="宋体" w:cs="宋体"/>
          <w:b/>
          <w:bCs/>
          <w:color w:val="auto"/>
          <w:highlight w:val="none"/>
        </w:rPr>
        <w:tab/>
      </w:r>
      <w:r>
        <w:rPr>
          <w:rFonts w:hint="eastAsia" w:ascii="宋体" w:hAnsi="宋体" w:eastAsia="宋体" w:cs="宋体"/>
          <w:b/>
          <w:bCs/>
          <w:color w:val="auto"/>
          <w:highlight w:val="none"/>
        </w:rPr>
        <w:fldChar w:fldCharType="begin"/>
      </w:r>
      <w:r>
        <w:rPr>
          <w:rFonts w:hint="eastAsia" w:ascii="宋体" w:hAnsi="宋体" w:eastAsia="宋体" w:cs="宋体"/>
          <w:b/>
          <w:bCs/>
          <w:color w:val="auto"/>
          <w:highlight w:val="none"/>
        </w:rPr>
        <w:instrText xml:space="preserve"> PAGEREF _Toc10987 \h </w:instrText>
      </w:r>
      <w:r>
        <w:rPr>
          <w:rFonts w:hint="eastAsia" w:ascii="宋体" w:hAnsi="宋体" w:eastAsia="宋体" w:cs="宋体"/>
          <w:b/>
          <w:bCs/>
          <w:color w:val="auto"/>
          <w:highlight w:val="none"/>
        </w:rPr>
        <w:fldChar w:fldCharType="separate"/>
      </w:r>
      <w:r>
        <w:rPr>
          <w:rFonts w:hint="eastAsia" w:ascii="宋体" w:hAnsi="宋体" w:eastAsia="宋体" w:cs="宋体"/>
          <w:b/>
          <w:bCs/>
          <w:color w:val="auto"/>
          <w:highlight w:val="none"/>
        </w:rPr>
        <w:t>56</w:t>
      </w:r>
      <w:r>
        <w:rPr>
          <w:rFonts w:hint="eastAsia" w:ascii="宋体" w:hAnsi="宋体" w:eastAsia="宋体" w:cs="宋体"/>
          <w:b/>
          <w:bCs/>
          <w:color w:val="auto"/>
          <w:highlight w:val="none"/>
        </w:rPr>
        <w:fldChar w:fldCharType="end"/>
      </w:r>
      <w:r>
        <w:rPr>
          <w:rFonts w:hint="eastAsia" w:ascii="宋体" w:hAnsi="宋体" w:eastAsia="宋体" w:cs="宋体"/>
          <w:b/>
          <w:bCs/>
          <w:color w:val="auto"/>
          <w:highlight w:val="none"/>
        </w:rPr>
        <w:fldChar w:fldCharType="end"/>
      </w:r>
    </w:p>
    <w:p w14:paraId="3EF7BD92">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_Toc28153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1．图纸</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_Toc28153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56</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64159BB4">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_Toc14740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2．招标工程量清单</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_Toc14740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56</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76D38419">
      <w:pPr>
        <w:pStyle w:val="22"/>
        <w:keepNext w:val="0"/>
        <w:keepLines w:val="0"/>
        <w:pageBreakBefore w:val="0"/>
        <w:widowControl w:val="0"/>
        <w:tabs>
          <w:tab w:val="right" w:leader="dot" w:pos="8844"/>
        </w:tabs>
        <w:kinsoku/>
        <w:wordWrap/>
        <w:overflowPunct/>
        <w:topLinePunct w:val="0"/>
        <w:autoSpaceDE/>
        <w:autoSpaceDN/>
        <w:bidi w:val="0"/>
        <w:adjustRightInd/>
        <w:snapToGrid/>
        <w:spacing w:before="0" w:beforeLines="0" w:after="0" w:afterLines="0" w:line="360" w:lineRule="auto"/>
        <w:ind w:left="0"/>
        <w:jc w:val="center"/>
        <w:textAlignment w:val="auto"/>
        <w:rPr>
          <w:rFonts w:hint="eastAsia" w:ascii="宋体" w:hAnsi="宋体" w:eastAsia="宋体" w:cs="宋体"/>
          <w:color w:val="auto"/>
          <w:highlight w:val="none"/>
        </w:rPr>
      </w:pPr>
      <w:r>
        <w:rPr>
          <w:rFonts w:hint="eastAsia" w:ascii="宋体" w:hAnsi="宋体" w:eastAsia="宋体" w:cs="宋体"/>
          <w:b/>
          <w:bCs/>
          <w:color w:val="auto"/>
          <w:highlight w:val="none"/>
        </w:rPr>
        <w:fldChar w:fldCharType="begin"/>
      </w:r>
      <w:r>
        <w:rPr>
          <w:rFonts w:hint="eastAsia" w:ascii="宋体" w:hAnsi="宋体" w:eastAsia="宋体" w:cs="宋体"/>
          <w:b/>
          <w:bCs/>
          <w:color w:val="auto"/>
          <w:highlight w:val="none"/>
        </w:rPr>
        <w:instrText xml:space="preserve"> HYPERLINK \l _Toc16415 </w:instrText>
      </w:r>
      <w:r>
        <w:rPr>
          <w:rFonts w:hint="eastAsia" w:ascii="宋体" w:hAnsi="宋体" w:eastAsia="宋体" w:cs="宋体"/>
          <w:b/>
          <w:bCs/>
          <w:color w:val="auto"/>
          <w:highlight w:val="none"/>
        </w:rPr>
        <w:fldChar w:fldCharType="separate"/>
      </w:r>
      <w:r>
        <w:rPr>
          <w:rFonts w:hint="eastAsia" w:ascii="宋体" w:hAnsi="宋体" w:eastAsia="宋体" w:cs="宋体"/>
          <w:b/>
          <w:bCs/>
          <w:snapToGrid w:val="0"/>
          <w:color w:val="auto"/>
          <w:highlight w:val="none"/>
          <w:lang w:val="en-US" w:eastAsia="zh-CN"/>
        </w:rPr>
        <w:t>第六章 投标文件格式</w:t>
      </w:r>
      <w:r>
        <w:rPr>
          <w:rFonts w:hint="eastAsia" w:ascii="宋体" w:hAnsi="宋体" w:eastAsia="宋体" w:cs="宋体"/>
          <w:b/>
          <w:bCs/>
          <w:color w:val="auto"/>
          <w:highlight w:val="none"/>
        </w:rPr>
        <w:tab/>
      </w:r>
      <w:r>
        <w:rPr>
          <w:rFonts w:hint="eastAsia" w:ascii="宋体" w:hAnsi="宋体" w:eastAsia="宋体" w:cs="宋体"/>
          <w:b/>
          <w:bCs/>
          <w:color w:val="auto"/>
          <w:highlight w:val="none"/>
        </w:rPr>
        <w:fldChar w:fldCharType="begin"/>
      </w:r>
      <w:r>
        <w:rPr>
          <w:rFonts w:hint="eastAsia" w:ascii="宋体" w:hAnsi="宋体" w:eastAsia="宋体" w:cs="宋体"/>
          <w:b/>
          <w:bCs/>
          <w:color w:val="auto"/>
          <w:highlight w:val="none"/>
        </w:rPr>
        <w:instrText xml:space="preserve"> PAGEREF _Toc16415 \h </w:instrText>
      </w:r>
      <w:r>
        <w:rPr>
          <w:rFonts w:hint="eastAsia" w:ascii="宋体" w:hAnsi="宋体" w:eastAsia="宋体" w:cs="宋体"/>
          <w:b/>
          <w:bCs/>
          <w:color w:val="auto"/>
          <w:highlight w:val="none"/>
        </w:rPr>
        <w:fldChar w:fldCharType="separate"/>
      </w:r>
      <w:r>
        <w:rPr>
          <w:rFonts w:hint="eastAsia" w:ascii="宋体" w:hAnsi="宋体" w:eastAsia="宋体" w:cs="宋体"/>
          <w:b/>
          <w:bCs/>
          <w:color w:val="auto"/>
          <w:highlight w:val="none"/>
        </w:rPr>
        <w:t>57</w:t>
      </w:r>
      <w:r>
        <w:rPr>
          <w:rFonts w:hint="eastAsia" w:ascii="宋体" w:hAnsi="宋体" w:eastAsia="宋体" w:cs="宋体"/>
          <w:b/>
          <w:bCs/>
          <w:color w:val="auto"/>
          <w:highlight w:val="none"/>
        </w:rPr>
        <w:fldChar w:fldCharType="end"/>
      </w:r>
      <w:r>
        <w:rPr>
          <w:rFonts w:hint="eastAsia" w:ascii="宋体" w:hAnsi="宋体" w:eastAsia="宋体" w:cs="宋体"/>
          <w:b/>
          <w:bCs/>
          <w:color w:val="auto"/>
          <w:highlight w:val="none"/>
        </w:rPr>
        <w:fldChar w:fldCharType="end"/>
      </w:r>
    </w:p>
    <w:p w14:paraId="2EBB9D7C">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_Toc14677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格式一 封面</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_Toc14677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57</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6131E538">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_Toc3166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格式二 投标函</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_Toc3166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58</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1316D938">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_Toc26367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格式三 各项承诺一览表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_Toc26367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59</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04FB25E5">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_Toc1822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格式四 授权委托书</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_Toc1822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61</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55F750C4">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_Toc21377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格式五 法定代表人身份证明</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_Toc21377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62</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40F43FD6">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_Toc191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格式六 联合体协议书</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_Toc191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63</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71D8BCB7">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_Toc4289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格式七 投标人基本情况表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_Toc4289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65</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79762921">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_Toc27834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格式八 项目经理简历表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_Toc27834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66</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28987D55">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_Toc21761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格式九 项目经理任职声明</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_Toc21761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67</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4C4CCD3A">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_Toc12722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格式十 项目技术负责人简历表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_Toc12722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68</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4AE8E87D">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_Toc16727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格式十一 专职安全员简历表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_Toc16727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69</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6F91EEF5">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_Toc994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格式十二 项目管理机构组成表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_Toc994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70</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7B55AE9C">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_Toc13555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格式十</w:t>
      </w:r>
      <w:r>
        <w:rPr>
          <w:rFonts w:hint="eastAsia" w:ascii="宋体" w:hAnsi="宋体" w:eastAsia="宋体" w:cs="宋体"/>
          <w:color w:val="auto"/>
          <w:highlight w:val="none"/>
          <w:lang w:val="en-US" w:eastAsia="zh-CN"/>
        </w:rPr>
        <w:t>三</w:t>
      </w:r>
      <w:r>
        <w:rPr>
          <w:rFonts w:hint="eastAsia" w:ascii="宋体" w:hAnsi="宋体" w:eastAsia="宋体" w:cs="宋体"/>
          <w:color w:val="auto"/>
          <w:highlight w:val="none"/>
        </w:rPr>
        <w:t xml:space="preserve"> 建造师查询页</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_Toc13555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71</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235C9764">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_Toc9569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格式十</w:t>
      </w:r>
      <w:r>
        <w:rPr>
          <w:rFonts w:hint="eastAsia" w:ascii="宋体" w:hAnsi="宋体" w:eastAsia="宋体" w:cs="宋体"/>
          <w:color w:val="auto"/>
          <w:highlight w:val="none"/>
          <w:lang w:val="en-US" w:eastAsia="zh-CN"/>
        </w:rPr>
        <w:t>四</w:t>
      </w:r>
      <w:r>
        <w:rPr>
          <w:rFonts w:hint="eastAsia" w:ascii="宋体" w:hAnsi="宋体" w:eastAsia="宋体" w:cs="宋体"/>
          <w:color w:val="auto"/>
          <w:highlight w:val="none"/>
        </w:rPr>
        <w:t xml:space="preserve"> 原件一览表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_Toc9569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73</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3203A2D5">
      <w:pPr>
        <w:pStyle w:val="22"/>
        <w:keepNext w:val="0"/>
        <w:keepLines w:val="0"/>
        <w:pageBreakBefore w:val="0"/>
        <w:widowControl w:val="0"/>
        <w:tabs>
          <w:tab w:val="right" w:leader="dot" w:pos="8844"/>
        </w:tabs>
        <w:kinsoku/>
        <w:wordWrap/>
        <w:overflowPunct/>
        <w:topLinePunct w:val="0"/>
        <w:autoSpaceDE/>
        <w:autoSpaceDN/>
        <w:bidi w:val="0"/>
        <w:adjustRightInd/>
        <w:snapToGrid/>
        <w:spacing w:before="0" w:beforeLines="0" w:after="0" w:afterLines="0" w:line="360" w:lineRule="auto"/>
        <w:ind w:left="0"/>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rPr>
        <w:fldChar w:fldCharType="begin"/>
      </w:r>
      <w:r>
        <w:rPr>
          <w:rFonts w:hint="eastAsia" w:ascii="宋体" w:hAnsi="宋体" w:eastAsia="宋体" w:cs="宋体"/>
          <w:b/>
          <w:bCs/>
          <w:color w:val="auto"/>
          <w:highlight w:val="none"/>
        </w:rPr>
        <w:instrText xml:space="preserve"> HYPERLINK \l _Toc17586 </w:instrText>
      </w:r>
      <w:r>
        <w:rPr>
          <w:rFonts w:hint="eastAsia" w:ascii="宋体" w:hAnsi="宋体" w:eastAsia="宋体" w:cs="宋体"/>
          <w:b/>
          <w:bCs/>
          <w:color w:val="auto"/>
          <w:highlight w:val="none"/>
        </w:rPr>
        <w:fldChar w:fldCharType="separate"/>
      </w:r>
      <w:r>
        <w:rPr>
          <w:rFonts w:hint="eastAsia" w:ascii="宋体" w:hAnsi="宋体" w:eastAsia="宋体" w:cs="宋体"/>
          <w:b/>
          <w:bCs/>
          <w:snapToGrid w:val="0"/>
          <w:color w:val="auto"/>
          <w:highlight w:val="none"/>
        </w:rPr>
        <w:t>第七章 建设工程施工合同</w:t>
      </w:r>
      <w:r>
        <w:rPr>
          <w:rFonts w:hint="eastAsia" w:ascii="宋体" w:hAnsi="宋体" w:eastAsia="宋体" w:cs="宋体"/>
          <w:b/>
          <w:bCs/>
          <w:color w:val="auto"/>
          <w:highlight w:val="none"/>
        </w:rPr>
        <w:tab/>
      </w:r>
      <w:r>
        <w:rPr>
          <w:rFonts w:hint="eastAsia" w:ascii="宋体" w:hAnsi="宋体" w:eastAsia="宋体" w:cs="宋体"/>
          <w:b/>
          <w:bCs/>
          <w:color w:val="auto"/>
          <w:highlight w:val="none"/>
        </w:rPr>
        <w:fldChar w:fldCharType="begin"/>
      </w:r>
      <w:r>
        <w:rPr>
          <w:rFonts w:hint="eastAsia" w:ascii="宋体" w:hAnsi="宋体" w:eastAsia="宋体" w:cs="宋体"/>
          <w:b/>
          <w:bCs/>
          <w:color w:val="auto"/>
          <w:highlight w:val="none"/>
        </w:rPr>
        <w:instrText xml:space="preserve"> PAGEREF _Toc17586 \h </w:instrText>
      </w:r>
      <w:r>
        <w:rPr>
          <w:rFonts w:hint="eastAsia" w:ascii="宋体" w:hAnsi="宋体" w:eastAsia="宋体" w:cs="宋体"/>
          <w:b/>
          <w:bCs/>
          <w:color w:val="auto"/>
          <w:highlight w:val="none"/>
        </w:rPr>
        <w:fldChar w:fldCharType="separate"/>
      </w:r>
      <w:r>
        <w:rPr>
          <w:rFonts w:hint="eastAsia" w:ascii="宋体" w:hAnsi="宋体" w:eastAsia="宋体" w:cs="宋体"/>
          <w:b/>
          <w:bCs/>
          <w:color w:val="auto"/>
          <w:highlight w:val="none"/>
        </w:rPr>
        <w:t>74</w:t>
      </w:r>
      <w:r>
        <w:rPr>
          <w:rFonts w:hint="eastAsia" w:ascii="宋体" w:hAnsi="宋体" w:eastAsia="宋体" w:cs="宋体"/>
          <w:b/>
          <w:bCs/>
          <w:color w:val="auto"/>
          <w:highlight w:val="none"/>
        </w:rPr>
        <w:fldChar w:fldCharType="end"/>
      </w:r>
      <w:r>
        <w:rPr>
          <w:rFonts w:hint="eastAsia" w:ascii="宋体" w:hAnsi="宋体" w:eastAsia="宋体" w:cs="宋体"/>
          <w:b/>
          <w:bCs/>
          <w:color w:val="auto"/>
          <w:highlight w:val="none"/>
        </w:rPr>
        <w:fldChar w:fldCharType="end"/>
      </w:r>
    </w:p>
    <w:p w14:paraId="2E2595A9">
      <w:pPr>
        <w:pStyle w:val="6"/>
        <w:jc w:val="center"/>
        <w:rPr>
          <w:rFonts w:hint="eastAsia" w:ascii="宋体" w:hAnsi="宋体" w:eastAsia="宋体" w:cs="宋体"/>
          <w:color w:val="auto"/>
          <w:highlight w:val="none"/>
        </w:rPr>
        <w:sectPr>
          <w:endnotePr>
            <w:numFmt w:val="decimal"/>
          </w:endnotePr>
          <w:pgSz w:w="11906" w:h="16838"/>
          <w:pgMar w:top="1134" w:right="1134" w:bottom="1134" w:left="1134" w:header="850" w:footer="992" w:gutter="0"/>
          <w:pgBorders>
            <w:top w:val="none" w:sz="0" w:space="0"/>
            <w:left w:val="none" w:sz="0" w:space="0"/>
            <w:bottom w:val="none" w:sz="0" w:space="0"/>
            <w:right w:val="none" w:sz="0" w:space="0"/>
          </w:pgBorders>
          <w:pgNumType w:start="1"/>
          <w:cols w:space="720" w:num="1"/>
          <w:docGrid w:linePitch="327" w:charSpace="0"/>
        </w:sectPr>
      </w:pPr>
      <w:r>
        <w:rPr>
          <w:rFonts w:hint="eastAsia" w:ascii="宋体" w:hAnsi="宋体" w:eastAsia="宋体" w:cs="宋体"/>
          <w:color w:val="auto"/>
          <w:highlight w:val="none"/>
        </w:rPr>
        <w:fldChar w:fldCharType="end"/>
      </w:r>
      <w:bookmarkStart w:id="0" w:name="_Hlt66153951"/>
      <w:bookmarkEnd w:id="0"/>
      <w:bookmarkStart w:id="1" w:name="_Hlt66104981"/>
      <w:bookmarkEnd w:id="1"/>
      <w:bookmarkStart w:id="2" w:name="_Hlt122423813"/>
      <w:bookmarkEnd w:id="2"/>
      <w:bookmarkStart w:id="3" w:name="_Toc14635"/>
      <w:bookmarkStart w:id="4" w:name="_Toc12558"/>
      <w:bookmarkStart w:id="5" w:name="_Toc14094"/>
      <w:bookmarkStart w:id="6" w:name="_Toc476739600"/>
      <w:bookmarkStart w:id="7" w:name="_Hlt111690251"/>
    </w:p>
    <w:p w14:paraId="41EDFD45">
      <w:pPr>
        <w:pStyle w:val="6"/>
        <w:jc w:val="center"/>
        <w:rPr>
          <w:rFonts w:hint="eastAsia" w:ascii="宋体" w:hAnsi="宋体" w:eastAsia="宋体" w:cs="宋体"/>
          <w:b/>
          <w:snapToGrid w:val="0"/>
          <w:color w:val="auto"/>
          <w:sz w:val="24"/>
          <w:highlight w:val="none"/>
        </w:rPr>
      </w:pPr>
      <w:r>
        <w:rPr>
          <w:rFonts w:hint="eastAsia" w:ascii="宋体" w:hAnsi="宋体" w:eastAsia="宋体" w:cs="宋体"/>
          <w:b/>
          <w:snapToGrid w:val="0"/>
          <w:color w:val="auto"/>
          <w:sz w:val="24"/>
          <w:highlight w:val="none"/>
        </w:rPr>
        <w:t>第一章 投标人须知</w:t>
      </w:r>
      <w:bookmarkEnd w:id="3"/>
      <w:bookmarkEnd w:id="4"/>
      <w:bookmarkEnd w:id="5"/>
      <w:bookmarkEnd w:id="6"/>
    </w:p>
    <w:p w14:paraId="423B509F">
      <w:pPr>
        <w:pStyle w:val="3"/>
        <w:bidi w:val="0"/>
        <w:rPr>
          <w:rFonts w:hint="eastAsia" w:ascii="宋体" w:hAnsi="宋体" w:eastAsia="宋体" w:cs="宋体"/>
          <w:color w:val="auto"/>
          <w:highlight w:val="none"/>
        </w:rPr>
      </w:pPr>
      <w:bookmarkStart w:id="8" w:name="_Hlt127175444"/>
      <w:bookmarkEnd w:id="8"/>
      <w:bookmarkStart w:id="9" w:name="_Toc27520"/>
      <w:bookmarkStart w:id="10" w:name="_Toc22622"/>
      <w:bookmarkStart w:id="11" w:name="_Toc117"/>
      <w:bookmarkStart w:id="12" w:name="_Hlt120077520"/>
      <w:r>
        <w:rPr>
          <w:rFonts w:hint="eastAsia" w:ascii="宋体" w:hAnsi="宋体" w:eastAsia="宋体" w:cs="宋体"/>
          <w:color w:val="auto"/>
          <w:highlight w:val="none"/>
        </w:rPr>
        <w:t>第一节 投标人须知前附表</w:t>
      </w:r>
      <w:bookmarkEnd w:id="9"/>
      <w:bookmarkEnd w:id="10"/>
      <w:bookmarkEnd w:id="11"/>
    </w:p>
    <w:tbl>
      <w:tblPr>
        <w:tblStyle w:val="31"/>
        <w:tblW w:w="1068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750"/>
        <w:gridCol w:w="1672"/>
        <w:gridCol w:w="8261"/>
      </w:tblGrid>
      <w:tr w14:paraId="330B0E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3AEEB4E1">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序号</w:t>
            </w:r>
          </w:p>
        </w:tc>
        <w:tc>
          <w:tcPr>
            <w:tcW w:w="1672" w:type="dxa"/>
            <w:tcBorders>
              <w:top w:val="single" w:color="auto" w:sz="4" w:space="0"/>
              <w:left w:val="single" w:color="auto" w:sz="4" w:space="0"/>
              <w:bottom w:val="single" w:color="auto" w:sz="4" w:space="0"/>
              <w:right w:val="single" w:color="auto" w:sz="4" w:space="0"/>
            </w:tcBorders>
            <w:noWrap w:val="0"/>
            <w:vAlign w:val="center"/>
          </w:tcPr>
          <w:p w14:paraId="57D574FA">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内容</w:t>
            </w:r>
          </w:p>
        </w:tc>
        <w:tc>
          <w:tcPr>
            <w:tcW w:w="8261" w:type="dxa"/>
            <w:tcBorders>
              <w:top w:val="single" w:color="auto" w:sz="4" w:space="0"/>
              <w:left w:val="single" w:color="auto" w:sz="4" w:space="0"/>
              <w:bottom w:val="single" w:color="auto" w:sz="4" w:space="0"/>
              <w:right w:val="single" w:color="auto" w:sz="4" w:space="0"/>
            </w:tcBorders>
            <w:noWrap w:val="0"/>
            <w:vAlign w:val="center"/>
          </w:tcPr>
          <w:p w14:paraId="51F94000">
            <w:pPr>
              <w:pageBreakBefore w:val="0"/>
              <w:tabs>
                <w:tab w:val="left" w:pos="1180"/>
              </w:tabs>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说明与要求</w:t>
            </w:r>
          </w:p>
        </w:tc>
      </w:tr>
      <w:tr w14:paraId="705CE2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4EE53E81">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p>
        </w:tc>
        <w:tc>
          <w:tcPr>
            <w:tcW w:w="1672" w:type="dxa"/>
            <w:tcBorders>
              <w:top w:val="single" w:color="auto" w:sz="4" w:space="0"/>
              <w:left w:val="single" w:color="auto" w:sz="4" w:space="0"/>
              <w:bottom w:val="single" w:color="auto" w:sz="4" w:space="0"/>
              <w:right w:val="single" w:color="auto" w:sz="4" w:space="0"/>
            </w:tcBorders>
            <w:noWrap w:val="0"/>
            <w:vAlign w:val="center"/>
          </w:tcPr>
          <w:p w14:paraId="30883B54">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项目名称</w:t>
            </w:r>
          </w:p>
        </w:tc>
        <w:tc>
          <w:tcPr>
            <w:tcW w:w="8261" w:type="dxa"/>
            <w:tcBorders>
              <w:top w:val="single" w:color="auto" w:sz="4" w:space="0"/>
              <w:left w:val="single" w:color="auto" w:sz="4" w:space="0"/>
              <w:bottom w:val="single" w:color="auto" w:sz="4" w:space="0"/>
              <w:right w:val="single" w:color="auto" w:sz="4" w:space="0"/>
            </w:tcBorders>
            <w:noWrap w:val="0"/>
            <w:vAlign w:val="center"/>
          </w:tcPr>
          <w:p w14:paraId="7C114115">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lang w:val="en-US" w:eastAsia="zh-CN"/>
              </w:rPr>
            </w:pPr>
            <w:r>
              <w:rPr>
                <w:rFonts w:hint="eastAsia" w:hAnsi="宋体" w:cs="宋体"/>
                <w:snapToGrid w:val="0"/>
                <w:color w:val="auto"/>
                <w:kern w:val="0"/>
                <w:sz w:val="24"/>
                <w:szCs w:val="24"/>
                <w:highlight w:val="none"/>
                <w:lang w:val="en-US" w:eastAsia="zh-CN"/>
              </w:rPr>
              <w:t>乐昌市“花果世界”山水人家乡村振兴示范带（庆云段）项目施工</w:t>
            </w:r>
          </w:p>
        </w:tc>
      </w:tr>
      <w:tr w14:paraId="697882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221D92A3">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w:t>
            </w:r>
          </w:p>
        </w:tc>
        <w:tc>
          <w:tcPr>
            <w:tcW w:w="1672" w:type="dxa"/>
            <w:tcBorders>
              <w:top w:val="single" w:color="auto" w:sz="4" w:space="0"/>
              <w:left w:val="single" w:color="auto" w:sz="4" w:space="0"/>
              <w:bottom w:val="single" w:color="auto" w:sz="4" w:space="0"/>
              <w:right w:val="single" w:color="auto" w:sz="4" w:space="0"/>
            </w:tcBorders>
            <w:noWrap w:val="0"/>
            <w:vAlign w:val="center"/>
          </w:tcPr>
          <w:p w14:paraId="6A5625B6">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项目业主</w:t>
            </w:r>
          </w:p>
        </w:tc>
        <w:tc>
          <w:tcPr>
            <w:tcW w:w="8261" w:type="dxa"/>
            <w:tcBorders>
              <w:top w:val="single" w:color="auto" w:sz="4" w:space="0"/>
              <w:left w:val="single" w:color="auto" w:sz="4" w:space="0"/>
              <w:bottom w:val="single" w:color="auto" w:sz="4" w:space="0"/>
              <w:right w:val="single" w:color="auto" w:sz="4" w:space="0"/>
            </w:tcBorders>
            <w:noWrap w:val="0"/>
            <w:vAlign w:val="center"/>
          </w:tcPr>
          <w:p w14:paraId="316F7F7C">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lang w:eastAsia="zh-CN"/>
              </w:rPr>
            </w:pPr>
            <w:r>
              <w:rPr>
                <w:rFonts w:hint="eastAsia" w:hAnsi="宋体" w:cs="宋体"/>
                <w:snapToGrid w:val="0"/>
                <w:color w:val="auto"/>
                <w:kern w:val="0"/>
                <w:sz w:val="24"/>
                <w:szCs w:val="24"/>
                <w:highlight w:val="none"/>
                <w:lang w:eastAsia="zh-CN"/>
              </w:rPr>
              <w:t>乐昌市庆云镇人民政府</w:t>
            </w:r>
          </w:p>
        </w:tc>
      </w:tr>
      <w:tr w14:paraId="2A51141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40357C9A">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w:t>
            </w:r>
          </w:p>
        </w:tc>
        <w:tc>
          <w:tcPr>
            <w:tcW w:w="1672" w:type="dxa"/>
            <w:tcBorders>
              <w:top w:val="single" w:color="auto" w:sz="4" w:space="0"/>
              <w:left w:val="single" w:color="auto" w:sz="4" w:space="0"/>
              <w:bottom w:val="single" w:color="auto" w:sz="4" w:space="0"/>
              <w:right w:val="single" w:color="auto" w:sz="4" w:space="0"/>
            </w:tcBorders>
            <w:noWrap w:val="0"/>
            <w:vAlign w:val="center"/>
          </w:tcPr>
          <w:p w14:paraId="65ECA06A">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项目批准部门</w:t>
            </w:r>
          </w:p>
        </w:tc>
        <w:tc>
          <w:tcPr>
            <w:tcW w:w="8261" w:type="dxa"/>
            <w:tcBorders>
              <w:top w:val="single" w:color="auto" w:sz="4" w:space="0"/>
              <w:left w:val="single" w:color="auto" w:sz="4" w:space="0"/>
              <w:bottom w:val="single" w:color="auto" w:sz="4" w:space="0"/>
              <w:right w:val="single" w:color="auto" w:sz="4" w:space="0"/>
            </w:tcBorders>
            <w:noWrap w:val="0"/>
            <w:vAlign w:val="center"/>
          </w:tcPr>
          <w:p w14:paraId="5F5DFE5E">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乐昌市发展和改革局</w:t>
            </w:r>
          </w:p>
        </w:tc>
      </w:tr>
      <w:tr w14:paraId="4454A5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330DEE43">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w:t>
            </w:r>
          </w:p>
        </w:tc>
        <w:tc>
          <w:tcPr>
            <w:tcW w:w="1672" w:type="dxa"/>
            <w:tcBorders>
              <w:top w:val="single" w:color="auto" w:sz="4" w:space="0"/>
              <w:left w:val="single" w:color="auto" w:sz="4" w:space="0"/>
              <w:bottom w:val="single" w:color="auto" w:sz="4" w:space="0"/>
              <w:right w:val="single" w:color="auto" w:sz="4" w:space="0"/>
            </w:tcBorders>
            <w:noWrap w:val="0"/>
            <w:vAlign w:val="center"/>
          </w:tcPr>
          <w:p w14:paraId="6FF58469">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项目批准文号</w:t>
            </w:r>
          </w:p>
        </w:tc>
        <w:tc>
          <w:tcPr>
            <w:tcW w:w="8261" w:type="dxa"/>
            <w:tcBorders>
              <w:top w:val="single" w:color="auto" w:sz="4" w:space="0"/>
              <w:left w:val="single" w:color="auto" w:sz="4" w:space="0"/>
              <w:bottom w:val="single" w:color="auto" w:sz="4" w:space="0"/>
              <w:right w:val="single" w:color="auto" w:sz="4" w:space="0"/>
            </w:tcBorders>
            <w:noWrap w:val="0"/>
            <w:vAlign w:val="center"/>
          </w:tcPr>
          <w:p w14:paraId="146D068C">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乐发改投审〔2025〕55号</w:t>
            </w:r>
          </w:p>
        </w:tc>
      </w:tr>
      <w:tr w14:paraId="3F41B2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588413DA">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w:t>
            </w:r>
          </w:p>
        </w:tc>
        <w:tc>
          <w:tcPr>
            <w:tcW w:w="1672" w:type="dxa"/>
            <w:tcBorders>
              <w:top w:val="single" w:color="auto" w:sz="4" w:space="0"/>
              <w:left w:val="single" w:color="auto" w:sz="4" w:space="0"/>
              <w:bottom w:val="single" w:color="auto" w:sz="4" w:space="0"/>
              <w:right w:val="single" w:color="auto" w:sz="4" w:space="0"/>
            </w:tcBorders>
            <w:noWrap w:val="0"/>
            <w:vAlign w:val="center"/>
          </w:tcPr>
          <w:p w14:paraId="26833542">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项目代码</w:t>
            </w:r>
          </w:p>
        </w:tc>
        <w:tc>
          <w:tcPr>
            <w:tcW w:w="8261" w:type="dxa"/>
            <w:tcBorders>
              <w:top w:val="single" w:color="auto" w:sz="4" w:space="0"/>
              <w:left w:val="single" w:color="auto" w:sz="4" w:space="0"/>
              <w:bottom w:val="single" w:color="auto" w:sz="4" w:space="0"/>
              <w:right w:val="single" w:color="auto" w:sz="4" w:space="0"/>
            </w:tcBorders>
            <w:noWrap w:val="0"/>
            <w:vAlign w:val="center"/>
          </w:tcPr>
          <w:p w14:paraId="136B79C3">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2504-440281-04-01-407580</w:t>
            </w:r>
          </w:p>
        </w:tc>
      </w:tr>
      <w:tr w14:paraId="2EA78F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7C1E1BF7">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w:t>
            </w:r>
          </w:p>
        </w:tc>
        <w:tc>
          <w:tcPr>
            <w:tcW w:w="1672" w:type="dxa"/>
            <w:tcBorders>
              <w:top w:val="single" w:color="auto" w:sz="4" w:space="0"/>
              <w:left w:val="single" w:color="auto" w:sz="4" w:space="0"/>
              <w:bottom w:val="single" w:color="auto" w:sz="4" w:space="0"/>
              <w:right w:val="single" w:color="auto" w:sz="4" w:space="0"/>
            </w:tcBorders>
            <w:noWrap w:val="0"/>
            <w:vAlign w:val="center"/>
          </w:tcPr>
          <w:p w14:paraId="72AD943E">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资金来源</w:t>
            </w:r>
          </w:p>
          <w:p w14:paraId="5416F0B7">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及出资比例</w:t>
            </w:r>
          </w:p>
        </w:tc>
        <w:tc>
          <w:tcPr>
            <w:tcW w:w="8261" w:type="dxa"/>
            <w:tcBorders>
              <w:top w:val="single" w:color="auto" w:sz="4" w:space="0"/>
              <w:left w:val="single" w:color="auto" w:sz="4" w:space="0"/>
              <w:bottom w:val="single" w:color="auto" w:sz="4" w:space="0"/>
              <w:right w:val="single" w:color="auto" w:sz="4" w:space="0"/>
            </w:tcBorders>
            <w:noWrap w:val="0"/>
            <w:vAlign w:val="center"/>
          </w:tcPr>
          <w:p w14:paraId="28EA66FA">
            <w:pPr>
              <w:pageBreakBefore w:val="0"/>
              <w:kinsoku/>
              <w:wordWrap w:val="0"/>
              <w:overflowPunct/>
              <w:topLinePunct w:val="0"/>
              <w:autoSpaceDE/>
              <w:autoSpaceDN/>
              <w:bidi w:val="0"/>
              <w:adjustRightInd w:val="0"/>
              <w:snapToGrid w:val="0"/>
              <w:spacing w:line="360" w:lineRule="auto"/>
              <w:ind w:firstLine="240" w:firstLineChars="100"/>
              <w:jc w:val="both"/>
              <w:textAlignment w:val="auto"/>
              <w:rPr>
                <w:rFonts w:hint="eastAsia" w:ascii="宋体" w:hAnsi="宋体" w:eastAsia="宋体" w:cs="宋体"/>
                <w:snapToGrid w:val="0"/>
                <w:color w:val="auto"/>
                <w:kern w:val="0"/>
                <w:sz w:val="24"/>
                <w:szCs w:val="24"/>
                <w:highlight w:val="none"/>
              </w:rPr>
            </w:pPr>
            <w:r>
              <w:rPr>
                <w:rFonts w:hint="eastAsia" w:hAnsi="宋体" w:cs="宋体"/>
                <w:snapToGrid w:val="0"/>
                <w:color w:val="auto"/>
                <w:kern w:val="0"/>
                <w:sz w:val="24"/>
                <w:szCs w:val="24"/>
                <w:highlight w:val="none"/>
                <w:lang w:val="en-US" w:eastAsia="zh-CN"/>
              </w:rPr>
              <w:t>上级财政资金，不足部分由业主单位自筹解决；100%</w:t>
            </w:r>
          </w:p>
        </w:tc>
      </w:tr>
      <w:tr w14:paraId="344275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3A9168D7">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w:t>
            </w:r>
          </w:p>
        </w:tc>
        <w:tc>
          <w:tcPr>
            <w:tcW w:w="1672" w:type="dxa"/>
            <w:tcBorders>
              <w:top w:val="single" w:color="auto" w:sz="4" w:space="0"/>
              <w:left w:val="single" w:color="auto" w:sz="4" w:space="0"/>
              <w:bottom w:val="single" w:color="auto" w:sz="4" w:space="0"/>
              <w:right w:val="single" w:color="auto" w:sz="4" w:space="0"/>
            </w:tcBorders>
            <w:noWrap w:val="0"/>
            <w:vAlign w:val="center"/>
          </w:tcPr>
          <w:p w14:paraId="284482FF">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招标人</w:t>
            </w:r>
          </w:p>
        </w:tc>
        <w:tc>
          <w:tcPr>
            <w:tcW w:w="8261" w:type="dxa"/>
            <w:tcBorders>
              <w:top w:val="single" w:color="auto" w:sz="4" w:space="0"/>
              <w:left w:val="single" w:color="auto" w:sz="4" w:space="0"/>
              <w:bottom w:val="single" w:color="auto" w:sz="4" w:space="0"/>
              <w:right w:val="single" w:color="auto" w:sz="4" w:space="0"/>
            </w:tcBorders>
            <w:noWrap w:val="0"/>
            <w:vAlign w:val="center"/>
          </w:tcPr>
          <w:p w14:paraId="78D4A9C0">
            <w:pPr>
              <w:pageBreakBefore w:val="0"/>
              <w:kinsoku/>
              <w:wordWrap w:val="0"/>
              <w:overflowPunct/>
              <w:topLinePunct w:val="0"/>
              <w:autoSpaceDE/>
              <w:autoSpaceDN/>
              <w:bidi w:val="0"/>
              <w:adjustRightInd w:val="0"/>
              <w:snapToGrid w:val="0"/>
              <w:spacing w:line="360" w:lineRule="auto"/>
              <w:ind w:firstLine="240" w:firstLineChars="100"/>
              <w:jc w:val="both"/>
              <w:textAlignment w:val="auto"/>
              <w:rPr>
                <w:rFonts w:hint="eastAsia" w:ascii="宋体" w:hAnsi="宋体" w:eastAsia="宋体" w:cs="宋体"/>
                <w:snapToGrid w:val="0"/>
                <w:color w:val="auto"/>
                <w:kern w:val="0"/>
                <w:sz w:val="24"/>
                <w:szCs w:val="24"/>
                <w:highlight w:val="none"/>
              </w:rPr>
            </w:pPr>
            <w:r>
              <w:rPr>
                <w:rFonts w:hint="eastAsia" w:hAnsi="宋体" w:cs="宋体"/>
                <w:snapToGrid w:val="0"/>
                <w:color w:val="auto"/>
                <w:kern w:val="0"/>
                <w:sz w:val="24"/>
                <w:szCs w:val="24"/>
                <w:highlight w:val="none"/>
                <w:lang w:val="en-US" w:eastAsia="zh-CN"/>
              </w:rPr>
              <w:t>乐昌市庆云镇人民政府</w:t>
            </w:r>
          </w:p>
        </w:tc>
      </w:tr>
      <w:tr w14:paraId="034A01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34CAFC13">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w:t>
            </w:r>
          </w:p>
        </w:tc>
        <w:tc>
          <w:tcPr>
            <w:tcW w:w="1672" w:type="dxa"/>
            <w:tcBorders>
              <w:top w:val="single" w:color="auto" w:sz="4" w:space="0"/>
              <w:left w:val="single" w:color="auto" w:sz="4" w:space="0"/>
              <w:bottom w:val="single" w:color="auto" w:sz="4" w:space="0"/>
              <w:right w:val="single" w:color="auto" w:sz="4" w:space="0"/>
            </w:tcBorders>
            <w:noWrap w:val="0"/>
            <w:vAlign w:val="center"/>
          </w:tcPr>
          <w:p w14:paraId="06ED73F2">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招标代理机构</w:t>
            </w:r>
          </w:p>
        </w:tc>
        <w:tc>
          <w:tcPr>
            <w:tcW w:w="8261" w:type="dxa"/>
            <w:tcBorders>
              <w:top w:val="single" w:color="auto" w:sz="4" w:space="0"/>
              <w:left w:val="single" w:color="auto" w:sz="4" w:space="0"/>
              <w:bottom w:val="single" w:color="auto" w:sz="4" w:space="0"/>
              <w:right w:val="single" w:color="auto" w:sz="4" w:space="0"/>
            </w:tcBorders>
            <w:noWrap w:val="0"/>
            <w:vAlign w:val="center"/>
          </w:tcPr>
          <w:p w14:paraId="2824CCA1">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 xml:space="preserve">  </w:t>
            </w:r>
            <w:r>
              <w:rPr>
                <w:rFonts w:hint="eastAsia" w:hAnsi="宋体" w:cs="宋体"/>
                <w:snapToGrid w:val="0"/>
                <w:color w:val="auto"/>
                <w:kern w:val="0"/>
                <w:sz w:val="24"/>
                <w:szCs w:val="24"/>
                <w:highlight w:val="none"/>
                <w:lang w:val="en-US" w:eastAsia="zh-CN"/>
              </w:rPr>
              <w:t>广州穗图项目管理有限公司</w:t>
            </w:r>
          </w:p>
        </w:tc>
      </w:tr>
      <w:tr w14:paraId="0FB9D5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6A04240E">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9</w:t>
            </w:r>
          </w:p>
        </w:tc>
        <w:tc>
          <w:tcPr>
            <w:tcW w:w="1672" w:type="dxa"/>
            <w:tcBorders>
              <w:top w:val="single" w:color="auto" w:sz="4" w:space="0"/>
              <w:left w:val="single" w:color="auto" w:sz="4" w:space="0"/>
              <w:bottom w:val="single" w:color="auto" w:sz="4" w:space="0"/>
              <w:right w:val="single" w:color="auto" w:sz="4" w:space="0"/>
            </w:tcBorders>
            <w:noWrap w:val="0"/>
            <w:vAlign w:val="center"/>
          </w:tcPr>
          <w:p w14:paraId="1D520F3B">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设计单位</w:t>
            </w:r>
          </w:p>
        </w:tc>
        <w:tc>
          <w:tcPr>
            <w:tcW w:w="8261" w:type="dxa"/>
            <w:tcBorders>
              <w:top w:val="single" w:color="auto" w:sz="4" w:space="0"/>
              <w:left w:val="single" w:color="auto" w:sz="4" w:space="0"/>
              <w:bottom w:val="single" w:color="auto" w:sz="4" w:space="0"/>
              <w:right w:val="single" w:color="auto" w:sz="4" w:space="0"/>
            </w:tcBorders>
            <w:noWrap w:val="0"/>
            <w:vAlign w:val="center"/>
          </w:tcPr>
          <w:p w14:paraId="6E2A0703">
            <w:pPr>
              <w:pageBreakBefore w:val="0"/>
              <w:kinsoku/>
              <w:wordWrap w:val="0"/>
              <w:overflowPunct/>
              <w:topLinePunct w:val="0"/>
              <w:autoSpaceDE/>
              <w:autoSpaceDN/>
              <w:bidi w:val="0"/>
              <w:adjustRightInd w:val="0"/>
              <w:snapToGrid w:val="0"/>
              <w:spacing w:line="360" w:lineRule="auto"/>
              <w:ind w:firstLine="240" w:firstLineChars="100"/>
              <w:jc w:val="both"/>
              <w:textAlignment w:val="auto"/>
              <w:rPr>
                <w:rFonts w:hint="eastAsia" w:ascii="宋体" w:hAnsi="宋体" w:eastAsia="宋体" w:cs="宋体"/>
                <w:snapToGrid w:val="0"/>
                <w:color w:val="auto"/>
                <w:kern w:val="0"/>
                <w:sz w:val="24"/>
                <w:szCs w:val="24"/>
                <w:highlight w:val="none"/>
                <w:lang w:eastAsia="zh-CN"/>
              </w:rPr>
            </w:pPr>
            <w:r>
              <w:rPr>
                <w:rFonts w:hint="eastAsia" w:hAnsi="宋体" w:cs="宋体"/>
                <w:color w:val="auto"/>
                <w:kern w:val="2"/>
                <w:sz w:val="24"/>
                <w:szCs w:val="24"/>
                <w:highlight w:val="none"/>
                <w:lang w:val="en-US" w:eastAsia="zh-CN" w:bidi="ar-SA"/>
              </w:rPr>
              <w:t>中亿国际设计集团有限公司</w:t>
            </w:r>
          </w:p>
        </w:tc>
      </w:tr>
      <w:tr w14:paraId="588CCB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480A3A03">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w:t>
            </w:r>
          </w:p>
        </w:tc>
        <w:tc>
          <w:tcPr>
            <w:tcW w:w="1672" w:type="dxa"/>
            <w:tcBorders>
              <w:top w:val="single" w:color="auto" w:sz="4" w:space="0"/>
              <w:left w:val="single" w:color="auto" w:sz="4" w:space="0"/>
              <w:bottom w:val="single" w:color="auto" w:sz="4" w:space="0"/>
              <w:right w:val="single" w:color="auto" w:sz="4" w:space="0"/>
            </w:tcBorders>
            <w:noWrap w:val="0"/>
            <w:vAlign w:val="center"/>
          </w:tcPr>
          <w:p w14:paraId="3B67EC2B">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造价咨询单位</w:t>
            </w:r>
          </w:p>
        </w:tc>
        <w:tc>
          <w:tcPr>
            <w:tcW w:w="8261" w:type="dxa"/>
            <w:tcBorders>
              <w:top w:val="single" w:color="auto" w:sz="4" w:space="0"/>
              <w:left w:val="single" w:color="auto" w:sz="4" w:space="0"/>
              <w:bottom w:val="single" w:color="auto" w:sz="4" w:space="0"/>
              <w:right w:val="single" w:color="auto" w:sz="4" w:space="0"/>
            </w:tcBorders>
            <w:noWrap w:val="0"/>
            <w:vAlign w:val="center"/>
          </w:tcPr>
          <w:p w14:paraId="365EADFD">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 xml:space="preserve">  </w:t>
            </w:r>
            <w:r>
              <w:rPr>
                <w:rFonts w:hint="eastAsia" w:hAnsi="宋体" w:cs="宋体"/>
                <w:snapToGrid w:val="0"/>
                <w:color w:val="auto"/>
                <w:kern w:val="0"/>
                <w:sz w:val="24"/>
                <w:szCs w:val="24"/>
                <w:highlight w:val="none"/>
                <w:lang w:val="en-US" w:eastAsia="zh-CN"/>
              </w:rPr>
              <w:t>广东飞腾工程咨询有限公司</w:t>
            </w:r>
          </w:p>
        </w:tc>
      </w:tr>
      <w:tr w14:paraId="09E6FF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4D21A048">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11</w:t>
            </w:r>
          </w:p>
        </w:tc>
        <w:tc>
          <w:tcPr>
            <w:tcW w:w="1672" w:type="dxa"/>
            <w:tcBorders>
              <w:top w:val="single" w:color="auto" w:sz="4" w:space="0"/>
              <w:left w:val="single" w:color="auto" w:sz="4" w:space="0"/>
              <w:bottom w:val="single" w:color="auto" w:sz="4" w:space="0"/>
              <w:right w:val="single" w:color="auto" w:sz="4" w:space="0"/>
            </w:tcBorders>
            <w:noWrap w:val="0"/>
            <w:vAlign w:val="center"/>
          </w:tcPr>
          <w:p w14:paraId="740221A8">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监理单位</w:t>
            </w:r>
          </w:p>
        </w:tc>
        <w:tc>
          <w:tcPr>
            <w:tcW w:w="8261" w:type="dxa"/>
            <w:tcBorders>
              <w:top w:val="single" w:color="auto" w:sz="4" w:space="0"/>
              <w:left w:val="single" w:color="auto" w:sz="4" w:space="0"/>
              <w:bottom w:val="single" w:color="auto" w:sz="4" w:space="0"/>
              <w:right w:val="single" w:color="auto" w:sz="4" w:space="0"/>
            </w:tcBorders>
            <w:noWrap w:val="0"/>
            <w:vAlign w:val="center"/>
          </w:tcPr>
          <w:p w14:paraId="60C9CBB0">
            <w:pPr>
              <w:pageBreakBefore w:val="0"/>
              <w:kinsoku/>
              <w:wordWrap w:val="0"/>
              <w:overflowPunct/>
              <w:topLinePunct w:val="0"/>
              <w:autoSpaceDE/>
              <w:autoSpaceDN/>
              <w:bidi w:val="0"/>
              <w:adjustRightInd w:val="0"/>
              <w:snapToGrid w:val="0"/>
              <w:spacing w:line="360" w:lineRule="auto"/>
              <w:jc w:val="both"/>
              <w:textAlignment w:val="auto"/>
              <w:rPr>
                <w:rFonts w:hint="default"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 xml:space="preserve">  广东合正项目管理有限公司</w:t>
            </w:r>
          </w:p>
        </w:tc>
      </w:tr>
      <w:tr w14:paraId="21C0FB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52386610">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12</w:t>
            </w:r>
          </w:p>
        </w:tc>
        <w:tc>
          <w:tcPr>
            <w:tcW w:w="1672" w:type="dxa"/>
            <w:tcBorders>
              <w:top w:val="single" w:color="auto" w:sz="4" w:space="0"/>
              <w:left w:val="single" w:color="auto" w:sz="4" w:space="0"/>
              <w:bottom w:val="single" w:color="auto" w:sz="4" w:space="0"/>
              <w:right w:val="single" w:color="auto" w:sz="4" w:space="0"/>
            </w:tcBorders>
            <w:noWrap w:val="0"/>
            <w:vAlign w:val="center"/>
          </w:tcPr>
          <w:p w14:paraId="3C450CF7">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建设地点</w:t>
            </w:r>
          </w:p>
        </w:tc>
        <w:tc>
          <w:tcPr>
            <w:tcW w:w="8261" w:type="dxa"/>
            <w:tcBorders>
              <w:top w:val="single" w:color="auto" w:sz="4" w:space="0"/>
              <w:left w:val="single" w:color="auto" w:sz="4" w:space="0"/>
              <w:bottom w:val="single" w:color="auto" w:sz="4" w:space="0"/>
              <w:right w:val="single" w:color="auto" w:sz="4" w:space="0"/>
            </w:tcBorders>
            <w:noWrap w:val="0"/>
            <w:vAlign w:val="center"/>
          </w:tcPr>
          <w:p w14:paraId="25F426CC">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乐昌市庆云镇</w:t>
            </w:r>
          </w:p>
        </w:tc>
      </w:tr>
      <w:tr w14:paraId="117EDA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2A502684">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13</w:t>
            </w:r>
          </w:p>
        </w:tc>
        <w:tc>
          <w:tcPr>
            <w:tcW w:w="1672" w:type="dxa"/>
            <w:tcBorders>
              <w:top w:val="single" w:color="auto" w:sz="4" w:space="0"/>
              <w:left w:val="single" w:color="auto" w:sz="4" w:space="0"/>
              <w:bottom w:val="single" w:color="auto" w:sz="4" w:space="0"/>
              <w:right w:val="single" w:color="auto" w:sz="4" w:space="0"/>
            </w:tcBorders>
            <w:noWrap w:val="0"/>
            <w:vAlign w:val="center"/>
          </w:tcPr>
          <w:p w14:paraId="10B82600">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建设内容和规模</w:t>
            </w:r>
          </w:p>
        </w:tc>
        <w:tc>
          <w:tcPr>
            <w:tcW w:w="8261" w:type="dxa"/>
            <w:tcBorders>
              <w:top w:val="single" w:color="auto" w:sz="4" w:space="0"/>
              <w:left w:val="single" w:color="auto" w:sz="4" w:space="0"/>
              <w:bottom w:val="single" w:color="auto" w:sz="4" w:space="0"/>
              <w:right w:val="single" w:color="auto" w:sz="4" w:space="0"/>
            </w:tcBorders>
            <w:noWrap w:val="0"/>
            <w:vAlign w:val="center"/>
          </w:tcPr>
          <w:p w14:paraId="6DAFBF80">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涉及湾雷村、五里冲村等8个行政村，主要包括人居环境整治、排水沟整治、巷道硬化、闲置土地整理、三线捆扎、道路整治提升等。</w:t>
            </w:r>
          </w:p>
        </w:tc>
      </w:tr>
      <w:tr w14:paraId="2F144D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7AE8D64A">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14</w:t>
            </w:r>
          </w:p>
        </w:tc>
        <w:tc>
          <w:tcPr>
            <w:tcW w:w="1672" w:type="dxa"/>
            <w:tcBorders>
              <w:top w:val="single" w:color="auto" w:sz="4" w:space="0"/>
              <w:left w:val="single" w:color="auto" w:sz="4" w:space="0"/>
              <w:bottom w:val="single" w:color="auto" w:sz="4" w:space="0"/>
              <w:right w:val="single" w:color="auto" w:sz="4" w:space="0"/>
            </w:tcBorders>
            <w:noWrap w:val="0"/>
            <w:vAlign w:val="center"/>
          </w:tcPr>
          <w:p w14:paraId="0AF42C71">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项目总投资</w:t>
            </w:r>
          </w:p>
        </w:tc>
        <w:tc>
          <w:tcPr>
            <w:tcW w:w="8261" w:type="dxa"/>
            <w:tcBorders>
              <w:top w:val="single" w:color="auto" w:sz="4" w:space="0"/>
              <w:left w:val="single" w:color="auto" w:sz="4" w:space="0"/>
              <w:bottom w:val="single" w:color="auto" w:sz="4" w:space="0"/>
              <w:right w:val="single" w:color="auto" w:sz="4" w:space="0"/>
            </w:tcBorders>
            <w:noWrap w:val="0"/>
            <w:vAlign w:val="center"/>
          </w:tcPr>
          <w:p w14:paraId="3D5ADED5">
            <w:pPr>
              <w:keepNext w:val="0"/>
              <w:keepLines w:val="0"/>
              <w:pageBreakBefore w:val="0"/>
              <w:widowControl/>
              <w:suppressLineNumbers w:val="0"/>
              <w:kinsoku/>
              <w:overflowPunct/>
              <w:topLinePunct w:val="0"/>
              <w:autoSpaceDE/>
              <w:autoSpaceDN/>
              <w:bidi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项目估算总投资4563.17万元，其中：建安工程费用3909.04万元、工程建设其他费用524.84万元（含建设期利息费）、预备费用129.29万元。</w:t>
            </w:r>
          </w:p>
        </w:tc>
      </w:tr>
      <w:tr w14:paraId="759D80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4FA8BEE1">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15</w:t>
            </w:r>
          </w:p>
        </w:tc>
        <w:tc>
          <w:tcPr>
            <w:tcW w:w="1672" w:type="dxa"/>
            <w:tcBorders>
              <w:top w:val="single" w:color="auto" w:sz="4" w:space="0"/>
              <w:left w:val="single" w:color="auto" w:sz="4" w:space="0"/>
              <w:bottom w:val="single" w:color="auto" w:sz="4" w:space="0"/>
              <w:right w:val="single" w:color="auto" w:sz="4" w:space="0"/>
            </w:tcBorders>
            <w:noWrap w:val="0"/>
            <w:vAlign w:val="center"/>
          </w:tcPr>
          <w:p w14:paraId="2032F397">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招标范围</w:t>
            </w:r>
          </w:p>
        </w:tc>
        <w:tc>
          <w:tcPr>
            <w:tcW w:w="8261" w:type="dxa"/>
            <w:tcBorders>
              <w:top w:val="single" w:color="auto" w:sz="4" w:space="0"/>
              <w:left w:val="single" w:color="auto" w:sz="4" w:space="0"/>
              <w:bottom w:val="single" w:color="auto" w:sz="4" w:space="0"/>
              <w:right w:val="single" w:color="auto" w:sz="4" w:space="0"/>
            </w:tcBorders>
            <w:noWrap w:val="0"/>
            <w:vAlign w:val="center"/>
          </w:tcPr>
          <w:p w14:paraId="0D98BF2A">
            <w:pPr>
              <w:pageBreakBefore w:val="0"/>
              <w:kinsoku/>
              <w:wordWrap w:val="0"/>
              <w:overflowPunct/>
              <w:topLinePunct w:val="0"/>
              <w:autoSpaceDE/>
              <w:autoSpaceDN/>
              <w:bidi w:val="0"/>
              <w:adjustRightInd w:val="0"/>
              <w:snapToGrid w:val="0"/>
              <w:spacing w:line="360" w:lineRule="auto"/>
              <w:ind w:firstLine="240" w:firstLineChars="100"/>
              <w:jc w:val="both"/>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施工图纸和工程量清单范围内</w:t>
            </w:r>
            <w:r>
              <w:rPr>
                <w:rFonts w:hint="eastAsia" w:ascii="宋体" w:hAnsi="宋体" w:eastAsia="宋体" w:cs="宋体"/>
                <w:bCs/>
                <w:snapToGrid w:val="0"/>
                <w:color w:val="auto"/>
                <w:kern w:val="0"/>
                <w:sz w:val="24"/>
                <w:szCs w:val="24"/>
                <w:highlight w:val="none"/>
              </w:rPr>
              <w:t>等</w:t>
            </w:r>
            <w:r>
              <w:rPr>
                <w:rFonts w:hint="eastAsia" w:ascii="宋体" w:hAnsi="宋体" w:eastAsia="宋体" w:cs="宋体"/>
                <w:bCs/>
                <w:snapToGrid w:val="0"/>
                <w:color w:val="auto"/>
                <w:kern w:val="0"/>
                <w:sz w:val="24"/>
                <w:szCs w:val="24"/>
                <w:highlight w:val="none"/>
                <w:lang w:val="en-US" w:eastAsia="zh-CN"/>
              </w:rPr>
              <w:t>所有</w:t>
            </w:r>
            <w:r>
              <w:rPr>
                <w:rFonts w:hint="eastAsia" w:ascii="宋体" w:hAnsi="宋体" w:eastAsia="宋体" w:cs="宋体"/>
                <w:bCs/>
                <w:snapToGrid w:val="0"/>
                <w:color w:val="auto"/>
                <w:kern w:val="0"/>
                <w:sz w:val="24"/>
                <w:szCs w:val="24"/>
                <w:highlight w:val="none"/>
              </w:rPr>
              <w:t>工程</w:t>
            </w:r>
            <w:r>
              <w:rPr>
                <w:rFonts w:hint="eastAsia" w:hAnsi="宋体" w:cs="宋体"/>
                <w:bCs/>
                <w:snapToGrid w:val="0"/>
                <w:color w:val="auto"/>
                <w:kern w:val="0"/>
                <w:sz w:val="24"/>
                <w:szCs w:val="24"/>
                <w:highlight w:val="none"/>
                <w:lang w:val="en-US" w:eastAsia="zh-CN"/>
              </w:rPr>
              <w:t>施工</w:t>
            </w:r>
            <w:r>
              <w:rPr>
                <w:rFonts w:hint="eastAsia" w:ascii="宋体" w:hAnsi="宋体" w:eastAsia="宋体" w:cs="宋体"/>
                <w:bCs/>
                <w:snapToGrid w:val="0"/>
                <w:color w:val="auto"/>
                <w:kern w:val="0"/>
                <w:sz w:val="24"/>
                <w:szCs w:val="24"/>
                <w:highlight w:val="none"/>
              </w:rPr>
              <w:t>。</w:t>
            </w:r>
          </w:p>
        </w:tc>
      </w:tr>
      <w:tr w14:paraId="0FEEBB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39F5762E">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16</w:t>
            </w:r>
          </w:p>
        </w:tc>
        <w:tc>
          <w:tcPr>
            <w:tcW w:w="1672" w:type="dxa"/>
            <w:tcBorders>
              <w:top w:val="single" w:color="auto" w:sz="4" w:space="0"/>
              <w:left w:val="single" w:color="auto" w:sz="4" w:space="0"/>
              <w:bottom w:val="single" w:color="auto" w:sz="4" w:space="0"/>
              <w:right w:val="single" w:color="auto" w:sz="4" w:space="0"/>
            </w:tcBorders>
            <w:noWrap w:val="0"/>
            <w:vAlign w:val="center"/>
          </w:tcPr>
          <w:p w14:paraId="442098EB">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标段划分</w:t>
            </w:r>
          </w:p>
        </w:tc>
        <w:tc>
          <w:tcPr>
            <w:tcW w:w="8261" w:type="dxa"/>
            <w:tcBorders>
              <w:top w:val="single" w:color="auto" w:sz="4" w:space="0"/>
              <w:left w:val="single" w:color="auto" w:sz="4" w:space="0"/>
              <w:bottom w:val="single" w:color="auto" w:sz="4" w:space="0"/>
              <w:right w:val="single" w:color="auto" w:sz="4" w:space="0"/>
            </w:tcBorders>
            <w:noWrap w:val="0"/>
            <w:vAlign w:val="center"/>
          </w:tcPr>
          <w:p w14:paraId="2E095A86">
            <w:pPr>
              <w:pageBreakBefore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本招标项目不划分标段。</w:t>
            </w:r>
          </w:p>
        </w:tc>
      </w:tr>
      <w:tr w14:paraId="6D4B92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55A0C054">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17</w:t>
            </w:r>
          </w:p>
        </w:tc>
        <w:tc>
          <w:tcPr>
            <w:tcW w:w="1672" w:type="dxa"/>
            <w:tcBorders>
              <w:top w:val="single" w:color="auto" w:sz="4" w:space="0"/>
              <w:left w:val="single" w:color="auto" w:sz="4" w:space="0"/>
              <w:bottom w:val="single" w:color="auto" w:sz="4" w:space="0"/>
              <w:right w:val="single" w:color="auto" w:sz="4" w:space="0"/>
            </w:tcBorders>
            <w:noWrap w:val="0"/>
            <w:vAlign w:val="center"/>
          </w:tcPr>
          <w:p w14:paraId="37E64560">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工期</w:t>
            </w:r>
          </w:p>
        </w:tc>
        <w:tc>
          <w:tcPr>
            <w:tcW w:w="8261" w:type="dxa"/>
            <w:tcBorders>
              <w:top w:val="single" w:color="auto" w:sz="4" w:space="0"/>
              <w:left w:val="single" w:color="auto" w:sz="4" w:space="0"/>
              <w:bottom w:val="single" w:color="auto" w:sz="4" w:space="0"/>
              <w:right w:val="single" w:color="auto" w:sz="4" w:space="0"/>
            </w:tcBorders>
            <w:noWrap w:val="0"/>
            <w:vAlign w:val="center"/>
          </w:tcPr>
          <w:p w14:paraId="4C913188">
            <w:pPr>
              <w:pageBreakBefore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本招标项目施工工期为</w:t>
            </w:r>
            <w:r>
              <w:rPr>
                <w:rFonts w:hint="eastAsia" w:hAnsi="宋体" w:cs="宋体"/>
                <w:bCs/>
                <w:snapToGrid w:val="0"/>
                <w:color w:val="auto"/>
                <w:kern w:val="0"/>
                <w:sz w:val="24"/>
                <w:szCs w:val="24"/>
                <w:highlight w:val="none"/>
                <w:lang w:val="en-US" w:eastAsia="zh-CN"/>
              </w:rPr>
              <w:t>120</w:t>
            </w:r>
            <w:r>
              <w:rPr>
                <w:rFonts w:hint="eastAsia" w:ascii="宋体" w:hAnsi="宋体" w:eastAsia="宋体" w:cs="宋体"/>
                <w:bCs/>
                <w:snapToGrid w:val="0"/>
                <w:color w:val="auto"/>
                <w:kern w:val="0"/>
                <w:sz w:val="24"/>
                <w:szCs w:val="24"/>
                <w:highlight w:val="none"/>
              </w:rPr>
              <w:t>个日历天。</w:t>
            </w:r>
          </w:p>
        </w:tc>
      </w:tr>
      <w:tr w14:paraId="1BBB43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54208BCE">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18</w:t>
            </w:r>
          </w:p>
        </w:tc>
        <w:tc>
          <w:tcPr>
            <w:tcW w:w="1672" w:type="dxa"/>
            <w:tcBorders>
              <w:top w:val="single" w:color="auto" w:sz="4" w:space="0"/>
              <w:left w:val="single" w:color="auto" w:sz="4" w:space="0"/>
              <w:bottom w:val="single" w:color="auto" w:sz="4" w:space="0"/>
              <w:right w:val="single" w:color="auto" w:sz="4" w:space="0"/>
            </w:tcBorders>
            <w:noWrap w:val="0"/>
            <w:vAlign w:val="center"/>
          </w:tcPr>
          <w:p w14:paraId="268957F8">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质量标准</w:t>
            </w:r>
          </w:p>
        </w:tc>
        <w:tc>
          <w:tcPr>
            <w:tcW w:w="8261" w:type="dxa"/>
            <w:tcBorders>
              <w:top w:val="single" w:color="auto" w:sz="4" w:space="0"/>
              <w:left w:val="single" w:color="auto" w:sz="4" w:space="0"/>
              <w:bottom w:val="single" w:color="auto" w:sz="4" w:space="0"/>
              <w:right w:val="single" w:color="auto" w:sz="4" w:space="0"/>
            </w:tcBorders>
            <w:noWrap w:val="0"/>
            <w:vAlign w:val="center"/>
          </w:tcPr>
          <w:p w14:paraId="0D8B1228">
            <w:pPr>
              <w:pStyle w:val="6"/>
              <w:pageBreakBefore w:val="0"/>
              <w:kinsoku/>
              <w:overflowPunct/>
              <w:topLinePunct w:val="0"/>
              <w:autoSpaceDE/>
              <w:autoSpaceDN/>
              <w:bidi w:val="0"/>
              <w:spacing w:before="0" w:beforeLines="0" w:after="0" w:afterLines="0" w:line="360" w:lineRule="auto"/>
              <w:ind w:firstLine="240" w:firstLineChars="100"/>
              <w:textAlignment w:val="auto"/>
              <w:rPr>
                <w:rFonts w:hint="default" w:ascii="宋体" w:hAnsi="宋体" w:eastAsia="宋体" w:cs="宋体"/>
                <w:color w:val="auto"/>
                <w:sz w:val="24"/>
                <w:szCs w:val="24"/>
                <w:highlight w:val="none"/>
                <w:lang w:val="en-US"/>
              </w:rPr>
            </w:pPr>
            <w:bookmarkStart w:id="13" w:name="_Hlt106417017"/>
            <w:bookmarkEnd w:id="13"/>
            <w:r>
              <w:rPr>
                <w:rFonts w:hint="eastAsia" w:ascii="宋体" w:hAnsi="宋体" w:eastAsia="宋体" w:cs="宋体"/>
                <w:bCs/>
                <w:snapToGrid w:val="0"/>
                <w:color w:val="auto"/>
                <w:kern w:val="0"/>
                <w:sz w:val="24"/>
                <w:szCs w:val="24"/>
                <w:highlight w:val="none"/>
                <w:lang w:val="en-US" w:eastAsia="zh-CN" w:bidi="ar-SA"/>
              </w:rPr>
              <w:t>符合现行国家有关工程施工质量验收规范和标准的要求</w:t>
            </w:r>
            <w:r>
              <w:rPr>
                <w:rFonts w:hint="eastAsia" w:ascii="宋体" w:hAnsi="宋体" w:cs="宋体"/>
                <w:bCs/>
                <w:snapToGrid w:val="0"/>
                <w:color w:val="auto"/>
                <w:kern w:val="0"/>
                <w:sz w:val="24"/>
                <w:szCs w:val="24"/>
                <w:highlight w:val="none"/>
                <w:lang w:val="en-US" w:eastAsia="zh-CN" w:bidi="ar-SA"/>
              </w:rPr>
              <w:t>，质量目标达到合格。</w:t>
            </w:r>
          </w:p>
        </w:tc>
      </w:tr>
      <w:tr w14:paraId="691EAE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6DCBC26C">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19</w:t>
            </w:r>
          </w:p>
        </w:tc>
        <w:tc>
          <w:tcPr>
            <w:tcW w:w="1672" w:type="dxa"/>
            <w:tcBorders>
              <w:top w:val="single" w:color="auto" w:sz="4" w:space="0"/>
              <w:left w:val="single" w:color="auto" w:sz="4" w:space="0"/>
              <w:bottom w:val="single" w:color="auto" w:sz="4" w:space="0"/>
              <w:right w:val="single" w:color="auto" w:sz="4" w:space="0"/>
            </w:tcBorders>
            <w:noWrap w:val="0"/>
            <w:vAlign w:val="center"/>
          </w:tcPr>
          <w:p w14:paraId="4034C329">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bCs/>
                <w:snapToGrid w:val="0"/>
                <w:color w:val="auto"/>
                <w:kern w:val="0"/>
                <w:sz w:val="24"/>
                <w:szCs w:val="24"/>
                <w:highlight w:val="none"/>
                <w:lang w:val="en-US" w:eastAsia="zh-CN" w:bidi="ar-SA"/>
              </w:rPr>
              <w:t>房屋建筑工程</w:t>
            </w:r>
          </w:p>
          <w:p w14:paraId="1DD4BD24">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bCs/>
                <w:snapToGrid w:val="0"/>
                <w:color w:val="auto"/>
                <w:kern w:val="0"/>
                <w:sz w:val="24"/>
                <w:szCs w:val="24"/>
                <w:highlight w:val="none"/>
                <w:lang w:val="en-US" w:eastAsia="zh-CN" w:bidi="ar-SA"/>
              </w:rPr>
              <w:t>绿色建筑标准</w:t>
            </w:r>
          </w:p>
        </w:tc>
        <w:tc>
          <w:tcPr>
            <w:tcW w:w="8261" w:type="dxa"/>
            <w:tcBorders>
              <w:top w:val="single" w:color="auto" w:sz="4" w:space="0"/>
              <w:left w:val="single" w:color="auto" w:sz="4" w:space="0"/>
              <w:bottom w:val="single" w:color="auto" w:sz="4" w:space="0"/>
              <w:right w:val="single" w:color="auto" w:sz="4" w:space="0"/>
            </w:tcBorders>
            <w:noWrap w:val="0"/>
            <w:vAlign w:val="center"/>
          </w:tcPr>
          <w:p w14:paraId="1800BCC6">
            <w:pPr>
              <w:pStyle w:val="29"/>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right="0" w:firstLine="240"/>
              <w:jc w:val="both"/>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color w:val="auto"/>
                <w:sz w:val="24"/>
                <w:szCs w:val="24"/>
                <w:highlight w:val="none"/>
              </w:rPr>
              <w:t>本招标项目不纳入绿色建设实施范围。</w:t>
            </w:r>
          </w:p>
        </w:tc>
      </w:tr>
      <w:tr w14:paraId="18BA85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7A2BF8C9">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19.1</w:t>
            </w:r>
          </w:p>
        </w:tc>
        <w:tc>
          <w:tcPr>
            <w:tcW w:w="1672" w:type="dxa"/>
            <w:tcBorders>
              <w:top w:val="single" w:color="auto" w:sz="4" w:space="0"/>
              <w:left w:val="single" w:color="auto" w:sz="4" w:space="0"/>
              <w:bottom w:val="single" w:color="auto" w:sz="4" w:space="0"/>
              <w:right w:val="single" w:color="auto" w:sz="4" w:space="0"/>
            </w:tcBorders>
            <w:noWrap w:val="0"/>
            <w:vAlign w:val="center"/>
          </w:tcPr>
          <w:p w14:paraId="40E60F16">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bCs/>
                <w:snapToGrid w:val="0"/>
                <w:color w:val="auto"/>
                <w:kern w:val="0"/>
                <w:sz w:val="24"/>
                <w:szCs w:val="24"/>
                <w:highlight w:val="none"/>
                <w:lang w:val="en-US" w:eastAsia="zh-CN" w:bidi="ar-SA"/>
              </w:rPr>
              <w:t>装配式建筑标准</w:t>
            </w:r>
          </w:p>
        </w:tc>
        <w:tc>
          <w:tcPr>
            <w:tcW w:w="8261" w:type="dxa"/>
            <w:tcBorders>
              <w:top w:val="single" w:color="auto" w:sz="4" w:space="0"/>
              <w:left w:val="single" w:color="auto" w:sz="4" w:space="0"/>
              <w:bottom w:val="single" w:color="auto" w:sz="4" w:space="0"/>
              <w:right w:val="single" w:color="auto" w:sz="4" w:space="0"/>
            </w:tcBorders>
            <w:noWrap w:val="0"/>
            <w:vAlign w:val="center"/>
          </w:tcPr>
          <w:p w14:paraId="4E688130">
            <w:pPr>
              <w:pStyle w:val="29"/>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right="0" w:firstLine="240"/>
              <w:jc w:val="both"/>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color w:val="auto"/>
                <w:sz w:val="24"/>
                <w:szCs w:val="24"/>
                <w:highlight w:val="none"/>
              </w:rPr>
              <w:t>本招标项目不纳入装配式建造建设实施范围。</w:t>
            </w:r>
          </w:p>
        </w:tc>
      </w:tr>
      <w:tr w14:paraId="45D7D1D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21AFFC76">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20</w:t>
            </w:r>
          </w:p>
        </w:tc>
        <w:tc>
          <w:tcPr>
            <w:tcW w:w="1672" w:type="dxa"/>
            <w:tcBorders>
              <w:top w:val="single" w:color="auto" w:sz="4" w:space="0"/>
              <w:left w:val="single" w:color="auto" w:sz="4" w:space="0"/>
              <w:bottom w:val="single" w:color="auto" w:sz="4" w:space="0"/>
              <w:right w:val="single" w:color="auto" w:sz="4" w:space="0"/>
            </w:tcBorders>
            <w:noWrap w:val="0"/>
            <w:vAlign w:val="center"/>
          </w:tcPr>
          <w:p w14:paraId="59378A76">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trike w:val="0"/>
                <w:snapToGrid w:val="0"/>
                <w:color w:val="auto"/>
                <w:kern w:val="0"/>
                <w:sz w:val="24"/>
                <w:szCs w:val="24"/>
                <w:highlight w:val="none"/>
              </w:rPr>
            </w:pPr>
            <w:r>
              <w:rPr>
                <w:rFonts w:hint="eastAsia" w:ascii="宋体" w:hAnsi="宋体" w:eastAsia="宋体" w:cs="宋体"/>
                <w:strike w:val="0"/>
                <w:snapToGrid w:val="0"/>
                <w:color w:val="auto"/>
                <w:kern w:val="0"/>
                <w:sz w:val="24"/>
                <w:szCs w:val="24"/>
                <w:highlight w:val="none"/>
                <w:lang w:val="en-US" w:eastAsia="zh-CN"/>
              </w:rPr>
              <w:t>最高投标限价</w:t>
            </w:r>
          </w:p>
        </w:tc>
        <w:tc>
          <w:tcPr>
            <w:tcW w:w="8261" w:type="dxa"/>
            <w:tcBorders>
              <w:top w:val="single" w:color="auto" w:sz="4" w:space="0"/>
              <w:left w:val="single" w:color="auto" w:sz="4" w:space="0"/>
              <w:bottom w:val="single" w:color="auto" w:sz="4" w:space="0"/>
              <w:right w:val="single" w:color="auto" w:sz="4" w:space="0"/>
            </w:tcBorders>
            <w:noWrap w:val="0"/>
            <w:vAlign w:val="center"/>
          </w:tcPr>
          <w:p w14:paraId="0DE3806E">
            <w:pPr>
              <w:pageBreakBefore w:val="0"/>
              <w:kinsoku/>
              <w:wordWrap w:val="0"/>
              <w:overflowPunct/>
              <w:topLinePunct w:val="0"/>
              <w:autoSpaceDE/>
              <w:autoSpaceDN/>
              <w:bidi w:val="0"/>
              <w:adjustRightInd w:val="0"/>
              <w:snapToGrid w:val="0"/>
              <w:spacing w:line="360" w:lineRule="auto"/>
              <w:ind w:firstLine="240" w:firstLineChars="100"/>
              <w:textAlignment w:val="auto"/>
              <w:rPr>
                <w:rFonts w:hint="eastAsia"/>
                <w:color w:val="auto"/>
                <w:highlight w:val="none"/>
                <w:lang w:val="en-US" w:eastAsia="zh-CN"/>
              </w:rPr>
            </w:pPr>
            <w:r>
              <w:rPr>
                <w:rFonts w:hint="eastAsia" w:ascii="宋体" w:hAnsi="宋体" w:eastAsia="宋体" w:cs="宋体"/>
                <w:color w:val="auto"/>
                <w:sz w:val="24"/>
                <w:szCs w:val="24"/>
                <w:highlight w:val="none"/>
                <w:shd w:val="clear" w:fill="FFFFFF"/>
              </w:rPr>
              <w:t>本项目的</w:t>
            </w:r>
            <w:r>
              <w:rPr>
                <w:rFonts w:hint="eastAsia" w:ascii="宋体" w:hAnsi="宋体" w:eastAsia="宋体" w:cs="宋体"/>
                <w:strike w:val="0"/>
                <w:snapToGrid w:val="0"/>
                <w:color w:val="auto"/>
                <w:kern w:val="0"/>
                <w:sz w:val="24"/>
                <w:szCs w:val="24"/>
                <w:highlight w:val="none"/>
                <w:lang w:val="en-US" w:eastAsia="zh-CN"/>
              </w:rPr>
              <w:t>最高投标限价</w:t>
            </w:r>
            <w:r>
              <w:rPr>
                <w:rFonts w:hint="eastAsia" w:ascii="宋体" w:hAnsi="宋体" w:eastAsia="宋体" w:cs="宋体"/>
                <w:color w:val="auto"/>
                <w:sz w:val="24"/>
                <w:szCs w:val="24"/>
                <w:highlight w:val="none"/>
                <w:shd w:val="clear" w:fill="FFFFFF"/>
              </w:rPr>
              <w:t>为人民币（大写）：</w:t>
            </w:r>
            <w:r>
              <w:rPr>
                <w:rFonts w:hint="eastAsia" w:hAnsi="宋体" w:cs="宋体"/>
                <w:color w:val="auto"/>
                <w:sz w:val="24"/>
                <w:szCs w:val="24"/>
                <w:highlight w:val="none"/>
                <w:u w:val="single"/>
                <w:shd w:val="clear" w:fill="FFFFFF"/>
                <w:lang w:val="en-US" w:eastAsia="zh-CN"/>
              </w:rPr>
              <w:t>贰仟肆佰肆拾玖万玖仟壹佰捌拾叁元叁角玖分</w:t>
            </w:r>
            <w:r>
              <w:rPr>
                <w:rFonts w:hint="eastAsia" w:ascii="宋体" w:hAnsi="宋体" w:eastAsia="宋体" w:cs="宋体"/>
                <w:color w:val="auto"/>
                <w:sz w:val="24"/>
                <w:szCs w:val="24"/>
                <w:highlight w:val="none"/>
                <w:shd w:val="clear" w:fill="FFFFFF"/>
              </w:rPr>
              <w:t>(</w:t>
            </w:r>
            <w:r>
              <w:rPr>
                <w:rFonts w:hint="eastAsia" w:ascii="宋体" w:hAnsi="宋体" w:eastAsia="宋体" w:cs="宋体"/>
                <w:color w:val="auto"/>
                <w:sz w:val="24"/>
                <w:szCs w:val="24"/>
                <w:highlight w:val="none"/>
                <w:shd w:val="clear" w:fill="FFFFFF"/>
                <w:lang w:val="en-US" w:eastAsia="zh-CN"/>
              </w:rPr>
              <w:t>小写：</w:t>
            </w:r>
            <w:r>
              <w:rPr>
                <w:rFonts w:hint="eastAsia" w:ascii="宋体" w:hAnsi="宋体" w:eastAsia="宋体" w:cs="宋体"/>
                <w:snapToGrid w:val="0"/>
                <w:color w:val="auto"/>
                <w:kern w:val="0"/>
                <w:highlight w:val="none"/>
              </w:rPr>
              <w:t>¥</w:t>
            </w:r>
            <w:r>
              <w:rPr>
                <w:rFonts w:hint="eastAsia" w:hAnsi="宋体" w:cs="宋体"/>
                <w:color w:val="auto"/>
                <w:sz w:val="24"/>
                <w:szCs w:val="24"/>
                <w:highlight w:val="none"/>
                <w:u w:val="single"/>
                <w:shd w:val="clear" w:fill="FFFFFF"/>
                <w:lang w:val="en-US" w:eastAsia="zh-CN"/>
              </w:rPr>
              <w:t>24499183.39</w:t>
            </w:r>
            <w:r>
              <w:rPr>
                <w:rFonts w:hint="eastAsia" w:ascii="宋体" w:hAnsi="宋体" w:eastAsia="宋体" w:cs="宋体"/>
                <w:color w:val="auto"/>
                <w:sz w:val="24"/>
                <w:szCs w:val="24"/>
                <w:highlight w:val="none"/>
                <w:shd w:val="clear" w:fill="FFFFFF"/>
              </w:rPr>
              <w:t>元)；其中</w:t>
            </w:r>
            <w:r>
              <w:rPr>
                <w:rFonts w:hint="eastAsia" w:hAnsi="宋体" w:cs="宋体"/>
                <w:color w:val="auto"/>
                <w:sz w:val="24"/>
                <w:szCs w:val="24"/>
                <w:highlight w:val="none"/>
                <w:shd w:val="clear" w:fill="FFFFFF"/>
                <w:lang w:eastAsia="zh-CN"/>
              </w:rPr>
              <w:t>安全生产措施费</w:t>
            </w:r>
            <w:r>
              <w:rPr>
                <w:rFonts w:hint="eastAsia" w:ascii="宋体" w:hAnsi="宋体" w:eastAsia="宋体" w:cs="宋体"/>
                <w:color w:val="auto"/>
                <w:sz w:val="24"/>
                <w:szCs w:val="24"/>
                <w:highlight w:val="none"/>
                <w:shd w:val="clear" w:fill="FFFFFF"/>
              </w:rPr>
              <w:t>¥</w:t>
            </w:r>
            <w:r>
              <w:rPr>
                <w:rFonts w:hint="eastAsia" w:hAnsi="宋体" w:cs="宋体"/>
                <w:color w:val="auto"/>
                <w:sz w:val="24"/>
                <w:szCs w:val="24"/>
                <w:highlight w:val="none"/>
                <w:u w:val="single"/>
                <w:shd w:val="clear" w:fill="FFFFFF"/>
                <w:lang w:val="en-US" w:eastAsia="zh-CN"/>
              </w:rPr>
              <w:t>563074.46</w:t>
            </w:r>
            <w:r>
              <w:rPr>
                <w:rFonts w:hint="eastAsia" w:ascii="宋体" w:hAnsi="宋体" w:eastAsia="宋体" w:cs="宋体"/>
                <w:color w:val="auto"/>
                <w:sz w:val="24"/>
                <w:szCs w:val="24"/>
                <w:highlight w:val="none"/>
                <w:shd w:val="clear" w:fill="FFFFFF"/>
              </w:rPr>
              <w:t>元，</w:t>
            </w:r>
            <w:r>
              <w:rPr>
                <w:rFonts w:hint="eastAsia" w:ascii="宋体" w:hAnsi="宋体" w:eastAsia="宋体" w:cs="宋体"/>
                <w:color w:val="auto"/>
                <w:sz w:val="24"/>
                <w:szCs w:val="24"/>
                <w:highlight w:val="none"/>
                <w:shd w:val="clear" w:fill="FFFFFF"/>
                <w:lang w:val="en-US" w:eastAsia="zh-CN"/>
              </w:rPr>
              <w:t>暂列金</w:t>
            </w:r>
            <w:r>
              <w:rPr>
                <w:rFonts w:hint="eastAsia" w:hAnsi="宋体" w:cs="宋体"/>
                <w:color w:val="auto"/>
                <w:sz w:val="24"/>
                <w:szCs w:val="24"/>
                <w:highlight w:val="none"/>
                <w:shd w:val="clear" w:fill="FFFFFF"/>
                <w:lang w:val="en-US" w:eastAsia="zh-CN"/>
              </w:rPr>
              <w:t>额</w:t>
            </w:r>
            <w:r>
              <w:rPr>
                <w:rFonts w:hint="eastAsia" w:ascii="宋体" w:hAnsi="宋体" w:eastAsia="宋体" w:cs="宋体"/>
                <w:color w:val="auto"/>
                <w:sz w:val="24"/>
                <w:szCs w:val="24"/>
                <w:highlight w:val="none"/>
                <w:shd w:val="clear" w:fill="FFFFFF"/>
              </w:rPr>
              <w:t>为</w:t>
            </w:r>
            <w:r>
              <w:rPr>
                <w:rFonts w:hint="eastAsia" w:ascii="宋体" w:hAnsi="宋体" w:eastAsia="宋体" w:cs="宋体"/>
                <w:snapToGrid w:val="0"/>
                <w:color w:val="auto"/>
                <w:kern w:val="0"/>
                <w:highlight w:val="none"/>
              </w:rPr>
              <w:t>¥</w:t>
            </w:r>
            <w:r>
              <w:rPr>
                <w:rFonts w:hint="eastAsia" w:hAnsi="宋体" w:cs="宋体"/>
                <w:color w:val="auto"/>
                <w:sz w:val="24"/>
                <w:szCs w:val="24"/>
                <w:highlight w:val="none"/>
                <w:u w:val="single"/>
                <w:shd w:val="clear" w:fill="FFFFFF"/>
                <w:lang w:val="en-US" w:eastAsia="zh-CN"/>
              </w:rPr>
              <w:t>630000.00</w:t>
            </w:r>
            <w:r>
              <w:rPr>
                <w:rFonts w:hint="eastAsia" w:ascii="宋体" w:hAnsi="宋体" w:eastAsia="宋体" w:cs="宋体"/>
                <w:color w:val="auto"/>
                <w:sz w:val="24"/>
                <w:szCs w:val="24"/>
                <w:highlight w:val="none"/>
                <w:shd w:val="clear" w:fill="FFFFFF"/>
              </w:rPr>
              <w:t>元</w:t>
            </w:r>
            <w:r>
              <w:rPr>
                <w:rFonts w:hint="eastAsia" w:ascii="宋体" w:hAnsi="宋体" w:eastAsia="宋体" w:cs="宋体"/>
                <w:color w:val="auto"/>
                <w:sz w:val="24"/>
                <w:szCs w:val="24"/>
                <w:highlight w:val="none"/>
                <w:shd w:val="clear" w:fill="FFFFFF"/>
                <w:lang w:eastAsia="zh-CN"/>
              </w:rPr>
              <w:t>，</w:t>
            </w:r>
            <w:r>
              <w:rPr>
                <w:rFonts w:hint="eastAsia" w:ascii="宋体" w:hAnsi="宋体" w:eastAsia="宋体" w:cs="宋体"/>
                <w:color w:val="auto"/>
                <w:sz w:val="24"/>
                <w:szCs w:val="24"/>
                <w:highlight w:val="none"/>
                <w:shd w:val="clear" w:fill="FFFFFF"/>
                <w:lang w:val="en-US" w:eastAsia="zh-CN"/>
              </w:rPr>
              <w:t>暂估价</w:t>
            </w:r>
            <w:r>
              <w:rPr>
                <w:rFonts w:hint="eastAsia" w:ascii="宋体" w:hAnsi="宋体" w:eastAsia="宋体" w:cs="宋体"/>
                <w:color w:val="auto"/>
                <w:sz w:val="24"/>
                <w:szCs w:val="24"/>
                <w:highlight w:val="none"/>
                <w:shd w:val="clear" w:fill="FFFFFF"/>
              </w:rPr>
              <w:t>为</w:t>
            </w:r>
            <w:r>
              <w:rPr>
                <w:rFonts w:hint="eastAsia" w:ascii="宋体" w:hAnsi="宋体" w:eastAsia="宋体" w:cs="宋体"/>
                <w:snapToGrid w:val="0"/>
                <w:color w:val="auto"/>
                <w:kern w:val="0"/>
                <w:highlight w:val="none"/>
              </w:rPr>
              <w:t>¥</w:t>
            </w:r>
            <w:r>
              <w:rPr>
                <w:rFonts w:hint="eastAsia" w:hAnsi="宋体" w:cs="宋体"/>
                <w:color w:val="auto"/>
                <w:sz w:val="24"/>
                <w:szCs w:val="24"/>
                <w:highlight w:val="none"/>
                <w:u w:val="single"/>
                <w:shd w:val="clear" w:fill="FFFFFF"/>
                <w:lang w:val="en-US" w:eastAsia="zh-CN"/>
              </w:rPr>
              <w:t>/</w:t>
            </w:r>
            <w:r>
              <w:rPr>
                <w:rFonts w:hint="eastAsia" w:ascii="宋体" w:hAnsi="宋体" w:eastAsia="宋体" w:cs="宋体"/>
                <w:color w:val="auto"/>
                <w:sz w:val="24"/>
                <w:szCs w:val="24"/>
                <w:highlight w:val="none"/>
                <w:shd w:val="clear" w:fill="FFFFFF"/>
              </w:rPr>
              <w:t>元。</w:t>
            </w:r>
          </w:p>
        </w:tc>
      </w:tr>
      <w:tr w14:paraId="7603C4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5F9DBD2F">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21</w:t>
            </w:r>
          </w:p>
        </w:tc>
        <w:tc>
          <w:tcPr>
            <w:tcW w:w="1672" w:type="dxa"/>
            <w:tcBorders>
              <w:top w:val="single" w:color="auto" w:sz="4" w:space="0"/>
              <w:left w:val="single" w:color="auto" w:sz="4" w:space="0"/>
              <w:bottom w:val="single" w:color="auto" w:sz="4" w:space="0"/>
              <w:right w:val="single" w:color="auto" w:sz="4" w:space="0"/>
            </w:tcBorders>
            <w:noWrap w:val="0"/>
            <w:vAlign w:val="center"/>
          </w:tcPr>
          <w:p w14:paraId="6439991A">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投标人资格要求</w:t>
            </w:r>
          </w:p>
        </w:tc>
        <w:tc>
          <w:tcPr>
            <w:tcW w:w="8261" w:type="dxa"/>
            <w:tcBorders>
              <w:top w:val="single" w:color="auto" w:sz="4" w:space="0"/>
              <w:left w:val="single" w:color="auto" w:sz="4" w:space="0"/>
              <w:bottom w:val="single" w:color="auto" w:sz="4" w:space="0"/>
              <w:right w:val="single" w:color="auto" w:sz="4" w:space="0"/>
            </w:tcBorders>
            <w:noWrap w:val="0"/>
            <w:vAlign w:val="center"/>
          </w:tcPr>
          <w:p w14:paraId="6CCB21FB">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1．本次招标</w:t>
            </w:r>
            <w:r>
              <w:rPr>
                <w:rFonts w:hint="eastAsia" w:hAnsi="宋体" w:cs="宋体"/>
                <w:snapToGrid w:val="0"/>
                <w:color w:val="auto"/>
                <w:kern w:val="0"/>
                <w:sz w:val="24"/>
                <w:szCs w:val="24"/>
                <w:highlight w:val="none"/>
                <w:lang w:val="en-US" w:eastAsia="zh-CN"/>
              </w:rPr>
              <w:t>不</w:t>
            </w:r>
            <w:r>
              <w:rPr>
                <w:rFonts w:hint="eastAsia" w:ascii="宋体" w:hAnsi="宋体" w:eastAsia="宋体" w:cs="宋体"/>
                <w:snapToGrid w:val="0"/>
                <w:color w:val="auto"/>
                <w:kern w:val="0"/>
                <w:sz w:val="24"/>
                <w:szCs w:val="24"/>
                <w:highlight w:val="none"/>
              </w:rPr>
              <w:t>接受联合体投标</w:t>
            </w:r>
            <w:r>
              <w:rPr>
                <w:rFonts w:hint="eastAsia" w:hAnsi="宋体" w:cs="宋体"/>
                <w:snapToGrid w:val="0"/>
                <w:color w:val="auto"/>
                <w:kern w:val="0"/>
                <w:sz w:val="24"/>
                <w:szCs w:val="24"/>
                <w:highlight w:val="none"/>
                <w:lang w:eastAsia="zh-CN"/>
              </w:rPr>
              <w:t>。</w:t>
            </w:r>
          </w:p>
          <w:p w14:paraId="24756A3B">
            <w:pPr>
              <w:pageBreakBefore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2．资质要求</w:t>
            </w:r>
          </w:p>
          <w:p w14:paraId="589D85A6">
            <w:pPr>
              <w:pageBreakBefore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2.1 投标人须具备独立法人资格，按国家法律经营。</w:t>
            </w:r>
          </w:p>
          <w:p w14:paraId="2D153965">
            <w:pPr>
              <w:pageBreakBefore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2.2 投标人须持有建设行政主管部门颁发的企业资质证书及安全生产许可证。</w:t>
            </w:r>
          </w:p>
          <w:p w14:paraId="0EAB4BF2">
            <w:pPr>
              <w:pageBreakBefore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b w:val="0"/>
                <w:bCs w:val="0"/>
                <w:i w:val="0"/>
                <w:iCs w:val="0"/>
                <w:caps w:val="0"/>
                <w:color w:val="auto"/>
                <w:spacing w:val="0"/>
                <w:sz w:val="24"/>
                <w:szCs w:val="24"/>
                <w:highlight w:val="none"/>
                <w:u w:val="single"/>
                <w:shd w:val="clear" w:fill="FFFFFF"/>
              </w:rPr>
            </w:pPr>
            <w:r>
              <w:rPr>
                <w:rFonts w:hint="eastAsia" w:ascii="宋体" w:hAnsi="宋体" w:eastAsia="宋体" w:cs="宋体"/>
                <w:snapToGrid w:val="0"/>
                <w:color w:val="auto"/>
                <w:kern w:val="0"/>
                <w:sz w:val="24"/>
                <w:szCs w:val="24"/>
                <w:highlight w:val="none"/>
              </w:rPr>
              <w:t>2.3 投标人须具备以下资质：具备建设行政主管部门颁发的</w:t>
            </w:r>
            <w:r>
              <w:rPr>
                <w:rFonts w:hint="eastAsia" w:hAnsi="宋体" w:cs="宋体"/>
                <w:b w:val="0"/>
                <w:bCs w:val="0"/>
                <w:snapToGrid w:val="0"/>
                <w:color w:val="auto"/>
                <w:kern w:val="0"/>
                <w:sz w:val="24"/>
                <w:szCs w:val="24"/>
                <w:highlight w:val="none"/>
                <w:u w:val="single"/>
                <w:lang w:eastAsia="zh-CN"/>
              </w:rPr>
              <w:t>市政公用工程施工总承包</w:t>
            </w:r>
            <w:r>
              <w:rPr>
                <w:rFonts w:hint="eastAsia" w:hAnsi="宋体" w:cs="宋体"/>
                <w:b w:val="0"/>
                <w:bCs w:val="0"/>
                <w:snapToGrid w:val="0"/>
                <w:color w:val="auto"/>
                <w:kern w:val="0"/>
                <w:sz w:val="24"/>
                <w:szCs w:val="24"/>
                <w:highlight w:val="none"/>
                <w:u w:val="single"/>
                <w:lang w:val="en-US" w:eastAsia="zh-CN"/>
              </w:rPr>
              <w:t>三</w:t>
            </w:r>
            <w:r>
              <w:rPr>
                <w:rFonts w:hint="eastAsia" w:hAnsi="宋体" w:cs="宋体"/>
                <w:b w:val="0"/>
                <w:bCs w:val="0"/>
                <w:snapToGrid w:val="0"/>
                <w:color w:val="auto"/>
                <w:kern w:val="0"/>
                <w:sz w:val="24"/>
                <w:szCs w:val="24"/>
                <w:highlight w:val="none"/>
                <w:u w:val="single"/>
                <w:lang w:eastAsia="zh-CN"/>
              </w:rPr>
              <w:t>级以上（含</w:t>
            </w:r>
            <w:r>
              <w:rPr>
                <w:rFonts w:hint="eastAsia" w:hAnsi="宋体" w:cs="宋体"/>
                <w:b w:val="0"/>
                <w:bCs w:val="0"/>
                <w:snapToGrid w:val="0"/>
                <w:color w:val="auto"/>
                <w:kern w:val="0"/>
                <w:sz w:val="24"/>
                <w:szCs w:val="24"/>
                <w:highlight w:val="none"/>
                <w:u w:val="single"/>
                <w:lang w:val="en-US" w:eastAsia="zh-CN"/>
              </w:rPr>
              <w:t>三</w:t>
            </w:r>
            <w:r>
              <w:rPr>
                <w:rFonts w:hint="eastAsia" w:hAnsi="宋体" w:cs="宋体"/>
                <w:b w:val="0"/>
                <w:bCs w:val="0"/>
                <w:snapToGrid w:val="0"/>
                <w:color w:val="auto"/>
                <w:kern w:val="0"/>
                <w:sz w:val="24"/>
                <w:szCs w:val="24"/>
                <w:highlight w:val="none"/>
                <w:u w:val="single"/>
                <w:lang w:eastAsia="zh-CN"/>
              </w:rPr>
              <w:t>级）</w:t>
            </w:r>
            <w:r>
              <w:rPr>
                <w:rFonts w:hint="eastAsia" w:ascii="宋体" w:hAnsi="宋体" w:eastAsia="宋体" w:cs="宋体"/>
                <w:b w:val="0"/>
                <w:bCs w:val="0"/>
                <w:snapToGrid w:val="0"/>
                <w:color w:val="auto"/>
                <w:kern w:val="0"/>
                <w:sz w:val="24"/>
                <w:szCs w:val="24"/>
                <w:highlight w:val="none"/>
              </w:rPr>
              <w:t>资质。</w:t>
            </w:r>
          </w:p>
          <w:p w14:paraId="089BEBD8">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2.4 根据有关文件精神，投标人的企业相关证书到期的，均按该证书的发证机构相关行业主管部门最新文件执行（如自动顺延或推迟办理延期业务的通知），投标人必须将相关文件附在该证书后面中，证明在开标日继续有效。</w:t>
            </w:r>
          </w:p>
          <w:p w14:paraId="20B014BE">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3．相关人员要求</w:t>
            </w:r>
          </w:p>
          <w:p w14:paraId="7653A9B8">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3.1 </w:t>
            </w:r>
            <w:r>
              <w:rPr>
                <w:rFonts w:hint="eastAsia" w:ascii="宋体" w:hAnsi="宋体" w:eastAsia="宋体" w:cs="宋体"/>
                <w:color w:val="auto"/>
                <w:sz w:val="24"/>
                <w:szCs w:val="24"/>
                <w:highlight w:val="none"/>
              </w:rPr>
              <w:t>投标人拟派项目经理为</w:t>
            </w:r>
            <w:r>
              <w:rPr>
                <w:rFonts w:hint="eastAsia" w:ascii="宋体" w:hAnsi="宋体" w:eastAsia="宋体" w:cs="宋体"/>
                <w:b w:val="0"/>
                <w:bCs w:val="0"/>
                <w:color w:val="auto"/>
                <w:sz w:val="24"/>
                <w:szCs w:val="24"/>
                <w:highlight w:val="none"/>
                <w:u w:val="single"/>
              </w:rPr>
              <w:t>市政公用工程</w:t>
            </w:r>
            <w:r>
              <w:rPr>
                <w:rFonts w:hint="eastAsia" w:ascii="宋体" w:hAnsi="宋体" w:eastAsia="宋体" w:cs="宋体"/>
                <w:color w:val="auto"/>
                <w:sz w:val="24"/>
                <w:szCs w:val="24"/>
                <w:highlight w:val="none"/>
              </w:rPr>
              <w:t>专业一级或二级注册建造师，应持有住建部门印发的在使用有效期内的有效电子注册证书（根据广东省住房和城乡建设厅（粤建市函〔2023〕469 号）文件精神，二级注册建造师可随注册企业在全国范围内执业）。同时均须具备有效安全生产考核合格证明（B证，安全生产考核合格证书或“广东省建筑施工企业管理人员安全生产考核信息系统”考核合格信息打印页），且未担任其他在施（包括已中标未开工、已开工未竣工）建设工程项目的项目经理。</w:t>
            </w:r>
          </w:p>
          <w:p w14:paraId="4A13E78E">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3.2 拟派项目技术负责人须具备</w:t>
            </w:r>
            <w:r>
              <w:rPr>
                <w:rFonts w:hint="eastAsia" w:ascii="宋体" w:hAnsi="宋体" w:eastAsia="宋体" w:cs="宋体"/>
                <w:b w:val="0"/>
                <w:bCs w:val="0"/>
                <w:snapToGrid w:val="0"/>
                <w:color w:val="auto"/>
                <w:kern w:val="0"/>
                <w:sz w:val="24"/>
                <w:szCs w:val="24"/>
                <w:highlight w:val="none"/>
                <w:u w:val="single"/>
                <w:lang w:val="en-US" w:eastAsia="zh-CN"/>
              </w:rPr>
              <w:t>市政</w:t>
            </w:r>
            <w:r>
              <w:rPr>
                <w:rFonts w:hint="eastAsia" w:hAnsi="宋体" w:cs="宋体"/>
                <w:b w:val="0"/>
                <w:bCs w:val="0"/>
                <w:snapToGrid w:val="0"/>
                <w:color w:val="auto"/>
                <w:kern w:val="0"/>
                <w:sz w:val="24"/>
                <w:szCs w:val="24"/>
                <w:highlight w:val="none"/>
                <w:u w:val="single"/>
                <w:lang w:val="en-US" w:eastAsia="zh-CN"/>
              </w:rPr>
              <w:t>类</w:t>
            </w:r>
            <w:r>
              <w:rPr>
                <w:rFonts w:hint="eastAsia" w:ascii="宋体" w:hAnsi="宋体" w:eastAsia="宋体" w:cs="宋体"/>
                <w:b w:val="0"/>
                <w:bCs w:val="0"/>
                <w:snapToGrid w:val="0"/>
                <w:color w:val="auto"/>
                <w:kern w:val="0"/>
                <w:sz w:val="24"/>
                <w:szCs w:val="24"/>
                <w:highlight w:val="none"/>
                <w:u w:val="single"/>
              </w:rPr>
              <w:t>相关</w:t>
            </w:r>
            <w:r>
              <w:rPr>
                <w:rFonts w:hint="eastAsia" w:ascii="宋体" w:hAnsi="宋体" w:eastAsia="宋体" w:cs="宋体"/>
                <w:snapToGrid w:val="0"/>
                <w:color w:val="auto"/>
                <w:kern w:val="0"/>
                <w:sz w:val="24"/>
                <w:szCs w:val="24"/>
                <w:highlight w:val="none"/>
              </w:rPr>
              <w:t>专业</w:t>
            </w:r>
            <w:r>
              <w:rPr>
                <w:rFonts w:hint="eastAsia" w:hAnsi="宋体" w:cs="宋体"/>
                <w:b w:val="0"/>
                <w:bCs w:val="0"/>
                <w:snapToGrid w:val="0"/>
                <w:color w:val="auto"/>
                <w:kern w:val="0"/>
                <w:sz w:val="24"/>
                <w:szCs w:val="24"/>
                <w:highlight w:val="none"/>
                <w:u w:val="single"/>
                <w:lang w:val="en-US" w:eastAsia="zh-CN"/>
              </w:rPr>
              <w:t>中</w:t>
            </w:r>
            <w:r>
              <w:rPr>
                <w:rFonts w:hint="eastAsia" w:ascii="宋体" w:hAnsi="宋体" w:eastAsia="宋体" w:cs="宋体"/>
                <w:b w:val="0"/>
                <w:bCs w:val="0"/>
                <w:snapToGrid w:val="0"/>
                <w:color w:val="auto"/>
                <w:kern w:val="0"/>
                <w:sz w:val="24"/>
                <w:szCs w:val="24"/>
                <w:highlight w:val="none"/>
              </w:rPr>
              <w:t>级以上（含</w:t>
            </w:r>
            <w:r>
              <w:rPr>
                <w:rFonts w:hint="eastAsia" w:hAnsi="宋体" w:cs="宋体"/>
                <w:b w:val="0"/>
                <w:bCs w:val="0"/>
                <w:snapToGrid w:val="0"/>
                <w:color w:val="auto"/>
                <w:kern w:val="0"/>
                <w:sz w:val="24"/>
                <w:szCs w:val="24"/>
                <w:highlight w:val="none"/>
                <w:u w:val="single"/>
                <w:lang w:val="en-US" w:eastAsia="zh-CN"/>
              </w:rPr>
              <w:t>中</w:t>
            </w:r>
            <w:r>
              <w:rPr>
                <w:rFonts w:hint="eastAsia" w:ascii="宋体" w:hAnsi="宋体" w:eastAsia="宋体" w:cs="宋体"/>
                <w:b w:val="0"/>
                <w:bCs w:val="0"/>
                <w:snapToGrid w:val="0"/>
                <w:color w:val="auto"/>
                <w:kern w:val="0"/>
                <w:sz w:val="24"/>
                <w:szCs w:val="24"/>
                <w:highlight w:val="none"/>
              </w:rPr>
              <w:t>级）</w:t>
            </w:r>
            <w:r>
              <w:rPr>
                <w:rFonts w:hint="eastAsia" w:ascii="宋体" w:hAnsi="宋体" w:eastAsia="宋体" w:cs="宋体"/>
                <w:snapToGrid w:val="0"/>
                <w:color w:val="auto"/>
                <w:kern w:val="0"/>
                <w:sz w:val="24"/>
                <w:szCs w:val="24"/>
                <w:highlight w:val="none"/>
              </w:rPr>
              <w:t>技术职称。</w:t>
            </w:r>
          </w:p>
          <w:p w14:paraId="5F9B4C42">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3.3 拟派专职安全生产管理人员须具备有效安全生产考核合格证明（C证，安全生产考核合格证书或“广东省建筑施工企业管理人员安全生产考核信息系统”考核合格信息打印页），且不少于</w:t>
            </w:r>
            <w:r>
              <w:rPr>
                <w:rFonts w:hint="eastAsia" w:hAnsi="宋体" w:cs="宋体"/>
                <w:b w:val="0"/>
                <w:bCs w:val="0"/>
                <w:snapToGrid w:val="0"/>
                <w:color w:val="auto"/>
                <w:kern w:val="0"/>
                <w:sz w:val="24"/>
                <w:szCs w:val="24"/>
                <w:highlight w:val="none"/>
                <w:u w:val="single"/>
                <w:lang w:val="en-US" w:eastAsia="zh-CN"/>
              </w:rPr>
              <w:t>1</w:t>
            </w:r>
            <w:r>
              <w:rPr>
                <w:rFonts w:hint="eastAsia" w:ascii="宋体" w:hAnsi="宋体" w:eastAsia="宋体" w:cs="宋体"/>
                <w:b w:val="0"/>
                <w:bCs w:val="0"/>
                <w:snapToGrid w:val="0"/>
                <w:color w:val="auto"/>
                <w:kern w:val="0"/>
                <w:sz w:val="24"/>
                <w:szCs w:val="24"/>
                <w:highlight w:val="none"/>
              </w:rPr>
              <w:t>人</w:t>
            </w:r>
            <w:r>
              <w:rPr>
                <w:rFonts w:hint="eastAsia" w:ascii="宋体" w:hAnsi="宋体" w:eastAsia="宋体" w:cs="宋体"/>
                <w:snapToGrid w:val="0"/>
                <w:color w:val="auto"/>
                <w:kern w:val="0"/>
                <w:sz w:val="24"/>
                <w:szCs w:val="24"/>
                <w:highlight w:val="none"/>
              </w:rPr>
              <w:t xml:space="preserve">。 </w:t>
            </w:r>
          </w:p>
          <w:p w14:paraId="2ABE4404">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3.4 投标人与其拟派往本项目管理机构的所有人员之间必须具备合法、唯一的劳动聘用关系</w:t>
            </w:r>
            <w:r>
              <w:rPr>
                <w:rFonts w:hint="eastAsia" w:ascii="宋体" w:hAnsi="宋体" w:eastAsia="宋体" w:cs="宋体"/>
                <w:color w:val="auto"/>
                <w:highlight w:val="none"/>
              </w:rPr>
              <w:t>（提供社保证明或劳动合同）</w:t>
            </w:r>
            <w:r>
              <w:rPr>
                <w:rFonts w:hint="eastAsia" w:ascii="宋体" w:hAnsi="宋体" w:eastAsia="宋体" w:cs="宋体"/>
                <w:snapToGrid w:val="0"/>
                <w:color w:val="auto"/>
                <w:kern w:val="0"/>
                <w:sz w:val="24"/>
                <w:szCs w:val="24"/>
                <w:highlight w:val="none"/>
              </w:rPr>
              <w:t>。拟派人员中具备注册执业资格的，其注册单位须与投标人保持一致。</w:t>
            </w:r>
          </w:p>
          <w:p w14:paraId="4108B950">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4．禁止投标条款：</w:t>
            </w:r>
          </w:p>
          <w:p w14:paraId="66663910">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4.1 投标人不得存在下列情形之一：    </w:t>
            </w:r>
          </w:p>
          <w:p w14:paraId="12187784">
            <w:pPr>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（1）为招标人不具有独立法人资格的附属机构（单位）；</w:t>
            </w:r>
          </w:p>
          <w:p w14:paraId="38403E77">
            <w:pPr>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（2）为本招标项目前期准备提供设计或咨询服务的；</w:t>
            </w:r>
          </w:p>
          <w:p w14:paraId="24894662">
            <w:pPr>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（3）与本招标项目的其他投标人为同一个单位负责人；</w:t>
            </w:r>
          </w:p>
          <w:p w14:paraId="27901649">
            <w:pPr>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（4）与本招标项目的其他投标人存在控股、管理关系；</w:t>
            </w:r>
          </w:p>
          <w:p w14:paraId="091BC197">
            <w:pPr>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（5）为本招标项目的监理人；</w:t>
            </w:r>
          </w:p>
          <w:p w14:paraId="1A3C08C5">
            <w:pPr>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（6）为本招标项目的代建人；</w:t>
            </w:r>
          </w:p>
          <w:p w14:paraId="27D6F5BD">
            <w:pPr>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（7）为本招标项目的招标代理机构；</w:t>
            </w:r>
          </w:p>
          <w:p w14:paraId="4B279A2E">
            <w:pPr>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（8）与本招标项目的监理人或代建人或招标代理机构同为一个法定代表人；</w:t>
            </w:r>
          </w:p>
          <w:p w14:paraId="19C2B53C">
            <w:pPr>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（9）与本招标项目的监理人或代建人或招标代理机构存在控股或参股关系；</w:t>
            </w:r>
          </w:p>
          <w:p w14:paraId="2B641147">
            <w:pPr>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（10）与本招标项目的监理人或代建人或招标代理机构存在相互任职或工作关系；</w:t>
            </w:r>
          </w:p>
          <w:p w14:paraId="558AB604">
            <w:pPr>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（11）被依法暂停或者取消投标资格；</w:t>
            </w:r>
          </w:p>
          <w:p w14:paraId="7233EE1B">
            <w:pPr>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（12）被责令停产停业、暂扣或者吊销许可证、暂扣或者吊销执照；</w:t>
            </w:r>
          </w:p>
          <w:p w14:paraId="394C68C5">
            <w:pPr>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（13）进入清算程序，或被宣告破产，或其他丧失履约能力的情形；</w:t>
            </w:r>
          </w:p>
          <w:p w14:paraId="7B0BB098">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（14）在最近三年内发生重大工程质量或安全问题（以相关行业主管部门的行政处罚决定或司法机关出具的有关法律文书为准）；</w:t>
            </w:r>
          </w:p>
          <w:p w14:paraId="4FCF4656">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（15）被“信用中国”网站（https://www.creditchina.gov.cn）发布的《</w:t>
            </w:r>
            <w:r>
              <w:rPr>
                <w:rFonts w:hint="eastAsia" w:ascii="宋体" w:hAnsi="宋体" w:eastAsia="宋体" w:cs="宋体"/>
                <w:snapToGrid w:val="0"/>
                <w:color w:val="auto"/>
                <w:kern w:val="0"/>
                <w:sz w:val="24"/>
                <w:szCs w:val="24"/>
                <w:highlight w:val="none"/>
                <w:lang w:eastAsia="zh-CN"/>
              </w:rPr>
              <w:t>法人和非法人组织公共信用信息报告</w:t>
            </w:r>
            <w:r>
              <w:rPr>
                <w:rFonts w:hint="eastAsia" w:ascii="宋体" w:hAnsi="宋体" w:eastAsia="宋体" w:cs="宋体"/>
                <w:snapToGrid w:val="0"/>
                <w:color w:val="auto"/>
                <w:kern w:val="0"/>
                <w:sz w:val="24"/>
                <w:szCs w:val="24"/>
                <w:highlight w:val="none"/>
              </w:rPr>
              <w:t>》列为严重失信主体名单的。</w:t>
            </w:r>
          </w:p>
          <w:p w14:paraId="0085428D">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4.2 招标人拒绝以下名单中的单位参加本次投标：</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2"/>
              <w:gridCol w:w="3791"/>
              <w:gridCol w:w="3627"/>
            </w:tblGrid>
            <w:tr w14:paraId="17970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92" w:type="dxa"/>
                  <w:noWrap w:val="0"/>
                  <w:vAlign w:val="center"/>
                </w:tcPr>
                <w:p w14:paraId="5E50EC52">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791" w:type="dxa"/>
                  <w:noWrap w:val="0"/>
                  <w:vAlign w:val="center"/>
                </w:tcPr>
                <w:p w14:paraId="5B8422B6">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单位名称</w:t>
                  </w:r>
                </w:p>
              </w:tc>
              <w:tc>
                <w:tcPr>
                  <w:tcW w:w="3627" w:type="dxa"/>
                  <w:noWrap w:val="0"/>
                  <w:vAlign w:val="center"/>
                </w:tcPr>
                <w:p w14:paraId="748EC6D4">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拒绝原因</w:t>
                  </w:r>
                </w:p>
              </w:tc>
            </w:tr>
            <w:tr w14:paraId="1903E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92" w:type="dxa"/>
                  <w:noWrap w:val="0"/>
                  <w:vAlign w:val="center"/>
                </w:tcPr>
                <w:p w14:paraId="1E4ECAC8">
                  <w:pPr>
                    <w:pStyle w:val="137"/>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1</w:t>
                  </w:r>
                </w:p>
              </w:tc>
              <w:tc>
                <w:tcPr>
                  <w:tcW w:w="3791" w:type="dxa"/>
                  <w:noWrap w:val="0"/>
                  <w:vAlign w:val="center"/>
                </w:tcPr>
                <w:p w14:paraId="08AF106A">
                  <w:pPr>
                    <w:pageBreakBefore w:val="0"/>
                    <w:tabs>
                      <w:tab w:val="left" w:pos="1180"/>
                    </w:tabs>
                    <w:kinsoku/>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hAnsi="宋体" w:cs="宋体"/>
                      <w:color w:val="auto"/>
                      <w:kern w:val="2"/>
                      <w:sz w:val="24"/>
                      <w:szCs w:val="24"/>
                      <w:highlight w:val="none"/>
                      <w:lang w:val="en-US" w:eastAsia="zh-CN" w:bidi="ar-SA"/>
                    </w:rPr>
                    <w:t>广东飞腾工程咨询有限公司</w:t>
                  </w:r>
                </w:p>
              </w:tc>
              <w:tc>
                <w:tcPr>
                  <w:tcW w:w="3627" w:type="dxa"/>
                  <w:noWrap w:val="0"/>
                  <w:vAlign w:val="center"/>
                </w:tcPr>
                <w:p w14:paraId="15AF4C4B">
                  <w:pPr>
                    <w:pStyle w:val="137"/>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为本招标项目的</w:t>
                  </w:r>
                  <w:r>
                    <w:rPr>
                      <w:rFonts w:hint="eastAsia" w:ascii="宋体" w:hAnsi="宋体" w:eastAsia="宋体" w:cs="宋体"/>
                      <w:color w:val="auto"/>
                      <w:sz w:val="24"/>
                      <w:szCs w:val="24"/>
                      <w:highlight w:val="none"/>
                      <w:lang w:val="en-US" w:eastAsia="zh-CN"/>
                    </w:rPr>
                    <w:t>造价</w:t>
                  </w:r>
                  <w:r>
                    <w:rPr>
                      <w:rFonts w:hint="eastAsia" w:ascii="宋体" w:hAnsi="宋体" w:eastAsia="宋体" w:cs="宋体"/>
                      <w:color w:val="auto"/>
                      <w:sz w:val="24"/>
                      <w:szCs w:val="24"/>
                      <w:highlight w:val="none"/>
                    </w:rPr>
                    <w:t>单位</w:t>
                  </w:r>
                </w:p>
              </w:tc>
            </w:tr>
            <w:tr w14:paraId="02174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92" w:type="dxa"/>
                  <w:noWrap w:val="0"/>
                  <w:vAlign w:val="center"/>
                </w:tcPr>
                <w:p w14:paraId="166D187C">
                  <w:pPr>
                    <w:pStyle w:val="137"/>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w:t>
                  </w:r>
                </w:p>
              </w:tc>
              <w:tc>
                <w:tcPr>
                  <w:tcW w:w="3791" w:type="dxa"/>
                  <w:noWrap w:val="0"/>
                  <w:vAlign w:val="center"/>
                </w:tcPr>
                <w:p w14:paraId="4348A36F">
                  <w:pPr>
                    <w:pageBreakBefore w:val="0"/>
                    <w:tabs>
                      <w:tab w:val="left" w:pos="1180"/>
                    </w:tabs>
                    <w:kinsoku/>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hAnsi="宋体" w:cs="宋体"/>
                      <w:color w:val="auto"/>
                      <w:kern w:val="2"/>
                      <w:sz w:val="24"/>
                      <w:szCs w:val="24"/>
                      <w:highlight w:val="none"/>
                      <w:lang w:val="en-US" w:eastAsia="zh-CN" w:bidi="ar-SA"/>
                    </w:rPr>
                    <w:t>中亿国际设计集团有限公司</w:t>
                  </w:r>
                </w:p>
              </w:tc>
              <w:tc>
                <w:tcPr>
                  <w:tcW w:w="3627" w:type="dxa"/>
                  <w:noWrap w:val="0"/>
                  <w:vAlign w:val="center"/>
                </w:tcPr>
                <w:p w14:paraId="002E16E4">
                  <w:pPr>
                    <w:pStyle w:val="137"/>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为本招标项目的设计单位</w:t>
                  </w:r>
                </w:p>
              </w:tc>
            </w:tr>
            <w:tr w14:paraId="6EB45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792" w:type="dxa"/>
                  <w:noWrap w:val="0"/>
                  <w:vAlign w:val="center"/>
                </w:tcPr>
                <w:p w14:paraId="26598700">
                  <w:pPr>
                    <w:pStyle w:val="137"/>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3</w:t>
                  </w:r>
                </w:p>
              </w:tc>
              <w:tc>
                <w:tcPr>
                  <w:tcW w:w="3791" w:type="dxa"/>
                  <w:noWrap w:val="0"/>
                  <w:vAlign w:val="center"/>
                </w:tcPr>
                <w:p w14:paraId="370173F6">
                  <w:pPr>
                    <w:pStyle w:val="137"/>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eastAsia="zh-CN"/>
                    </w:rPr>
                    <w:t>广州穗图项目管理有限公司</w:t>
                  </w:r>
                </w:p>
              </w:tc>
              <w:tc>
                <w:tcPr>
                  <w:tcW w:w="3627" w:type="dxa"/>
                  <w:noWrap w:val="0"/>
                  <w:vAlign w:val="center"/>
                </w:tcPr>
                <w:p w14:paraId="4B85756D">
                  <w:pPr>
                    <w:pStyle w:val="137"/>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为本招标项目的招标代理机构</w:t>
                  </w:r>
                </w:p>
              </w:tc>
            </w:tr>
            <w:tr w14:paraId="46C38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792" w:type="dxa"/>
                  <w:noWrap w:val="0"/>
                  <w:vAlign w:val="center"/>
                </w:tcPr>
                <w:p w14:paraId="4FB93B3F">
                  <w:pPr>
                    <w:pStyle w:val="137"/>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4</w:t>
                  </w:r>
                </w:p>
              </w:tc>
              <w:tc>
                <w:tcPr>
                  <w:tcW w:w="3791" w:type="dxa"/>
                  <w:noWrap w:val="0"/>
                  <w:vAlign w:val="center"/>
                </w:tcPr>
                <w:p w14:paraId="65722431">
                  <w:pPr>
                    <w:pStyle w:val="137"/>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乐昌市庆云镇人民政府</w:t>
                  </w:r>
                </w:p>
              </w:tc>
              <w:tc>
                <w:tcPr>
                  <w:tcW w:w="3627" w:type="dxa"/>
                  <w:noWrap w:val="0"/>
                  <w:vAlign w:val="center"/>
                </w:tcPr>
                <w:p w14:paraId="75AEA8AC">
                  <w:pPr>
                    <w:pStyle w:val="137"/>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为本招标项目的招标人</w:t>
                  </w:r>
                </w:p>
              </w:tc>
            </w:tr>
            <w:tr w14:paraId="70B66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792" w:type="dxa"/>
                  <w:noWrap w:val="0"/>
                  <w:vAlign w:val="center"/>
                </w:tcPr>
                <w:p w14:paraId="0888F255">
                  <w:pPr>
                    <w:pStyle w:val="137"/>
                    <w:pageBreakBefore w:val="0"/>
                    <w:kinsoku/>
                    <w:wordWrap w:val="0"/>
                    <w:overflowPunct/>
                    <w:topLinePunct w:val="0"/>
                    <w:autoSpaceDE/>
                    <w:autoSpaceDN/>
                    <w:bidi w:val="0"/>
                    <w:adjustRightInd w:val="0"/>
                    <w:snapToGrid w:val="0"/>
                    <w:spacing w:line="360" w:lineRule="auto"/>
                    <w:jc w:val="center"/>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5</w:t>
                  </w:r>
                </w:p>
              </w:tc>
              <w:tc>
                <w:tcPr>
                  <w:tcW w:w="3791" w:type="dxa"/>
                  <w:noWrap w:val="0"/>
                  <w:vAlign w:val="center"/>
                </w:tcPr>
                <w:p w14:paraId="0C92E66B">
                  <w:pPr>
                    <w:pStyle w:val="137"/>
                    <w:wordWrap w:val="0"/>
                    <w:adjustRightInd w:val="0"/>
                    <w:snapToGrid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乐昌市农业农村局(乐昌市乡村振兴局)</w:t>
                  </w:r>
                </w:p>
              </w:tc>
              <w:tc>
                <w:tcPr>
                  <w:tcW w:w="3627" w:type="dxa"/>
                  <w:noWrap w:val="0"/>
                  <w:vAlign w:val="center"/>
                </w:tcPr>
                <w:p w14:paraId="79E0A10E">
                  <w:pPr>
                    <w:pStyle w:val="137"/>
                    <w:wordWrap w:val="0"/>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为本招标项目的</w:t>
                  </w:r>
                  <w:r>
                    <w:rPr>
                      <w:rFonts w:hint="eastAsia" w:ascii="宋体" w:hAnsi="宋体" w:eastAsia="宋体" w:cs="宋体"/>
                      <w:snapToGrid w:val="0"/>
                      <w:color w:val="auto"/>
                      <w:kern w:val="0"/>
                      <w:sz w:val="24"/>
                      <w:szCs w:val="24"/>
                      <w:highlight w:val="none"/>
                      <w:lang w:val="en-US" w:eastAsia="zh-CN"/>
                    </w:rPr>
                    <w:t>监督单位</w:t>
                  </w:r>
                </w:p>
              </w:tc>
            </w:tr>
            <w:tr w14:paraId="15BD9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792" w:type="dxa"/>
                  <w:noWrap w:val="0"/>
                  <w:vAlign w:val="center"/>
                </w:tcPr>
                <w:p w14:paraId="2A9F32D1">
                  <w:pPr>
                    <w:pStyle w:val="137"/>
                    <w:pageBreakBefore w:val="0"/>
                    <w:kinsoku/>
                    <w:wordWrap w:val="0"/>
                    <w:overflowPunct/>
                    <w:topLinePunct w:val="0"/>
                    <w:autoSpaceDE/>
                    <w:autoSpaceDN/>
                    <w:bidi w:val="0"/>
                    <w:adjustRightInd w:val="0"/>
                    <w:snapToGrid w:val="0"/>
                    <w:spacing w:line="360" w:lineRule="auto"/>
                    <w:jc w:val="center"/>
                    <w:textAlignment w:val="auto"/>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6</w:t>
                  </w:r>
                </w:p>
              </w:tc>
              <w:tc>
                <w:tcPr>
                  <w:tcW w:w="3791" w:type="dxa"/>
                  <w:noWrap w:val="0"/>
                  <w:vAlign w:val="center"/>
                </w:tcPr>
                <w:p w14:paraId="3A0F59F1">
                  <w:pPr>
                    <w:pStyle w:val="137"/>
                    <w:wordWrap w:val="0"/>
                    <w:adjustRightInd w:val="0"/>
                    <w:snapToGrid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世纪工程项目管理有限公司</w:t>
                  </w:r>
                </w:p>
              </w:tc>
              <w:tc>
                <w:tcPr>
                  <w:tcW w:w="3627" w:type="dxa"/>
                  <w:noWrap w:val="0"/>
                  <w:vAlign w:val="center"/>
                </w:tcPr>
                <w:p w14:paraId="57C269EF">
                  <w:pPr>
                    <w:pStyle w:val="137"/>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为本招标项目的</w:t>
                  </w:r>
                  <w:r>
                    <w:rPr>
                      <w:rFonts w:hint="eastAsia" w:ascii="宋体" w:hAnsi="宋体" w:cs="宋体"/>
                      <w:snapToGrid w:val="0"/>
                      <w:color w:val="auto"/>
                      <w:kern w:val="0"/>
                      <w:sz w:val="24"/>
                      <w:szCs w:val="24"/>
                      <w:highlight w:val="none"/>
                      <w:lang w:val="en-US" w:eastAsia="zh-CN"/>
                    </w:rPr>
                    <w:t>可研编制</w:t>
                  </w:r>
                  <w:r>
                    <w:rPr>
                      <w:rFonts w:hint="eastAsia" w:ascii="宋体" w:hAnsi="宋体" w:eastAsia="宋体" w:cs="宋体"/>
                      <w:snapToGrid w:val="0"/>
                      <w:color w:val="auto"/>
                      <w:kern w:val="0"/>
                      <w:sz w:val="24"/>
                      <w:szCs w:val="24"/>
                      <w:highlight w:val="none"/>
                      <w:lang w:val="en-US" w:eastAsia="zh-CN"/>
                    </w:rPr>
                    <w:t>单位</w:t>
                  </w:r>
                </w:p>
              </w:tc>
            </w:tr>
            <w:tr w14:paraId="67785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792" w:type="dxa"/>
                  <w:noWrap w:val="0"/>
                  <w:vAlign w:val="center"/>
                </w:tcPr>
                <w:p w14:paraId="678A548F">
                  <w:pPr>
                    <w:pStyle w:val="137"/>
                    <w:pageBreakBefore w:val="0"/>
                    <w:kinsoku/>
                    <w:wordWrap w:val="0"/>
                    <w:overflowPunct/>
                    <w:topLinePunct w:val="0"/>
                    <w:autoSpaceDE/>
                    <w:autoSpaceDN/>
                    <w:bidi w:val="0"/>
                    <w:adjustRightInd w:val="0"/>
                    <w:snapToGrid w:val="0"/>
                    <w:spacing w:line="360" w:lineRule="auto"/>
                    <w:jc w:val="center"/>
                    <w:textAlignment w:val="auto"/>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7</w:t>
                  </w:r>
                </w:p>
              </w:tc>
              <w:tc>
                <w:tcPr>
                  <w:tcW w:w="3791" w:type="dxa"/>
                  <w:noWrap w:val="0"/>
                  <w:vAlign w:val="center"/>
                </w:tcPr>
                <w:p w14:paraId="1F93A15A">
                  <w:pPr>
                    <w:pStyle w:val="137"/>
                    <w:wordWrap w:val="0"/>
                    <w:adjustRightInd w:val="0"/>
                    <w:snapToGrid w:val="0"/>
                    <w:spacing w:line="360" w:lineRule="auto"/>
                    <w:jc w:val="center"/>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韶关市腾宇测绘技术有限公司</w:t>
                  </w:r>
                </w:p>
              </w:tc>
              <w:tc>
                <w:tcPr>
                  <w:tcW w:w="3627" w:type="dxa"/>
                  <w:noWrap w:val="0"/>
                  <w:vAlign w:val="center"/>
                </w:tcPr>
                <w:p w14:paraId="444D6666">
                  <w:pPr>
                    <w:pStyle w:val="137"/>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为本招标项目的测绘</w:t>
                  </w:r>
                  <w:r>
                    <w:rPr>
                      <w:rFonts w:hint="eastAsia" w:ascii="宋体" w:hAnsi="宋体" w:cs="宋体"/>
                      <w:snapToGrid w:val="0"/>
                      <w:color w:val="auto"/>
                      <w:kern w:val="0"/>
                      <w:sz w:val="24"/>
                      <w:szCs w:val="24"/>
                      <w:highlight w:val="none"/>
                      <w:lang w:val="en-US" w:eastAsia="zh-CN"/>
                    </w:rPr>
                    <w:t>单位</w:t>
                  </w:r>
                </w:p>
              </w:tc>
            </w:tr>
            <w:tr w14:paraId="73859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792" w:type="dxa"/>
                  <w:noWrap w:val="0"/>
                  <w:vAlign w:val="center"/>
                </w:tcPr>
                <w:p w14:paraId="2618647F">
                  <w:pPr>
                    <w:pStyle w:val="137"/>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8</w:t>
                  </w:r>
                </w:p>
              </w:tc>
              <w:tc>
                <w:tcPr>
                  <w:tcW w:w="3791" w:type="dxa"/>
                  <w:noWrap w:val="0"/>
                  <w:vAlign w:val="center"/>
                </w:tcPr>
                <w:p w14:paraId="5228CE50">
                  <w:pPr>
                    <w:pStyle w:val="137"/>
                    <w:wordWrap w:val="0"/>
                    <w:adjustRightInd w:val="0"/>
                    <w:snapToGrid w:val="0"/>
                    <w:spacing w:line="360" w:lineRule="auto"/>
                    <w:jc w:val="center"/>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广东合正项目管理有限公司</w:t>
                  </w:r>
                </w:p>
              </w:tc>
              <w:tc>
                <w:tcPr>
                  <w:tcW w:w="3627" w:type="dxa"/>
                  <w:noWrap w:val="0"/>
                  <w:vAlign w:val="center"/>
                </w:tcPr>
                <w:p w14:paraId="1F6C4760">
                  <w:pPr>
                    <w:pStyle w:val="137"/>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为本招标项目的</w:t>
                  </w:r>
                  <w:r>
                    <w:rPr>
                      <w:rFonts w:hint="eastAsia" w:ascii="宋体" w:hAnsi="宋体" w:cs="宋体"/>
                      <w:snapToGrid w:val="0"/>
                      <w:color w:val="auto"/>
                      <w:kern w:val="0"/>
                      <w:sz w:val="24"/>
                      <w:szCs w:val="24"/>
                      <w:highlight w:val="none"/>
                      <w:lang w:val="en-US" w:eastAsia="zh-CN"/>
                    </w:rPr>
                    <w:t>监理单位</w:t>
                  </w:r>
                </w:p>
              </w:tc>
            </w:tr>
          </w:tbl>
          <w:p w14:paraId="538A8C34">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5．其他要求</w:t>
            </w:r>
          </w:p>
          <w:p w14:paraId="56AE9B8E">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省外企业及其拟派往本项目管理机构的所有人员均须按照《广东省住房和城乡建设厅关于取消省外建筑企业和人员进粤信息备案有关工作的通知》（粤建市﹝2015﹞52号）规定在“进粤企业和人员诚信信息登记平台”录入相关信息并通过数据规范检查。</w:t>
            </w:r>
          </w:p>
        </w:tc>
      </w:tr>
      <w:tr w14:paraId="784A48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2A19BAA2">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22</w:t>
            </w:r>
          </w:p>
        </w:tc>
        <w:tc>
          <w:tcPr>
            <w:tcW w:w="1672" w:type="dxa"/>
            <w:tcBorders>
              <w:top w:val="single" w:color="auto" w:sz="4" w:space="0"/>
              <w:left w:val="single" w:color="auto" w:sz="4" w:space="0"/>
              <w:bottom w:val="single" w:color="auto" w:sz="4" w:space="0"/>
              <w:right w:val="single" w:color="auto" w:sz="4" w:space="0"/>
            </w:tcBorders>
            <w:noWrap w:val="0"/>
            <w:vAlign w:val="center"/>
          </w:tcPr>
          <w:p w14:paraId="692D62B9">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投标保证</w:t>
            </w:r>
          </w:p>
        </w:tc>
        <w:tc>
          <w:tcPr>
            <w:tcW w:w="8261" w:type="dxa"/>
            <w:tcBorders>
              <w:top w:val="single" w:color="auto" w:sz="4" w:space="0"/>
              <w:left w:val="single" w:color="auto" w:sz="4" w:space="0"/>
              <w:bottom w:val="single" w:color="auto" w:sz="4" w:space="0"/>
              <w:right w:val="single" w:color="auto" w:sz="4" w:space="0"/>
            </w:tcBorders>
            <w:noWrap w:val="0"/>
            <w:vAlign w:val="center"/>
          </w:tcPr>
          <w:p w14:paraId="0A7A7B42">
            <w:pPr>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1．投标人须缴纳金额为人民币</w:t>
            </w:r>
            <w:r>
              <w:rPr>
                <w:rFonts w:hint="eastAsia" w:hAnsi="宋体" w:cs="宋体"/>
                <w:b/>
                <w:bCs/>
                <w:snapToGrid w:val="0"/>
                <w:color w:val="auto"/>
                <w:kern w:val="0"/>
                <w:sz w:val="24"/>
                <w:szCs w:val="24"/>
                <w:highlight w:val="none"/>
                <w:u w:val="single"/>
                <w:lang w:val="en-US" w:eastAsia="zh-CN"/>
              </w:rPr>
              <w:t>40</w:t>
            </w:r>
            <w:r>
              <w:rPr>
                <w:rFonts w:hint="eastAsia" w:ascii="宋体" w:hAnsi="宋体" w:eastAsia="宋体" w:cs="宋体"/>
                <w:b/>
                <w:bCs/>
                <w:snapToGrid w:val="0"/>
                <w:color w:val="auto"/>
                <w:kern w:val="0"/>
                <w:sz w:val="24"/>
                <w:szCs w:val="24"/>
                <w:highlight w:val="none"/>
                <w:u w:val="single"/>
                <w:lang w:val="en-US" w:eastAsia="zh-CN"/>
              </w:rPr>
              <w:t>万元</w:t>
            </w:r>
            <w:r>
              <w:rPr>
                <w:rFonts w:hint="eastAsia" w:ascii="宋体" w:hAnsi="宋体" w:eastAsia="宋体" w:cs="宋体"/>
                <w:snapToGrid w:val="0"/>
                <w:color w:val="auto"/>
                <w:kern w:val="0"/>
                <w:sz w:val="24"/>
                <w:szCs w:val="24"/>
                <w:highlight w:val="none"/>
              </w:rPr>
              <w:t xml:space="preserve">的投标保证。 </w:t>
            </w:r>
          </w:p>
          <w:p w14:paraId="26F672E2">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2．投标保证的形式包括投标保证金、投标保证担保、投标保证保险三种，由投标人自主选择。</w:t>
            </w:r>
          </w:p>
          <w:p w14:paraId="26C2B298">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采用投标保证金的，投标人在建设工程交易系统获取招标文件完毕后，即可在系统申请缴纳投标保证金，获取本次招标投标保证金缴纳账号。投标人必须于投标保证金到账截止时间（见本章第二节“重要事项时间地点一览表”）前，从其基本账户将投标保证金转账到指定的缴纳账号。逾期到账的、从非投标人基本账户转出的，其投标无效。</w:t>
            </w:r>
          </w:p>
          <w:p w14:paraId="6EB1F79E">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采用投标保证担保的，投标人应提交有效的电子保函或保证保险，电子保函或保证保险的有效期不得短于投标有效期。投标人必须在投标保证担保截止时间（见本章第二节“重要事项时间地点一览表”）前，使用工程建设交易系统完成网上办理电子保函或保证保险。</w:t>
            </w:r>
          </w:p>
          <w:p w14:paraId="60B0260E">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3）采用投标保证保险的，投标人须在投标保证保险投保截止时间（见本章第二节“重要事项时间地点一览表”）前，使用建设工程交易系统完成网上投保。投标人可在系统选择保险机构、录入投保信息、支付保费、打印电子保单，电子保单的有效期不得短于投标有效期。投标人可登录全国公共资源交易平台（广东省·韶关市）（https://ygp.gdzwfw.gov.cn/ggzy-portal/#/440200/index），</w:t>
            </w:r>
            <w:r>
              <w:rPr>
                <w:rFonts w:hint="eastAsia" w:ascii="宋体" w:hAnsi="宋体" w:eastAsia="宋体" w:cs="宋体"/>
                <w:snapToGrid w:val="0"/>
                <w:color w:val="auto"/>
                <w:kern w:val="0"/>
                <w:sz w:val="24"/>
                <w:szCs w:val="24"/>
                <w:highlight w:val="none"/>
                <w:lang w:eastAsia="zh-CN"/>
              </w:rPr>
              <w:t>在【服务指南】栏目中下载《韶关市公共资源建设工程交易系统-投标人操作指南》，了解网上投保具体操作流程。逾期投保的，其投标无效。</w:t>
            </w:r>
          </w:p>
          <w:p w14:paraId="0F727622">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温馨提醒：投标人采用投标保证担保或投标保证保险的，为避免在评标过程中因有效期发生争议，建议投标人将银行保函或电子保单有效期设置为较招标文件规定的投标有效期延长不少于20个日历天。</w:t>
            </w:r>
          </w:p>
        </w:tc>
      </w:tr>
      <w:tr w14:paraId="2C05EA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3F50505C">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23</w:t>
            </w:r>
          </w:p>
        </w:tc>
        <w:tc>
          <w:tcPr>
            <w:tcW w:w="1672" w:type="dxa"/>
            <w:tcBorders>
              <w:top w:val="single" w:color="auto" w:sz="4" w:space="0"/>
              <w:left w:val="single" w:color="auto" w:sz="4" w:space="0"/>
              <w:bottom w:val="single" w:color="auto" w:sz="4" w:space="0"/>
              <w:right w:val="single" w:color="auto" w:sz="4" w:space="0"/>
            </w:tcBorders>
            <w:noWrap w:val="0"/>
            <w:vAlign w:val="center"/>
          </w:tcPr>
          <w:p w14:paraId="3C09B4A7">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投标有效期</w:t>
            </w:r>
          </w:p>
        </w:tc>
        <w:tc>
          <w:tcPr>
            <w:tcW w:w="8261" w:type="dxa"/>
            <w:tcBorders>
              <w:top w:val="single" w:color="auto" w:sz="4" w:space="0"/>
              <w:left w:val="single" w:color="auto" w:sz="4" w:space="0"/>
              <w:bottom w:val="single" w:color="auto" w:sz="4" w:space="0"/>
              <w:right w:val="single" w:color="auto" w:sz="4" w:space="0"/>
            </w:tcBorders>
            <w:noWrap w:val="0"/>
            <w:vAlign w:val="center"/>
          </w:tcPr>
          <w:p w14:paraId="72E485B6">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本次招标的投标有效期为</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b/>
                <w:bCs/>
                <w:snapToGrid w:val="0"/>
                <w:color w:val="auto"/>
                <w:kern w:val="0"/>
                <w:sz w:val="24"/>
                <w:szCs w:val="24"/>
                <w:highlight w:val="none"/>
                <w:u w:val="single"/>
                <w:lang w:val="en-US" w:eastAsia="zh-CN"/>
              </w:rPr>
              <w:t>90</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个日历天。</w:t>
            </w:r>
          </w:p>
        </w:tc>
      </w:tr>
      <w:tr w14:paraId="142763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577EA2C9">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24</w:t>
            </w:r>
          </w:p>
        </w:tc>
        <w:tc>
          <w:tcPr>
            <w:tcW w:w="1672" w:type="dxa"/>
            <w:tcBorders>
              <w:top w:val="single" w:color="auto" w:sz="4" w:space="0"/>
              <w:left w:val="single" w:color="auto" w:sz="4" w:space="0"/>
              <w:bottom w:val="single" w:color="auto" w:sz="4" w:space="0"/>
              <w:right w:val="single" w:color="auto" w:sz="4" w:space="0"/>
            </w:tcBorders>
            <w:noWrap w:val="0"/>
            <w:vAlign w:val="center"/>
          </w:tcPr>
          <w:p w14:paraId="667F7007">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投标文件</w:t>
            </w:r>
          </w:p>
          <w:p w14:paraId="06F0D81D">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组成</w:t>
            </w:r>
          </w:p>
        </w:tc>
        <w:tc>
          <w:tcPr>
            <w:tcW w:w="8261" w:type="dxa"/>
            <w:tcBorders>
              <w:top w:val="single" w:color="auto" w:sz="4" w:space="0"/>
              <w:left w:val="single" w:color="auto" w:sz="4" w:space="0"/>
              <w:bottom w:val="single" w:color="auto" w:sz="4" w:space="0"/>
              <w:right w:val="single" w:color="auto" w:sz="4" w:space="0"/>
            </w:tcBorders>
            <w:noWrap w:val="0"/>
            <w:vAlign w:val="center"/>
          </w:tcPr>
          <w:p w14:paraId="2F37758E">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投标文件包括商务标书、经济标书、施工组织设计三个分册。</w:t>
            </w:r>
          </w:p>
        </w:tc>
      </w:tr>
      <w:tr w14:paraId="43F661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488347E1">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25</w:t>
            </w:r>
          </w:p>
        </w:tc>
        <w:tc>
          <w:tcPr>
            <w:tcW w:w="1672" w:type="dxa"/>
            <w:tcBorders>
              <w:top w:val="single" w:color="auto" w:sz="4" w:space="0"/>
              <w:left w:val="single" w:color="auto" w:sz="4" w:space="0"/>
              <w:bottom w:val="single" w:color="auto" w:sz="4" w:space="0"/>
              <w:right w:val="single" w:color="auto" w:sz="4" w:space="0"/>
            </w:tcBorders>
            <w:noWrap w:val="0"/>
            <w:vAlign w:val="center"/>
          </w:tcPr>
          <w:p w14:paraId="53E016C4">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施工组织设计</w:t>
            </w:r>
          </w:p>
          <w:p w14:paraId="0A9BB150">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评审方式</w:t>
            </w:r>
          </w:p>
        </w:tc>
        <w:tc>
          <w:tcPr>
            <w:tcW w:w="8261" w:type="dxa"/>
            <w:tcBorders>
              <w:top w:val="single" w:color="auto" w:sz="4" w:space="0"/>
              <w:left w:val="single" w:color="auto" w:sz="4" w:space="0"/>
              <w:bottom w:val="single" w:color="auto" w:sz="4" w:space="0"/>
              <w:right w:val="single" w:color="auto" w:sz="4" w:space="0"/>
            </w:tcBorders>
            <w:noWrap w:val="0"/>
            <w:vAlign w:val="center"/>
          </w:tcPr>
          <w:p w14:paraId="40ECE600">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本次招标施工组织设计</w:t>
            </w:r>
            <w:r>
              <w:rPr>
                <w:rFonts w:hint="eastAsia" w:ascii="宋体" w:hAnsi="宋体" w:eastAsia="宋体" w:cs="宋体"/>
                <w:snapToGrid w:val="0"/>
                <w:color w:val="auto"/>
                <w:kern w:val="0"/>
                <w:sz w:val="24"/>
                <w:szCs w:val="24"/>
                <w:highlight w:val="none"/>
                <w:u w:val="single"/>
              </w:rPr>
              <w:t xml:space="preserve"> 不采用 </w:t>
            </w:r>
            <w:r>
              <w:rPr>
                <w:rFonts w:hint="eastAsia" w:ascii="宋体" w:hAnsi="宋体" w:eastAsia="宋体" w:cs="宋体"/>
                <w:snapToGrid w:val="0"/>
                <w:color w:val="auto"/>
                <w:kern w:val="0"/>
                <w:sz w:val="24"/>
                <w:szCs w:val="24"/>
                <w:highlight w:val="none"/>
              </w:rPr>
              <w:t>“暗标”方式进行评审。</w:t>
            </w:r>
          </w:p>
        </w:tc>
      </w:tr>
      <w:tr w14:paraId="74CCD3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6BFE7B68">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26</w:t>
            </w:r>
          </w:p>
        </w:tc>
        <w:tc>
          <w:tcPr>
            <w:tcW w:w="1672" w:type="dxa"/>
            <w:tcBorders>
              <w:top w:val="single" w:color="auto" w:sz="4" w:space="0"/>
              <w:left w:val="single" w:color="auto" w:sz="4" w:space="0"/>
              <w:bottom w:val="single" w:color="auto" w:sz="4" w:space="0"/>
              <w:right w:val="single" w:color="auto" w:sz="4" w:space="0"/>
            </w:tcBorders>
            <w:noWrap w:val="0"/>
            <w:vAlign w:val="center"/>
          </w:tcPr>
          <w:p w14:paraId="07374124">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评标委员会</w:t>
            </w:r>
          </w:p>
        </w:tc>
        <w:tc>
          <w:tcPr>
            <w:tcW w:w="8261" w:type="dxa"/>
            <w:tcBorders>
              <w:top w:val="single" w:color="auto" w:sz="4" w:space="0"/>
              <w:left w:val="single" w:color="auto" w:sz="4" w:space="0"/>
              <w:bottom w:val="single" w:color="auto" w:sz="4" w:space="0"/>
              <w:right w:val="single" w:color="auto" w:sz="4" w:space="0"/>
            </w:tcBorders>
            <w:noWrap w:val="0"/>
            <w:vAlign w:val="center"/>
          </w:tcPr>
          <w:p w14:paraId="2CFF8923">
            <w:pPr>
              <w:pageBreakBefore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评标委员会由</w:t>
            </w:r>
            <w:r>
              <w:rPr>
                <w:rFonts w:hint="eastAsia" w:ascii="宋体" w:hAnsi="宋体" w:eastAsia="宋体" w:cs="宋体"/>
                <w:snapToGrid w:val="0"/>
                <w:color w:val="auto"/>
                <w:kern w:val="0"/>
                <w:sz w:val="24"/>
                <w:szCs w:val="24"/>
                <w:highlight w:val="none"/>
                <w:u w:val="single"/>
              </w:rPr>
              <w:t xml:space="preserve"> 5 </w:t>
            </w:r>
            <w:r>
              <w:rPr>
                <w:rFonts w:hint="eastAsia" w:ascii="宋体" w:hAnsi="宋体" w:eastAsia="宋体" w:cs="宋体"/>
                <w:snapToGrid w:val="0"/>
                <w:color w:val="auto"/>
                <w:kern w:val="0"/>
                <w:sz w:val="24"/>
                <w:szCs w:val="24"/>
                <w:highlight w:val="none"/>
              </w:rPr>
              <w:t>人组成，其中招标人代表</w:t>
            </w:r>
            <w:r>
              <w:rPr>
                <w:rFonts w:hint="eastAsia" w:ascii="宋体" w:hAnsi="宋体" w:eastAsia="宋体" w:cs="宋体"/>
                <w:snapToGrid w:val="0"/>
                <w:color w:val="auto"/>
                <w:kern w:val="0"/>
                <w:sz w:val="24"/>
                <w:szCs w:val="24"/>
                <w:highlight w:val="none"/>
                <w:u w:val="single"/>
              </w:rPr>
              <w:t xml:space="preserve"> 0 </w:t>
            </w:r>
            <w:r>
              <w:rPr>
                <w:rFonts w:hint="eastAsia" w:ascii="宋体" w:hAnsi="宋体" w:eastAsia="宋体" w:cs="宋体"/>
                <w:snapToGrid w:val="0"/>
                <w:color w:val="auto"/>
                <w:kern w:val="0"/>
                <w:sz w:val="24"/>
                <w:szCs w:val="24"/>
                <w:highlight w:val="none"/>
              </w:rPr>
              <w:t>人，专家</w:t>
            </w:r>
            <w:r>
              <w:rPr>
                <w:rFonts w:hint="eastAsia" w:ascii="宋体" w:hAnsi="宋体" w:eastAsia="宋体" w:cs="宋体"/>
                <w:snapToGrid w:val="0"/>
                <w:color w:val="auto"/>
                <w:kern w:val="0"/>
                <w:sz w:val="24"/>
                <w:szCs w:val="24"/>
                <w:highlight w:val="none"/>
                <w:u w:val="single"/>
              </w:rPr>
              <w:t xml:space="preserve"> 5 </w:t>
            </w:r>
            <w:r>
              <w:rPr>
                <w:rFonts w:hint="eastAsia" w:ascii="宋体" w:hAnsi="宋体" w:eastAsia="宋体" w:cs="宋体"/>
                <w:snapToGrid w:val="0"/>
                <w:color w:val="auto"/>
                <w:kern w:val="0"/>
                <w:sz w:val="24"/>
                <w:szCs w:val="24"/>
                <w:highlight w:val="none"/>
              </w:rPr>
              <w:t>人。专家从</w:t>
            </w:r>
            <w:r>
              <w:rPr>
                <w:rFonts w:hint="eastAsia" w:ascii="宋体" w:hAnsi="宋体" w:eastAsia="宋体" w:cs="宋体"/>
                <w:snapToGrid w:val="0"/>
                <w:color w:val="auto"/>
                <w:kern w:val="0"/>
                <w:sz w:val="24"/>
                <w:szCs w:val="24"/>
                <w:highlight w:val="none"/>
                <w:u w:val="single"/>
              </w:rPr>
              <w:t>广东省综合评标评审专家库</w:t>
            </w:r>
            <w:r>
              <w:rPr>
                <w:rFonts w:hint="eastAsia" w:hAnsi="宋体" w:cs="宋体"/>
                <w:snapToGrid w:val="0"/>
                <w:color w:val="auto"/>
                <w:kern w:val="0"/>
                <w:sz w:val="24"/>
                <w:szCs w:val="24"/>
                <w:highlight w:val="none"/>
                <w:u w:val="single"/>
                <w:lang w:val="en-US" w:eastAsia="zh-CN"/>
              </w:rPr>
              <w:t>-韶关区域</w:t>
            </w:r>
            <w:r>
              <w:rPr>
                <w:rFonts w:hint="eastAsia" w:ascii="宋体" w:hAnsi="宋体" w:eastAsia="宋体" w:cs="宋体"/>
                <w:snapToGrid w:val="0"/>
                <w:color w:val="auto"/>
                <w:kern w:val="0"/>
                <w:sz w:val="24"/>
                <w:szCs w:val="24"/>
                <w:highlight w:val="none"/>
              </w:rPr>
              <w:t>中随机抽取，其中技术类专家</w:t>
            </w:r>
            <w:r>
              <w:rPr>
                <w:rFonts w:hint="eastAsia" w:ascii="宋体" w:hAnsi="宋体" w:eastAsia="宋体" w:cs="宋体"/>
                <w:snapToGrid w:val="0"/>
                <w:color w:val="auto"/>
                <w:kern w:val="0"/>
                <w:sz w:val="24"/>
                <w:szCs w:val="24"/>
                <w:highlight w:val="none"/>
                <w:u w:val="single"/>
              </w:rPr>
              <w:t xml:space="preserve"> 3 </w:t>
            </w:r>
            <w:r>
              <w:rPr>
                <w:rFonts w:hint="eastAsia" w:ascii="宋体" w:hAnsi="宋体" w:eastAsia="宋体" w:cs="宋体"/>
                <w:snapToGrid w:val="0"/>
                <w:color w:val="auto"/>
                <w:kern w:val="0"/>
                <w:sz w:val="24"/>
                <w:szCs w:val="24"/>
                <w:highlight w:val="none"/>
              </w:rPr>
              <w:t>人，经济类专家</w:t>
            </w:r>
            <w:r>
              <w:rPr>
                <w:rFonts w:hint="eastAsia" w:ascii="宋体" w:hAnsi="宋体" w:eastAsia="宋体" w:cs="宋体"/>
                <w:snapToGrid w:val="0"/>
                <w:color w:val="auto"/>
                <w:kern w:val="0"/>
                <w:sz w:val="24"/>
                <w:szCs w:val="24"/>
                <w:highlight w:val="none"/>
                <w:u w:val="single"/>
              </w:rPr>
              <w:t xml:space="preserve"> 2 </w:t>
            </w:r>
            <w:r>
              <w:rPr>
                <w:rFonts w:hint="eastAsia" w:ascii="宋体" w:hAnsi="宋体" w:eastAsia="宋体" w:cs="宋体"/>
                <w:snapToGrid w:val="0"/>
                <w:color w:val="auto"/>
                <w:kern w:val="0"/>
                <w:sz w:val="24"/>
                <w:szCs w:val="24"/>
                <w:highlight w:val="none"/>
              </w:rPr>
              <w:t>人。</w:t>
            </w:r>
          </w:p>
        </w:tc>
      </w:tr>
      <w:tr w14:paraId="2A7062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50930280">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27</w:t>
            </w:r>
          </w:p>
        </w:tc>
        <w:tc>
          <w:tcPr>
            <w:tcW w:w="1672" w:type="dxa"/>
            <w:tcBorders>
              <w:top w:val="single" w:color="auto" w:sz="4" w:space="0"/>
              <w:left w:val="single" w:color="auto" w:sz="4" w:space="0"/>
              <w:bottom w:val="single" w:color="auto" w:sz="4" w:space="0"/>
              <w:right w:val="single" w:color="auto" w:sz="4" w:space="0"/>
            </w:tcBorders>
            <w:noWrap w:val="0"/>
            <w:vAlign w:val="center"/>
          </w:tcPr>
          <w:p w14:paraId="7558F162">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评标方法</w:t>
            </w:r>
          </w:p>
        </w:tc>
        <w:tc>
          <w:tcPr>
            <w:tcW w:w="8261" w:type="dxa"/>
            <w:tcBorders>
              <w:top w:val="single" w:color="auto" w:sz="4" w:space="0"/>
              <w:left w:val="single" w:color="auto" w:sz="4" w:space="0"/>
              <w:bottom w:val="single" w:color="auto" w:sz="4" w:space="0"/>
              <w:right w:val="single" w:color="auto" w:sz="4" w:space="0"/>
            </w:tcBorders>
            <w:noWrap w:val="0"/>
            <w:vAlign w:val="center"/>
          </w:tcPr>
          <w:p w14:paraId="0570777E">
            <w:pPr>
              <w:pageBreakBefore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综合评估法</w:t>
            </w:r>
          </w:p>
        </w:tc>
      </w:tr>
      <w:tr w14:paraId="6B285C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12654BE0">
            <w:pPr>
              <w:pageBreakBefore w:val="0"/>
              <w:kinsoku/>
              <w:wordWrap w:val="0"/>
              <w:overflowPunct/>
              <w:topLinePunct w:val="0"/>
              <w:autoSpaceDE/>
              <w:autoSpaceDN/>
              <w:bidi w:val="0"/>
              <w:adjustRightInd w:val="0"/>
              <w:snapToGrid w:val="0"/>
              <w:spacing w:line="360" w:lineRule="auto"/>
              <w:jc w:val="center"/>
              <w:textAlignment w:val="auto"/>
              <w:rPr>
                <w:rFonts w:hint="default" w:ascii="宋体" w:hAnsi="宋体" w:eastAsia="宋体" w:cs="宋体"/>
                <w:snapToGrid w:val="0"/>
                <w:color w:val="auto"/>
                <w:kern w:val="0"/>
                <w:sz w:val="24"/>
                <w:szCs w:val="24"/>
                <w:highlight w:val="none"/>
                <w:lang w:val="en-US" w:eastAsia="zh-CN"/>
              </w:rPr>
            </w:pPr>
            <w:r>
              <w:rPr>
                <w:rFonts w:hint="eastAsia" w:hAnsi="宋体" w:cs="宋体"/>
                <w:snapToGrid w:val="0"/>
                <w:color w:val="auto"/>
                <w:kern w:val="0"/>
                <w:sz w:val="24"/>
                <w:szCs w:val="24"/>
                <w:highlight w:val="none"/>
                <w:lang w:val="en-US" w:eastAsia="zh-CN"/>
              </w:rPr>
              <w:t>28</w:t>
            </w:r>
          </w:p>
        </w:tc>
        <w:tc>
          <w:tcPr>
            <w:tcW w:w="1672" w:type="dxa"/>
            <w:tcBorders>
              <w:top w:val="single" w:color="auto" w:sz="4" w:space="0"/>
              <w:left w:val="single" w:color="auto" w:sz="4" w:space="0"/>
              <w:bottom w:val="single" w:color="auto" w:sz="4" w:space="0"/>
              <w:right w:val="single" w:color="auto" w:sz="4" w:space="0"/>
            </w:tcBorders>
            <w:noWrap w:val="0"/>
            <w:vAlign w:val="center"/>
          </w:tcPr>
          <w:p w14:paraId="4B1B277A">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招标人</w:t>
            </w:r>
          </w:p>
          <w:p w14:paraId="30910530">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联系方式</w:t>
            </w:r>
          </w:p>
        </w:tc>
        <w:tc>
          <w:tcPr>
            <w:tcW w:w="8261" w:type="dxa"/>
            <w:tcBorders>
              <w:top w:val="single" w:color="auto" w:sz="4" w:space="0"/>
              <w:left w:val="single" w:color="auto" w:sz="4" w:space="0"/>
              <w:bottom w:val="single" w:color="auto" w:sz="4" w:space="0"/>
              <w:right w:val="single" w:color="auto" w:sz="4" w:space="0"/>
            </w:tcBorders>
            <w:noWrap w:val="0"/>
            <w:vAlign w:val="center"/>
          </w:tcPr>
          <w:p w14:paraId="409F7E50">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单位名称：</w:t>
            </w:r>
            <w:r>
              <w:rPr>
                <w:rFonts w:hint="eastAsia" w:hAnsi="宋体" w:cs="宋体"/>
                <w:snapToGrid w:val="0"/>
                <w:color w:val="auto"/>
                <w:kern w:val="0"/>
                <w:sz w:val="24"/>
                <w:szCs w:val="24"/>
                <w:highlight w:val="none"/>
                <w:lang w:eastAsia="zh-CN"/>
              </w:rPr>
              <w:t>乐昌市庆云镇人民政府</w:t>
            </w:r>
          </w:p>
          <w:p w14:paraId="3BFFA57B">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办公地址：</w:t>
            </w:r>
            <w:r>
              <w:rPr>
                <w:rFonts w:hint="eastAsia" w:hAnsi="宋体" w:cs="宋体"/>
                <w:snapToGrid w:val="0"/>
                <w:color w:val="auto"/>
                <w:kern w:val="0"/>
                <w:sz w:val="24"/>
                <w:szCs w:val="24"/>
                <w:highlight w:val="none"/>
                <w:lang w:val="en-US" w:eastAsia="zh-CN"/>
              </w:rPr>
              <w:t>韶关市</w:t>
            </w:r>
            <w:r>
              <w:rPr>
                <w:rFonts w:hint="eastAsia" w:hAnsi="宋体" w:cs="宋体"/>
                <w:snapToGrid w:val="0"/>
                <w:color w:val="auto"/>
                <w:kern w:val="0"/>
                <w:sz w:val="24"/>
                <w:szCs w:val="24"/>
                <w:highlight w:val="none"/>
                <w:lang w:eastAsia="zh-CN"/>
              </w:rPr>
              <w:t>乐昌市庆云镇人民政府</w:t>
            </w:r>
          </w:p>
          <w:p w14:paraId="5487D853">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default"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rPr>
              <w:t>联系人（部门）：</w:t>
            </w:r>
            <w:r>
              <w:rPr>
                <w:rFonts w:hint="eastAsia" w:hAnsi="宋体" w:cs="宋体"/>
                <w:snapToGrid w:val="0"/>
                <w:color w:val="auto"/>
                <w:kern w:val="0"/>
                <w:sz w:val="24"/>
                <w:szCs w:val="24"/>
                <w:highlight w:val="none"/>
                <w:lang w:val="en-US" w:eastAsia="zh-CN"/>
              </w:rPr>
              <w:t>张工</w:t>
            </w:r>
          </w:p>
          <w:p w14:paraId="5C15E1BE">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联系电话：</w:t>
            </w:r>
            <w:r>
              <w:rPr>
                <w:rFonts w:hint="eastAsia" w:hAnsi="宋体" w:cs="宋体"/>
                <w:snapToGrid w:val="0"/>
                <w:color w:val="auto"/>
                <w:kern w:val="0"/>
                <w:sz w:val="24"/>
                <w:szCs w:val="24"/>
                <w:highlight w:val="none"/>
                <w:lang w:val="en-US" w:eastAsia="zh-CN"/>
              </w:rPr>
              <w:t>0751-</w:t>
            </w:r>
            <w:r>
              <w:rPr>
                <w:rFonts w:hint="eastAsia" w:ascii="宋体" w:hAnsi="宋体" w:eastAsia="宋体" w:cs="宋体"/>
                <w:snapToGrid w:val="0"/>
                <w:color w:val="auto"/>
                <w:kern w:val="0"/>
                <w:sz w:val="24"/>
                <w:szCs w:val="24"/>
                <w:highlight w:val="none"/>
              </w:rPr>
              <w:t>5700168</w:t>
            </w:r>
          </w:p>
        </w:tc>
      </w:tr>
      <w:tr w14:paraId="48514A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4EC472E4">
            <w:pPr>
              <w:pageBreakBefore w:val="0"/>
              <w:kinsoku/>
              <w:wordWrap w:val="0"/>
              <w:overflowPunct/>
              <w:topLinePunct w:val="0"/>
              <w:autoSpaceDE/>
              <w:autoSpaceDN/>
              <w:bidi w:val="0"/>
              <w:adjustRightInd w:val="0"/>
              <w:snapToGrid w:val="0"/>
              <w:spacing w:line="360" w:lineRule="auto"/>
              <w:jc w:val="center"/>
              <w:textAlignment w:val="auto"/>
              <w:rPr>
                <w:rFonts w:hint="default" w:ascii="宋体" w:hAnsi="宋体" w:eastAsia="宋体" w:cs="宋体"/>
                <w:snapToGrid w:val="0"/>
                <w:color w:val="auto"/>
                <w:kern w:val="0"/>
                <w:sz w:val="24"/>
                <w:szCs w:val="24"/>
                <w:highlight w:val="none"/>
                <w:lang w:val="en-US" w:eastAsia="zh-CN"/>
              </w:rPr>
            </w:pPr>
            <w:r>
              <w:rPr>
                <w:rFonts w:hint="eastAsia" w:hAnsi="宋体" w:cs="宋体"/>
                <w:snapToGrid w:val="0"/>
                <w:color w:val="auto"/>
                <w:kern w:val="0"/>
                <w:sz w:val="24"/>
                <w:szCs w:val="24"/>
                <w:highlight w:val="none"/>
                <w:lang w:val="en-US" w:eastAsia="zh-CN"/>
              </w:rPr>
              <w:t>29</w:t>
            </w:r>
          </w:p>
        </w:tc>
        <w:tc>
          <w:tcPr>
            <w:tcW w:w="1672" w:type="dxa"/>
            <w:tcBorders>
              <w:top w:val="single" w:color="auto" w:sz="4" w:space="0"/>
              <w:left w:val="single" w:color="auto" w:sz="4" w:space="0"/>
              <w:bottom w:val="single" w:color="auto" w:sz="4" w:space="0"/>
              <w:right w:val="single" w:color="auto" w:sz="4" w:space="0"/>
            </w:tcBorders>
            <w:noWrap w:val="0"/>
            <w:vAlign w:val="center"/>
          </w:tcPr>
          <w:p w14:paraId="048657C0">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招标代理机构</w:t>
            </w:r>
          </w:p>
          <w:p w14:paraId="6A9BD538">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联系方式</w:t>
            </w:r>
          </w:p>
        </w:tc>
        <w:tc>
          <w:tcPr>
            <w:tcW w:w="8261" w:type="dxa"/>
            <w:tcBorders>
              <w:top w:val="single" w:color="auto" w:sz="4" w:space="0"/>
              <w:left w:val="single" w:color="auto" w:sz="4" w:space="0"/>
              <w:bottom w:val="single" w:color="auto" w:sz="4" w:space="0"/>
              <w:right w:val="single" w:color="auto" w:sz="4" w:space="0"/>
            </w:tcBorders>
            <w:noWrap w:val="0"/>
            <w:vAlign w:val="center"/>
          </w:tcPr>
          <w:p w14:paraId="39AA795E">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单位名称：</w:t>
            </w:r>
            <w:r>
              <w:rPr>
                <w:rFonts w:hint="eastAsia" w:hAnsi="宋体" w:cs="宋体"/>
                <w:snapToGrid w:val="0"/>
                <w:color w:val="auto"/>
                <w:kern w:val="0"/>
                <w:sz w:val="24"/>
                <w:szCs w:val="24"/>
                <w:highlight w:val="none"/>
                <w:lang w:eastAsia="zh-CN"/>
              </w:rPr>
              <w:t>广州穗图项目管理有限公司</w:t>
            </w:r>
          </w:p>
          <w:p w14:paraId="1DD7830E">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办公地址：韶关市武江区西联镇老阳山323线旁新五洲国际汽配用品商贸城A1幢404、405号房(五洲创客中心4楼）</w:t>
            </w:r>
          </w:p>
          <w:p w14:paraId="2CA81316">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联系人（</w:t>
            </w:r>
            <w:r>
              <w:rPr>
                <w:rFonts w:hint="eastAsia" w:ascii="宋体" w:hAnsi="宋体" w:eastAsia="宋体" w:cs="宋体"/>
                <w:snapToGrid w:val="0"/>
                <w:color w:val="auto"/>
                <w:kern w:val="0"/>
                <w:sz w:val="24"/>
                <w:szCs w:val="24"/>
                <w:highlight w:val="none"/>
                <w:lang w:eastAsia="zh-CN"/>
              </w:rPr>
              <w:t>部门）：</w:t>
            </w:r>
            <w:r>
              <w:rPr>
                <w:rFonts w:hint="eastAsia" w:hAnsi="宋体" w:cs="宋体"/>
                <w:snapToGrid w:val="0"/>
                <w:color w:val="auto"/>
                <w:kern w:val="0"/>
                <w:sz w:val="24"/>
                <w:szCs w:val="24"/>
                <w:highlight w:val="none"/>
                <w:lang w:val="en-US" w:eastAsia="zh-CN"/>
              </w:rPr>
              <w:t>毛工</w:t>
            </w:r>
          </w:p>
          <w:p w14:paraId="1C3C899A">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default" w:ascii="宋体" w:hAnsi="宋体" w:eastAsia="宋体" w:cs="宋体"/>
                <w:snapToGrid w:val="0"/>
                <w:color w:val="auto"/>
                <w:kern w:val="0"/>
                <w:sz w:val="24"/>
                <w:szCs w:val="24"/>
                <w:highlight w:val="none"/>
                <w:lang w:val="en-US"/>
              </w:rPr>
            </w:pPr>
            <w:r>
              <w:rPr>
                <w:rFonts w:hint="eastAsia" w:ascii="宋体" w:hAnsi="宋体" w:eastAsia="宋体" w:cs="宋体"/>
                <w:snapToGrid w:val="0"/>
                <w:color w:val="auto"/>
                <w:kern w:val="0"/>
                <w:sz w:val="24"/>
                <w:szCs w:val="24"/>
                <w:highlight w:val="none"/>
              </w:rPr>
              <w:t>联系电</w:t>
            </w:r>
            <w:r>
              <w:rPr>
                <w:rFonts w:hint="eastAsia" w:ascii="宋体" w:hAnsi="宋体" w:eastAsia="宋体" w:cs="宋体"/>
                <w:snapToGrid w:val="0"/>
                <w:color w:val="auto"/>
                <w:kern w:val="0"/>
                <w:sz w:val="24"/>
                <w:szCs w:val="24"/>
                <w:highlight w:val="none"/>
                <w:lang w:eastAsia="zh-CN"/>
              </w:rPr>
              <w:t>话：</w:t>
            </w:r>
            <w:r>
              <w:rPr>
                <w:rFonts w:hint="eastAsia" w:hAnsi="宋体" w:cs="宋体"/>
                <w:snapToGrid w:val="0"/>
                <w:color w:val="auto"/>
                <w:kern w:val="0"/>
                <w:sz w:val="24"/>
                <w:szCs w:val="24"/>
                <w:highlight w:val="none"/>
                <w:lang w:val="en-US" w:eastAsia="zh-CN"/>
              </w:rPr>
              <w:t>18927850072</w:t>
            </w:r>
          </w:p>
        </w:tc>
      </w:tr>
      <w:tr w14:paraId="30B03E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6D4C4B73">
            <w:pPr>
              <w:pageBreakBefore w:val="0"/>
              <w:kinsoku/>
              <w:wordWrap w:val="0"/>
              <w:overflowPunct/>
              <w:topLinePunct w:val="0"/>
              <w:autoSpaceDE/>
              <w:autoSpaceDN/>
              <w:bidi w:val="0"/>
              <w:adjustRightInd w:val="0"/>
              <w:snapToGrid w:val="0"/>
              <w:spacing w:line="360" w:lineRule="auto"/>
              <w:jc w:val="center"/>
              <w:textAlignment w:val="auto"/>
              <w:rPr>
                <w:rFonts w:hint="default" w:ascii="宋体" w:hAnsi="宋体" w:eastAsia="宋体" w:cs="宋体"/>
                <w:snapToGrid w:val="0"/>
                <w:color w:val="auto"/>
                <w:kern w:val="0"/>
                <w:sz w:val="24"/>
                <w:szCs w:val="24"/>
                <w:highlight w:val="none"/>
                <w:lang w:val="en-US" w:eastAsia="zh-CN"/>
              </w:rPr>
            </w:pPr>
            <w:r>
              <w:rPr>
                <w:rFonts w:hint="eastAsia" w:hAnsi="宋体" w:cs="宋体"/>
                <w:snapToGrid w:val="0"/>
                <w:color w:val="auto"/>
                <w:kern w:val="0"/>
                <w:sz w:val="24"/>
                <w:szCs w:val="24"/>
                <w:highlight w:val="none"/>
                <w:lang w:val="en-US" w:eastAsia="zh-CN"/>
              </w:rPr>
              <w:t>30</w:t>
            </w:r>
          </w:p>
        </w:tc>
        <w:tc>
          <w:tcPr>
            <w:tcW w:w="1672" w:type="dxa"/>
            <w:tcBorders>
              <w:top w:val="single" w:color="auto" w:sz="4" w:space="0"/>
              <w:left w:val="single" w:color="auto" w:sz="4" w:space="0"/>
              <w:bottom w:val="single" w:color="auto" w:sz="4" w:space="0"/>
              <w:right w:val="single" w:color="auto" w:sz="4" w:space="0"/>
            </w:tcBorders>
            <w:noWrap w:val="0"/>
            <w:vAlign w:val="center"/>
          </w:tcPr>
          <w:p w14:paraId="4CBBDC81">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交易场所</w:t>
            </w:r>
          </w:p>
          <w:p w14:paraId="611DC366">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联系方式</w:t>
            </w:r>
          </w:p>
        </w:tc>
        <w:tc>
          <w:tcPr>
            <w:tcW w:w="8261" w:type="dxa"/>
            <w:tcBorders>
              <w:top w:val="single" w:color="auto" w:sz="4" w:space="0"/>
              <w:left w:val="single" w:color="auto" w:sz="4" w:space="0"/>
              <w:bottom w:val="single" w:color="auto" w:sz="4" w:space="0"/>
              <w:right w:val="single" w:color="auto" w:sz="4" w:space="0"/>
            </w:tcBorders>
            <w:noWrap w:val="0"/>
            <w:vAlign w:val="center"/>
          </w:tcPr>
          <w:p w14:paraId="2CACC71E">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单位名称：韶关市公共资源交易中心</w:t>
            </w:r>
          </w:p>
          <w:p w14:paraId="5FD9BC2D">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办公地址：乐昌市昌山北路23号韶关市公共资源交易中心乐昌分中心</w:t>
            </w:r>
          </w:p>
          <w:p w14:paraId="1DE11547">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联系人（部门）：工程交易部</w:t>
            </w:r>
          </w:p>
          <w:p w14:paraId="479D247D">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联系电话：0751-5570106</w:t>
            </w:r>
          </w:p>
        </w:tc>
      </w:tr>
      <w:bookmarkEnd w:id="12"/>
      <w:tr w14:paraId="19F1182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6AD3700C">
            <w:pPr>
              <w:pageBreakBefore w:val="0"/>
              <w:kinsoku/>
              <w:wordWrap w:val="0"/>
              <w:overflowPunct/>
              <w:topLinePunct w:val="0"/>
              <w:autoSpaceDE/>
              <w:autoSpaceDN/>
              <w:bidi w:val="0"/>
              <w:adjustRightInd w:val="0"/>
              <w:snapToGrid w:val="0"/>
              <w:spacing w:line="360" w:lineRule="auto"/>
              <w:jc w:val="center"/>
              <w:textAlignment w:val="auto"/>
              <w:rPr>
                <w:rFonts w:hint="default" w:ascii="宋体" w:hAnsi="宋体" w:eastAsia="宋体" w:cs="宋体"/>
                <w:snapToGrid w:val="0"/>
                <w:color w:val="auto"/>
                <w:kern w:val="0"/>
                <w:sz w:val="24"/>
                <w:szCs w:val="24"/>
                <w:highlight w:val="none"/>
                <w:lang w:val="en-US" w:eastAsia="zh-CN"/>
              </w:rPr>
            </w:pPr>
            <w:bookmarkStart w:id="14" w:name="_Toc122769943"/>
            <w:bookmarkStart w:id="15" w:name="_Toc122671103"/>
            <w:bookmarkStart w:id="16" w:name="_Toc122859103"/>
            <w:bookmarkStart w:id="17" w:name="_Toc5853"/>
            <w:r>
              <w:rPr>
                <w:rFonts w:hint="eastAsia" w:hAnsi="宋体" w:cs="宋体"/>
                <w:snapToGrid w:val="0"/>
                <w:color w:val="auto"/>
                <w:kern w:val="0"/>
                <w:sz w:val="24"/>
                <w:szCs w:val="24"/>
                <w:highlight w:val="none"/>
                <w:lang w:val="en-US" w:eastAsia="zh-CN"/>
              </w:rPr>
              <w:t>31</w:t>
            </w:r>
          </w:p>
        </w:tc>
        <w:tc>
          <w:tcPr>
            <w:tcW w:w="1672" w:type="dxa"/>
            <w:tcBorders>
              <w:top w:val="single" w:color="auto" w:sz="4" w:space="0"/>
              <w:left w:val="single" w:color="auto" w:sz="4" w:space="0"/>
              <w:bottom w:val="single" w:color="auto" w:sz="4" w:space="0"/>
              <w:right w:val="single" w:color="auto" w:sz="4" w:space="0"/>
            </w:tcBorders>
            <w:noWrap w:val="0"/>
            <w:vAlign w:val="center"/>
          </w:tcPr>
          <w:p w14:paraId="158360DD">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行政监督部门</w:t>
            </w:r>
          </w:p>
          <w:p w14:paraId="232A140D">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联系方式</w:t>
            </w:r>
          </w:p>
        </w:tc>
        <w:tc>
          <w:tcPr>
            <w:tcW w:w="8261" w:type="dxa"/>
            <w:tcBorders>
              <w:top w:val="single" w:color="auto" w:sz="4" w:space="0"/>
              <w:left w:val="single" w:color="auto" w:sz="4" w:space="0"/>
              <w:bottom w:val="single" w:color="auto" w:sz="4" w:space="0"/>
              <w:right w:val="single" w:color="auto" w:sz="4" w:space="0"/>
            </w:tcBorders>
            <w:noWrap w:val="0"/>
            <w:vAlign w:val="center"/>
          </w:tcPr>
          <w:p w14:paraId="6EB4152E">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单位名称：乐昌市农业农村局(乐昌市乡村振兴局)</w:t>
            </w:r>
          </w:p>
          <w:p w14:paraId="2063A265">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办公地址：韶关市乐昌市大昌路54号</w:t>
            </w:r>
          </w:p>
          <w:p w14:paraId="19EC1422">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联系人(部门)：</w:t>
            </w:r>
            <w:r>
              <w:rPr>
                <w:rFonts w:hint="eastAsia" w:ascii="宋体" w:hAnsi="宋体" w:eastAsia="宋体" w:cs="宋体"/>
                <w:color w:val="auto"/>
                <w:sz w:val="24"/>
                <w:szCs w:val="24"/>
                <w:highlight w:val="none"/>
              </w:rPr>
              <w:t>监督股</w:t>
            </w:r>
          </w:p>
          <w:p w14:paraId="27EED064">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联系电话：0751-5502889</w:t>
            </w:r>
          </w:p>
        </w:tc>
      </w:tr>
      <w:bookmarkEnd w:id="14"/>
      <w:bookmarkEnd w:id="15"/>
      <w:bookmarkEnd w:id="16"/>
      <w:bookmarkEnd w:id="17"/>
    </w:tbl>
    <w:p w14:paraId="38C9FC7C">
      <w:pPr>
        <w:pStyle w:val="3"/>
        <w:wordWrap w:val="0"/>
        <w:autoSpaceDE/>
        <w:autoSpaceDN/>
        <w:snapToGrid w:val="0"/>
        <w:spacing w:before="260" w:after="260" w:line="360" w:lineRule="exact"/>
        <w:jc w:val="both"/>
        <w:rPr>
          <w:rFonts w:hint="eastAsia" w:ascii="宋体" w:hAnsi="宋体" w:eastAsia="宋体" w:cs="宋体"/>
          <w:b/>
          <w:snapToGrid w:val="0"/>
          <w:color w:val="auto"/>
          <w:highlight w:val="none"/>
        </w:rPr>
        <w:sectPr>
          <w:footerReference r:id="rId6" w:type="default"/>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pgNumType w:start="1"/>
          <w:cols w:space="720" w:num="1"/>
          <w:docGrid w:linePitch="327" w:charSpace="0"/>
        </w:sectPr>
      </w:pPr>
    </w:p>
    <w:p w14:paraId="4B582186">
      <w:pPr>
        <w:pStyle w:val="3"/>
        <w:bidi w:val="0"/>
        <w:rPr>
          <w:rFonts w:hint="eastAsia" w:ascii="宋体" w:hAnsi="宋体" w:eastAsia="宋体" w:cs="宋体"/>
          <w:color w:val="auto"/>
          <w:highlight w:val="none"/>
        </w:rPr>
      </w:pPr>
      <w:bookmarkStart w:id="18" w:name="_Toc12786"/>
      <w:bookmarkStart w:id="19" w:name="_Toc27937"/>
      <w:bookmarkStart w:id="20" w:name="_Toc27075"/>
      <w:r>
        <w:rPr>
          <w:rFonts w:hint="eastAsia" w:ascii="宋体" w:hAnsi="宋体" w:eastAsia="宋体" w:cs="宋体"/>
          <w:color w:val="auto"/>
          <w:highlight w:val="none"/>
        </w:rPr>
        <w:t>第二节 重要事项时间地点一览表</w:t>
      </w:r>
      <w:bookmarkEnd w:id="18"/>
      <w:bookmarkEnd w:id="19"/>
      <w:bookmarkEnd w:id="20"/>
    </w:p>
    <w:tbl>
      <w:tblPr>
        <w:tblStyle w:val="31"/>
        <w:tblW w:w="99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3"/>
        <w:gridCol w:w="1576"/>
        <w:gridCol w:w="7786"/>
      </w:tblGrid>
      <w:tr w14:paraId="4078A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jc w:val="center"/>
        </w:trPr>
        <w:tc>
          <w:tcPr>
            <w:tcW w:w="573" w:type="dxa"/>
            <w:noWrap w:val="0"/>
            <w:vAlign w:val="center"/>
          </w:tcPr>
          <w:p w14:paraId="235FF4E7">
            <w:pPr>
              <w:pStyle w:val="137"/>
              <w:widowControl/>
              <w:spacing w:line="430" w:lineRule="atLeast"/>
              <w:jc w:val="center"/>
              <w:rPr>
                <w:rFonts w:hint="eastAsia" w:ascii="宋体" w:hAnsi="宋体" w:eastAsia="宋体" w:cs="宋体"/>
                <w:color w:val="auto"/>
                <w:kern w:val="0"/>
                <w:sz w:val="24"/>
                <w:szCs w:val="24"/>
                <w:highlight w:val="none"/>
              </w:rPr>
            </w:pPr>
            <w:bookmarkStart w:id="21" w:name="OLE_LINK2"/>
            <w:r>
              <w:rPr>
                <w:rFonts w:hint="eastAsia" w:ascii="宋体" w:hAnsi="宋体" w:eastAsia="宋体" w:cs="宋体"/>
                <w:color w:val="auto"/>
                <w:kern w:val="0"/>
                <w:sz w:val="24"/>
                <w:szCs w:val="24"/>
                <w:highlight w:val="none"/>
              </w:rPr>
              <w:t>1</w:t>
            </w:r>
          </w:p>
        </w:tc>
        <w:tc>
          <w:tcPr>
            <w:tcW w:w="1576" w:type="dxa"/>
            <w:noWrap w:val="0"/>
            <w:vAlign w:val="center"/>
          </w:tcPr>
          <w:p w14:paraId="7CC2106B">
            <w:pPr>
              <w:pStyle w:val="137"/>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招标公告</w:t>
            </w:r>
          </w:p>
          <w:p w14:paraId="41C5AB17">
            <w:pPr>
              <w:pStyle w:val="137"/>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发布时间</w:t>
            </w:r>
          </w:p>
        </w:tc>
        <w:tc>
          <w:tcPr>
            <w:tcW w:w="7786" w:type="dxa"/>
            <w:noWrap w:val="0"/>
            <w:vAlign w:val="center"/>
          </w:tcPr>
          <w:p w14:paraId="26DEBEC8">
            <w:pPr>
              <w:keepNext w:val="0"/>
              <w:keepLines w:val="0"/>
              <w:pageBreakBefore w:val="0"/>
              <w:kinsoku/>
              <w:wordWrap/>
              <w:overflowPunct/>
              <w:topLinePunct w:val="0"/>
              <w:autoSpaceDE/>
              <w:autoSpaceDN/>
              <w:bidi w:val="0"/>
              <w:adjustRightInd/>
              <w:snapToGrid/>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2025</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lang w:val="en-US" w:eastAsia="zh-CN"/>
              </w:rPr>
              <w:t>11</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lang w:val="en-US" w:eastAsia="zh-CN"/>
              </w:rPr>
              <w:t>05</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lang w:val="en-US" w:eastAsia="zh-CN"/>
              </w:rPr>
              <w:t>17</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lang w:val="en-US" w:eastAsia="zh-CN"/>
              </w:rPr>
              <w:t>30</w:t>
            </w:r>
            <w:r>
              <w:rPr>
                <w:rFonts w:hint="eastAsia" w:ascii="宋体" w:hAnsi="宋体" w:eastAsia="宋体" w:cs="宋体"/>
                <w:color w:val="auto"/>
                <w:kern w:val="0"/>
                <w:sz w:val="24"/>
                <w:szCs w:val="24"/>
                <w:highlight w:val="none"/>
              </w:rPr>
              <w:t>分</w:t>
            </w:r>
          </w:p>
        </w:tc>
      </w:tr>
      <w:tr w14:paraId="419AC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573" w:type="dxa"/>
            <w:noWrap w:val="0"/>
            <w:vAlign w:val="center"/>
          </w:tcPr>
          <w:p w14:paraId="2BB06A7D">
            <w:pPr>
              <w:pStyle w:val="137"/>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1576" w:type="dxa"/>
            <w:noWrap w:val="0"/>
            <w:vAlign w:val="center"/>
          </w:tcPr>
          <w:p w14:paraId="1F1756AA">
            <w:pPr>
              <w:pStyle w:val="137"/>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rPr>
              <w:t>获取招标文件截止时间</w:t>
            </w:r>
          </w:p>
        </w:tc>
        <w:tc>
          <w:tcPr>
            <w:tcW w:w="7786" w:type="dxa"/>
            <w:noWrap w:val="0"/>
            <w:vAlign w:val="center"/>
          </w:tcPr>
          <w:p w14:paraId="787B8CAC">
            <w:pPr>
              <w:pStyle w:val="137"/>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2025</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lang w:val="en-US" w:eastAsia="zh-CN"/>
              </w:rPr>
              <w:t>11</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lang w:val="en-US" w:eastAsia="zh-CN"/>
              </w:rPr>
              <w:t>26</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lang w:val="en-US" w:eastAsia="zh-CN"/>
              </w:rPr>
              <w:t>10</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lang w:val="en-US" w:eastAsia="zh-CN"/>
              </w:rPr>
              <w:t>00</w:t>
            </w:r>
            <w:r>
              <w:rPr>
                <w:rFonts w:hint="eastAsia" w:ascii="宋体" w:hAnsi="宋体" w:eastAsia="宋体" w:cs="宋体"/>
                <w:color w:val="auto"/>
                <w:kern w:val="0"/>
                <w:sz w:val="24"/>
                <w:szCs w:val="24"/>
                <w:highlight w:val="none"/>
              </w:rPr>
              <w:t>分</w:t>
            </w:r>
          </w:p>
        </w:tc>
      </w:tr>
      <w:tr w14:paraId="68CEC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573" w:type="dxa"/>
            <w:noWrap w:val="0"/>
            <w:vAlign w:val="center"/>
          </w:tcPr>
          <w:p w14:paraId="4B956692">
            <w:pPr>
              <w:pStyle w:val="137"/>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1576" w:type="dxa"/>
            <w:noWrap w:val="0"/>
            <w:vAlign w:val="center"/>
          </w:tcPr>
          <w:p w14:paraId="58ED66E1">
            <w:pPr>
              <w:pStyle w:val="137"/>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网上提问</w:t>
            </w:r>
          </w:p>
          <w:p w14:paraId="50B88E34">
            <w:pPr>
              <w:pStyle w:val="137"/>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截止时间</w:t>
            </w:r>
          </w:p>
        </w:tc>
        <w:tc>
          <w:tcPr>
            <w:tcW w:w="7786" w:type="dxa"/>
            <w:noWrap w:val="0"/>
            <w:vAlign w:val="center"/>
          </w:tcPr>
          <w:p w14:paraId="7023F229">
            <w:pPr>
              <w:pStyle w:val="137"/>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2025</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lang w:val="en-US" w:eastAsia="zh-CN"/>
              </w:rPr>
              <w:t>11</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lang w:val="en-US" w:eastAsia="zh-CN"/>
              </w:rPr>
              <w:t>16</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lang w:val="en-US" w:eastAsia="zh-CN"/>
              </w:rPr>
              <w:t xml:space="preserve">16 </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lang w:val="en-US" w:eastAsia="zh-CN"/>
              </w:rPr>
              <w:t>00</w:t>
            </w:r>
            <w:r>
              <w:rPr>
                <w:rFonts w:hint="eastAsia" w:ascii="宋体" w:hAnsi="宋体" w:eastAsia="宋体" w:cs="宋体"/>
                <w:color w:val="auto"/>
                <w:kern w:val="0"/>
                <w:sz w:val="24"/>
                <w:szCs w:val="24"/>
                <w:highlight w:val="none"/>
              </w:rPr>
              <w:t>分</w:t>
            </w:r>
          </w:p>
        </w:tc>
      </w:tr>
      <w:tr w14:paraId="6D2B7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573" w:type="dxa"/>
            <w:noWrap w:val="0"/>
            <w:vAlign w:val="center"/>
          </w:tcPr>
          <w:p w14:paraId="38760C47">
            <w:pPr>
              <w:pStyle w:val="137"/>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w:t>
            </w:r>
          </w:p>
        </w:tc>
        <w:tc>
          <w:tcPr>
            <w:tcW w:w="1576" w:type="dxa"/>
            <w:noWrap w:val="0"/>
            <w:vAlign w:val="center"/>
          </w:tcPr>
          <w:p w14:paraId="33E9F6EE">
            <w:pPr>
              <w:pStyle w:val="137"/>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网上答疑</w:t>
            </w:r>
          </w:p>
          <w:p w14:paraId="379B8CD8">
            <w:pPr>
              <w:pStyle w:val="137"/>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时间</w:t>
            </w:r>
          </w:p>
        </w:tc>
        <w:tc>
          <w:tcPr>
            <w:tcW w:w="7786" w:type="dxa"/>
            <w:noWrap w:val="0"/>
            <w:vAlign w:val="center"/>
          </w:tcPr>
          <w:p w14:paraId="0CB4BCDB">
            <w:pPr>
              <w:pStyle w:val="137"/>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2025</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lang w:val="en-US" w:eastAsia="zh-CN"/>
              </w:rPr>
              <w:t>11</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lang w:val="en-US" w:eastAsia="zh-CN"/>
              </w:rPr>
              <w:t>16</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lang w:val="en-US" w:eastAsia="zh-CN"/>
              </w:rPr>
              <w:t>16</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lang w:val="en-US" w:eastAsia="zh-CN"/>
              </w:rPr>
              <w:t>30</w:t>
            </w:r>
            <w:r>
              <w:rPr>
                <w:rFonts w:hint="eastAsia" w:ascii="宋体" w:hAnsi="宋体" w:eastAsia="宋体" w:cs="宋体"/>
                <w:color w:val="auto"/>
                <w:kern w:val="0"/>
                <w:sz w:val="24"/>
                <w:szCs w:val="24"/>
                <w:highlight w:val="none"/>
              </w:rPr>
              <w:t>分至</w:t>
            </w:r>
            <w:r>
              <w:rPr>
                <w:rFonts w:hint="eastAsia" w:ascii="宋体" w:hAnsi="宋体" w:eastAsia="宋体" w:cs="宋体"/>
                <w:color w:val="auto"/>
                <w:kern w:val="0"/>
                <w:sz w:val="24"/>
                <w:szCs w:val="24"/>
                <w:highlight w:val="none"/>
                <w:lang w:val="en-US" w:eastAsia="zh-CN"/>
              </w:rPr>
              <w:t>2025</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lang w:val="en-US" w:eastAsia="zh-CN"/>
              </w:rPr>
              <w:t>11</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lang w:val="en-US" w:eastAsia="zh-CN"/>
              </w:rPr>
              <w:t>19</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lang w:val="en-US" w:eastAsia="zh-CN"/>
              </w:rPr>
              <w:t>16</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lang w:val="en-US" w:eastAsia="zh-CN"/>
              </w:rPr>
              <w:t>00</w:t>
            </w:r>
            <w:r>
              <w:rPr>
                <w:rFonts w:hint="eastAsia" w:ascii="宋体" w:hAnsi="宋体" w:eastAsia="宋体" w:cs="宋体"/>
                <w:color w:val="auto"/>
                <w:kern w:val="0"/>
                <w:sz w:val="24"/>
                <w:szCs w:val="24"/>
                <w:highlight w:val="none"/>
              </w:rPr>
              <w:t>分</w:t>
            </w:r>
          </w:p>
        </w:tc>
      </w:tr>
      <w:tr w14:paraId="19FC9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1" w:hRule="atLeast"/>
          <w:jc w:val="center"/>
        </w:trPr>
        <w:tc>
          <w:tcPr>
            <w:tcW w:w="573" w:type="dxa"/>
            <w:noWrap w:val="0"/>
            <w:vAlign w:val="center"/>
          </w:tcPr>
          <w:p w14:paraId="0B2F7D73">
            <w:pPr>
              <w:pStyle w:val="137"/>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w:t>
            </w:r>
          </w:p>
        </w:tc>
        <w:tc>
          <w:tcPr>
            <w:tcW w:w="1576" w:type="dxa"/>
            <w:noWrap w:val="0"/>
            <w:vAlign w:val="center"/>
          </w:tcPr>
          <w:p w14:paraId="553C2906">
            <w:pPr>
              <w:pStyle w:val="137"/>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投标保证缴</w:t>
            </w:r>
          </w:p>
          <w:p w14:paraId="5B798642">
            <w:pPr>
              <w:pStyle w:val="137"/>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纳截止时间</w:t>
            </w:r>
          </w:p>
        </w:tc>
        <w:tc>
          <w:tcPr>
            <w:tcW w:w="7786" w:type="dxa"/>
            <w:noWrap w:val="0"/>
            <w:vAlign w:val="center"/>
          </w:tcPr>
          <w:p w14:paraId="70704A2E">
            <w:pPr>
              <w:pStyle w:val="137"/>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投标保证金到账截止时间：</w:t>
            </w:r>
            <w:r>
              <w:rPr>
                <w:rFonts w:hint="eastAsia" w:ascii="宋体" w:hAnsi="宋体" w:eastAsia="宋体" w:cs="宋体"/>
                <w:color w:val="auto"/>
                <w:kern w:val="0"/>
                <w:sz w:val="24"/>
                <w:szCs w:val="24"/>
                <w:highlight w:val="none"/>
                <w:lang w:val="en-US" w:eastAsia="zh-CN"/>
              </w:rPr>
              <w:t>2025</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lang w:val="en-US" w:eastAsia="zh-CN"/>
              </w:rPr>
              <w:t>11</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lang w:val="en-US" w:eastAsia="zh-CN"/>
              </w:rPr>
              <w:t>25</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lang w:val="en-US" w:eastAsia="zh-CN"/>
              </w:rPr>
              <w:t>10</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lang w:val="en-US" w:eastAsia="zh-CN"/>
              </w:rPr>
              <w:t>00</w:t>
            </w:r>
            <w:r>
              <w:rPr>
                <w:rFonts w:hint="eastAsia" w:ascii="宋体" w:hAnsi="宋体" w:eastAsia="宋体" w:cs="宋体"/>
                <w:color w:val="auto"/>
                <w:kern w:val="0"/>
                <w:sz w:val="24"/>
                <w:szCs w:val="24"/>
                <w:highlight w:val="none"/>
              </w:rPr>
              <w:t>分；</w:t>
            </w:r>
          </w:p>
          <w:p w14:paraId="459B53B1">
            <w:pPr>
              <w:pStyle w:val="137"/>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投标保证担保上传截止时间：</w:t>
            </w:r>
            <w:r>
              <w:rPr>
                <w:rFonts w:hint="eastAsia" w:ascii="宋体" w:hAnsi="宋体" w:eastAsia="宋体" w:cs="宋体"/>
                <w:color w:val="auto"/>
                <w:kern w:val="0"/>
                <w:sz w:val="24"/>
                <w:szCs w:val="24"/>
                <w:highlight w:val="none"/>
                <w:lang w:val="en-US" w:eastAsia="zh-CN"/>
              </w:rPr>
              <w:t>2025</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lang w:val="en-US" w:eastAsia="zh-CN"/>
              </w:rPr>
              <w:t>11</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lang w:val="en-US" w:eastAsia="zh-CN"/>
              </w:rPr>
              <w:t>25</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lang w:val="en-US" w:eastAsia="zh-CN"/>
              </w:rPr>
              <w:t>10</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lang w:val="en-US" w:eastAsia="zh-CN"/>
              </w:rPr>
              <w:t>00</w:t>
            </w:r>
            <w:r>
              <w:rPr>
                <w:rFonts w:hint="eastAsia" w:ascii="宋体" w:hAnsi="宋体" w:eastAsia="宋体" w:cs="宋体"/>
                <w:color w:val="auto"/>
                <w:kern w:val="0"/>
                <w:sz w:val="24"/>
                <w:szCs w:val="24"/>
                <w:highlight w:val="none"/>
              </w:rPr>
              <w:t>分；</w:t>
            </w:r>
          </w:p>
          <w:p w14:paraId="32299DE7">
            <w:pPr>
              <w:pStyle w:val="137"/>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投标保证保险投保截止时间：</w:t>
            </w:r>
            <w:r>
              <w:rPr>
                <w:rFonts w:hint="eastAsia" w:ascii="宋体" w:hAnsi="宋体" w:eastAsia="宋体" w:cs="宋体"/>
                <w:color w:val="auto"/>
                <w:kern w:val="0"/>
                <w:sz w:val="24"/>
                <w:szCs w:val="24"/>
                <w:highlight w:val="none"/>
                <w:lang w:val="en-US" w:eastAsia="zh-CN"/>
              </w:rPr>
              <w:t>2025</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lang w:val="en-US" w:eastAsia="zh-CN"/>
              </w:rPr>
              <w:t>11</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lang w:val="en-US" w:eastAsia="zh-CN"/>
              </w:rPr>
              <w:t>25</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lang w:val="en-US" w:eastAsia="zh-CN"/>
              </w:rPr>
              <w:t>10</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lang w:val="en-US" w:eastAsia="zh-CN"/>
              </w:rPr>
              <w:t>00</w:t>
            </w:r>
            <w:r>
              <w:rPr>
                <w:rFonts w:hint="eastAsia" w:ascii="宋体" w:hAnsi="宋体" w:eastAsia="宋体" w:cs="宋体"/>
                <w:color w:val="auto"/>
                <w:kern w:val="0"/>
                <w:sz w:val="24"/>
                <w:szCs w:val="24"/>
                <w:highlight w:val="none"/>
              </w:rPr>
              <w:t>分。</w:t>
            </w:r>
          </w:p>
        </w:tc>
      </w:tr>
      <w:tr w14:paraId="597FA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573" w:type="dxa"/>
            <w:noWrap w:val="0"/>
            <w:vAlign w:val="center"/>
          </w:tcPr>
          <w:p w14:paraId="50583DEA">
            <w:pPr>
              <w:pStyle w:val="137"/>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w:t>
            </w:r>
          </w:p>
        </w:tc>
        <w:tc>
          <w:tcPr>
            <w:tcW w:w="1576" w:type="dxa"/>
            <w:noWrap w:val="0"/>
            <w:vAlign w:val="center"/>
          </w:tcPr>
          <w:p w14:paraId="39925305">
            <w:pPr>
              <w:pStyle w:val="137"/>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电子投标</w:t>
            </w:r>
          </w:p>
          <w:p w14:paraId="38E6D448">
            <w:pPr>
              <w:pStyle w:val="137"/>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截止时间</w:t>
            </w:r>
          </w:p>
        </w:tc>
        <w:tc>
          <w:tcPr>
            <w:tcW w:w="7786" w:type="dxa"/>
            <w:noWrap w:val="0"/>
            <w:vAlign w:val="center"/>
          </w:tcPr>
          <w:p w14:paraId="45DAA868">
            <w:pPr>
              <w:pStyle w:val="137"/>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2025</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lang w:val="en-US" w:eastAsia="zh-CN"/>
              </w:rPr>
              <w:t>11</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lang w:val="en-US" w:eastAsia="zh-CN"/>
              </w:rPr>
              <w:t>26</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lang w:val="en-US" w:eastAsia="zh-CN"/>
              </w:rPr>
              <w:t>10</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lang w:val="en-US" w:eastAsia="zh-CN"/>
              </w:rPr>
              <w:t>00</w:t>
            </w:r>
            <w:r>
              <w:rPr>
                <w:rFonts w:hint="eastAsia" w:ascii="宋体" w:hAnsi="宋体" w:eastAsia="宋体" w:cs="宋体"/>
                <w:color w:val="auto"/>
                <w:kern w:val="0"/>
                <w:sz w:val="24"/>
                <w:szCs w:val="24"/>
                <w:highlight w:val="none"/>
              </w:rPr>
              <w:t>分</w:t>
            </w:r>
          </w:p>
        </w:tc>
      </w:tr>
      <w:tr w14:paraId="79060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573" w:type="dxa"/>
            <w:noWrap w:val="0"/>
            <w:vAlign w:val="center"/>
          </w:tcPr>
          <w:p w14:paraId="04D9EF02">
            <w:pPr>
              <w:pStyle w:val="137"/>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w:t>
            </w:r>
          </w:p>
        </w:tc>
        <w:tc>
          <w:tcPr>
            <w:tcW w:w="1576" w:type="dxa"/>
            <w:noWrap w:val="0"/>
            <w:vAlign w:val="center"/>
          </w:tcPr>
          <w:p w14:paraId="2CDA6021">
            <w:pPr>
              <w:pStyle w:val="137"/>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投标相关资料（如有）</w:t>
            </w:r>
          </w:p>
          <w:p w14:paraId="33A5EAB1">
            <w:pPr>
              <w:pStyle w:val="137"/>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递交时间</w:t>
            </w:r>
          </w:p>
        </w:tc>
        <w:tc>
          <w:tcPr>
            <w:tcW w:w="7786" w:type="dxa"/>
            <w:noWrap w:val="0"/>
            <w:vAlign w:val="center"/>
          </w:tcPr>
          <w:p w14:paraId="0BFAAA7E">
            <w:pPr>
              <w:pStyle w:val="137"/>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2025</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lang w:val="en-US" w:eastAsia="zh-CN"/>
              </w:rPr>
              <w:t>11</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lang w:val="en-US" w:eastAsia="zh-CN"/>
              </w:rPr>
              <w:t>26</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lang w:val="en-US" w:eastAsia="zh-CN"/>
              </w:rPr>
              <w:t>09</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lang w:val="en-US" w:eastAsia="zh-CN"/>
              </w:rPr>
              <w:t>30</w:t>
            </w:r>
            <w:r>
              <w:rPr>
                <w:rFonts w:hint="eastAsia" w:ascii="宋体" w:hAnsi="宋体" w:eastAsia="宋体" w:cs="宋体"/>
                <w:color w:val="auto"/>
                <w:kern w:val="0"/>
                <w:sz w:val="24"/>
                <w:szCs w:val="24"/>
                <w:highlight w:val="none"/>
              </w:rPr>
              <w:t>分至</w:t>
            </w:r>
            <w:r>
              <w:rPr>
                <w:rFonts w:hint="eastAsia" w:ascii="宋体" w:hAnsi="宋体" w:eastAsia="宋体" w:cs="宋体"/>
                <w:color w:val="auto"/>
                <w:kern w:val="0"/>
                <w:sz w:val="24"/>
                <w:szCs w:val="24"/>
                <w:highlight w:val="none"/>
                <w:lang w:val="en-US" w:eastAsia="zh-CN"/>
              </w:rPr>
              <w:t>2025</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lang w:val="en-US" w:eastAsia="zh-CN"/>
              </w:rPr>
              <w:t>11</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lang w:val="en-US" w:eastAsia="zh-CN"/>
              </w:rPr>
              <w:t xml:space="preserve">26 </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lang w:val="en-US" w:eastAsia="zh-CN"/>
              </w:rPr>
              <w:t>10</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lang w:val="en-US" w:eastAsia="zh-CN"/>
              </w:rPr>
              <w:t>00</w:t>
            </w:r>
            <w:r>
              <w:rPr>
                <w:rFonts w:hint="eastAsia" w:ascii="宋体" w:hAnsi="宋体" w:eastAsia="宋体" w:cs="宋体"/>
                <w:color w:val="auto"/>
                <w:kern w:val="0"/>
                <w:sz w:val="24"/>
                <w:szCs w:val="24"/>
                <w:highlight w:val="none"/>
              </w:rPr>
              <w:t>分</w:t>
            </w:r>
          </w:p>
        </w:tc>
      </w:tr>
      <w:tr w14:paraId="626BD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8" w:hRule="atLeast"/>
          <w:jc w:val="center"/>
        </w:trPr>
        <w:tc>
          <w:tcPr>
            <w:tcW w:w="573" w:type="dxa"/>
            <w:noWrap w:val="0"/>
            <w:vAlign w:val="center"/>
          </w:tcPr>
          <w:p w14:paraId="469C6330">
            <w:pPr>
              <w:pStyle w:val="137"/>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w:t>
            </w:r>
          </w:p>
        </w:tc>
        <w:tc>
          <w:tcPr>
            <w:tcW w:w="1576" w:type="dxa"/>
            <w:noWrap w:val="0"/>
            <w:vAlign w:val="center"/>
          </w:tcPr>
          <w:p w14:paraId="14D3CC13">
            <w:pPr>
              <w:pStyle w:val="137"/>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投标相关资料（如有）</w:t>
            </w:r>
          </w:p>
          <w:p w14:paraId="0B3D776A">
            <w:pPr>
              <w:pStyle w:val="137"/>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递交时间</w:t>
            </w:r>
          </w:p>
        </w:tc>
        <w:tc>
          <w:tcPr>
            <w:tcW w:w="7786" w:type="dxa"/>
            <w:noWrap w:val="0"/>
            <w:vAlign w:val="center"/>
          </w:tcPr>
          <w:p w14:paraId="202FE131">
            <w:pPr>
              <w:pStyle w:val="137"/>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递交场所：韶关市公共资源交易中心</w:t>
            </w:r>
          </w:p>
          <w:p w14:paraId="77BF6396">
            <w:pPr>
              <w:pStyle w:val="137"/>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地址：韶关市公共资源交易中心乐昌分中心（地址：乐昌市昌山北路23号），具体递交场所以当日现场通知为准。</w:t>
            </w:r>
          </w:p>
        </w:tc>
      </w:tr>
      <w:tr w14:paraId="21DC5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573" w:type="dxa"/>
            <w:noWrap w:val="0"/>
            <w:vAlign w:val="center"/>
          </w:tcPr>
          <w:p w14:paraId="08429796">
            <w:pPr>
              <w:pStyle w:val="137"/>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9</w:t>
            </w:r>
          </w:p>
        </w:tc>
        <w:tc>
          <w:tcPr>
            <w:tcW w:w="1576" w:type="dxa"/>
            <w:noWrap w:val="0"/>
            <w:vAlign w:val="center"/>
          </w:tcPr>
          <w:p w14:paraId="40D0E022">
            <w:pPr>
              <w:pStyle w:val="137"/>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开标时间</w:t>
            </w:r>
          </w:p>
        </w:tc>
        <w:tc>
          <w:tcPr>
            <w:tcW w:w="7786" w:type="dxa"/>
            <w:noWrap w:val="0"/>
            <w:vAlign w:val="center"/>
          </w:tcPr>
          <w:p w14:paraId="3F12EE2D">
            <w:pPr>
              <w:pStyle w:val="137"/>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2025</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lang w:val="en-US" w:eastAsia="zh-CN"/>
              </w:rPr>
              <w:t>11</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lang w:val="en-US" w:eastAsia="zh-CN"/>
              </w:rPr>
              <w:t>26</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lang w:val="en-US" w:eastAsia="zh-CN"/>
              </w:rPr>
              <w:t>10</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lang w:val="en-US" w:eastAsia="zh-CN"/>
              </w:rPr>
              <w:t>00</w:t>
            </w:r>
            <w:r>
              <w:rPr>
                <w:rFonts w:hint="eastAsia" w:ascii="宋体" w:hAnsi="宋体" w:eastAsia="宋体" w:cs="宋体"/>
                <w:color w:val="auto"/>
                <w:kern w:val="0"/>
                <w:sz w:val="24"/>
                <w:szCs w:val="24"/>
                <w:highlight w:val="none"/>
              </w:rPr>
              <w:t>分</w:t>
            </w:r>
          </w:p>
        </w:tc>
      </w:tr>
      <w:tr w14:paraId="448B7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jc w:val="center"/>
        </w:trPr>
        <w:tc>
          <w:tcPr>
            <w:tcW w:w="573" w:type="dxa"/>
            <w:noWrap w:val="0"/>
            <w:vAlign w:val="center"/>
          </w:tcPr>
          <w:p w14:paraId="0E9E0516">
            <w:pPr>
              <w:pStyle w:val="137"/>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w:t>
            </w:r>
          </w:p>
        </w:tc>
        <w:tc>
          <w:tcPr>
            <w:tcW w:w="1576" w:type="dxa"/>
            <w:noWrap w:val="0"/>
            <w:vAlign w:val="center"/>
          </w:tcPr>
          <w:p w14:paraId="45085988">
            <w:pPr>
              <w:pStyle w:val="137"/>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开标地点</w:t>
            </w:r>
          </w:p>
        </w:tc>
        <w:tc>
          <w:tcPr>
            <w:tcW w:w="7786" w:type="dxa"/>
            <w:noWrap w:val="0"/>
            <w:vAlign w:val="center"/>
          </w:tcPr>
          <w:p w14:paraId="5AD82464">
            <w:pPr>
              <w:pStyle w:val="137"/>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开标场所：韶关市公共资源交易中心</w:t>
            </w:r>
          </w:p>
          <w:p w14:paraId="2B7CB05D">
            <w:pPr>
              <w:pStyle w:val="137"/>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地址：韶关市公共资源交易中心乐昌分中心（地址：乐昌市昌山北路23号），具体开标室以当日现场通知为准。</w:t>
            </w:r>
          </w:p>
        </w:tc>
      </w:tr>
      <w:tr w14:paraId="45289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jc w:val="center"/>
        </w:trPr>
        <w:tc>
          <w:tcPr>
            <w:tcW w:w="2149" w:type="dxa"/>
            <w:gridSpan w:val="2"/>
            <w:noWrap w:val="0"/>
            <w:vAlign w:val="center"/>
          </w:tcPr>
          <w:p w14:paraId="1063E9AD">
            <w:pPr>
              <w:pStyle w:val="137"/>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备注</w:t>
            </w:r>
          </w:p>
        </w:tc>
        <w:tc>
          <w:tcPr>
            <w:tcW w:w="7786" w:type="dxa"/>
            <w:noWrap w:val="0"/>
            <w:vAlign w:val="center"/>
          </w:tcPr>
          <w:p w14:paraId="09263508">
            <w:pPr>
              <w:pStyle w:val="137"/>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投标人应按有关计划时间安排办理企业CA认证、企业入库等，获取招标文件后自行下载招标文件、资料文件及招标答疑书等。若由于投标人自身原因未能及时取得上述资料的，由此发生的任何责任由投标人自负。</w:t>
            </w:r>
          </w:p>
        </w:tc>
      </w:tr>
      <w:bookmarkEnd w:id="21"/>
    </w:tbl>
    <w:p w14:paraId="772F04C2">
      <w:pPr>
        <w:pStyle w:val="2"/>
        <w:tabs>
          <w:tab w:val="left" w:pos="885"/>
        </w:tabs>
        <w:wordWrap w:val="0"/>
        <w:autoSpaceDE/>
        <w:autoSpaceDN/>
        <w:snapToGrid w:val="0"/>
        <w:spacing w:line="440" w:lineRule="exact"/>
        <w:ind w:left="885" w:hanging="885"/>
        <w:jc w:val="center"/>
        <w:rPr>
          <w:rFonts w:hint="eastAsia" w:ascii="宋体" w:hAnsi="宋体" w:eastAsia="宋体" w:cs="宋体"/>
          <w:snapToGrid w:val="0"/>
          <w:color w:val="auto"/>
          <w:sz w:val="24"/>
          <w:highlight w:val="none"/>
        </w:rPr>
        <w:sectPr>
          <w:endnotePr>
            <w:numFmt w:val="decimal"/>
          </w:endnotePr>
          <w:pgSz w:w="11906" w:h="16838"/>
          <w:pgMar w:top="1134" w:right="1134" w:bottom="1134" w:left="1134" w:header="850" w:footer="992" w:gutter="0"/>
          <w:pgBorders>
            <w:top w:val="none" w:sz="0" w:space="0"/>
            <w:left w:val="none" w:sz="0" w:space="0"/>
            <w:bottom w:val="none" w:sz="0" w:space="0"/>
            <w:right w:val="none" w:sz="0" w:space="0"/>
          </w:pgBorders>
          <w:cols w:space="720" w:num="1"/>
          <w:docGrid w:linePitch="327" w:charSpace="0"/>
        </w:sectPr>
      </w:pPr>
    </w:p>
    <w:p w14:paraId="7814AF46">
      <w:pPr>
        <w:pStyle w:val="3"/>
        <w:bidi w:val="0"/>
        <w:rPr>
          <w:rFonts w:hint="eastAsia" w:ascii="宋体" w:hAnsi="宋体" w:eastAsia="宋体" w:cs="宋体"/>
          <w:color w:val="auto"/>
          <w:highlight w:val="none"/>
        </w:rPr>
      </w:pPr>
      <w:bookmarkStart w:id="22" w:name="_Hlt87793819"/>
      <w:bookmarkEnd w:id="22"/>
      <w:bookmarkStart w:id="23" w:name="_Toc16803"/>
      <w:bookmarkStart w:id="24" w:name="_Hlt69698705"/>
      <w:bookmarkStart w:id="25" w:name="_Toc30390"/>
      <w:bookmarkStart w:id="26" w:name="_Toc5895"/>
      <w:bookmarkStart w:id="27" w:name="_Toc18202"/>
      <w:bookmarkStart w:id="28" w:name="_Hlt69698754"/>
      <w:r>
        <w:rPr>
          <w:rFonts w:hint="eastAsia" w:ascii="宋体" w:hAnsi="宋体" w:eastAsia="宋体" w:cs="宋体"/>
          <w:color w:val="auto"/>
          <w:highlight w:val="none"/>
        </w:rPr>
        <w:t>第三节 投标人须知</w:t>
      </w:r>
      <w:bookmarkEnd w:id="23"/>
      <w:bookmarkStart w:id="29" w:name="_Hlt69669159"/>
      <w:bookmarkEnd w:id="29"/>
      <w:r>
        <w:rPr>
          <w:rFonts w:hint="eastAsia" w:ascii="宋体" w:hAnsi="宋体" w:eastAsia="宋体" w:cs="宋体"/>
          <w:color w:val="auto"/>
          <w:highlight w:val="none"/>
        </w:rPr>
        <w:t>正文</w:t>
      </w:r>
      <w:bookmarkEnd w:id="24"/>
      <w:bookmarkEnd w:id="25"/>
      <w:bookmarkEnd w:id="26"/>
      <w:bookmarkEnd w:id="27"/>
      <w:bookmarkEnd w:id="28"/>
    </w:p>
    <w:p w14:paraId="744F5028">
      <w:pPr>
        <w:pageBreakBefore w:val="0"/>
        <w:kinsoku/>
        <w:overflowPunct/>
        <w:topLinePunct w:val="0"/>
        <w:autoSpaceDE/>
        <w:autoSpaceDN/>
        <w:bidi w:val="0"/>
        <w:spacing w:line="360" w:lineRule="auto"/>
        <w:ind w:firstLine="480" w:firstLineChars="200"/>
        <w:textAlignment w:val="auto"/>
        <w:rPr>
          <w:rFonts w:hint="eastAsia" w:ascii="宋体" w:hAnsi="宋体" w:eastAsia="宋体" w:cs="宋体"/>
          <w:b/>
          <w:snapToGrid w:val="0"/>
          <w:color w:val="auto"/>
          <w:highlight w:val="none"/>
        </w:rPr>
      </w:pPr>
      <w:bookmarkStart w:id="30" w:name="_Hlt78795222"/>
      <w:bookmarkEnd w:id="30"/>
      <w:bookmarkStart w:id="31" w:name="_Hlt119991399"/>
      <w:bookmarkEnd w:id="31"/>
      <w:bookmarkStart w:id="32" w:name="_Hlt87948285"/>
      <w:bookmarkEnd w:id="32"/>
      <w:bookmarkStart w:id="33" w:name="_Hlt109358474"/>
      <w:bookmarkEnd w:id="33"/>
      <w:bookmarkStart w:id="34" w:name="_Hlt74474735"/>
      <w:bookmarkEnd w:id="34"/>
      <w:bookmarkStart w:id="35" w:name="_Toc26083"/>
      <w:r>
        <w:rPr>
          <w:rFonts w:hint="eastAsia" w:hAnsi="宋体" w:cs="宋体"/>
          <w:snapToGrid w:val="0"/>
          <w:color w:val="auto"/>
          <w:kern w:val="0"/>
          <w:sz w:val="24"/>
          <w:szCs w:val="24"/>
          <w:highlight w:val="none"/>
          <w:u w:val="single"/>
          <w:lang w:val="en-US" w:eastAsia="zh-CN"/>
        </w:rPr>
        <w:t>乐昌市“花果世界”山水人家乡村振兴示范带（庆云段）项目</w:t>
      </w:r>
      <w:r>
        <w:rPr>
          <w:rFonts w:hint="eastAsia" w:ascii="宋体" w:hAnsi="宋体" w:eastAsia="宋体" w:cs="宋体"/>
          <w:snapToGrid w:val="0"/>
          <w:color w:val="auto"/>
          <w:kern w:val="0"/>
          <w:sz w:val="24"/>
          <w:szCs w:val="24"/>
          <w:highlight w:val="none"/>
        </w:rPr>
        <w:t>业经</w:t>
      </w:r>
      <w:r>
        <w:rPr>
          <w:rFonts w:hint="eastAsia" w:ascii="宋体" w:hAnsi="宋体" w:eastAsia="宋体" w:cs="宋体"/>
          <w:snapToGrid w:val="0"/>
          <w:color w:val="auto"/>
          <w:kern w:val="0"/>
          <w:sz w:val="24"/>
          <w:szCs w:val="24"/>
          <w:highlight w:val="none"/>
          <w:u w:val="single"/>
          <w:lang w:val="en-US" w:eastAsia="zh-CN"/>
        </w:rPr>
        <w:t>乐昌市发展和改革局关于乐昌市“花果世界”山水人家乡村振兴示范带（庆云段）项目可行性研究报告的批复</w:t>
      </w:r>
      <w:r>
        <w:rPr>
          <w:rFonts w:hint="eastAsia" w:ascii="宋体" w:hAnsi="宋体" w:eastAsia="宋体" w:cs="宋体"/>
          <w:snapToGrid w:val="0"/>
          <w:color w:val="auto"/>
          <w:kern w:val="0"/>
          <w:szCs w:val="24"/>
          <w:highlight w:val="none"/>
          <w:u w:val="single"/>
        </w:rPr>
        <w:t>（</w:t>
      </w:r>
      <w:r>
        <w:rPr>
          <w:rFonts w:hint="eastAsia" w:ascii="宋体" w:hAnsi="宋体" w:eastAsia="宋体" w:cs="宋体"/>
          <w:snapToGrid w:val="0"/>
          <w:color w:val="auto"/>
          <w:kern w:val="0"/>
          <w:szCs w:val="24"/>
          <w:highlight w:val="none"/>
          <w:u w:val="single"/>
          <w:lang w:val="en-US" w:eastAsia="zh-CN"/>
        </w:rPr>
        <w:t>乐发改投审〔2025〕55号</w:t>
      </w:r>
      <w:r>
        <w:rPr>
          <w:rFonts w:hint="eastAsia" w:ascii="宋体" w:hAnsi="宋体" w:eastAsia="宋体" w:cs="宋体"/>
          <w:snapToGrid w:val="0"/>
          <w:color w:val="auto"/>
          <w:kern w:val="0"/>
          <w:szCs w:val="24"/>
          <w:highlight w:val="none"/>
          <w:u w:val="single"/>
        </w:rPr>
        <w:t>）</w:t>
      </w:r>
      <w:r>
        <w:rPr>
          <w:rStyle w:val="150"/>
          <w:rFonts w:hint="eastAsia" w:ascii="宋体" w:hAnsi="宋体" w:eastAsia="宋体" w:cs="宋体"/>
          <w:color w:val="auto"/>
          <w:kern w:val="0"/>
          <w:szCs w:val="24"/>
          <w:highlight w:val="none"/>
        </w:rPr>
        <w:t>批准建设</w:t>
      </w:r>
      <w:r>
        <w:rPr>
          <w:rFonts w:hint="eastAsia" w:ascii="宋体" w:hAnsi="宋体" w:eastAsia="宋体" w:cs="宋体"/>
          <w:snapToGrid w:val="0"/>
          <w:color w:val="auto"/>
          <w:kern w:val="0"/>
          <w:szCs w:val="24"/>
          <w:highlight w:val="none"/>
        </w:rPr>
        <w:t>，项目代码为</w:t>
      </w:r>
      <w:r>
        <w:rPr>
          <w:rFonts w:hint="eastAsia" w:hAnsi="宋体" w:cs="宋体"/>
          <w:snapToGrid w:val="0"/>
          <w:color w:val="auto"/>
          <w:kern w:val="0"/>
          <w:szCs w:val="24"/>
          <w:highlight w:val="none"/>
          <w:u w:val="single"/>
          <w:lang w:val="en-US" w:eastAsia="zh-CN"/>
        </w:rPr>
        <w:t>2504-440281-04-01-407580</w:t>
      </w:r>
      <w:r>
        <w:rPr>
          <w:rFonts w:hint="eastAsia" w:ascii="宋体" w:hAnsi="宋体" w:eastAsia="宋体" w:cs="宋体"/>
          <w:snapToGrid w:val="0"/>
          <w:color w:val="auto"/>
          <w:kern w:val="0"/>
          <w:szCs w:val="24"/>
          <w:highlight w:val="none"/>
        </w:rPr>
        <w:t>。本项目业主为</w:t>
      </w:r>
      <w:r>
        <w:rPr>
          <w:rFonts w:hint="eastAsia" w:hAnsi="宋体" w:cs="宋体"/>
          <w:i w:val="0"/>
          <w:iCs w:val="0"/>
          <w:caps w:val="0"/>
          <w:color w:val="auto"/>
          <w:spacing w:val="0"/>
          <w:sz w:val="24"/>
          <w:szCs w:val="24"/>
          <w:highlight w:val="none"/>
          <w:u w:val="single"/>
          <w:shd w:val="clear" w:color="auto" w:fill="FFFFFF"/>
          <w:lang w:eastAsia="zh-CN"/>
        </w:rPr>
        <w:t>乐昌市庆云镇人民政府</w:t>
      </w:r>
      <w:r>
        <w:rPr>
          <w:rFonts w:hint="eastAsia" w:ascii="宋体" w:hAnsi="宋体" w:eastAsia="宋体" w:cs="宋体"/>
          <w:snapToGrid w:val="0"/>
          <w:color w:val="auto"/>
          <w:kern w:val="0"/>
          <w:szCs w:val="24"/>
          <w:highlight w:val="none"/>
        </w:rPr>
        <w:t>，建设资金来自</w:t>
      </w:r>
      <w:r>
        <w:rPr>
          <w:rFonts w:hint="eastAsia" w:ascii="宋体" w:hAnsi="宋体" w:eastAsia="宋体" w:cs="宋体"/>
          <w:snapToGrid w:val="0"/>
          <w:color w:val="auto"/>
          <w:kern w:val="0"/>
          <w:szCs w:val="24"/>
          <w:highlight w:val="none"/>
          <w:u w:val="single"/>
          <w:lang w:val="en-US" w:eastAsia="zh-CN"/>
        </w:rPr>
        <w:t>上级财政资金，不足部分由业主单位自筹解决</w:t>
      </w:r>
      <w:r>
        <w:rPr>
          <w:rStyle w:val="150"/>
          <w:rFonts w:hint="eastAsia" w:ascii="宋体" w:hAnsi="宋体" w:eastAsia="宋体" w:cs="宋体"/>
          <w:color w:val="auto"/>
          <w:kern w:val="0"/>
          <w:szCs w:val="24"/>
          <w:highlight w:val="none"/>
        </w:rPr>
        <w:t>，出资比例为</w:t>
      </w:r>
      <w:r>
        <w:rPr>
          <w:rFonts w:hint="eastAsia" w:ascii="宋体" w:hAnsi="宋体" w:eastAsia="宋体" w:cs="宋体"/>
          <w:snapToGrid w:val="0"/>
          <w:color w:val="auto"/>
          <w:kern w:val="0"/>
          <w:szCs w:val="24"/>
          <w:highlight w:val="none"/>
          <w:u w:val="single"/>
        </w:rPr>
        <w:t>100%</w:t>
      </w:r>
      <w:r>
        <w:rPr>
          <w:rFonts w:hint="eastAsia" w:ascii="宋体" w:hAnsi="宋体" w:eastAsia="宋体" w:cs="宋体"/>
          <w:snapToGrid w:val="0"/>
          <w:color w:val="auto"/>
          <w:kern w:val="0"/>
          <w:szCs w:val="24"/>
          <w:highlight w:val="none"/>
        </w:rPr>
        <w:t>，招标人为</w:t>
      </w:r>
      <w:r>
        <w:rPr>
          <w:rFonts w:hint="eastAsia" w:hAnsi="宋体" w:cs="宋体"/>
          <w:color w:val="auto"/>
          <w:kern w:val="0"/>
          <w:szCs w:val="24"/>
          <w:highlight w:val="none"/>
          <w:u w:val="single"/>
          <w:lang w:eastAsia="zh-CN"/>
        </w:rPr>
        <w:t>乐昌市庆云镇人民政府</w:t>
      </w:r>
      <w:r>
        <w:rPr>
          <w:rFonts w:hint="eastAsia" w:ascii="宋体" w:hAnsi="宋体" w:eastAsia="宋体" w:cs="宋体"/>
          <w:snapToGrid w:val="0"/>
          <w:color w:val="auto"/>
          <w:kern w:val="0"/>
          <w:szCs w:val="24"/>
          <w:highlight w:val="none"/>
        </w:rPr>
        <w:t>，招标代理机构为</w:t>
      </w:r>
      <w:r>
        <w:rPr>
          <w:rFonts w:hint="eastAsia" w:hAnsi="宋体" w:cs="宋体"/>
          <w:color w:val="auto"/>
          <w:kern w:val="0"/>
          <w:szCs w:val="24"/>
          <w:highlight w:val="none"/>
          <w:u w:val="single"/>
          <w:lang w:eastAsia="zh-CN"/>
        </w:rPr>
        <w:t>广州穗图项目管理有限公司</w:t>
      </w:r>
      <w:r>
        <w:rPr>
          <w:rFonts w:hint="eastAsia" w:ascii="宋体" w:hAnsi="宋体" w:eastAsia="宋体" w:cs="宋体"/>
          <w:snapToGrid w:val="0"/>
          <w:color w:val="auto"/>
          <w:kern w:val="0"/>
          <w:szCs w:val="24"/>
          <w:highlight w:val="none"/>
        </w:rPr>
        <w:t>。项目已具备招标条件，现对该项目的</w:t>
      </w:r>
      <w:r>
        <w:rPr>
          <w:rFonts w:hint="eastAsia" w:ascii="宋体" w:hAnsi="宋体" w:eastAsia="宋体" w:cs="宋体"/>
          <w:snapToGrid w:val="0"/>
          <w:color w:val="auto"/>
          <w:kern w:val="0"/>
          <w:szCs w:val="24"/>
          <w:highlight w:val="none"/>
          <w:u w:val="single"/>
        </w:rPr>
        <w:t>施工</w:t>
      </w:r>
      <w:r>
        <w:rPr>
          <w:rFonts w:hint="eastAsia" w:ascii="宋体" w:hAnsi="宋体" w:eastAsia="宋体" w:cs="宋体"/>
          <w:snapToGrid w:val="0"/>
          <w:color w:val="auto"/>
          <w:kern w:val="0"/>
          <w:szCs w:val="24"/>
          <w:highlight w:val="none"/>
        </w:rPr>
        <w:t>进行公开招标。</w:t>
      </w:r>
    </w:p>
    <w:p w14:paraId="31132700">
      <w:pPr>
        <w:pStyle w:val="4"/>
        <w:pageBreakBefore w:val="0"/>
        <w:kinsoku/>
        <w:overflowPunct/>
        <w:topLinePunct w:val="0"/>
        <w:autoSpaceDE/>
        <w:autoSpaceDN/>
        <w:bidi w:val="0"/>
        <w:spacing w:beforeLines="0" w:afterLines="0" w:line="360" w:lineRule="auto"/>
        <w:ind w:firstLine="482" w:firstLineChars="200"/>
        <w:textAlignment w:val="auto"/>
        <w:rPr>
          <w:rFonts w:hint="eastAsia" w:ascii="宋体" w:hAnsi="宋体" w:eastAsia="宋体" w:cs="宋体"/>
          <w:color w:val="auto"/>
          <w:highlight w:val="none"/>
        </w:rPr>
      </w:pPr>
      <w:bookmarkStart w:id="36" w:name="_Toc25995"/>
      <w:r>
        <w:rPr>
          <w:rFonts w:hint="eastAsia" w:ascii="宋体" w:hAnsi="宋体" w:eastAsia="宋体" w:cs="宋体"/>
          <w:color w:val="auto"/>
          <w:highlight w:val="none"/>
        </w:rPr>
        <w:t>1．项目概况、招标范围和标段划分、投标费用</w:t>
      </w:r>
      <w:bookmarkEnd w:id="36"/>
    </w:p>
    <w:p w14:paraId="58F7CAB7">
      <w:pPr>
        <w:pStyle w:val="137"/>
        <w:pageBreakBefore w:val="0"/>
        <w:kinsoku/>
        <w:wordWrap w:val="0"/>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snapToGrid w:val="0"/>
          <w:color w:val="auto"/>
          <w:kern w:val="0"/>
          <w:sz w:val="24"/>
          <w:highlight w:val="none"/>
        </w:rPr>
      </w:pPr>
      <w:r>
        <w:rPr>
          <w:rFonts w:hint="eastAsia" w:ascii="宋体" w:hAnsi="宋体" w:eastAsia="宋体" w:cs="宋体"/>
          <w:b/>
          <w:bCs/>
          <w:snapToGrid w:val="0"/>
          <w:color w:val="auto"/>
          <w:kern w:val="0"/>
          <w:sz w:val="24"/>
          <w:highlight w:val="none"/>
        </w:rPr>
        <w:t>1.1</w:t>
      </w:r>
      <w:r>
        <w:rPr>
          <w:rFonts w:hint="eastAsia" w:ascii="宋体" w:hAnsi="宋体" w:eastAsia="宋体" w:cs="宋体"/>
          <w:snapToGrid w:val="0"/>
          <w:color w:val="auto"/>
          <w:kern w:val="0"/>
          <w:sz w:val="24"/>
          <w:highlight w:val="none"/>
        </w:rPr>
        <w:t xml:space="preserve"> 项目概况</w:t>
      </w:r>
    </w:p>
    <w:p w14:paraId="0308C9A8">
      <w:pPr>
        <w:pStyle w:val="137"/>
        <w:pageBreakBefore w:val="0"/>
        <w:kinsoku/>
        <w:wordWrap w:val="0"/>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snapToGrid w:val="0"/>
          <w:color w:val="auto"/>
          <w:kern w:val="0"/>
          <w:sz w:val="24"/>
          <w:szCs w:val="24"/>
          <w:highlight w:val="none"/>
          <w:u w:val="single"/>
        </w:rPr>
      </w:pPr>
      <w:r>
        <w:rPr>
          <w:rFonts w:hint="eastAsia" w:ascii="宋体" w:hAnsi="宋体" w:eastAsia="宋体" w:cs="宋体"/>
          <w:b/>
          <w:bCs/>
          <w:snapToGrid w:val="0"/>
          <w:color w:val="auto"/>
          <w:kern w:val="0"/>
          <w:sz w:val="24"/>
          <w:szCs w:val="24"/>
          <w:highlight w:val="none"/>
        </w:rPr>
        <w:t>1.1.1</w:t>
      </w:r>
      <w:r>
        <w:rPr>
          <w:rFonts w:hint="eastAsia" w:ascii="宋体" w:hAnsi="宋体" w:eastAsia="宋体" w:cs="宋体"/>
          <w:snapToGrid w:val="0"/>
          <w:color w:val="auto"/>
          <w:kern w:val="0"/>
          <w:sz w:val="24"/>
          <w:szCs w:val="24"/>
          <w:highlight w:val="none"/>
        </w:rPr>
        <w:t xml:space="preserve"> 建设地点：</w:t>
      </w:r>
      <w:r>
        <w:rPr>
          <w:rFonts w:hint="eastAsia" w:ascii="宋体" w:hAnsi="宋体" w:eastAsia="宋体" w:cs="宋体"/>
          <w:snapToGrid w:val="0"/>
          <w:color w:val="auto"/>
          <w:kern w:val="0"/>
          <w:sz w:val="24"/>
          <w:szCs w:val="24"/>
          <w:highlight w:val="none"/>
          <w:u w:val="single"/>
          <w:lang w:val="en-US" w:eastAsia="zh-CN"/>
        </w:rPr>
        <w:t>乐昌市</w:t>
      </w:r>
      <w:r>
        <w:rPr>
          <w:rFonts w:hint="eastAsia" w:ascii="宋体" w:hAnsi="宋体" w:cs="宋体"/>
          <w:snapToGrid w:val="0"/>
          <w:color w:val="auto"/>
          <w:kern w:val="0"/>
          <w:sz w:val="24"/>
          <w:szCs w:val="24"/>
          <w:highlight w:val="none"/>
          <w:u w:val="single"/>
          <w:lang w:val="en-US" w:eastAsia="zh-CN"/>
        </w:rPr>
        <w:t>庆云镇。</w:t>
      </w:r>
    </w:p>
    <w:p w14:paraId="68344DA7">
      <w:pPr>
        <w:pStyle w:val="137"/>
        <w:pageBreakBefore w:val="0"/>
        <w:kinsoku/>
        <w:wordWrap w:val="0"/>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snapToGrid w:val="0"/>
          <w:color w:val="auto"/>
          <w:kern w:val="0"/>
          <w:sz w:val="24"/>
          <w:szCs w:val="24"/>
          <w:highlight w:val="none"/>
          <w:u w:val="single"/>
          <w:lang w:val="en-US" w:eastAsia="zh-CN"/>
        </w:rPr>
      </w:pPr>
      <w:r>
        <w:rPr>
          <w:rFonts w:hint="eastAsia" w:ascii="宋体" w:hAnsi="宋体" w:eastAsia="宋体" w:cs="宋体"/>
          <w:b/>
          <w:bCs/>
          <w:snapToGrid w:val="0"/>
          <w:color w:val="auto"/>
          <w:kern w:val="0"/>
          <w:sz w:val="24"/>
          <w:szCs w:val="24"/>
          <w:highlight w:val="none"/>
        </w:rPr>
        <w:t>1.1.2</w:t>
      </w:r>
      <w:r>
        <w:rPr>
          <w:rFonts w:hint="eastAsia" w:ascii="宋体" w:hAnsi="宋体" w:eastAsia="宋体" w:cs="宋体"/>
          <w:snapToGrid w:val="0"/>
          <w:color w:val="auto"/>
          <w:kern w:val="0"/>
          <w:sz w:val="24"/>
          <w:szCs w:val="24"/>
          <w:highlight w:val="none"/>
        </w:rPr>
        <w:t xml:space="preserve"> 建设内容和规模：</w:t>
      </w:r>
      <w:r>
        <w:rPr>
          <w:rFonts w:hint="eastAsia" w:ascii="宋体" w:hAnsi="宋体" w:eastAsia="宋体" w:cs="宋体"/>
          <w:snapToGrid w:val="0"/>
          <w:color w:val="auto"/>
          <w:kern w:val="0"/>
          <w:sz w:val="24"/>
          <w:szCs w:val="24"/>
          <w:highlight w:val="none"/>
          <w:u w:val="single"/>
          <w:lang w:val="en-US" w:eastAsia="zh-CN"/>
        </w:rPr>
        <w:t>涉及湾雷村、五里冲村等8个行政村，主要包括人居环境整治、排水沟整治、巷道硬化、闲置土地整理、三线捆扎、道路整治提升等。</w:t>
      </w:r>
    </w:p>
    <w:p w14:paraId="2A879CCC">
      <w:pPr>
        <w:pStyle w:val="137"/>
        <w:pageBreakBefore w:val="0"/>
        <w:kinsoku/>
        <w:wordWrap w:val="0"/>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snapToGrid w:val="0"/>
          <w:color w:val="auto"/>
          <w:kern w:val="0"/>
          <w:sz w:val="24"/>
          <w:szCs w:val="24"/>
          <w:highlight w:val="none"/>
          <w:u w:val="single"/>
          <w:lang w:val="en-US" w:eastAsia="zh-CN"/>
        </w:rPr>
      </w:pPr>
      <w:r>
        <w:rPr>
          <w:rFonts w:hint="eastAsia" w:ascii="宋体" w:hAnsi="宋体" w:eastAsia="宋体" w:cs="宋体"/>
          <w:b/>
          <w:bCs/>
          <w:snapToGrid w:val="0"/>
          <w:color w:val="auto"/>
          <w:kern w:val="0"/>
          <w:sz w:val="24"/>
          <w:szCs w:val="24"/>
          <w:highlight w:val="none"/>
          <w:u w:val="none"/>
          <w:lang w:val="en-US" w:eastAsia="zh-CN"/>
        </w:rPr>
        <w:t>1.1.3</w:t>
      </w:r>
      <w:r>
        <w:rPr>
          <w:rFonts w:hint="eastAsia" w:ascii="宋体" w:hAnsi="宋体" w:eastAsia="宋体" w:cs="宋体"/>
          <w:snapToGrid w:val="0"/>
          <w:color w:val="auto"/>
          <w:kern w:val="0"/>
          <w:sz w:val="24"/>
          <w:szCs w:val="24"/>
          <w:highlight w:val="none"/>
          <w:u w:val="none"/>
          <w:lang w:val="en-US" w:eastAsia="zh-CN"/>
        </w:rPr>
        <w:t xml:space="preserve"> 项目总投资：</w:t>
      </w:r>
      <w:r>
        <w:rPr>
          <w:rFonts w:hint="eastAsia" w:ascii="宋体" w:hAnsi="宋体" w:eastAsia="宋体" w:cs="宋体"/>
          <w:snapToGrid w:val="0"/>
          <w:color w:val="auto"/>
          <w:kern w:val="0"/>
          <w:sz w:val="24"/>
          <w:szCs w:val="24"/>
          <w:highlight w:val="none"/>
          <w:u w:val="single"/>
          <w:lang w:val="en-US" w:eastAsia="zh-CN"/>
        </w:rPr>
        <w:t>项目估算总投资4563.17万元，其中：建安工程费用3909.04万元、工程建设其他费用524.84万元（含建设期利息费）、预备费用129.29万元。</w:t>
      </w:r>
    </w:p>
    <w:p w14:paraId="0AEAEA06">
      <w:pPr>
        <w:pStyle w:val="137"/>
        <w:pageBreakBefore w:val="0"/>
        <w:kinsoku/>
        <w:wordWrap w:val="0"/>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b/>
          <w:bCs/>
          <w:snapToGrid w:val="0"/>
          <w:color w:val="auto"/>
          <w:kern w:val="0"/>
          <w:sz w:val="24"/>
          <w:highlight w:val="none"/>
        </w:rPr>
      </w:pPr>
      <w:r>
        <w:rPr>
          <w:rFonts w:hint="eastAsia" w:ascii="宋体" w:hAnsi="宋体" w:eastAsia="宋体" w:cs="宋体"/>
          <w:b/>
          <w:bCs/>
          <w:snapToGrid w:val="0"/>
          <w:color w:val="auto"/>
          <w:kern w:val="0"/>
          <w:sz w:val="24"/>
          <w:highlight w:val="none"/>
        </w:rPr>
        <w:t xml:space="preserve">1.2 </w:t>
      </w:r>
      <w:r>
        <w:rPr>
          <w:rFonts w:hint="eastAsia" w:ascii="宋体" w:hAnsi="宋体" w:eastAsia="宋体" w:cs="宋体"/>
          <w:snapToGrid w:val="0"/>
          <w:color w:val="auto"/>
          <w:kern w:val="0"/>
          <w:sz w:val="24"/>
          <w:highlight w:val="none"/>
        </w:rPr>
        <w:t>招标范围和标段划分</w:t>
      </w:r>
    </w:p>
    <w:p w14:paraId="21E58119">
      <w:pPr>
        <w:pStyle w:val="137"/>
        <w:pageBreakBefore w:val="0"/>
        <w:kinsoku/>
        <w:wordWrap w:val="0"/>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snapToGrid w:val="0"/>
          <w:color w:val="auto"/>
          <w:kern w:val="0"/>
          <w:sz w:val="24"/>
          <w:highlight w:val="none"/>
          <w:u w:val="none"/>
        </w:rPr>
      </w:pPr>
      <w:r>
        <w:rPr>
          <w:rFonts w:hint="eastAsia" w:ascii="宋体" w:hAnsi="宋体" w:eastAsia="宋体" w:cs="宋体"/>
          <w:b/>
          <w:bCs/>
          <w:snapToGrid w:val="0"/>
          <w:color w:val="auto"/>
          <w:kern w:val="0"/>
          <w:sz w:val="24"/>
          <w:highlight w:val="none"/>
        </w:rPr>
        <w:t>1.2.1</w:t>
      </w:r>
      <w:r>
        <w:rPr>
          <w:rFonts w:hint="eastAsia" w:ascii="宋体" w:hAnsi="宋体" w:eastAsia="宋体" w:cs="宋体"/>
          <w:snapToGrid w:val="0"/>
          <w:color w:val="auto"/>
          <w:kern w:val="0"/>
          <w:sz w:val="24"/>
          <w:highlight w:val="none"/>
        </w:rPr>
        <w:t xml:space="preserve"> 招标范围：</w:t>
      </w:r>
      <w:r>
        <w:rPr>
          <w:rFonts w:hint="eastAsia" w:ascii="宋体" w:hAnsi="宋体" w:eastAsia="宋体" w:cs="宋体"/>
          <w:snapToGrid w:val="0"/>
          <w:color w:val="auto"/>
          <w:kern w:val="0"/>
          <w:sz w:val="24"/>
          <w:highlight w:val="none"/>
          <w:u w:val="single"/>
          <w:lang w:val="en-US" w:eastAsia="zh-CN"/>
        </w:rPr>
        <w:t>施工图纸和工程量清单范围内</w:t>
      </w:r>
      <w:r>
        <w:rPr>
          <w:rFonts w:hint="eastAsia" w:ascii="宋体" w:hAnsi="宋体" w:eastAsia="宋体" w:cs="宋体"/>
          <w:snapToGrid w:val="0"/>
          <w:color w:val="auto"/>
          <w:kern w:val="0"/>
          <w:sz w:val="24"/>
          <w:highlight w:val="none"/>
          <w:u w:val="single"/>
        </w:rPr>
        <w:t>等</w:t>
      </w:r>
      <w:r>
        <w:rPr>
          <w:rFonts w:hint="eastAsia" w:ascii="宋体" w:hAnsi="宋体" w:eastAsia="宋体" w:cs="宋体"/>
          <w:snapToGrid w:val="0"/>
          <w:color w:val="auto"/>
          <w:kern w:val="0"/>
          <w:sz w:val="24"/>
          <w:highlight w:val="none"/>
          <w:u w:val="single"/>
          <w:lang w:val="en-US" w:eastAsia="zh-CN"/>
        </w:rPr>
        <w:t>所有</w:t>
      </w:r>
      <w:r>
        <w:rPr>
          <w:rFonts w:hint="eastAsia" w:ascii="宋体" w:hAnsi="宋体" w:eastAsia="宋体" w:cs="宋体"/>
          <w:snapToGrid w:val="0"/>
          <w:color w:val="auto"/>
          <w:kern w:val="0"/>
          <w:sz w:val="24"/>
          <w:highlight w:val="none"/>
          <w:u w:val="single"/>
        </w:rPr>
        <w:t>工程</w:t>
      </w:r>
      <w:r>
        <w:rPr>
          <w:rFonts w:hint="eastAsia" w:ascii="宋体" w:hAnsi="宋体" w:cs="宋体"/>
          <w:snapToGrid w:val="0"/>
          <w:color w:val="auto"/>
          <w:kern w:val="0"/>
          <w:sz w:val="24"/>
          <w:highlight w:val="none"/>
          <w:u w:val="single"/>
          <w:lang w:val="en-US" w:eastAsia="zh-CN"/>
        </w:rPr>
        <w:t>施工</w:t>
      </w:r>
      <w:r>
        <w:rPr>
          <w:rFonts w:hint="eastAsia" w:ascii="宋体" w:hAnsi="宋体" w:eastAsia="宋体" w:cs="宋体"/>
          <w:snapToGrid w:val="0"/>
          <w:color w:val="auto"/>
          <w:kern w:val="0"/>
          <w:sz w:val="24"/>
          <w:highlight w:val="none"/>
          <w:u w:val="single"/>
        </w:rPr>
        <w:t>。</w:t>
      </w:r>
      <w:r>
        <w:rPr>
          <w:rFonts w:hint="eastAsia" w:ascii="宋体" w:hAnsi="宋体" w:eastAsia="宋体" w:cs="宋体"/>
          <w:snapToGrid w:val="0"/>
          <w:color w:val="auto"/>
          <w:kern w:val="0"/>
          <w:sz w:val="24"/>
          <w:highlight w:val="none"/>
          <w:u w:val="none"/>
        </w:rPr>
        <w:t xml:space="preserve">       </w:t>
      </w:r>
    </w:p>
    <w:p w14:paraId="36E61988">
      <w:pPr>
        <w:pStyle w:val="3"/>
        <w:pageBreakBefore w:val="0"/>
        <w:kinsoku/>
        <w:wordWrap w:val="0"/>
        <w:overflowPunct/>
        <w:topLinePunct w:val="0"/>
        <w:autoSpaceDE/>
        <w:autoSpaceDN/>
        <w:bidi w:val="0"/>
        <w:snapToGrid w:val="0"/>
        <w:spacing w:line="360" w:lineRule="auto"/>
        <w:ind w:firstLine="482" w:firstLineChars="200"/>
        <w:jc w:val="both"/>
        <w:textAlignment w:val="auto"/>
        <w:rPr>
          <w:rFonts w:hint="eastAsia" w:ascii="宋体" w:hAnsi="宋体" w:eastAsia="宋体" w:cs="宋体"/>
          <w:b/>
          <w:snapToGrid w:val="0"/>
          <w:color w:val="auto"/>
          <w:highlight w:val="none"/>
        </w:rPr>
      </w:pPr>
      <w:bookmarkStart w:id="37" w:name="_Toc3268"/>
      <w:bookmarkStart w:id="38" w:name="_Toc9332"/>
      <w:bookmarkStart w:id="39" w:name="_Toc19291"/>
      <w:r>
        <w:rPr>
          <w:rFonts w:hint="eastAsia" w:ascii="宋体" w:hAnsi="宋体" w:eastAsia="宋体" w:cs="宋体"/>
          <w:b/>
          <w:bCs/>
          <w:snapToGrid w:val="0"/>
          <w:color w:val="auto"/>
          <w:highlight w:val="none"/>
        </w:rPr>
        <w:t>1.2.2</w:t>
      </w:r>
      <w:r>
        <w:rPr>
          <w:rFonts w:hint="eastAsia" w:ascii="宋体" w:hAnsi="宋体" w:eastAsia="宋体" w:cs="宋体"/>
          <w:snapToGrid w:val="0"/>
          <w:color w:val="auto"/>
          <w:highlight w:val="none"/>
        </w:rPr>
        <w:t xml:space="preserve"> 标段划分：本招标项目不划分标段。</w:t>
      </w:r>
      <w:bookmarkEnd w:id="35"/>
      <w:bookmarkEnd w:id="37"/>
      <w:bookmarkEnd w:id="38"/>
      <w:bookmarkEnd w:id="39"/>
    </w:p>
    <w:p w14:paraId="4E614AA0">
      <w:pPr>
        <w:pageBreakBefore w:val="0"/>
        <w:tabs>
          <w:tab w:val="left" w:pos="7020"/>
        </w:tabs>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szCs w:val="24"/>
          <w:highlight w:val="none"/>
        </w:rPr>
        <w:t>1.3</w:t>
      </w:r>
      <w:r>
        <w:rPr>
          <w:rFonts w:hint="eastAsia" w:ascii="宋体" w:hAnsi="宋体" w:eastAsia="宋体" w:cs="宋体"/>
          <w:snapToGrid w:val="0"/>
          <w:color w:val="auto"/>
          <w:kern w:val="0"/>
          <w:szCs w:val="24"/>
          <w:highlight w:val="none"/>
        </w:rPr>
        <w:t xml:space="preserve"> 投标费用</w:t>
      </w:r>
      <w:r>
        <w:rPr>
          <w:rFonts w:hint="eastAsia" w:ascii="宋体" w:hAnsi="宋体" w:eastAsia="宋体" w:cs="宋体"/>
          <w:snapToGrid w:val="0"/>
          <w:color w:val="auto"/>
          <w:kern w:val="0"/>
          <w:highlight w:val="none"/>
        </w:rPr>
        <w:t>：投标人应承担所有准备和参加投标的相关费用，不论投标结果如何，招标人均无义务和责任承担这些费用。</w:t>
      </w:r>
    </w:p>
    <w:p w14:paraId="333E7109">
      <w:pPr>
        <w:pStyle w:val="3"/>
        <w:wordWrap w:val="0"/>
        <w:autoSpaceDE/>
        <w:autoSpaceDN/>
        <w:snapToGrid w:val="0"/>
        <w:spacing w:line="440" w:lineRule="exact"/>
        <w:ind w:firstLine="480"/>
        <w:jc w:val="both"/>
        <w:rPr>
          <w:rFonts w:hint="eastAsia" w:ascii="宋体" w:hAnsi="宋体" w:eastAsia="宋体" w:cs="宋体"/>
          <w:b/>
          <w:snapToGrid w:val="0"/>
          <w:color w:val="auto"/>
          <w:highlight w:val="none"/>
        </w:rPr>
      </w:pPr>
      <w:bookmarkStart w:id="40" w:name="_Toc18676"/>
      <w:bookmarkStart w:id="41" w:name="_Toc15329"/>
    </w:p>
    <w:p w14:paraId="614F2D29">
      <w:pPr>
        <w:pStyle w:val="4"/>
        <w:pageBreakBefore w:val="0"/>
        <w:kinsoku/>
        <w:overflowPunct/>
        <w:topLinePunct w:val="0"/>
        <w:autoSpaceDE/>
        <w:autoSpaceDN/>
        <w:bidi w:val="0"/>
        <w:spacing w:beforeLines="0" w:afterLines="0" w:line="360" w:lineRule="auto"/>
        <w:ind w:left="0" w:leftChars="0" w:right="0" w:firstLine="482" w:firstLineChars="200"/>
        <w:rPr>
          <w:rFonts w:hint="eastAsia" w:ascii="宋体" w:hAnsi="宋体" w:eastAsia="宋体" w:cs="宋体"/>
          <w:color w:val="auto"/>
          <w:sz w:val="24"/>
          <w:szCs w:val="24"/>
          <w:highlight w:val="none"/>
        </w:rPr>
      </w:pPr>
      <w:bookmarkStart w:id="42" w:name="_Toc14498"/>
      <w:r>
        <w:rPr>
          <w:rFonts w:hint="eastAsia" w:ascii="宋体" w:hAnsi="宋体" w:eastAsia="宋体" w:cs="宋体"/>
          <w:color w:val="auto"/>
          <w:sz w:val="24"/>
          <w:szCs w:val="24"/>
          <w:highlight w:val="none"/>
        </w:rPr>
        <w:t>2．投标人资格要求</w:t>
      </w:r>
      <w:bookmarkEnd w:id="40"/>
      <w:bookmarkEnd w:id="41"/>
      <w:bookmarkEnd w:id="42"/>
      <w:bookmarkStart w:id="43" w:name="_Hlt74496495"/>
      <w:bookmarkEnd w:id="43"/>
    </w:p>
    <w:p w14:paraId="0905E36C">
      <w:pPr>
        <w:wordWrap w:val="0"/>
        <w:adjustRightInd w:val="0"/>
        <w:snapToGrid w:val="0"/>
        <w:spacing w:line="360" w:lineRule="auto"/>
        <w:ind w:firstLine="482" w:firstLineChars="200"/>
        <w:jc w:val="left"/>
        <w:rPr>
          <w:rFonts w:hint="eastAsia" w:ascii="宋体" w:hAnsi="宋体" w:eastAsia="宋体" w:cs="宋体"/>
          <w:snapToGrid w:val="0"/>
          <w:color w:val="auto"/>
          <w:kern w:val="0"/>
          <w:highlight w:val="none"/>
        </w:rPr>
      </w:pPr>
      <w:r>
        <w:rPr>
          <w:rFonts w:hint="eastAsia" w:hAnsi="宋体" w:cs="宋体"/>
          <w:b/>
          <w:bCs/>
          <w:snapToGrid w:val="0"/>
          <w:color w:val="auto"/>
          <w:kern w:val="0"/>
          <w:highlight w:val="none"/>
          <w:lang w:val="en-US" w:eastAsia="zh-CN"/>
        </w:rPr>
        <w:t>2.</w:t>
      </w:r>
      <w:r>
        <w:rPr>
          <w:rFonts w:hint="eastAsia" w:ascii="宋体" w:hAnsi="宋体" w:eastAsia="宋体" w:cs="宋体"/>
          <w:b/>
          <w:bCs/>
          <w:snapToGrid w:val="0"/>
          <w:color w:val="auto"/>
          <w:kern w:val="0"/>
          <w:highlight w:val="none"/>
        </w:rPr>
        <w:t>1</w:t>
      </w:r>
      <w:r>
        <w:rPr>
          <w:rFonts w:hint="eastAsia" w:ascii="宋体" w:hAnsi="宋体" w:eastAsia="宋体" w:cs="宋体"/>
          <w:snapToGrid w:val="0"/>
          <w:color w:val="auto"/>
          <w:kern w:val="0"/>
          <w:highlight w:val="none"/>
        </w:rPr>
        <w:t>本次招标</w:t>
      </w:r>
      <w:r>
        <w:rPr>
          <w:rFonts w:hint="eastAsia" w:hAnsi="宋体" w:cs="宋体"/>
          <w:snapToGrid w:val="0"/>
          <w:color w:val="auto"/>
          <w:kern w:val="0"/>
          <w:highlight w:val="none"/>
          <w:lang w:val="en-US" w:eastAsia="zh-CN"/>
        </w:rPr>
        <w:t>不</w:t>
      </w:r>
      <w:r>
        <w:rPr>
          <w:rFonts w:hint="eastAsia" w:ascii="宋体" w:hAnsi="宋体" w:eastAsia="宋体" w:cs="宋体"/>
          <w:snapToGrid w:val="0"/>
          <w:color w:val="auto"/>
          <w:kern w:val="0"/>
          <w:highlight w:val="none"/>
        </w:rPr>
        <w:t>接受联合体投标。</w:t>
      </w:r>
    </w:p>
    <w:p w14:paraId="5CB01E52">
      <w:pPr>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2.2</w:t>
      </w:r>
      <w:r>
        <w:rPr>
          <w:rFonts w:hint="eastAsia" w:ascii="宋体" w:hAnsi="宋体" w:eastAsia="宋体" w:cs="宋体"/>
          <w:snapToGrid w:val="0"/>
          <w:color w:val="auto"/>
          <w:kern w:val="0"/>
          <w:sz w:val="24"/>
          <w:szCs w:val="24"/>
          <w:highlight w:val="none"/>
        </w:rPr>
        <w:t xml:space="preserve"> 资格资质要求</w:t>
      </w:r>
    </w:p>
    <w:p w14:paraId="617B3711">
      <w:pPr>
        <w:pStyle w:val="137"/>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2.2.1</w:t>
      </w:r>
      <w:r>
        <w:rPr>
          <w:rFonts w:hint="eastAsia" w:ascii="宋体" w:hAnsi="宋体" w:eastAsia="宋体" w:cs="宋体"/>
          <w:snapToGrid w:val="0"/>
          <w:color w:val="auto"/>
          <w:kern w:val="0"/>
          <w:sz w:val="24"/>
          <w:szCs w:val="24"/>
          <w:highlight w:val="none"/>
        </w:rPr>
        <w:t xml:space="preserve"> 投标人须具备独立法人资格，按国家法律经营。</w:t>
      </w:r>
    </w:p>
    <w:p w14:paraId="38A5A45D">
      <w:pPr>
        <w:pStyle w:val="137"/>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2.2.2</w:t>
      </w:r>
      <w:r>
        <w:rPr>
          <w:rFonts w:hint="eastAsia" w:ascii="宋体" w:hAnsi="宋体" w:eastAsia="宋体" w:cs="宋体"/>
          <w:snapToGrid w:val="0"/>
          <w:color w:val="auto"/>
          <w:kern w:val="0"/>
          <w:sz w:val="24"/>
          <w:szCs w:val="24"/>
          <w:highlight w:val="none"/>
        </w:rPr>
        <w:t xml:space="preserve"> 投标人须持有建设行政主管部门颁发的企业资质证书及安全生产许可证。</w:t>
      </w:r>
    </w:p>
    <w:p w14:paraId="06089417">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2.2.3</w:t>
      </w:r>
      <w:r>
        <w:rPr>
          <w:rFonts w:hint="eastAsia" w:ascii="宋体" w:hAnsi="宋体" w:eastAsia="宋体" w:cs="宋体"/>
          <w:snapToGrid w:val="0"/>
          <w:color w:val="auto"/>
          <w:kern w:val="0"/>
          <w:sz w:val="24"/>
          <w:szCs w:val="24"/>
          <w:highlight w:val="none"/>
        </w:rPr>
        <w:t xml:space="preserve"> 投标人须具备以下资质：具备建设行政主管部门颁发的</w:t>
      </w:r>
      <w:r>
        <w:rPr>
          <w:rFonts w:hint="eastAsia" w:hAnsi="宋体" w:cs="宋体"/>
          <w:b w:val="0"/>
          <w:bCs w:val="0"/>
          <w:snapToGrid w:val="0"/>
          <w:color w:val="auto"/>
          <w:kern w:val="0"/>
          <w:sz w:val="24"/>
          <w:szCs w:val="24"/>
          <w:highlight w:val="none"/>
          <w:u w:val="single"/>
          <w:lang w:eastAsia="zh-CN"/>
        </w:rPr>
        <w:t>市政公用工程施工总承包</w:t>
      </w:r>
      <w:r>
        <w:rPr>
          <w:rFonts w:hint="eastAsia" w:hAnsi="宋体" w:cs="宋体"/>
          <w:b w:val="0"/>
          <w:bCs w:val="0"/>
          <w:snapToGrid w:val="0"/>
          <w:color w:val="auto"/>
          <w:kern w:val="0"/>
          <w:sz w:val="24"/>
          <w:szCs w:val="24"/>
          <w:highlight w:val="none"/>
          <w:u w:val="single"/>
          <w:lang w:val="en-US" w:eastAsia="zh-CN"/>
        </w:rPr>
        <w:t>三</w:t>
      </w:r>
      <w:r>
        <w:rPr>
          <w:rFonts w:hint="eastAsia" w:hAnsi="宋体" w:cs="宋体"/>
          <w:b w:val="0"/>
          <w:bCs w:val="0"/>
          <w:snapToGrid w:val="0"/>
          <w:color w:val="auto"/>
          <w:kern w:val="0"/>
          <w:sz w:val="24"/>
          <w:szCs w:val="24"/>
          <w:highlight w:val="none"/>
          <w:u w:val="single"/>
          <w:lang w:eastAsia="zh-CN"/>
        </w:rPr>
        <w:t>级以上（含</w:t>
      </w:r>
      <w:r>
        <w:rPr>
          <w:rFonts w:hint="eastAsia" w:hAnsi="宋体" w:cs="宋体"/>
          <w:b w:val="0"/>
          <w:bCs w:val="0"/>
          <w:snapToGrid w:val="0"/>
          <w:color w:val="auto"/>
          <w:kern w:val="0"/>
          <w:sz w:val="24"/>
          <w:szCs w:val="24"/>
          <w:highlight w:val="none"/>
          <w:u w:val="single"/>
          <w:lang w:val="en-US" w:eastAsia="zh-CN"/>
        </w:rPr>
        <w:t>三</w:t>
      </w:r>
      <w:r>
        <w:rPr>
          <w:rFonts w:hint="eastAsia" w:hAnsi="宋体" w:cs="宋体"/>
          <w:b w:val="0"/>
          <w:bCs w:val="0"/>
          <w:snapToGrid w:val="0"/>
          <w:color w:val="auto"/>
          <w:kern w:val="0"/>
          <w:sz w:val="24"/>
          <w:szCs w:val="24"/>
          <w:highlight w:val="none"/>
          <w:u w:val="single"/>
          <w:lang w:eastAsia="zh-CN"/>
        </w:rPr>
        <w:t>级）</w:t>
      </w:r>
      <w:r>
        <w:rPr>
          <w:rFonts w:hint="eastAsia" w:ascii="宋体" w:hAnsi="宋体" w:eastAsia="宋体" w:cs="宋体"/>
          <w:b w:val="0"/>
          <w:bCs w:val="0"/>
          <w:snapToGrid w:val="0"/>
          <w:color w:val="auto"/>
          <w:kern w:val="0"/>
          <w:sz w:val="24"/>
          <w:szCs w:val="24"/>
          <w:highlight w:val="none"/>
        </w:rPr>
        <w:t>资质。</w:t>
      </w:r>
    </w:p>
    <w:p w14:paraId="7C96D109">
      <w:pPr>
        <w:pStyle w:val="137"/>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2.2.4</w:t>
      </w:r>
      <w:r>
        <w:rPr>
          <w:rFonts w:hint="eastAsia" w:ascii="宋体" w:hAnsi="宋体" w:eastAsia="宋体" w:cs="宋体"/>
          <w:snapToGrid w:val="0"/>
          <w:color w:val="auto"/>
          <w:kern w:val="0"/>
          <w:sz w:val="24"/>
          <w:szCs w:val="24"/>
          <w:highlight w:val="none"/>
        </w:rPr>
        <w:t xml:space="preserve"> 根据有关文件精神，投标人的企业相关证书到期的，均按该证书的发证机构相关行业主管部门最新文件执行（如自动顺延或推迟办理延期业务的通知），投标人必须将相关文件附在该证书后面中，证明在开标日继续有效。</w:t>
      </w:r>
    </w:p>
    <w:p w14:paraId="34CD375A">
      <w:pPr>
        <w:pStyle w:val="137"/>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2.3</w:t>
      </w:r>
      <w:r>
        <w:rPr>
          <w:rFonts w:hint="eastAsia" w:ascii="宋体" w:hAnsi="宋体" w:eastAsia="宋体" w:cs="宋体"/>
          <w:snapToGrid w:val="0"/>
          <w:color w:val="auto"/>
          <w:kern w:val="0"/>
          <w:sz w:val="24"/>
          <w:szCs w:val="24"/>
          <w:highlight w:val="none"/>
        </w:rPr>
        <w:t xml:space="preserve"> 相关人员要求</w:t>
      </w:r>
    </w:p>
    <w:p w14:paraId="0419F19B">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lang w:val="en-US" w:eastAsia="zh-CN" w:bidi="ar-SA"/>
        </w:rPr>
        <w:t>2.3.1</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color w:val="auto"/>
          <w:sz w:val="24"/>
          <w:szCs w:val="24"/>
          <w:highlight w:val="none"/>
        </w:rPr>
        <w:t>投标人拟派项目经理为</w:t>
      </w:r>
      <w:r>
        <w:rPr>
          <w:rFonts w:hint="eastAsia" w:ascii="宋体" w:hAnsi="宋体" w:eastAsia="宋体" w:cs="宋体"/>
          <w:b w:val="0"/>
          <w:bCs w:val="0"/>
          <w:color w:val="auto"/>
          <w:sz w:val="24"/>
          <w:szCs w:val="24"/>
          <w:highlight w:val="none"/>
          <w:u w:val="single"/>
        </w:rPr>
        <w:t>市政公用工程</w:t>
      </w:r>
      <w:r>
        <w:rPr>
          <w:rFonts w:hint="eastAsia" w:ascii="宋体" w:hAnsi="宋体" w:eastAsia="宋体" w:cs="宋体"/>
          <w:b w:val="0"/>
          <w:bCs w:val="0"/>
          <w:color w:val="auto"/>
          <w:sz w:val="24"/>
          <w:szCs w:val="24"/>
          <w:highlight w:val="none"/>
        </w:rPr>
        <w:t>专业一级或二级注册建造师，应持有住建部门印发的在使用有效期内的有效电子注册证书（根据广东省住房和城乡建设厅（粤建市函〔2023〕469 号）文件精神，二级注册建造师可随注册企业在全国范围内执业）。同时均须具备有效安全生产考核合格证明（B证，安全生产考核合格证书或“广东省建筑施工企业管理人员安全生产考核信息系统”考核合格信息打印页），且未担任其他在施（包括已中标未开工、已开工未竣工）建设工程项目的项目经理。</w:t>
      </w:r>
    </w:p>
    <w:p w14:paraId="512E4BF0">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lang w:val="en-US" w:eastAsia="zh-CN" w:bidi="ar-SA"/>
        </w:rPr>
        <w:t>2.3.2</w:t>
      </w:r>
      <w:r>
        <w:rPr>
          <w:rFonts w:hint="eastAsia" w:ascii="宋体" w:hAnsi="宋体" w:eastAsia="宋体" w:cs="宋体"/>
          <w:b w:val="0"/>
          <w:bCs w:val="0"/>
          <w:snapToGrid w:val="0"/>
          <w:color w:val="auto"/>
          <w:kern w:val="0"/>
          <w:sz w:val="24"/>
          <w:szCs w:val="24"/>
          <w:highlight w:val="none"/>
        </w:rPr>
        <w:t xml:space="preserve"> 拟派项目技术负责人须具备</w:t>
      </w:r>
      <w:r>
        <w:rPr>
          <w:rFonts w:hint="eastAsia" w:ascii="宋体" w:hAnsi="宋体" w:eastAsia="宋体" w:cs="宋体"/>
          <w:b w:val="0"/>
          <w:bCs w:val="0"/>
          <w:snapToGrid w:val="0"/>
          <w:color w:val="auto"/>
          <w:kern w:val="0"/>
          <w:sz w:val="24"/>
          <w:szCs w:val="24"/>
          <w:highlight w:val="none"/>
          <w:u w:val="single"/>
          <w:lang w:val="en-US" w:eastAsia="zh-CN"/>
        </w:rPr>
        <w:t>市政</w:t>
      </w:r>
      <w:r>
        <w:rPr>
          <w:rFonts w:hint="eastAsia" w:hAnsi="宋体" w:cs="宋体"/>
          <w:b w:val="0"/>
          <w:bCs w:val="0"/>
          <w:snapToGrid w:val="0"/>
          <w:color w:val="auto"/>
          <w:kern w:val="0"/>
          <w:sz w:val="24"/>
          <w:szCs w:val="24"/>
          <w:highlight w:val="none"/>
          <w:u w:val="single"/>
          <w:lang w:val="en-US" w:eastAsia="zh-CN"/>
        </w:rPr>
        <w:t>类</w:t>
      </w:r>
      <w:r>
        <w:rPr>
          <w:rFonts w:hint="eastAsia" w:ascii="宋体" w:hAnsi="宋体" w:eastAsia="宋体" w:cs="宋体"/>
          <w:b w:val="0"/>
          <w:bCs w:val="0"/>
          <w:snapToGrid w:val="0"/>
          <w:color w:val="auto"/>
          <w:kern w:val="0"/>
          <w:sz w:val="24"/>
          <w:szCs w:val="24"/>
          <w:highlight w:val="none"/>
          <w:u w:val="single"/>
        </w:rPr>
        <w:t>相关</w:t>
      </w:r>
      <w:r>
        <w:rPr>
          <w:rFonts w:hint="eastAsia" w:ascii="宋体" w:hAnsi="宋体" w:eastAsia="宋体" w:cs="宋体"/>
          <w:b w:val="0"/>
          <w:bCs w:val="0"/>
          <w:snapToGrid w:val="0"/>
          <w:color w:val="auto"/>
          <w:kern w:val="0"/>
          <w:sz w:val="24"/>
          <w:szCs w:val="24"/>
          <w:highlight w:val="none"/>
        </w:rPr>
        <w:t>专业</w:t>
      </w:r>
      <w:r>
        <w:rPr>
          <w:rFonts w:hint="eastAsia" w:hAnsi="宋体" w:cs="宋体"/>
          <w:b w:val="0"/>
          <w:bCs w:val="0"/>
          <w:snapToGrid w:val="0"/>
          <w:color w:val="auto"/>
          <w:kern w:val="0"/>
          <w:sz w:val="24"/>
          <w:szCs w:val="24"/>
          <w:highlight w:val="none"/>
          <w:u w:val="single"/>
          <w:lang w:val="en-US" w:eastAsia="zh-CN"/>
        </w:rPr>
        <w:t>中</w:t>
      </w:r>
      <w:r>
        <w:rPr>
          <w:rFonts w:hint="eastAsia" w:ascii="宋体" w:hAnsi="宋体" w:eastAsia="宋体" w:cs="宋体"/>
          <w:b w:val="0"/>
          <w:bCs w:val="0"/>
          <w:snapToGrid w:val="0"/>
          <w:color w:val="auto"/>
          <w:kern w:val="0"/>
          <w:sz w:val="24"/>
          <w:szCs w:val="24"/>
          <w:highlight w:val="none"/>
        </w:rPr>
        <w:t>级以上（含</w:t>
      </w:r>
      <w:r>
        <w:rPr>
          <w:rFonts w:hint="eastAsia" w:hAnsi="宋体" w:cs="宋体"/>
          <w:b w:val="0"/>
          <w:bCs w:val="0"/>
          <w:snapToGrid w:val="0"/>
          <w:color w:val="auto"/>
          <w:kern w:val="0"/>
          <w:sz w:val="24"/>
          <w:szCs w:val="24"/>
          <w:highlight w:val="none"/>
          <w:u w:val="single"/>
          <w:lang w:val="en-US" w:eastAsia="zh-CN"/>
        </w:rPr>
        <w:t>中</w:t>
      </w:r>
      <w:r>
        <w:rPr>
          <w:rFonts w:hint="eastAsia" w:ascii="宋体" w:hAnsi="宋体" w:eastAsia="宋体" w:cs="宋体"/>
          <w:b w:val="0"/>
          <w:bCs w:val="0"/>
          <w:snapToGrid w:val="0"/>
          <w:color w:val="auto"/>
          <w:kern w:val="0"/>
          <w:sz w:val="24"/>
          <w:szCs w:val="24"/>
          <w:highlight w:val="none"/>
        </w:rPr>
        <w:t>级）技术职称。</w:t>
      </w:r>
    </w:p>
    <w:p w14:paraId="3B1EE085">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lang w:val="en-US" w:eastAsia="zh-CN" w:bidi="ar-SA"/>
        </w:rPr>
        <w:t>2.3.3</w:t>
      </w:r>
      <w:r>
        <w:rPr>
          <w:rFonts w:hint="eastAsia" w:ascii="宋体" w:hAnsi="宋体" w:eastAsia="宋体" w:cs="宋体"/>
          <w:snapToGrid w:val="0"/>
          <w:color w:val="auto"/>
          <w:kern w:val="0"/>
          <w:sz w:val="24"/>
          <w:szCs w:val="24"/>
          <w:highlight w:val="none"/>
        </w:rPr>
        <w:t xml:space="preserve"> 拟派专职安全生产管理人员须具备有效安全生产考核合格证明（C证，安全生产考核合格证书或“广东省建筑施工企业管理人员安全生产考核信息系统”考核合格信息打印页），且不少于</w:t>
      </w:r>
      <w:r>
        <w:rPr>
          <w:rFonts w:hint="eastAsia" w:ascii="宋体" w:hAnsi="宋体" w:eastAsia="宋体" w:cs="宋体"/>
          <w:b/>
          <w:bCs/>
          <w:snapToGrid w:val="0"/>
          <w:color w:val="auto"/>
          <w:kern w:val="0"/>
          <w:sz w:val="24"/>
          <w:szCs w:val="24"/>
          <w:highlight w:val="none"/>
          <w:u w:val="single"/>
        </w:rPr>
        <w:t xml:space="preserve"> </w:t>
      </w:r>
      <w:r>
        <w:rPr>
          <w:rFonts w:hint="eastAsia" w:hAnsi="宋体" w:cs="宋体"/>
          <w:b w:val="0"/>
          <w:bCs w:val="0"/>
          <w:snapToGrid w:val="0"/>
          <w:color w:val="auto"/>
          <w:kern w:val="0"/>
          <w:sz w:val="24"/>
          <w:szCs w:val="24"/>
          <w:highlight w:val="none"/>
          <w:u w:val="single"/>
          <w:lang w:val="en-US" w:eastAsia="zh-CN"/>
        </w:rPr>
        <w:t>1</w:t>
      </w:r>
      <w:r>
        <w:rPr>
          <w:rFonts w:hint="eastAsia" w:ascii="宋体" w:hAnsi="宋体" w:eastAsia="宋体" w:cs="宋体"/>
          <w:b w:val="0"/>
          <w:bCs w:val="0"/>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 xml:space="preserve">人。 </w:t>
      </w:r>
    </w:p>
    <w:p w14:paraId="3053D1C5">
      <w:pPr>
        <w:pStyle w:val="137"/>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2.3.4</w:t>
      </w:r>
      <w:r>
        <w:rPr>
          <w:rFonts w:hint="eastAsia" w:ascii="宋体" w:hAnsi="宋体" w:eastAsia="宋体" w:cs="宋体"/>
          <w:snapToGrid w:val="0"/>
          <w:color w:val="auto"/>
          <w:kern w:val="0"/>
          <w:sz w:val="24"/>
          <w:szCs w:val="24"/>
          <w:highlight w:val="none"/>
        </w:rPr>
        <w:t xml:space="preserve"> 投标人与其拟派往本项目管理机构的所有人员之间必须具备合法、唯一的劳动聘用关系（提供社保证明或劳动合同）。拟派人员中具备注册执业资格的，其注册单位须与投标人保持一致。</w:t>
      </w:r>
    </w:p>
    <w:p w14:paraId="2D1FB1FB">
      <w:pPr>
        <w:pStyle w:val="137"/>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2.4</w:t>
      </w:r>
      <w:r>
        <w:rPr>
          <w:rFonts w:hint="eastAsia" w:ascii="宋体" w:hAnsi="宋体" w:eastAsia="宋体" w:cs="宋体"/>
          <w:snapToGrid w:val="0"/>
          <w:color w:val="auto"/>
          <w:kern w:val="0"/>
          <w:sz w:val="24"/>
          <w:szCs w:val="24"/>
          <w:highlight w:val="none"/>
        </w:rPr>
        <w:t xml:space="preserve"> 禁止投标条款</w:t>
      </w:r>
    </w:p>
    <w:p w14:paraId="0C20DC31">
      <w:pPr>
        <w:pStyle w:val="137"/>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2.4.1</w:t>
      </w:r>
      <w:r>
        <w:rPr>
          <w:rFonts w:hint="eastAsia" w:ascii="宋体" w:hAnsi="宋体" w:eastAsia="宋体" w:cs="宋体"/>
          <w:snapToGrid w:val="0"/>
          <w:color w:val="auto"/>
          <w:kern w:val="0"/>
          <w:sz w:val="24"/>
          <w:szCs w:val="24"/>
          <w:highlight w:val="none"/>
        </w:rPr>
        <w:t xml:space="preserve"> 投标人不得存在下列情形之一：</w:t>
      </w:r>
    </w:p>
    <w:p w14:paraId="5A630184">
      <w:pPr>
        <w:pStyle w:val="137"/>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（1）为招标人不具有独立法人资格的附属机构（单位）；</w:t>
      </w:r>
    </w:p>
    <w:p w14:paraId="37AACD8F">
      <w:pPr>
        <w:pStyle w:val="137"/>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（2）为本招标项目前期准备提供设计或咨询服务的；</w:t>
      </w:r>
    </w:p>
    <w:p w14:paraId="6ED5380C">
      <w:pPr>
        <w:pStyle w:val="137"/>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（3）与本招标项目的其他投标人为同一个单位负责人；</w:t>
      </w:r>
    </w:p>
    <w:p w14:paraId="45D1E826">
      <w:pPr>
        <w:pStyle w:val="137"/>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（4）与本招标项目的其他投标人存在控股、管理关系；</w:t>
      </w:r>
    </w:p>
    <w:p w14:paraId="48C03CCF">
      <w:pPr>
        <w:pStyle w:val="137"/>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（5）为本招标项目的监理人；</w:t>
      </w:r>
    </w:p>
    <w:p w14:paraId="26427379">
      <w:pPr>
        <w:pStyle w:val="137"/>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（6）为本招标项目的代建人；</w:t>
      </w:r>
    </w:p>
    <w:p w14:paraId="21AD29A6">
      <w:pPr>
        <w:pStyle w:val="137"/>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（7）为本招标项目的招标代理机构；</w:t>
      </w:r>
    </w:p>
    <w:p w14:paraId="32386F3B">
      <w:pPr>
        <w:pStyle w:val="137"/>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（8）与本招标项目的监理人或代建人或招标代理机构同为一个法定代表人；</w:t>
      </w:r>
    </w:p>
    <w:p w14:paraId="6E6DF385">
      <w:pPr>
        <w:pStyle w:val="137"/>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（9）与本招标项目的监理人或代建人或招标代理机构存在控股或参股关系；</w:t>
      </w:r>
    </w:p>
    <w:p w14:paraId="676F3247">
      <w:pPr>
        <w:pStyle w:val="137"/>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（10）与本招标项目的监理人或代建人或招标代理机构存在相互任职或工作关系；</w:t>
      </w:r>
    </w:p>
    <w:p w14:paraId="1AABBAF7">
      <w:pPr>
        <w:pStyle w:val="137"/>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（11）被依法暂停或者取消投标资格；</w:t>
      </w:r>
    </w:p>
    <w:p w14:paraId="42A8425B">
      <w:pPr>
        <w:pStyle w:val="137"/>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（12）被责令停产停业、暂扣或者吊销许可证、暂扣或者吊销执照；</w:t>
      </w:r>
    </w:p>
    <w:p w14:paraId="4E7DF616">
      <w:pPr>
        <w:pStyle w:val="137"/>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（13）进入清算程序，或被宣告破产，或其他丧失履约能力的情形；</w:t>
      </w:r>
    </w:p>
    <w:p w14:paraId="4A09F6A2">
      <w:pPr>
        <w:pStyle w:val="137"/>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（14）在最近三年内发生重大工程质量或安全问题（以相关行业主管部门的行政处罚决定或司法机关出具的有关法律文书为准）；</w:t>
      </w:r>
    </w:p>
    <w:p w14:paraId="3FAD7B02">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（15）被“信用中国”网站（https://www.creditchina.gov.cn）发布的《</w:t>
      </w:r>
      <w:r>
        <w:rPr>
          <w:rFonts w:hint="eastAsia" w:ascii="宋体" w:hAnsi="宋体" w:eastAsia="宋体" w:cs="宋体"/>
          <w:snapToGrid w:val="0"/>
          <w:color w:val="auto"/>
          <w:kern w:val="0"/>
          <w:sz w:val="24"/>
          <w:szCs w:val="24"/>
          <w:highlight w:val="none"/>
          <w:lang w:eastAsia="zh-CN"/>
        </w:rPr>
        <w:t>法人和非法人组织公共信用信息报告</w:t>
      </w:r>
      <w:r>
        <w:rPr>
          <w:rFonts w:hint="eastAsia" w:ascii="宋体" w:hAnsi="宋体" w:eastAsia="宋体" w:cs="宋体"/>
          <w:snapToGrid w:val="0"/>
          <w:color w:val="auto"/>
          <w:kern w:val="0"/>
          <w:sz w:val="24"/>
          <w:szCs w:val="24"/>
          <w:highlight w:val="none"/>
        </w:rPr>
        <w:t>》列为严重失信主体名单的。</w:t>
      </w:r>
    </w:p>
    <w:p w14:paraId="71572E2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2.4.2</w:t>
      </w:r>
      <w:r>
        <w:rPr>
          <w:rFonts w:hint="eastAsia" w:ascii="宋体" w:hAnsi="宋体" w:eastAsia="宋体" w:cs="宋体"/>
          <w:snapToGrid w:val="0"/>
          <w:color w:val="auto"/>
          <w:kern w:val="0"/>
          <w:sz w:val="24"/>
          <w:szCs w:val="24"/>
          <w:highlight w:val="none"/>
        </w:rPr>
        <w:t xml:space="preserve"> 招标人拒绝以下名单中的单位参加本次投标：</w:t>
      </w:r>
    </w:p>
    <w:tbl>
      <w:tblPr>
        <w:tblStyle w:val="31"/>
        <w:tblW w:w="88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4368"/>
        <w:gridCol w:w="3690"/>
      </w:tblGrid>
      <w:tr w14:paraId="07968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65" w:type="dxa"/>
            <w:noWrap w:val="0"/>
            <w:vAlign w:val="center"/>
          </w:tcPr>
          <w:p w14:paraId="25A1B51C">
            <w:pPr>
              <w:pageBreakBefore w:val="0"/>
              <w:kinsoku/>
              <w:wordWrap w:val="0"/>
              <w:overflowPunct/>
              <w:topLinePunct w:val="0"/>
              <w:autoSpaceDE/>
              <w:autoSpaceDN/>
              <w:bidi w:val="0"/>
              <w:adjustRightInd w:val="0"/>
              <w:snapToGrid w:val="0"/>
              <w:spacing w:line="360" w:lineRule="auto"/>
              <w:ind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4368" w:type="dxa"/>
            <w:noWrap w:val="0"/>
            <w:vAlign w:val="center"/>
          </w:tcPr>
          <w:p w14:paraId="02669242">
            <w:pPr>
              <w:pageBreakBefore w:val="0"/>
              <w:kinsoku/>
              <w:wordWrap w:val="0"/>
              <w:overflowPunct/>
              <w:topLinePunct w:val="0"/>
              <w:autoSpaceDE/>
              <w:autoSpaceDN/>
              <w:bidi w:val="0"/>
              <w:adjustRightInd w:val="0"/>
              <w:snapToGrid w:val="0"/>
              <w:spacing w:line="360" w:lineRule="auto"/>
              <w:ind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单位名称</w:t>
            </w:r>
          </w:p>
        </w:tc>
        <w:tc>
          <w:tcPr>
            <w:tcW w:w="3690" w:type="dxa"/>
            <w:noWrap w:val="0"/>
            <w:vAlign w:val="center"/>
          </w:tcPr>
          <w:p w14:paraId="7C48B829">
            <w:pPr>
              <w:pageBreakBefore w:val="0"/>
              <w:kinsoku/>
              <w:wordWrap w:val="0"/>
              <w:overflowPunct/>
              <w:topLinePunct w:val="0"/>
              <w:autoSpaceDE/>
              <w:autoSpaceDN/>
              <w:bidi w:val="0"/>
              <w:adjustRightInd w:val="0"/>
              <w:snapToGrid w:val="0"/>
              <w:spacing w:line="360" w:lineRule="auto"/>
              <w:ind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拒绝原因</w:t>
            </w:r>
          </w:p>
        </w:tc>
      </w:tr>
      <w:tr w14:paraId="3057E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65" w:type="dxa"/>
            <w:noWrap w:val="0"/>
            <w:vAlign w:val="center"/>
          </w:tcPr>
          <w:p w14:paraId="4336E695">
            <w:pPr>
              <w:pStyle w:val="137"/>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4368" w:type="dxa"/>
            <w:noWrap w:val="0"/>
            <w:vAlign w:val="center"/>
          </w:tcPr>
          <w:p w14:paraId="1374F252">
            <w:pPr>
              <w:pageBreakBefore w:val="0"/>
              <w:tabs>
                <w:tab w:val="left" w:pos="1180"/>
              </w:tabs>
              <w:kinsoku/>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hAnsi="宋体" w:cs="宋体"/>
                <w:color w:val="auto"/>
                <w:kern w:val="2"/>
                <w:sz w:val="24"/>
                <w:szCs w:val="24"/>
                <w:highlight w:val="none"/>
                <w:lang w:val="en-US" w:eastAsia="zh-CN" w:bidi="ar-SA"/>
              </w:rPr>
              <w:t>广东飞腾工程咨询有限公司</w:t>
            </w:r>
          </w:p>
        </w:tc>
        <w:tc>
          <w:tcPr>
            <w:tcW w:w="3690" w:type="dxa"/>
            <w:noWrap w:val="0"/>
            <w:vAlign w:val="center"/>
          </w:tcPr>
          <w:p w14:paraId="03F38670">
            <w:pPr>
              <w:pStyle w:val="137"/>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为本招标项目的</w:t>
            </w:r>
            <w:r>
              <w:rPr>
                <w:rFonts w:hint="eastAsia" w:ascii="宋体" w:hAnsi="宋体" w:eastAsia="宋体" w:cs="宋体"/>
                <w:color w:val="auto"/>
                <w:sz w:val="24"/>
                <w:szCs w:val="24"/>
                <w:highlight w:val="none"/>
                <w:lang w:val="en-US" w:eastAsia="zh-CN"/>
              </w:rPr>
              <w:t>造价</w:t>
            </w:r>
            <w:r>
              <w:rPr>
                <w:rFonts w:hint="eastAsia" w:ascii="宋体" w:hAnsi="宋体" w:eastAsia="宋体" w:cs="宋体"/>
                <w:color w:val="auto"/>
                <w:sz w:val="24"/>
                <w:szCs w:val="24"/>
                <w:highlight w:val="none"/>
              </w:rPr>
              <w:t>单位</w:t>
            </w:r>
          </w:p>
        </w:tc>
      </w:tr>
      <w:tr w14:paraId="0E4C7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65" w:type="dxa"/>
            <w:noWrap w:val="0"/>
            <w:vAlign w:val="center"/>
          </w:tcPr>
          <w:p w14:paraId="69099EE8">
            <w:pPr>
              <w:pStyle w:val="137"/>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0" w:firstLineChars="0"/>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2</w:t>
            </w:r>
          </w:p>
        </w:tc>
        <w:tc>
          <w:tcPr>
            <w:tcW w:w="4368" w:type="dxa"/>
            <w:noWrap w:val="0"/>
            <w:vAlign w:val="center"/>
          </w:tcPr>
          <w:p w14:paraId="4F1D218D">
            <w:pPr>
              <w:pageBreakBefore w:val="0"/>
              <w:tabs>
                <w:tab w:val="left" w:pos="1180"/>
              </w:tabs>
              <w:kinsoku/>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hAnsi="宋体" w:cs="宋体"/>
                <w:color w:val="auto"/>
                <w:kern w:val="2"/>
                <w:sz w:val="24"/>
                <w:szCs w:val="24"/>
                <w:highlight w:val="none"/>
                <w:lang w:val="en-US" w:eastAsia="zh-CN" w:bidi="ar-SA"/>
              </w:rPr>
              <w:t>中亿国际设计集团有限公司</w:t>
            </w:r>
          </w:p>
        </w:tc>
        <w:tc>
          <w:tcPr>
            <w:tcW w:w="3690" w:type="dxa"/>
            <w:noWrap w:val="0"/>
            <w:vAlign w:val="center"/>
          </w:tcPr>
          <w:p w14:paraId="7655CC5B">
            <w:pPr>
              <w:pStyle w:val="137"/>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为本招标项目的设计单位</w:t>
            </w:r>
          </w:p>
        </w:tc>
      </w:tr>
      <w:tr w14:paraId="47685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65" w:type="dxa"/>
            <w:noWrap w:val="0"/>
            <w:vAlign w:val="center"/>
          </w:tcPr>
          <w:p w14:paraId="1EEFA53E">
            <w:pPr>
              <w:pStyle w:val="137"/>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4368" w:type="dxa"/>
            <w:noWrap w:val="0"/>
            <w:vAlign w:val="center"/>
          </w:tcPr>
          <w:p w14:paraId="50679C12">
            <w:pPr>
              <w:pStyle w:val="137"/>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eastAsia="zh-CN"/>
              </w:rPr>
              <w:t>广州穗图项目管理有限公司</w:t>
            </w:r>
          </w:p>
        </w:tc>
        <w:tc>
          <w:tcPr>
            <w:tcW w:w="3690" w:type="dxa"/>
            <w:noWrap w:val="0"/>
            <w:vAlign w:val="center"/>
          </w:tcPr>
          <w:p w14:paraId="1ADDACC2">
            <w:pPr>
              <w:pStyle w:val="137"/>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为本招标项目的招标代理机构</w:t>
            </w:r>
          </w:p>
        </w:tc>
      </w:tr>
      <w:tr w14:paraId="3C113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765" w:type="dxa"/>
            <w:noWrap w:val="0"/>
            <w:vAlign w:val="center"/>
          </w:tcPr>
          <w:p w14:paraId="1E8109E4">
            <w:pPr>
              <w:pStyle w:val="137"/>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0" w:firstLineChars="0"/>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4</w:t>
            </w:r>
          </w:p>
        </w:tc>
        <w:tc>
          <w:tcPr>
            <w:tcW w:w="4368" w:type="dxa"/>
            <w:noWrap w:val="0"/>
            <w:vAlign w:val="center"/>
          </w:tcPr>
          <w:p w14:paraId="64368625">
            <w:pPr>
              <w:pStyle w:val="137"/>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eastAsia="zh-CN"/>
              </w:rPr>
              <w:t>乐昌市庆云镇人民政府</w:t>
            </w:r>
          </w:p>
        </w:tc>
        <w:tc>
          <w:tcPr>
            <w:tcW w:w="3690" w:type="dxa"/>
            <w:noWrap w:val="0"/>
            <w:vAlign w:val="center"/>
          </w:tcPr>
          <w:p w14:paraId="2198F98C">
            <w:pPr>
              <w:pStyle w:val="137"/>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为本招标项目的招标人</w:t>
            </w:r>
          </w:p>
        </w:tc>
      </w:tr>
      <w:tr w14:paraId="44FAE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765" w:type="dxa"/>
            <w:noWrap w:val="0"/>
            <w:vAlign w:val="center"/>
          </w:tcPr>
          <w:p w14:paraId="462D0013">
            <w:pPr>
              <w:pStyle w:val="137"/>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5</w:t>
            </w:r>
          </w:p>
        </w:tc>
        <w:tc>
          <w:tcPr>
            <w:tcW w:w="4368" w:type="dxa"/>
            <w:noWrap w:val="0"/>
            <w:vAlign w:val="center"/>
          </w:tcPr>
          <w:p w14:paraId="53A63BE4">
            <w:pPr>
              <w:pStyle w:val="137"/>
              <w:wordWrap w:val="0"/>
              <w:adjustRightInd w:val="0"/>
              <w:snapToGrid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乐昌市农业农村局(乐昌市乡村振兴局)</w:t>
            </w:r>
          </w:p>
        </w:tc>
        <w:tc>
          <w:tcPr>
            <w:tcW w:w="3690" w:type="dxa"/>
            <w:noWrap w:val="0"/>
            <w:vAlign w:val="center"/>
          </w:tcPr>
          <w:p w14:paraId="02D74343">
            <w:pPr>
              <w:pStyle w:val="137"/>
              <w:wordWrap w:val="0"/>
              <w:adjustRightInd w:val="0"/>
              <w:snapToGrid w:val="0"/>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snapToGrid w:val="0"/>
                <w:color w:val="auto"/>
                <w:kern w:val="0"/>
                <w:sz w:val="24"/>
                <w:szCs w:val="24"/>
                <w:highlight w:val="none"/>
              </w:rPr>
              <w:t>为本招标项目的</w:t>
            </w:r>
            <w:r>
              <w:rPr>
                <w:rFonts w:hint="eastAsia" w:ascii="宋体" w:hAnsi="宋体" w:eastAsia="宋体" w:cs="宋体"/>
                <w:snapToGrid w:val="0"/>
                <w:color w:val="auto"/>
                <w:kern w:val="0"/>
                <w:sz w:val="24"/>
                <w:szCs w:val="24"/>
                <w:highlight w:val="none"/>
                <w:lang w:val="en-US" w:eastAsia="zh-CN"/>
              </w:rPr>
              <w:t>监督单位</w:t>
            </w:r>
          </w:p>
        </w:tc>
      </w:tr>
      <w:tr w14:paraId="3241D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765" w:type="dxa"/>
            <w:noWrap w:val="0"/>
            <w:vAlign w:val="center"/>
          </w:tcPr>
          <w:p w14:paraId="272061D0">
            <w:pPr>
              <w:pStyle w:val="137"/>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6</w:t>
            </w:r>
          </w:p>
        </w:tc>
        <w:tc>
          <w:tcPr>
            <w:tcW w:w="4368" w:type="dxa"/>
            <w:noWrap w:val="0"/>
            <w:vAlign w:val="center"/>
          </w:tcPr>
          <w:p w14:paraId="4765AB9D">
            <w:pPr>
              <w:pStyle w:val="137"/>
              <w:wordWrap w:val="0"/>
              <w:adjustRightInd w:val="0"/>
              <w:snapToGrid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世纪工程项目管理有限公司</w:t>
            </w:r>
          </w:p>
        </w:tc>
        <w:tc>
          <w:tcPr>
            <w:tcW w:w="3690" w:type="dxa"/>
            <w:noWrap w:val="0"/>
            <w:vAlign w:val="center"/>
          </w:tcPr>
          <w:p w14:paraId="14C39424">
            <w:pPr>
              <w:pStyle w:val="137"/>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为本招标项目的</w:t>
            </w:r>
            <w:r>
              <w:rPr>
                <w:rFonts w:hint="eastAsia" w:ascii="宋体" w:hAnsi="宋体" w:cs="宋体"/>
                <w:snapToGrid w:val="0"/>
                <w:color w:val="auto"/>
                <w:kern w:val="0"/>
                <w:sz w:val="24"/>
                <w:szCs w:val="24"/>
                <w:highlight w:val="none"/>
                <w:lang w:val="en-US" w:eastAsia="zh-CN"/>
              </w:rPr>
              <w:t>可研编制</w:t>
            </w:r>
            <w:r>
              <w:rPr>
                <w:rFonts w:hint="eastAsia" w:ascii="宋体" w:hAnsi="宋体" w:eastAsia="宋体" w:cs="宋体"/>
                <w:snapToGrid w:val="0"/>
                <w:color w:val="auto"/>
                <w:kern w:val="0"/>
                <w:sz w:val="24"/>
                <w:szCs w:val="24"/>
                <w:highlight w:val="none"/>
                <w:lang w:val="en-US" w:eastAsia="zh-CN"/>
              </w:rPr>
              <w:t>单位</w:t>
            </w:r>
          </w:p>
        </w:tc>
      </w:tr>
      <w:tr w14:paraId="2D68B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765" w:type="dxa"/>
            <w:noWrap w:val="0"/>
            <w:vAlign w:val="center"/>
          </w:tcPr>
          <w:p w14:paraId="0A5A9F1D">
            <w:pPr>
              <w:pStyle w:val="137"/>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0" w:firstLineChars="0"/>
              <w:jc w:val="center"/>
              <w:textAlignment w:val="auto"/>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7</w:t>
            </w:r>
          </w:p>
        </w:tc>
        <w:tc>
          <w:tcPr>
            <w:tcW w:w="4368" w:type="dxa"/>
            <w:noWrap w:val="0"/>
            <w:vAlign w:val="center"/>
          </w:tcPr>
          <w:p w14:paraId="337AFA38">
            <w:pPr>
              <w:pStyle w:val="137"/>
              <w:wordWrap w:val="0"/>
              <w:adjustRightInd w:val="0"/>
              <w:snapToGrid w:val="0"/>
              <w:spacing w:line="360" w:lineRule="auto"/>
              <w:jc w:val="center"/>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韶关市腾宇测绘技术有限公司</w:t>
            </w:r>
          </w:p>
        </w:tc>
        <w:tc>
          <w:tcPr>
            <w:tcW w:w="3690" w:type="dxa"/>
            <w:noWrap w:val="0"/>
            <w:vAlign w:val="center"/>
          </w:tcPr>
          <w:p w14:paraId="575A69B0">
            <w:pPr>
              <w:pStyle w:val="137"/>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rPr>
              <w:t>为本招标项目的测绘</w:t>
            </w:r>
            <w:r>
              <w:rPr>
                <w:rFonts w:hint="eastAsia" w:ascii="宋体" w:hAnsi="宋体" w:cs="宋体"/>
                <w:snapToGrid w:val="0"/>
                <w:color w:val="auto"/>
                <w:kern w:val="0"/>
                <w:sz w:val="24"/>
                <w:szCs w:val="24"/>
                <w:highlight w:val="none"/>
                <w:lang w:val="en-US" w:eastAsia="zh-CN"/>
              </w:rPr>
              <w:t>单位</w:t>
            </w:r>
          </w:p>
        </w:tc>
      </w:tr>
      <w:tr w14:paraId="74B4B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765" w:type="dxa"/>
            <w:noWrap w:val="0"/>
            <w:vAlign w:val="center"/>
          </w:tcPr>
          <w:p w14:paraId="0A73C3F6">
            <w:pPr>
              <w:pStyle w:val="137"/>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0" w:firstLineChars="0"/>
              <w:jc w:val="center"/>
              <w:textAlignment w:val="auto"/>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8</w:t>
            </w:r>
          </w:p>
        </w:tc>
        <w:tc>
          <w:tcPr>
            <w:tcW w:w="4368" w:type="dxa"/>
            <w:noWrap w:val="0"/>
            <w:vAlign w:val="center"/>
          </w:tcPr>
          <w:p w14:paraId="48F1735F">
            <w:pPr>
              <w:pStyle w:val="137"/>
              <w:wordWrap w:val="0"/>
              <w:adjustRightInd w:val="0"/>
              <w:snapToGrid w:val="0"/>
              <w:spacing w:line="360" w:lineRule="auto"/>
              <w:jc w:val="center"/>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广东合正项目管理有限公司</w:t>
            </w:r>
          </w:p>
        </w:tc>
        <w:tc>
          <w:tcPr>
            <w:tcW w:w="3690" w:type="dxa"/>
            <w:noWrap w:val="0"/>
            <w:vAlign w:val="center"/>
          </w:tcPr>
          <w:p w14:paraId="1FC5D15C">
            <w:pPr>
              <w:pStyle w:val="137"/>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为本招标项目的</w:t>
            </w:r>
            <w:r>
              <w:rPr>
                <w:rFonts w:hint="eastAsia" w:ascii="宋体" w:hAnsi="宋体" w:cs="宋体"/>
                <w:snapToGrid w:val="0"/>
                <w:color w:val="auto"/>
                <w:kern w:val="0"/>
                <w:sz w:val="24"/>
                <w:szCs w:val="24"/>
                <w:highlight w:val="none"/>
                <w:lang w:val="en-US" w:eastAsia="zh-CN"/>
              </w:rPr>
              <w:t>监理单位</w:t>
            </w:r>
          </w:p>
        </w:tc>
      </w:tr>
    </w:tbl>
    <w:p w14:paraId="5E9B2F75">
      <w:pPr>
        <w:pageBreakBefore w:val="0"/>
        <w:tabs>
          <w:tab w:val="left" w:pos="7020"/>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2.5</w:t>
      </w:r>
      <w:r>
        <w:rPr>
          <w:rFonts w:hint="eastAsia" w:ascii="宋体" w:hAnsi="宋体" w:eastAsia="宋体" w:cs="宋体"/>
          <w:snapToGrid w:val="0"/>
          <w:color w:val="auto"/>
          <w:kern w:val="0"/>
          <w:sz w:val="24"/>
          <w:szCs w:val="24"/>
          <w:highlight w:val="none"/>
        </w:rPr>
        <w:t xml:space="preserve"> 其他要求</w:t>
      </w:r>
    </w:p>
    <w:p w14:paraId="3ED53606">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省外企业及其拟派往本项目管理机构的所有人员均须按照《广东省住房和城乡建设厅关于取消省外建筑企业和人员进粤信息备案有关工作的通知》（粤建市﹝2015﹞52号）规定在“进粤企业和人员诚信信息登记平台”录入相关信息并通过数据规范检查。</w:t>
      </w:r>
      <w:bookmarkStart w:id="44" w:name="_Toc7546"/>
      <w:bookmarkStart w:id="45" w:name="_Toc22815"/>
      <w:bookmarkStart w:id="46" w:name="_Toc4046"/>
      <w:bookmarkStart w:id="47" w:name="_Toc6745"/>
    </w:p>
    <w:p w14:paraId="09B3CBD5">
      <w:pPr>
        <w:rPr>
          <w:rFonts w:hint="eastAsia"/>
          <w:color w:val="auto"/>
          <w:highlight w:val="none"/>
        </w:rPr>
      </w:pPr>
    </w:p>
    <w:p w14:paraId="50A33841">
      <w:pPr>
        <w:pStyle w:val="4"/>
        <w:keepNext/>
        <w:keepLines/>
        <w:pageBreakBefore w:val="0"/>
        <w:widowControl/>
        <w:kinsoku/>
        <w:wordWrap/>
        <w:overflowPunct/>
        <w:topLinePunct w:val="0"/>
        <w:autoSpaceDE/>
        <w:autoSpaceDN/>
        <w:bidi w:val="0"/>
        <w:adjustRightInd/>
        <w:snapToGrid/>
        <w:spacing w:beforeLines="0" w:afterLines="0" w:line="360" w:lineRule="auto"/>
        <w:ind w:left="0" w:leftChars="0" w:right="0"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3．招标文件的获取</w:t>
      </w:r>
      <w:bookmarkEnd w:id="44"/>
      <w:bookmarkEnd w:id="45"/>
      <w:bookmarkEnd w:id="46"/>
      <w:bookmarkEnd w:id="47"/>
    </w:p>
    <w:p w14:paraId="1562302D">
      <w:pPr>
        <w:pageBreakBefore w:val="0"/>
        <w:tabs>
          <w:tab w:val="left" w:pos="7020"/>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3.1 </w:t>
      </w:r>
      <w:r>
        <w:rPr>
          <w:rFonts w:hint="eastAsia" w:ascii="宋体" w:hAnsi="宋体" w:eastAsia="宋体" w:cs="宋体"/>
          <w:snapToGrid w:val="0"/>
          <w:color w:val="auto"/>
          <w:kern w:val="0"/>
          <w:sz w:val="24"/>
          <w:szCs w:val="24"/>
          <w:highlight w:val="none"/>
        </w:rPr>
        <w:t>本次招标实行电子投标。</w:t>
      </w:r>
    </w:p>
    <w:p w14:paraId="5028BEF8">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本次招标实行电子投标。本项目招标文件随招标公告一并在</w:t>
      </w:r>
      <w:r>
        <w:rPr>
          <w:rFonts w:hint="eastAsia" w:ascii="宋体" w:hAnsi="宋体" w:eastAsia="宋体" w:cs="宋体"/>
          <w:snapToGrid w:val="0"/>
          <w:color w:val="auto"/>
          <w:kern w:val="0"/>
          <w:sz w:val="24"/>
          <w:szCs w:val="24"/>
          <w:highlight w:val="none"/>
          <w:lang w:eastAsia="zh-CN"/>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网站发布。招标文件一经在</w:t>
      </w:r>
      <w:r>
        <w:rPr>
          <w:rFonts w:hint="eastAsia" w:ascii="宋体" w:hAnsi="宋体" w:eastAsia="宋体" w:cs="宋体"/>
          <w:snapToGrid w:val="0"/>
          <w:color w:val="auto"/>
          <w:kern w:val="0"/>
          <w:sz w:val="24"/>
          <w:szCs w:val="24"/>
          <w:highlight w:val="none"/>
          <w:lang w:eastAsia="zh-CN"/>
        </w:rPr>
        <w:t>全国公共资源交易平台（广东省·韶关市）</w:t>
      </w:r>
      <w:r>
        <w:rPr>
          <w:rFonts w:hint="eastAsia" w:ascii="宋体" w:hAnsi="宋体" w:eastAsia="宋体" w:cs="宋体"/>
          <w:snapToGrid w:val="0"/>
          <w:color w:val="auto"/>
          <w:kern w:val="0"/>
          <w:sz w:val="24"/>
          <w:szCs w:val="24"/>
          <w:highlight w:val="none"/>
        </w:rPr>
        <w:t>发布，视为</w:t>
      </w:r>
      <w:r>
        <w:rPr>
          <w:rFonts w:hint="eastAsia" w:ascii="宋体" w:hAnsi="宋体" w:eastAsia="宋体" w:cs="宋体"/>
          <w:snapToGrid w:val="0"/>
          <w:color w:val="auto"/>
          <w:kern w:val="0"/>
          <w:sz w:val="24"/>
          <w:szCs w:val="24"/>
          <w:highlight w:val="none"/>
          <w:lang w:eastAsia="zh-CN"/>
        </w:rPr>
        <w:t>发送</w:t>
      </w:r>
      <w:r>
        <w:rPr>
          <w:rFonts w:hint="eastAsia" w:ascii="宋体" w:hAnsi="宋体" w:eastAsia="宋体" w:cs="宋体"/>
          <w:snapToGrid w:val="0"/>
          <w:color w:val="auto"/>
          <w:kern w:val="0"/>
          <w:sz w:val="24"/>
          <w:szCs w:val="24"/>
          <w:highlight w:val="none"/>
        </w:rPr>
        <w:t>投标人，招标文件及相关附件由投标人自行在</w:t>
      </w:r>
      <w:r>
        <w:rPr>
          <w:rFonts w:hint="eastAsia" w:ascii="宋体" w:hAnsi="宋体" w:eastAsia="宋体" w:cs="宋体"/>
          <w:snapToGrid w:val="0"/>
          <w:color w:val="auto"/>
          <w:kern w:val="0"/>
          <w:sz w:val="24"/>
          <w:szCs w:val="24"/>
          <w:highlight w:val="none"/>
          <w:lang w:eastAsia="zh-CN"/>
        </w:rPr>
        <w:t>全国公共资源交易平台（广东省·韶关市）</w:t>
      </w:r>
      <w:r>
        <w:rPr>
          <w:rFonts w:hint="eastAsia" w:ascii="宋体" w:hAnsi="宋体" w:eastAsia="宋体" w:cs="宋体"/>
          <w:snapToGrid w:val="0"/>
          <w:color w:val="auto"/>
          <w:kern w:val="0"/>
          <w:sz w:val="24"/>
          <w:szCs w:val="24"/>
          <w:highlight w:val="none"/>
        </w:rPr>
        <w:t>网站下载。请于招标文件获取期间,（见本章第二节“重要事项时间地点一览表”）招标文件获取期间与招标公告发布时间一致，投标人须登录</w:t>
      </w:r>
      <w:r>
        <w:rPr>
          <w:rFonts w:hint="eastAsia" w:ascii="宋体" w:hAnsi="宋体" w:eastAsia="宋体" w:cs="宋体"/>
          <w:snapToGrid w:val="0"/>
          <w:color w:val="auto"/>
          <w:kern w:val="0"/>
          <w:sz w:val="24"/>
          <w:szCs w:val="24"/>
          <w:highlight w:val="none"/>
          <w:lang w:eastAsia="zh-CN"/>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，使用新建设工程交易系统进行下载招标文件及相关附件，并于电子投标截止时间（见本章第二节“重要事项时间地点一览表”）前完成电子投标。投标人可登录</w:t>
      </w:r>
      <w:r>
        <w:rPr>
          <w:rFonts w:hint="eastAsia" w:ascii="宋体" w:hAnsi="宋体" w:eastAsia="宋体" w:cs="宋体"/>
          <w:snapToGrid w:val="0"/>
          <w:color w:val="auto"/>
          <w:kern w:val="0"/>
          <w:sz w:val="24"/>
          <w:szCs w:val="24"/>
          <w:highlight w:val="none"/>
          <w:lang w:eastAsia="zh-CN"/>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，在【</w:t>
      </w:r>
      <w:r>
        <w:rPr>
          <w:rFonts w:hint="eastAsia" w:ascii="宋体" w:hAnsi="宋体" w:eastAsia="宋体" w:cs="宋体"/>
          <w:snapToGrid w:val="0"/>
          <w:color w:val="auto"/>
          <w:kern w:val="0"/>
          <w:sz w:val="24"/>
          <w:szCs w:val="24"/>
          <w:highlight w:val="none"/>
          <w:lang w:val="en-US" w:eastAsia="zh-CN"/>
        </w:rPr>
        <w:t>服务指南</w:t>
      </w:r>
      <w:r>
        <w:rPr>
          <w:rFonts w:hint="eastAsia" w:ascii="宋体" w:hAnsi="宋体" w:eastAsia="宋体" w:cs="宋体"/>
          <w:snapToGrid w:val="0"/>
          <w:color w:val="auto"/>
          <w:kern w:val="0"/>
          <w:sz w:val="24"/>
          <w:szCs w:val="24"/>
          <w:highlight w:val="none"/>
        </w:rPr>
        <w:t>】栏目中建设工程交易中下载《韶关市公共资源一体化平台——建设工程交易投标人操作指南（电子评标）》（附件</w:t>
      </w:r>
      <w:r>
        <w:rPr>
          <w:rFonts w:hint="eastAsia" w:ascii="宋体" w:hAnsi="宋体" w:eastAsia="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rPr>
        <w:t>），了解网上获取招标文件操作流程。技术咨询电话：0751-8379671 伍先生，业务咨询电话：0751-8633211、8379023。</w:t>
      </w:r>
    </w:p>
    <w:p w14:paraId="04BC3524">
      <w:pPr>
        <w:pageBreakBefore w:val="0"/>
        <w:tabs>
          <w:tab w:val="left" w:pos="7020"/>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3.2 </w:t>
      </w:r>
      <w:r>
        <w:rPr>
          <w:rFonts w:hint="eastAsia" w:ascii="宋体" w:hAnsi="宋体" w:eastAsia="宋体" w:cs="宋体"/>
          <w:snapToGrid w:val="0"/>
          <w:color w:val="auto"/>
          <w:kern w:val="0"/>
          <w:sz w:val="24"/>
          <w:szCs w:val="24"/>
          <w:highlight w:val="none"/>
        </w:rPr>
        <w:t>只有申领了数字证书（CA）、“粤企签”或GDCA/SZCA/NETCA等符合法律法规规定的电子印章，并在交易系统中完成企业信息数据入库的投标人，方可使用建设工程交易系统进行招标文件及附件获取和电子投标。</w:t>
      </w:r>
    </w:p>
    <w:p w14:paraId="0F65984B">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首次在韶关市参与建设工程招标投标活动的投标人，必须在平台系统上传企业相关资料办理企业入库事宜。投标人可登录</w:t>
      </w:r>
      <w:r>
        <w:rPr>
          <w:rFonts w:hint="eastAsia" w:ascii="宋体" w:hAnsi="宋体" w:eastAsia="宋体" w:cs="宋体"/>
          <w:snapToGrid w:val="0"/>
          <w:color w:val="auto"/>
          <w:kern w:val="0"/>
          <w:sz w:val="24"/>
          <w:szCs w:val="24"/>
          <w:highlight w:val="none"/>
          <w:lang w:eastAsia="zh-CN"/>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办理办理企业入库、数字证书及电子印章事宜，具体请在平台查阅相应的交易指引。</w:t>
      </w:r>
    </w:p>
    <w:p w14:paraId="355CC6E4">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已入库企业有关信息（如单位名称、基本账号、资质、人员等）发生变化的，须及时在交易系统进行相应变更。投标人未及时变更信息而造成的损失和后果，由投标人自行承担。</w:t>
      </w:r>
    </w:p>
    <w:p w14:paraId="6EA60F7D">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电子印章：是指获得国家工业和信息化部颁发的《电子认证服务许可证》、国家密码管理局颁发的《电子认证服务使用密码许可证》等资质，具备承担因数字证书原因产生纠纷的相关责任的能力，且在广东省内具有数量基础和服务能力的依法设立的电子认证服务机构签发的电子签章认证证书（即CA数字证书）。投标人应当到相关服务机构办理并取得数字证书介质和应用。电子印章包括机构法人电子形式印章，单位法定代表人、被委托人及其他个人的电子形式印章。电子印章与手写签名或者盖章具有同等的法律效力。</w:t>
      </w:r>
    </w:p>
    <w:p w14:paraId="5533CA0C">
      <w:pPr>
        <w:pageBreakBefore w:val="0"/>
        <w:tabs>
          <w:tab w:val="left" w:pos="7020"/>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3.3</w:t>
      </w:r>
      <w:r>
        <w:rPr>
          <w:rFonts w:hint="eastAsia" w:ascii="宋体" w:hAnsi="宋体" w:eastAsia="宋体" w:cs="宋体"/>
          <w:snapToGrid w:val="0"/>
          <w:color w:val="auto"/>
          <w:kern w:val="0"/>
          <w:sz w:val="24"/>
          <w:szCs w:val="24"/>
          <w:highlight w:val="none"/>
        </w:rPr>
        <w:t xml:space="preserve"> 投标保证</w:t>
      </w:r>
    </w:p>
    <w:p w14:paraId="0941DE31">
      <w:pPr>
        <w:pageBreakBefore w:val="0"/>
        <w:tabs>
          <w:tab w:val="left" w:pos="7020"/>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3.3.1</w:t>
      </w:r>
      <w:r>
        <w:rPr>
          <w:rFonts w:hint="eastAsia" w:ascii="宋体" w:hAnsi="宋体" w:eastAsia="宋体" w:cs="宋体"/>
          <w:snapToGrid w:val="0"/>
          <w:color w:val="auto"/>
          <w:kern w:val="0"/>
          <w:sz w:val="24"/>
          <w:szCs w:val="24"/>
          <w:highlight w:val="none"/>
        </w:rPr>
        <w:t xml:space="preserve"> 投标人须缴纳金额为人民币</w:t>
      </w:r>
      <w:r>
        <w:rPr>
          <w:rFonts w:hint="eastAsia" w:hAnsi="宋体" w:cs="宋体"/>
          <w:b/>
          <w:bCs/>
          <w:snapToGrid w:val="0"/>
          <w:color w:val="auto"/>
          <w:kern w:val="0"/>
          <w:sz w:val="24"/>
          <w:szCs w:val="24"/>
          <w:highlight w:val="none"/>
          <w:u w:val="single"/>
          <w:lang w:val="en-US" w:eastAsia="zh-CN"/>
        </w:rPr>
        <w:t>40</w:t>
      </w:r>
      <w:r>
        <w:rPr>
          <w:rFonts w:hint="eastAsia" w:ascii="宋体" w:hAnsi="宋体" w:eastAsia="宋体" w:cs="宋体"/>
          <w:b/>
          <w:bCs/>
          <w:snapToGrid w:val="0"/>
          <w:color w:val="auto"/>
          <w:kern w:val="0"/>
          <w:sz w:val="24"/>
          <w:szCs w:val="24"/>
          <w:highlight w:val="none"/>
          <w:u w:val="single"/>
          <w:lang w:val="en-US" w:eastAsia="zh-CN"/>
        </w:rPr>
        <w:t>万元</w:t>
      </w:r>
      <w:r>
        <w:rPr>
          <w:rFonts w:hint="eastAsia" w:ascii="宋体" w:hAnsi="宋体" w:eastAsia="宋体" w:cs="宋体"/>
          <w:snapToGrid w:val="0"/>
          <w:color w:val="auto"/>
          <w:kern w:val="0"/>
          <w:sz w:val="24"/>
          <w:szCs w:val="24"/>
          <w:highlight w:val="none"/>
        </w:rPr>
        <w:t xml:space="preserve">的投标保证。  </w:t>
      </w:r>
    </w:p>
    <w:p w14:paraId="0D951ABB">
      <w:pPr>
        <w:pageBreakBefore w:val="0"/>
        <w:tabs>
          <w:tab w:val="left" w:pos="7020"/>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3.3.2</w:t>
      </w:r>
      <w:r>
        <w:rPr>
          <w:rFonts w:hint="eastAsia" w:ascii="宋体" w:hAnsi="宋体" w:eastAsia="宋体" w:cs="宋体"/>
          <w:snapToGrid w:val="0"/>
          <w:color w:val="auto"/>
          <w:kern w:val="0"/>
          <w:sz w:val="24"/>
          <w:szCs w:val="24"/>
          <w:highlight w:val="none"/>
        </w:rPr>
        <w:t xml:space="preserve"> 投标保证的形式包括投标保证金、投标保证担保、投标保证保险三种，由投标人自主选择。</w:t>
      </w:r>
    </w:p>
    <w:p w14:paraId="469F208C">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采用投标保证金的，投标人在建设工程交易系统获取招标文件完毕后，即可在系统申请缴纳投标保证金，获取本次招标投标保证金缴纳账号。投标人必须于投标保证金到账截止时间（见本章第二节“重要事项时间地点一览表”）前，从其基本账户将投标保证金转账到指定的缴纳账号。逾期到账的、从非投标人基本账户转出的，其投标无效。</w:t>
      </w:r>
    </w:p>
    <w:p w14:paraId="47608B81">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rPr>
        <w:t>）采用投标保证担保的，投标人应提交有效的电子保函或保证保险，电子保函或保证保险的有效期不得短于投标有效期。投标人必须在投标保证担保截止时间（见本章第二节“重要事项时间地点一览表”）前，使用工程建设交易系统完成网上办理电子保函或保证保险。</w:t>
      </w:r>
    </w:p>
    <w:p w14:paraId="13E6C517">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3）采用投标保证保险的，投标人须在投标保证保险投保截止时间（见本章第二节“重要事项时间地点一览表”）前，使用建设工程交易系统完成网上投保。投标人可在系统选择保险机构、录入投保信息、支付保费、打印电子保单，电子保单的有效期不得短于投标有效期。投标人可登录</w:t>
      </w:r>
      <w:r>
        <w:rPr>
          <w:rFonts w:hint="eastAsia" w:ascii="宋体" w:hAnsi="宋体" w:eastAsia="宋体" w:cs="宋体"/>
          <w:snapToGrid w:val="0"/>
          <w:color w:val="auto"/>
          <w:kern w:val="0"/>
          <w:sz w:val="24"/>
          <w:szCs w:val="24"/>
          <w:highlight w:val="none"/>
          <w:lang w:eastAsia="zh-CN"/>
        </w:rPr>
        <w:t>全国公共资源交易平台（广东省·韶关市）（https://ygp.gdzwfw.gov.cn/ggzy-portal/#/440200/index）</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在【服务指南】栏目中下载《韶关市公共资源建设工程交易系统-投标人操作指南》，了解网上投保具体操作流程。逾期投保的，其投标无效。</w:t>
      </w:r>
      <w:r>
        <w:rPr>
          <w:rFonts w:hint="eastAsia" w:ascii="宋体" w:hAnsi="宋体" w:eastAsia="宋体" w:cs="宋体"/>
          <w:color w:val="auto"/>
          <w:sz w:val="24"/>
          <w:szCs w:val="24"/>
          <w:highlight w:val="none"/>
        </w:rPr>
        <w:t xml:space="preserve">    </w:t>
      </w:r>
    </w:p>
    <w:p w14:paraId="7D1E5CAA">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tabs>
          <w:tab w:val="left" w:pos="7026"/>
        </w:tabs>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color w:val="auto"/>
          <w:highlight w:val="none"/>
        </w:rPr>
      </w:pPr>
      <w:r>
        <w:rPr>
          <w:rFonts w:hint="eastAsia" w:ascii="宋体" w:hAnsi="宋体" w:eastAsia="宋体" w:cs="宋体"/>
          <w:snapToGrid w:val="0"/>
          <w:color w:val="auto"/>
          <w:kern w:val="0"/>
          <w:sz w:val="24"/>
          <w:szCs w:val="24"/>
          <w:highlight w:val="none"/>
        </w:rPr>
        <w:t>温馨提醒：</w:t>
      </w:r>
      <w:r>
        <w:rPr>
          <w:rFonts w:hint="eastAsia" w:ascii="宋体" w:hAnsi="宋体" w:eastAsia="宋体" w:cs="宋体"/>
          <w:color w:val="auto"/>
          <w:sz w:val="24"/>
          <w:szCs w:val="24"/>
          <w:highlight w:val="none"/>
        </w:rPr>
        <w:t>1.投标人采用投标保证担保或投标保证保险的，为避免在评标过程中因有效期发生争议，建议投标人将银行保函或电子保单有效期设置为较招标文件规定的投标有效期延长不少于20个日历天。</w:t>
      </w:r>
    </w:p>
    <w:p w14:paraId="62682BE6">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tabs>
          <w:tab w:val="left" w:pos="7026"/>
        </w:tabs>
        <w:kinsoku/>
        <w:wordWrap/>
        <w:overflowPunct/>
        <w:topLinePunct w:val="0"/>
        <w:autoSpaceDE/>
        <w:autoSpaceDN/>
        <w:bidi w:val="0"/>
        <w:adjustRightInd/>
        <w:snapToGrid/>
        <w:spacing w:before="0" w:beforeAutospacing="0" w:after="0" w:afterAutospacing="0" w:line="360" w:lineRule="auto"/>
        <w:ind w:left="0" w:firstLine="480" w:firstLineChars="200"/>
        <w:jc w:val="both"/>
        <w:textAlignment w:val="auto"/>
        <w:rPr>
          <w:rFonts w:hint="eastAsia" w:ascii="宋体" w:hAnsi="宋体" w:eastAsia="宋体" w:cs="宋体"/>
          <w:color w:val="auto"/>
          <w:highlight w:val="none"/>
        </w:rPr>
      </w:pPr>
      <w:r>
        <w:rPr>
          <w:rFonts w:hint="eastAsia" w:ascii="宋体" w:hAnsi="宋体" w:eastAsia="宋体" w:cs="宋体"/>
          <w:color w:val="auto"/>
          <w:sz w:val="24"/>
          <w:szCs w:val="24"/>
          <w:highlight w:val="none"/>
        </w:rPr>
        <w:t>2.根据《建设工程质量保证金管理办法》等有关规定，发包人应按照合同约定方式预留保证金（按规定，比例不得高于工程价款结算总额的3%）。合同约定由承包人以银行保函替代预留保证金的，保函金额不得高于工程价款结算总额的3%。</w:t>
      </w:r>
    </w:p>
    <w:p w14:paraId="76A40EFE">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tabs>
          <w:tab w:val="left" w:pos="7026"/>
        </w:tabs>
        <w:kinsoku/>
        <w:wordWrap/>
        <w:overflowPunct/>
        <w:topLinePunct w:val="0"/>
        <w:autoSpaceDE/>
        <w:autoSpaceDN/>
        <w:bidi w:val="0"/>
        <w:adjustRightInd/>
        <w:snapToGrid/>
        <w:spacing w:before="0" w:beforeAutospacing="0" w:after="0" w:afterAutospacing="0" w:line="360" w:lineRule="auto"/>
        <w:ind w:left="0" w:firstLine="480" w:firstLineChars="200"/>
        <w:jc w:val="both"/>
        <w:textAlignment w:val="auto"/>
        <w:rPr>
          <w:rFonts w:hint="eastAsia" w:ascii="宋体" w:hAnsi="宋体" w:eastAsia="宋体" w:cs="宋体"/>
          <w:color w:val="auto"/>
          <w:highlight w:val="none"/>
        </w:rPr>
      </w:pPr>
      <w:r>
        <w:rPr>
          <w:rFonts w:hint="eastAsia" w:ascii="宋体" w:hAnsi="宋体" w:eastAsia="宋体" w:cs="宋体"/>
          <w:color w:val="auto"/>
          <w:sz w:val="24"/>
          <w:szCs w:val="24"/>
          <w:highlight w:val="none"/>
        </w:rPr>
        <w:t>3.根据《保障农民工工资支付条例》，发包人必须落实工程款支付担保制度，需有项目预付款。2017年2月，国务院出台《关于促进建筑业持续健康发展的意见》，要求“严格执行工程预付款制度，及时按合同约定足额向承包单位支付预付款。通过工程款支付担保等经济、法律手段约束建设单位履约行为，预防拖欠工程款。”</w:t>
      </w:r>
    </w:p>
    <w:p w14:paraId="6A8AEEFC">
      <w:pPr>
        <w:pStyle w:val="29"/>
        <w:keepNext w:val="0"/>
        <w:keepLines w:val="0"/>
        <w:pageBreakBefore w:val="0"/>
        <w:widowControl w:val="0"/>
        <w:suppressLineNumbers w:val="0"/>
        <w:pBdr>
          <w:top w:val="none" w:color="auto" w:sz="0" w:space="0"/>
          <w:left w:val="none" w:color="auto" w:sz="0" w:space="0"/>
          <w:bottom w:val="none" w:color="auto" w:sz="0" w:space="0"/>
          <w:right w:val="none" w:color="auto" w:sz="0" w:space="0"/>
          <w:between w:val="none" w:color="auto" w:sz="0" w:space="0"/>
        </w:pBdr>
        <w:tabs>
          <w:tab w:val="left" w:pos="7026"/>
        </w:tabs>
        <w:kinsoku/>
        <w:wordWrap/>
        <w:overflowPunct/>
        <w:topLinePunct w:val="0"/>
        <w:autoSpaceDE/>
        <w:autoSpaceDN/>
        <w:bidi w:val="0"/>
        <w:adjustRightInd/>
        <w:snapToGrid/>
        <w:spacing w:before="0" w:beforeAutospacing="0" w:after="0" w:afterAutospacing="0" w:line="360" w:lineRule="auto"/>
        <w:ind w:left="0" w:firstLine="480" w:firstLineChars="200"/>
        <w:jc w:val="both"/>
        <w:textAlignment w:val="auto"/>
        <w:rPr>
          <w:rFonts w:hint="eastAsia" w:ascii="宋体" w:hAnsi="宋体" w:eastAsia="宋体" w:cs="宋体"/>
          <w:b/>
          <w:bCs/>
          <w:snapToGrid w:val="0"/>
          <w:color w:val="auto"/>
          <w:kern w:val="0"/>
          <w:sz w:val="24"/>
          <w:szCs w:val="24"/>
          <w:highlight w:val="none"/>
        </w:rPr>
      </w:pPr>
      <w:r>
        <w:rPr>
          <w:rFonts w:hint="eastAsia" w:ascii="宋体" w:hAnsi="宋体" w:eastAsia="宋体" w:cs="宋体"/>
          <w:color w:val="auto"/>
          <w:sz w:val="24"/>
          <w:szCs w:val="24"/>
          <w:highlight w:val="none"/>
        </w:rPr>
        <w:t>4.根据《关于印发广东省根治欠薪冬季专项行动工作方案的通知》（粤治欠办函〔2021〕49号）要求，鼓励项目采用担保，担保形式可包括银行保函、工程保证保险以及专业工程担保公司保函等。</w:t>
      </w:r>
    </w:p>
    <w:p w14:paraId="148B7AEB">
      <w:pPr>
        <w:pageBreakBefore w:val="0"/>
        <w:tabs>
          <w:tab w:val="left" w:pos="7020"/>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3.4</w:t>
      </w:r>
      <w:r>
        <w:rPr>
          <w:rFonts w:hint="eastAsia" w:ascii="宋体" w:hAnsi="宋体" w:eastAsia="宋体" w:cs="宋体"/>
          <w:snapToGrid w:val="0"/>
          <w:color w:val="auto"/>
          <w:kern w:val="0"/>
          <w:sz w:val="24"/>
          <w:szCs w:val="24"/>
          <w:highlight w:val="none"/>
        </w:rPr>
        <w:t xml:space="preserve"> 若投标人因自身原因未能正确完成</w:t>
      </w:r>
      <w:r>
        <w:rPr>
          <w:rFonts w:hint="eastAsia" w:ascii="宋体" w:hAnsi="宋体" w:eastAsia="宋体" w:cs="宋体"/>
          <w:snapToGrid w:val="0"/>
          <w:color w:val="auto"/>
          <w:kern w:val="0"/>
          <w:sz w:val="24"/>
          <w:szCs w:val="24"/>
          <w:highlight w:val="none"/>
          <w:lang w:eastAsia="zh-CN"/>
        </w:rPr>
        <w:t>获取招标文件</w:t>
      </w:r>
      <w:r>
        <w:rPr>
          <w:rFonts w:hint="eastAsia" w:ascii="宋体" w:hAnsi="宋体" w:eastAsia="宋体" w:cs="宋体"/>
          <w:snapToGrid w:val="0"/>
          <w:color w:val="auto"/>
          <w:kern w:val="0"/>
          <w:sz w:val="24"/>
          <w:szCs w:val="24"/>
          <w:highlight w:val="none"/>
        </w:rPr>
        <w:t>、电子投标、缴纳投标保证的，其投标无效。</w:t>
      </w:r>
    </w:p>
    <w:p w14:paraId="0D225CE9">
      <w:pPr>
        <w:pageBreakBefore w:val="0"/>
        <w:numPr>
          <w:ilvl w:val="0"/>
          <w:numId w:val="0"/>
        </w:numPr>
        <w:tabs>
          <w:tab w:val="left" w:pos="288"/>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bCs/>
          <w:snapToGrid w:val="0"/>
          <w:color w:val="auto"/>
          <w:kern w:val="0"/>
          <w:sz w:val="24"/>
          <w:szCs w:val="24"/>
          <w:highlight w:val="none"/>
          <w:lang w:val="en-US" w:eastAsia="zh-CN" w:bidi="ar-SA"/>
        </w:rPr>
      </w:pPr>
    </w:p>
    <w:p w14:paraId="53AE0C50">
      <w:pPr>
        <w:pStyle w:val="4"/>
        <w:pageBreakBefore w:val="0"/>
        <w:kinsoku/>
        <w:overflowPunct/>
        <w:topLinePunct w:val="0"/>
        <w:autoSpaceDE/>
        <w:autoSpaceDN/>
        <w:bidi w:val="0"/>
        <w:spacing w:beforeLines="0" w:afterLines="0" w:line="360" w:lineRule="auto"/>
        <w:ind w:left="0" w:leftChars="0" w:right="0" w:firstLine="482" w:firstLineChars="200"/>
        <w:rPr>
          <w:rFonts w:hint="eastAsia" w:ascii="宋体" w:hAnsi="宋体" w:eastAsia="宋体" w:cs="宋体"/>
          <w:color w:val="auto"/>
          <w:sz w:val="24"/>
          <w:szCs w:val="24"/>
          <w:highlight w:val="none"/>
        </w:rPr>
      </w:pPr>
      <w:bookmarkStart w:id="48" w:name="_Toc10093"/>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工期要求</w:t>
      </w:r>
      <w:bookmarkEnd w:id="48"/>
      <w:bookmarkStart w:id="49" w:name="_Toc7508"/>
    </w:p>
    <w:p w14:paraId="271E14BC">
      <w:pPr>
        <w:pStyle w:val="6"/>
        <w:keepNext/>
        <w:keepLines/>
        <w:pageBreakBefore w:val="0"/>
        <w:widowControl w:val="0"/>
        <w:kinsoku/>
        <w:wordWrap/>
        <w:overflowPunct/>
        <w:topLinePunct w:val="0"/>
        <w:autoSpaceDE/>
        <w:autoSpaceDN/>
        <w:bidi w:val="0"/>
        <w:adjustRightInd/>
        <w:snapToGrid/>
        <w:spacing w:before="0" w:beforeLines="0" w:after="0" w:afterLines="0" w:line="360" w:lineRule="auto"/>
        <w:ind w:left="0" w:leftChars="0" w:right="0" w:firstLine="480" w:firstLineChars="200"/>
        <w:textAlignment w:val="auto"/>
        <w:rPr>
          <w:rFonts w:hint="default" w:ascii="宋体" w:hAnsi="宋体" w:eastAsia="宋体" w:cs="宋体"/>
          <w:b w:val="0"/>
          <w:bCs/>
          <w:snapToGrid w:val="0"/>
          <w:color w:val="auto"/>
          <w:sz w:val="24"/>
          <w:szCs w:val="24"/>
          <w:highlight w:val="none"/>
          <w:lang w:val="en-US" w:eastAsia="zh-CN"/>
        </w:rPr>
      </w:pPr>
      <w:bookmarkStart w:id="50" w:name="_Toc3615"/>
      <w:bookmarkStart w:id="51" w:name="_Toc16606"/>
      <w:r>
        <w:rPr>
          <w:rFonts w:hint="eastAsia" w:ascii="宋体" w:hAnsi="宋体" w:eastAsia="宋体" w:cs="宋体"/>
          <w:b w:val="0"/>
          <w:bCs/>
          <w:snapToGrid w:val="0"/>
          <w:color w:val="auto"/>
          <w:sz w:val="24"/>
          <w:szCs w:val="24"/>
          <w:highlight w:val="none"/>
        </w:rPr>
        <w:t>本招标项目施工工期为</w:t>
      </w:r>
      <w:r>
        <w:rPr>
          <w:rFonts w:hint="eastAsia" w:ascii="宋体" w:hAnsi="宋体" w:cs="宋体"/>
          <w:b w:val="0"/>
          <w:bCs/>
          <w:snapToGrid w:val="0"/>
          <w:color w:val="auto"/>
          <w:sz w:val="24"/>
          <w:szCs w:val="24"/>
          <w:highlight w:val="none"/>
          <w:u w:val="single"/>
          <w:lang w:val="en-US" w:eastAsia="zh-CN"/>
        </w:rPr>
        <w:t>120</w:t>
      </w:r>
      <w:r>
        <w:rPr>
          <w:rFonts w:hint="eastAsia" w:ascii="宋体" w:hAnsi="宋体" w:eastAsia="宋体" w:cs="宋体"/>
          <w:b w:val="0"/>
          <w:bCs/>
          <w:snapToGrid w:val="0"/>
          <w:color w:val="auto"/>
          <w:sz w:val="24"/>
          <w:szCs w:val="24"/>
          <w:highlight w:val="none"/>
        </w:rPr>
        <w:t>个日历天</w:t>
      </w:r>
      <w:r>
        <w:rPr>
          <w:rFonts w:hint="eastAsia" w:ascii="宋体" w:hAnsi="宋体" w:cs="宋体"/>
          <w:b w:val="0"/>
          <w:bCs/>
          <w:snapToGrid w:val="0"/>
          <w:color w:val="auto"/>
          <w:sz w:val="24"/>
          <w:szCs w:val="24"/>
          <w:highlight w:val="none"/>
          <w:lang w:eastAsia="zh-CN"/>
        </w:rPr>
        <w:t>，</w:t>
      </w:r>
      <w:r>
        <w:rPr>
          <w:rFonts w:hint="eastAsia" w:ascii="宋体" w:hAnsi="宋体" w:cs="宋体"/>
          <w:b w:val="0"/>
          <w:bCs/>
          <w:snapToGrid w:val="0"/>
          <w:color w:val="auto"/>
          <w:sz w:val="24"/>
          <w:szCs w:val="24"/>
          <w:highlight w:val="none"/>
          <w:lang w:val="en-US" w:eastAsia="zh-CN"/>
        </w:rPr>
        <w:t>中标人必须在招标工期内完成招标范围内的全部内容。</w:t>
      </w:r>
    </w:p>
    <w:p w14:paraId="37EC3B82">
      <w:pPr>
        <w:rPr>
          <w:rFonts w:hint="eastAsia"/>
          <w:color w:val="auto"/>
          <w:sz w:val="13"/>
          <w:szCs w:val="8"/>
          <w:highlight w:val="none"/>
        </w:rPr>
      </w:pPr>
      <w:bookmarkStart w:id="52" w:name="_Toc762"/>
    </w:p>
    <w:p w14:paraId="7DA76FA1">
      <w:pPr>
        <w:pStyle w:val="4"/>
        <w:pageBreakBefore w:val="0"/>
        <w:kinsoku/>
        <w:overflowPunct/>
        <w:topLinePunct w:val="0"/>
        <w:autoSpaceDE/>
        <w:autoSpaceDN/>
        <w:bidi w:val="0"/>
        <w:spacing w:beforeLines="0" w:afterLines="0" w:line="360" w:lineRule="auto"/>
        <w:ind w:left="0" w:leftChars="0" w:right="0" w:firstLine="482"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5．质量标准和材料、机械要求</w:t>
      </w:r>
      <w:bookmarkEnd w:id="49"/>
      <w:bookmarkEnd w:id="50"/>
      <w:bookmarkEnd w:id="51"/>
      <w:bookmarkEnd w:id="52"/>
    </w:p>
    <w:p w14:paraId="6A1DD7B5">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5.1</w:t>
      </w:r>
      <w:r>
        <w:rPr>
          <w:rFonts w:hint="eastAsia" w:ascii="宋体" w:hAnsi="宋体" w:eastAsia="宋体" w:cs="宋体"/>
          <w:snapToGrid w:val="0"/>
          <w:color w:val="auto"/>
          <w:kern w:val="0"/>
          <w:sz w:val="24"/>
          <w:szCs w:val="24"/>
          <w:highlight w:val="none"/>
        </w:rPr>
        <w:t xml:space="preserve"> 施工工艺严格按照国家和广东省的有关现行施工技术规范及标准执行，工程质量标准须达到</w:t>
      </w:r>
      <w:r>
        <w:rPr>
          <w:rFonts w:hint="eastAsia" w:ascii="宋体" w:hAnsi="宋体" w:eastAsia="宋体" w:cs="宋体"/>
          <w:snapToGrid w:val="0"/>
          <w:color w:val="auto"/>
          <w:kern w:val="0"/>
          <w:sz w:val="24"/>
          <w:szCs w:val="24"/>
          <w:highlight w:val="none"/>
          <w:u w:val="single"/>
          <w:lang w:val="en-US" w:eastAsia="zh-CN"/>
        </w:rPr>
        <w:t>符合现行国家有关工程施工质量验收规范和标准的要求，质量目标达到合格</w:t>
      </w:r>
      <w:r>
        <w:rPr>
          <w:rFonts w:hint="eastAsia" w:ascii="宋体" w:hAnsi="宋体" w:eastAsia="宋体" w:cs="宋体"/>
          <w:snapToGrid w:val="0"/>
          <w:color w:val="auto"/>
          <w:kern w:val="0"/>
          <w:sz w:val="24"/>
          <w:szCs w:val="24"/>
          <w:highlight w:val="none"/>
          <w:u w:val="single"/>
        </w:rPr>
        <w:t>。如未达到合格标准，则按合同价款的 1 %向招标人返纳质量违约金，并由中标人负责返修至合格标准，返修费用由中标人承担，同时承担所有的责任及经济损失。</w:t>
      </w:r>
    </w:p>
    <w:p w14:paraId="384D25AC">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5.2</w:t>
      </w:r>
      <w:r>
        <w:rPr>
          <w:rFonts w:hint="eastAsia" w:ascii="宋体" w:hAnsi="宋体" w:eastAsia="宋体" w:cs="宋体"/>
          <w:snapToGrid w:val="0"/>
          <w:color w:val="auto"/>
          <w:kern w:val="0"/>
          <w:sz w:val="24"/>
          <w:szCs w:val="24"/>
          <w:highlight w:val="none"/>
        </w:rPr>
        <w:t xml:space="preserve"> 中标人在施工中如果工程质量不符合设计要求和有关规定，招标人或监理单位要求停工和返工的必须立即执行，并承担由此产生的各种费用，工期不予顺延。</w:t>
      </w:r>
    </w:p>
    <w:p w14:paraId="21E1F180">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5.3</w:t>
      </w:r>
      <w:r>
        <w:rPr>
          <w:rFonts w:hint="eastAsia" w:ascii="宋体" w:hAnsi="宋体" w:eastAsia="宋体" w:cs="宋体"/>
          <w:snapToGrid w:val="0"/>
          <w:color w:val="auto"/>
          <w:kern w:val="0"/>
          <w:sz w:val="24"/>
          <w:szCs w:val="24"/>
          <w:highlight w:val="none"/>
        </w:rPr>
        <w:t xml:space="preserve"> 保修期限按《建设工程质量管理条例》（中华人民共和国国务院令第279号）规定执行，在保修期内因施工质量问题而造成返修，一切费用由中标人负责。中标人在向招标人提交竣工验收报告时，应当向招标人出具质量保修书。质量保修书中应当明确建设工程的保修范围、保修期限和保修责任等。</w:t>
      </w:r>
    </w:p>
    <w:p w14:paraId="73DF6365">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5.4</w:t>
      </w:r>
      <w:r>
        <w:rPr>
          <w:rFonts w:hint="eastAsia" w:ascii="宋体" w:hAnsi="宋体" w:eastAsia="宋体" w:cs="宋体"/>
          <w:snapToGrid w:val="0"/>
          <w:color w:val="auto"/>
          <w:kern w:val="0"/>
          <w:sz w:val="24"/>
          <w:szCs w:val="24"/>
          <w:highlight w:val="none"/>
        </w:rPr>
        <w:t xml:space="preserve"> 工程使用的主要材料质量要求不低于招标工程量清单所列的要求。主要材料必须先提供样板给招标人确定其颜色、等级等，</w:t>
      </w:r>
      <w:r>
        <w:rPr>
          <w:rFonts w:hint="eastAsia" w:ascii="宋体" w:hAnsi="宋体" w:eastAsia="宋体" w:cs="宋体"/>
          <w:snapToGrid w:val="0"/>
          <w:color w:val="auto"/>
          <w:kern w:val="0"/>
          <w:sz w:val="24"/>
          <w:szCs w:val="24"/>
          <w:highlight w:val="none"/>
          <w:lang w:val="zh-CN"/>
        </w:rPr>
        <w:t>并经检测部门检测合格</w:t>
      </w:r>
      <w:r>
        <w:rPr>
          <w:rFonts w:hint="eastAsia" w:ascii="宋体" w:hAnsi="宋体" w:eastAsia="宋体" w:cs="宋体"/>
          <w:snapToGrid w:val="0"/>
          <w:color w:val="auto"/>
          <w:kern w:val="0"/>
          <w:sz w:val="24"/>
          <w:szCs w:val="24"/>
          <w:highlight w:val="none"/>
        </w:rPr>
        <w:t>方可使用，所有材料必须使用合格产品。</w:t>
      </w:r>
    </w:p>
    <w:p w14:paraId="5453B2A0">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i/>
          <w:iCs/>
          <w:snapToGrid w:val="0"/>
          <w:color w:val="auto"/>
          <w:kern w:val="0"/>
          <w:sz w:val="24"/>
          <w:szCs w:val="24"/>
          <w:highlight w:val="none"/>
          <w:lang w:eastAsia="zh-CN"/>
        </w:rPr>
      </w:pPr>
      <w:r>
        <w:rPr>
          <w:rFonts w:hint="eastAsia" w:ascii="宋体" w:hAnsi="宋体" w:eastAsia="宋体" w:cs="宋体"/>
          <w:b/>
          <w:bCs/>
          <w:snapToGrid w:val="0"/>
          <w:color w:val="auto"/>
          <w:kern w:val="0"/>
          <w:sz w:val="24"/>
          <w:szCs w:val="24"/>
          <w:highlight w:val="none"/>
        </w:rPr>
        <w:t>5.5</w:t>
      </w:r>
      <w:r>
        <w:rPr>
          <w:rFonts w:hint="eastAsia" w:ascii="宋体" w:hAnsi="宋体" w:eastAsia="宋体" w:cs="宋体"/>
          <w:snapToGrid w:val="0"/>
          <w:color w:val="auto"/>
          <w:kern w:val="0"/>
          <w:sz w:val="24"/>
          <w:szCs w:val="24"/>
          <w:highlight w:val="none"/>
        </w:rPr>
        <w:t xml:space="preserve"> 根据韶关市人民政府《关于加快推进全市绿色建筑发展工作的通知》（韶府办明电〔2013〕277号）有关规定，本招标项目</w:t>
      </w:r>
      <w:r>
        <w:rPr>
          <w:rFonts w:hint="eastAsia" w:ascii="宋体" w:hAnsi="宋体" w:eastAsia="宋体" w:cs="宋体"/>
          <w:snapToGrid w:val="0"/>
          <w:color w:val="auto"/>
          <w:kern w:val="0"/>
          <w:sz w:val="24"/>
          <w:szCs w:val="24"/>
          <w:highlight w:val="none"/>
          <w:lang w:val="en-US" w:eastAsia="zh-CN"/>
        </w:rPr>
        <w:t>不</w:t>
      </w:r>
      <w:r>
        <w:rPr>
          <w:rFonts w:hint="eastAsia" w:ascii="宋体" w:hAnsi="宋体" w:eastAsia="宋体" w:cs="宋体"/>
          <w:snapToGrid w:val="0"/>
          <w:color w:val="auto"/>
          <w:kern w:val="0"/>
          <w:sz w:val="24"/>
          <w:szCs w:val="24"/>
          <w:highlight w:val="none"/>
        </w:rPr>
        <w:t>纳入绿色建设实施范围</w:t>
      </w:r>
      <w:r>
        <w:rPr>
          <w:rFonts w:hint="eastAsia" w:ascii="宋体" w:hAnsi="宋体" w:eastAsia="宋体" w:cs="宋体"/>
          <w:snapToGrid w:val="0"/>
          <w:color w:val="auto"/>
          <w:kern w:val="0"/>
          <w:sz w:val="24"/>
          <w:szCs w:val="24"/>
          <w:highlight w:val="none"/>
          <w:lang w:eastAsia="zh-CN"/>
        </w:rPr>
        <w:t>。</w:t>
      </w:r>
    </w:p>
    <w:p w14:paraId="6BBD86A2">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bookmarkStart w:id="53" w:name="_Hlt111690342"/>
      <w:bookmarkEnd w:id="53"/>
      <w:bookmarkStart w:id="54" w:name="_Hlt121563076"/>
      <w:bookmarkEnd w:id="54"/>
      <w:bookmarkStart w:id="55" w:name="_Hlt120502666"/>
      <w:bookmarkEnd w:id="55"/>
      <w:bookmarkStart w:id="56" w:name="_Hlt74496537"/>
      <w:bookmarkEnd w:id="56"/>
      <w:bookmarkStart w:id="57" w:name="_Hlt74493474"/>
      <w:bookmarkEnd w:id="57"/>
      <w:bookmarkStart w:id="58" w:name="_Hlt69699204"/>
      <w:bookmarkEnd w:id="58"/>
      <w:bookmarkStart w:id="59" w:name="_Hlt69356505"/>
      <w:bookmarkEnd w:id="59"/>
      <w:bookmarkStart w:id="60" w:name="_Hlt88974078"/>
      <w:bookmarkEnd w:id="60"/>
      <w:bookmarkStart w:id="61" w:name="_Toc2679"/>
      <w:r>
        <w:rPr>
          <w:rFonts w:hint="eastAsia" w:ascii="宋体" w:hAnsi="宋体" w:eastAsia="宋体" w:cs="宋体"/>
          <w:b/>
          <w:bCs/>
          <w:snapToGrid w:val="0"/>
          <w:color w:val="auto"/>
          <w:kern w:val="0"/>
          <w:sz w:val="24"/>
          <w:szCs w:val="24"/>
          <w:highlight w:val="none"/>
        </w:rPr>
        <w:t>5.</w:t>
      </w:r>
      <w:r>
        <w:rPr>
          <w:rFonts w:hint="eastAsia" w:ascii="宋体" w:hAnsi="宋体" w:eastAsia="宋体" w:cs="宋体"/>
          <w:b/>
          <w:bCs/>
          <w:snapToGrid w:val="0"/>
          <w:color w:val="auto"/>
          <w:kern w:val="0"/>
          <w:sz w:val="24"/>
          <w:szCs w:val="24"/>
          <w:highlight w:val="none"/>
          <w:lang w:val="en-US" w:eastAsia="zh-CN"/>
        </w:rPr>
        <w:t>6</w:t>
      </w:r>
      <w:r>
        <w:rPr>
          <w:rFonts w:hint="eastAsia" w:ascii="宋体" w:hAnsi="宋体" w:eastAsia="宋体" w:cs="宋体"/>
          <w:snapToGrid w:val="0"/>
          <w:color w:val="auto"/>
          <w:kern w:val="0"/>
          <w:sz w:val="24"/>
          <w:szCs w:val="24"/>
          <w:highlight w:val="none"/>
        </w:rPr>
        <w:t xml:space="preserve"> 其它：本招标文件（包括答疑纪要、补充及修改文件）中招标人对材料或设备有明确要求的，投标人必须响应招标人要求，如投标人在投标文件未明确响应者视为默认；或投标人在投标文件中的虽有响应但不符合招标人要求的，视为无效响应，中标后必须按招标人要求执行。如招标人在招标文件中对材料或设备没有明确要求，则中标人必须使用合格材料或设备，主要材料和设备在使用之前通知监理工程师验收，经验收合格后方可使用。</w:t>
      </w:r>
    </w:p>
    <w:p w14:paraId="77196407">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snapToGrid w:val="0"/>
          <w:color w:val="auto"/>
          <w:sz w:val="24"/>
          <w:szCs w:val="24"/>
          <w:highlight w:val="none"/>
        </w:rPr>
      </w:pPr>
      <w:r>
        <w:rPr>
          <w:rFonts w:hint="eastAsia" w:ascii="宋体" w:hAnsi="宋体" w:eastAsia="宋体" w:cs="宋体"/>
          <w:b/>
          <w:bCs/>
          <w:snapToGrid w:val="0"/>
          <w:color w:val="auto"/>
          <w:kern w:val="0"/>
          <w:sz w:val="24"/>
          <w:szCs w:val="24"/>
          <w:highlight w:val="none"/>
        </w:rPr>
        <w:t>5.</w:t>
      </w:r>
      <w:r>
        <w:rPr>
          <w:rFonts w:hint="eastAsia" w:ascii="宋体" w:hAnsi="宋体" w:eastAsia="宋体" w:cs="宋体"/>
          <w:b/>
          <w:bCs/>
          <w:snapToGrid w:val="0"/>
          <w:color w:val="auto"/>
          <w:kern w:val="0"/>
          <w:sz w:val="24"/>
          <w:szCs w:val="24"/>
          <w:highlight w:val="none"/>
          <w:lang w:val="en-US" w:eastAsia="zh-CN"/>
        </w:rPr>
        <w:t>7</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color w:val="auto"/>
          <w:sz w:val="24"/>
          <w:szCs w:val="24"/>
          <w:highlight w:val="none"/>
        </w:rPr>
        <w:t>工程使用的主要材料质量要求：不低于强制标准所列的要求，主要材料必须先提供样板或相关资料给招标人同意确定其规格、型号、颜色、等级等，</w:t>
      </w:r>
      <w:r>
        <w:rPr>
          <w:rFonts w:hint="eastAsia" w:ascii="宋体" w:hAnsi="宋体" w:eastAsia="宋体" w:cs="宋体"/>
          <w:color w:val="auto"/>
          <w:sz w:val="24"/>
          <w:szCs w:val="24"/>
          <w:highlight w:val="none"/>
          <w:lang w:val="zh-CN"/>
        </w:rPr>
        <w:t>并经发包人委托的第三方检测部门检测合格</w:t>
      </w:r>
      <w:r>
        <w:rPr>
          <w:rFonts w:hint="eastAsia" w:ascii="宋体" w:hAnsi="宋体" w:eastAsia="宋体" w:cs="宋体"/>
          <w:color w:val="auto"/>
          <w:sz w:val="24"/>
          <w:szCs w:val="24"/>
          <w:highlight w:val="none"/>
        </w:rPr>
        <w:t>方可使用，所有材料必须使用合格产品。</w:t>
      </w:r>
      <w:bookmarkStart w:id="62" w:name="_Toc2752"/>
      <w:bookmarkStart w:id="63" w:name="_Toc26469"/>
    </w:p>
    <w:p w14:paraId="08FCA397">
      <w:pPr>
        <w:pStyle w:val="3"/>
        <w:pageBreakBefore w:val="0"/>
        <w:kinsoku/>
        <w:wordWrap w:val="0"/>
        <w:overflowPunct/>
        <w:topLinePunct w:val="0"/>
        <w:autoSpaceDE/>
        <w:autoSpaceDN/>
        <w:bidi w:val="0"/>
        <w:snapToGrid w:val="0"/>
        <w:spacing w:line="360" w:lineRule="auto"/>
        <w:ind w:left="0" w:leftChars="0" w:right="0" w:firstLine="482" w:firstLineChars="200"/>
        <w:jc w:val="both"/>
        <w:rPr>
          <w:rFonts w:hint="eastAsia" w:ascii="宋体" w:hAnsi="宋体" w:eastAsia="宋体" w:cs="宋体"/>
          <w:b/>
          <w:snapToGrid w:val="0"/>
          <w:color w:val="auto"/>
          <w:sz w:val="24"/>
          <w:szCs w:val="24"/>
          <w:highlight w:val="none"/>
        </w:rPr>
      </w:pPr>
    </w:p>
    <w:p w14:paraId="19E19CD1">
      <w:pPr>
        <w:pStyle w:val="4"/>
        <w:pageBreakBefore w:val="0"/>
        <w:kinsoku/>
        <w:overflowPunct/>
        <w:topLinePunct w:val="0"/>
        <w:autoSpaceDE/>
        <w:autoSpaceDN/>
        <w:bidi w:val="0"/>
        <w:spacing w:beforeLines="0" w:afterLines="0" w:line="360" w:lineRule="auto"/>
        <w:ind w:left="0" w:leftChars="0" w:right="0" w:firstLine="482" w:firstLineChars="200"/>
        <w:rPr>
          <w:rFonts w:hint="eastAsia" w:ascii="宋体" w:hAnsi="宋体" w:eastAsia="宋体" w:cs="宋体"/>
          <w:color w:val="auto"/>
          <w:sz w:val="24"/>
          <w:szCs w:val="24"/>
          <w:highlight w:val="none"/>
        </w:rPr>
      </w:pPr>
      <w:bookmarkStart w:id="64" w:name="_Toc23462"/>
      <w:r>
        <w:rPr>
          <w:rFonts w:hint="eastAsia" w:ascii="宋体" w:hAnsi="宋体" w:eastAsia="宋体" w:cs="宋体"/>
          <w:color w:val="auto"/>
          <w:sz w:val="24"/>
          <w:szCs w:val="24"/>
          <w:highlight w:val="none"/>
        </w:rPr>
        <w:t>6．施工条件及现场踏勘</w:t>
      </w:r>
      <w:bookmarkEnd w:id="61"/>
      <w:bookmarkEnd w:id="62"/>
      <w:bookmarkEnd w:id="63"/>
      <w:bookmarkEnd w:id="64"/>
    </w:p>
    <w:p w14:paraId="7851656B">
      <w:pPr>
        <w:pStyle w:val="12"/>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6.1</w:t>
      </w:r>
      <w:r>
        <w:rPr>
          <w:rFonts w:hint="eastAsia" w:ascii="宋体" w:hAnsi="宋体" w:eastAsia="宋体" w:cs="宋体"/>
          <w:snapToGrid w:val="0"/>
          <w:color w:val="auto"/>
          <w:kern w:val="0"/>
          <w:sz w:val="24"/>
          <w:szCs w:val="24"/>
          <w:highlight w:val="none"/>
        </w:rPr>
        <w:t xml:space="preserve"> 招标人仅在本招标项目征地红线范围内提供场地，其他一切场地费用由中标人自行负责（含临时道路）。</w:t>
      </w:r>
    </w:p>
    <w:p w14:paraId="2BAA9CA2">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6.2</w:t>
      </w:r>
      <w:r>
        <w:rPr>
          <w:rFonts w:hint="eastAsia" w:ascii="宋体" w:hAnsi="宋体" w:eastAsia="宋体" w:cs="宋体"/>
          <w:snapToGrid w:val="0"/>
          <w:color w:val="auto"/>
          <w:kern w:val="0"/>
          <w:sz w:val="24"/>
          <w:szCs w:val="24"/>
          <w:highlight w:val="none"/>
        </w:rPr>
        <w:t xml:space="preserve"> 施工用水：</w:t>
      </w:r>
      <w:r>
        <w:rPr>
          <w:rFonts w:hint="eastAsia" w:ascii="宋体" w:hAnsi="宋体" w:eastAsia="宋体" w:cs="宋体"/>
          <w:snapToGrid w:val="0"/>
          <w:color w:val="auto"/>
          <w:kern w:val="0"/>
          <w:sz w:val="24"/>
          <w:szCs w:val="24"/>
          <w:highlight w:val="none"/>
          <w:u w:val="single"/>
        </w:rPr>
        <w:t xml:space="preserve"> 由中标人自行解决，费用考虑在投标报价中。</w:t>
      </w:r>
    </w:p>
    <w:p w14:paraId="6D0CB70F">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6.3</w:t>
      </w:r>
      <w:r>
        <w:rPr>
          <w:rFonts w:hint="eastAsia" w:ascii="宋体" w:hAnsi="宋体" w:eastAsia="宋体" w:cs="宋体"/>
          <w:snapToGrid w:val="0"/>
          <w:color w:val="auto"/>
          <w:kern w:val="0"/>
          <w:sz w:val="24"/>
          <w:szCs w:val="24"/>
          <w:highlight w:val="none"/>
        </w:rPr>
        <w:t xml:space="preserve"> 施工用电：</w:t>
      </w:r>
      <w:r>
        <w:rPr>
          <w:rFonts w:hint="eastAsia" w:ascii="宋体" w:hAnsi="宋体" w:eastAsia="宋体" w:cs="宋体"/>
          <w:snapToGrid w:val="0"/>
          <w:color w:val="auto"/>
          <w:kern w:val="0"/>
          <w:sz w:val="24"/>
          <w:szCs w:val="24"/>
          <w:highlight w:val="none"/>
          <w:u w:val="single"/>
        </w:rPr>
        <w:t xml:space="preserve"> 由中标人自行解决，费用考虑在投标报价中。</w:t>
      </w:r>
    </w:p>
    <w:p w14:paraId="2FF35390">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6.4</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snapToGrid w:val="0"/>
          <w:color w:val="auto"/>
          <w:kern w:val="0"/>
          <w:highlight w:val="none"/>
        </w:rPr>
        <w:t>施工用水、用电各提供一驳接点</w:t>
      </w:r>
      <w:r>
        <w:rPr>
          <w:rFonts w:hint="eastAsia" w:hAnsi="宋体" w:cs="宋体"/>
          <w:snapToGrid w:val="0"/>
          <w:color w:val="auto"/>
          <w:kern w:val="0"/>
          <w:highlight w:val="none"/>
          <w:lang w:val="en-US" w:eastAsia="zh-CN"/>
        </w:rPr>
        <w:t>到现场旁边</w:t>
      </w:r>
      <w:r>
        <w:rPr>
          <w:rFonts w:hint="eastAsia" w:ascii="宋体" w:hAnsi="宋体" w:eastAsia="宋体" w:cs="宋体"/>
          <w:snapToGrid w:val="0"/>
          <w:color w:val="auto"/>
          <w:kern w:val="0"/>
          <w:highlight w:val="none"/>
        </w:rPr>
        <w:t>。要求中标人单独安装水表、电表，其水、电费按项目所在地</w:t>
      </w:r>
      <w:r>
        <w:rPr>
          <w:rFonts w:hint="eastAsia" w:ascii="宋体" w:hAnsi="宋体" w:eastAsia="宋体" w:cs="宋体"/>
          <w:snapToGrid w:val="0"/>
          <w:color w:val="auto"/>
          <w:kern w:val="0"/>
          <w:highlight w:val="none"/>
          <w:u w:val="single"/>
        </w:rPr>
        <w:t>乐昌市</w:t>
      </w:r>
      <w:r>
        <w:rPr>
          <w:rFonts w:hint="eastAsia" w:ascii="宋体" w:hAnsi="宋体" w:eastAsia="宋体" w:cs="宋体"/>
          <w:snapToGrid w:val="0"/>
          <w:color w:val="auto"/>
          <w:kern w:val="0"/>
          <w:highlight w:val="none"/>
        </w:rPr>
        <w:t>基建工程水、电计费标准计算并由中标人缴纳。</w:t>
      </w:r>
    </w:p>
    <w:p w14:paraId="7467803A">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6.5</w:t>
      </w:r>
      <w:r>
        <w:rPr>
          <w:rFonts w:hint="eastAsia" w:ascii="宋体" w:hAnsi="宋体" w:eastAsia="宋体" w:cs="宋体"/>
          <w:snapToGrid w:val="0"/>
          <w:color w:val="auto"/>
          <w:kern w:val="0"/>
          <w:sz w:val="24"/>
          <w:szCs w:val="24"/>
          <w:highlight w:val="none"/>
        </w:rPr>
        <w:t xml:space="preserve"> 招标人不组织现场踏勘，但会在招标文件及有关设计文件中明确告知招标项目的具体位置和周边环境，并在现场设置足以识别的标识或提供足以表明招标项目具体位置的文字或图片。投标人需要了解现场情况的，可自行进行现场踏勘。</w:t>
      </w:r>
    </w:p>
    <w:p w14:paraId="12C0155D">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6.6</w:t>
      </w:r>
      <w:r>
        <w:rPr>
          <w:rFonts w:hint="eastAsia" w:ascii="宋体" w:hAnsi="宋体" w:eastAsia="宋体" w:cs="宋体"/>
          <w:snapToGrid w:val="0"/>
          <w:color w:val="auto"/>
          <w:kern w:val="0"/>
          <w:sz w:val="24"/>
          <w:szCs w:val="24"/>
          <w:highlight w:val="none"/>
        </w:rPr>
        <w:t xml:space="preserve"> 在现场踏勘过程中，投标人应确保自身安全，投标人如果发生人身伤亡、财物或其他损失，法律法规有规定的按有关规定处理，没有规定的由投标人自行负责。</w:t>
      </w:r>
    </w:p>
    <w:p w14:paraId="1CF78041">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snapToGrid w:val="0"/>
          <w:color w:val="auto"/>
          <w:sz w:val="24"/>
          <w:szCs w:val="24"/>
          <w:highlight w:val="none"/>
        </w:rPr>
      </w:pPr>
      <w:r>
        <w:rPr>
          <w:rFonts w:hint="eastAsia" w:ascii="宋体" w:hAnsi="宋体" w:eastAsia="宋体" w:cs="宋体"/>
          <w:b/>
          <w:bCs/>
          <w:snapToGrid w:val="0"/>
          <w:color w:val="auto"/>
          <w:kern w:val="0"/>
          <w:sz w:val="24"/>
          <w:szCs w:val="24"/>
          <w:highlight w:val="none"/>
        </w:rPr>
        <w:t>6.7</w:t>
      </w:r>
      <w:r>
        <w:rPr>
          <w:rFonts w:hint="eastAsia" w:ascii="宋体" w:hAnsi="宋体" w:eastAsia="宋体" w:cs="宋体"/>
          <w:snapToGrid w:val="0"/>
          <w:color w:val="auto"/>
          <w:kern w:val="0"/>
          <w:sz w:val="24"/>
          <w:szCs w:val="24"/>
          <w:highlight w:val="none"/>
        </w:rPr>
        <w:t xml:space="preserve"> 现场踏勘期间的交通、食宿由投标人自行安排，费用自理。</w:t>
      </w:r>
      <w:bookmarkStart w:id="65" w:name="_Toc18204"/>
    </w:p>
    <w:p w14:paraId="24C56DCB">
      <w:pPr>
        <w:pStyle w:val="3"/>
        <w:pageBreakBefore w:val="0"/>
        <w:kinsoku/>
        <w:wordWrap w:val="0"/>
        <w:overflowPunct/>
        <w:topLinePunct w:val="0"/>
        <w:autoSpaceDE/>
        <w:autoSpaceDN/>
        <w:bidi w:val="0"/>
        <w:snapToGrid w:val="0"/>
        <w:spacing w:line="360" w:lineRule="auto"/>
        <w:ind w:left="0" w:leftChars="0" w:right="0" w:firstLine="482" w:firstLineChars="200"/>
        <w:jc w:val="both"/>
        <w:rPr>
          <w:rFonts w:hint="eastAsia" w:ascii="宋体" w:hAnsi="宋体" w:eastAsia="宋体" w:cs="宋体"/>
          <w:b/>
          <w:snapToGrid w:val="0"/>
          <w:color w:val="auto"/>
          <w:sz w:val="24"/>
          <w:szCs w:val="24"/>
          <w:highlight w:val="none"/>
        </w:rPr>
      </w:pPr>
      <w:bookmarkStart w:id="66" w:name="_Toc7565"/>
      <w:bookmarkStart w:id="67" w:name="_Toc17908"/>
    </w:p>
    <w:p w14:paraId="32888A14">
      <w:pPr>
        <w:pStyle w:val="4"/>
        <w:pageBreakBefore w:val="0"/>
        <w:kinsoku/>
        <w:overflowPunct/>
        <w:topLinePunct w:val="0"/>
        <w:autoSpaceDE/>
        <w:autoSpaceDN/>
        <w:bidi w:val="0"/>
        <w:spacing w:beforeLines="0" w:afterLines="0" w:line="360" w:lineRule="auto"/>
        <w:ind w:left="0" w:leftChars="0" w:right="0" w:firstLine="482" w:firstLineChars="200"/>
        <w:rPr>
          <w:rFonts w:hint="eastAsia" w:ascii="宋体" w:hAnsi="宋体" w:eastAsia="宋体" w:cs="宋体"/>
          <w:color w:val="auto"/>
          <w:sz w:val="24"/>
          <w:szCs w:val="24"/>
          <w:highlight w:val="none"/>
        </w:rPr>
      </w:pPr>
      <w:bookmarkStart w:id="68" w:name="_Toc29845"/>
      <w:r>
        <w:rPr>
          <w:rFonts w:hint="eastAsia" w:ascii="宋体" w:hAnsi="宋体" w:eastAsia="宋体" w:cs="宋体"/>
          <w:color w:val="auto"/>
          <w:sz w:val="24"/>
          <w:szCs w:val="24"/>
          <w:highlight w:val="none"/>
        </w:rPr>
        <w:t>7．招标文件的提问和答疑</w:t>
      </w:r>
      <w:bookmarkEnd w:id="65"/>
      <w:bookmarkEnd w:id="66"/>
      <w:bookmarkEnd w:id="67"/>
      <w:bookmarkEnd w:id="68"/>
      <w:bookmarkStart w:id="69" w:name="_Hlt74496410"/>
      <w:bookmarkEnd w:id="69"/>
    </w:p>
    <w:p w14:paraId="691B5C13">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lang w:bidi="ar"/>
        </w:rPr>
      </w:pPr>
      <w:r>
        <w:rPr>
          <w:rFonts w:hint="eastAsia" w:ascii="宋体" w:hAnsi="宋体" w:eastAsia="宋体" w:cs="宋体"/>
          <w:b/>
          <w:bCs/>
          <w:snapToGrid w:val="0"/>
          <w:color w:val="auto"/>
          <w:kern w:val="0"/>
          <w:sz w:val="24"/>
          <w:szCs w:val="24"/>
          <w:highlight w:val="none"/>
        </w:rPr>
        <w:t>7.1</w:t>
      </w:r>
      <w:r>
        <w:rPr>
          <w:rFonts w:hint="eastAsia" w:ascii="宋体" w:hAnsi="宋体" w:eastAsia="宋体" w:cs="宋体"/>
          <w:snapToGrid w:val="0"/>
          <w:color w:val="auto"/>
          <w:kern w:val="0"/>
          <w:sz w:val="24"/>
          <w:szCs w:val="24"/>
          <w:highlight w:val="none"/>
        </w:rPr>
        <w:t xml:space="preserve"> 投标人若对招标文件（含施工图、招标工程量清单）有疑问，应在提问截止时间（见本章第二节“重要事项时间地点一览表”）前使用建设工程交易系统提出问题。未在指定时间前、未采用指定方式提出的，招标人不予受理</w:t>
      </w:r>
      <w:r>
        <w:rPr>
          <w:rFonts w:hint="eastAsia" w:ascii="宋体" w:hAnsi="宋体" w:eastAsia="宋体" w:cs="宋体"/>
          <w:snapToGrid w:val="0"/>
          <w:color w:val="auto"/>
          <w:kern w:val="0"/>
          <w:sz w:val="24"/>
          <w:szCs w:val="24"/>
          <w:highlight w:val="none"/>
          <w:lang w:bidi="ar"/>
        </w:rPr>
        <w:t>。</w:t>
      </w:r>
    </w:p>
    <w:p w14:paraId="322C7C4E">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7.2 </w:t>
      </w:r>
      <w:r>
        <w:rPr>
          <w:rFonts w:hint="eastAsia" w:ascii="宋体" w:hAnsi="宋体" w:eastAsia="宋体" w:cs="宋体"/>
          <w:snapToGrid w:val="0"/>
          <w:color w:val="auto"/>
          <w:kern w:val="0"/>
          <w:sz w:val="24"/>
          <w:szCs w:val="24"/>
          <w:highlight w:val="none"/>
        </w:rPr>
        <w:t>招标人在提问截止时间（见本章第二节“重要事项时间地点一览表”）后3日内，一次性对收到的所有问题作出答复，并形成答疑（或修改）公告在发布招标公告的媒介上公开发布。答疑（或修改）公告一旦发布，即视所有潜在投标人已经知悉答疑（或修改）内容，投标人未及时关注而造成的损失和后果，由投标人自行承担。</w:t>
      </w:r>
    </w:p>
    <w:p w14:paraId="74BD811A">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snapToGrid w:val="0"/>
          <w:color w:val="auto"/>
          <w:sz w:val="24"/>
          <w:szCs w:val="24"/>
          <w:highlight w:val="none"/>
        </w:rPr>
      </w:pPr>
      <w:r>
        <w:rPr>
          <w:rFonts w:hint="eastAsia" w:ascii="宋体" w:hAnsi="宋体" w:eastAsia="宋体" w:cs="宋体"/>
          <w:b/>
          <w:bCs/>
          <w:snapToGrid w:val="0"/>
          <w:color w:val="auto"/>
          <w:kern w:val="0"/>
          <w:sz w:val="24"/>
          <w:szCs w:val="24"/>
          <w:highlight w:val="none"/>
        </w:rPr>
        <w:t>7.3</w:t>
      </w:r>
      <w:r>
        <w:rPr>
          <w:rFonts w:hint="eastAsia" w:ascii="宋体" w:hAnsi="宋体" w:eastAsia="宋体" w:cs="宋体"/>
          <w:snapToGrid w:val="0"/>
          <w:color w:val="auto"/>
          <w:kern w:val="0"/>
          <w:sz w:val="24"/>
          <w:szCs w:val="24"/>
          <w:highlight w:val="none"/>
        </w:rPr>
        <w:t xml:space="preserve"> 招标人对招标文件所作的答疑（或修改）公告，构成招标文件的组成部分。</w:t>
      </w:r>
      <w:bookmarkStart w:id="70" w:name="_Hlt92513711"/>
      <w:bookmarkEnd w:id="70"/>
      <w:bookmarkStart w:id="71" w:name="_Hlt69699188"/>
      <w:bookmarkEnd w:id="71"/>
      <w:bookmarkStart w:id="72" w:name="_Hlt92513715"/>
      <w:bookmarkEnd w:id="72"/>
      <w:bookmarkStart w:id="73" w:name="_Toc12685"/>
      <w:bookmarkStart w:id="74" w:name="_Toc15556"/>
      <w:bookmarkStart w:id="75" w:name="_Toc29680"/>
    </w:p>
    <w:p w14:paraId="7161F84D">
      <w:pPr>
        <w:pStyle w:val="3"/>
        <w:pageBreakBefore w:val="0"/>
        <w:kinsoku/>
        <w:wordWrap w:val="0"/>
        <w:overflowPunct/>
        <w:topLinePunct w:val="0"/>
        <w:autoSpaceDE/>
        <w:autoSpaceDN/>
        <w:bidi w:val="0"/>
        <w:snapToGrid w:val="0"/>
        <w:spacing w:line="360" w:lineRule="auto"/>
        <w:ind w:left="0" w:leftChars="0" w:right="0" w:firstLine="482" w:firstLineChars="200"/>
        <w:jc w:val="both"/>
        <w:rPr>
          <w:rFonts w:hint="eastAsia" w:ascii="宋体" w:hAnsi="宋体" w:eastAsia="宋体" w:cs="宋体"/>
          <w:b/>
          <w:snapToGrid w:val="0"/>
          <w:color w:val="auto"/>
          <w:sz w:val="24"/>
          <w:szCs w:val="24"/>
          <w:highlight w:val="none"/>
        </w:rPr>
      </w:pPr>
    </w:p>
    <w:bookmarkEnd w:id="73"/>
    <w:bookmarkEnd w:id="74"/>
    <w:p w14:paraId="170D590C">
      <w:pPr>
        <w:pStyle w:val="4"/>
        <w:pageBreakBefore w:val="0"/>
        <w:kinsoku/>
        <w:overflowPunct/>
        <w:topLinePunct w:val="0"/>
        <w:autoSpaceDE/>
        <w:autoSpaceDN/>
        <w:bidi w:val="0"/>
        <w:spacing w:beforeLines="0" w:afterLines="0" w:line="360" w:lineRule="auto"/>
        <w:ind w:left="0" w:leftChars="0" w:right="0" w:firstLine="482" w:firstLineChars="200"/>
        <w:rPr>
          <w:rFonts w:hint="eastAsia" w:ascii="宋体" w:hAnsi="宋体" w:eastAsia="宋体" w:cs="宋体"/>
          <w:color w:val="auto"/>
          <w:sz w:val="24"/>
          <w:szCs w:val="24"/>
          <w:highlight w:val="none"/>
        </w:rPr>
      </w:pPr>
      <w:bookmarkStart w:id="76" w:name="_Toc21026"/>
      <w:r>
        <w:rPr>
          <w:rFonts w:hint="eastAsia" w:ascii="宋体" w:hAnsi="宋体" w:eastAsia="宋体" w:cs="宋体"/>
          <w:color w:val="auto"/>
          <w:sz w:val="24"/>
          <w:szCs w:val="24"/>
          <w:highlight w:val="none"/>
        </w:rPr>
        <w:t>8．</w:t>
      </w:r>
      <w:bookmarkEnd w:id="76"/>
      <w:r>
        <w:rPr>
          <w:rFonts w:hint="eastAsia" w:ascii="宋体" w:hAnsi="宋体" w:eastAsia="宋体" w:cs="宋体"/>
          <w:strike w:val="0"/>
          <w:snapToGrid w:val="0"/>
          <w:color w:val="auto"/>
          <w:kern w:val="0"/>
          <w:sz w:val="24"/>
          <w:szCs w:val="24"/>
          <w:highlight w:val="none"/>
          <w:lang w:val="en-US" w:eastAsia="zh-CN"/>
        </w:rPr>
        <w:t>最高投标限价</w:t>
      </w:r>
    </w:p>
    <w:p w14:paraId="569EAAB0">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8.1</w:t>
      </w:r>
      <w:r>
        <w:rPr>
          <w:rFonts w:hint="eastAsia" w:ascii="宋体" w:hAnsi="宋体" w:eastAsia="宋体" w:cs="宋体"/>
          <w:snapToGrid w:val="0"/>
          <w:color w:val="auto"/>
          <w:kern w:val="0"/>
          <w:sz w:val="24"/>
          <w:szCs w:val="24"/>
          <w:highlight w:val="none"/>
        </w:rPr>
        <w:t xml:space="preserve"> 本招标项目按照以下依据编制</w:t>
      </w:r>
      <w:r>
        <w:rPr>
          <w:rFonts w:hint="eastAsia" w:ascii="宋体" w:hAnsi="宋体" w:eastAsia="宋体" w:cs="宋体"/>
          <w:strike w:val="0"/>
          <w:snapToGrid w:val="0"/>
          <w:color w:val="auto"/>
          <w:kern w:val="0"/>
          <w:sz w:val="24"/>
          <w:szCs w:val="24"/>
          <w:highlight w:val="none"/>
          <w:lang w:val="en-US" w:eastAsia="zh-CN"/>
        </w:rPr>
        <w:t>最高投标限价</w:t>
      </w:r>
      <w:r>
        <w:rPr>
          <w:rFonts w:hint="eastAsia" w:ascii="宋体" w:hAnsi="宋体" w:eastAsia="宋体" w:cs="宋体"/>
          <w:snapToGrid w:val="0"/>
          <w:color w:val="auto"/>
          <w:kern w:val="0"/>
          <w:sz w:val="24"/>
          <w:szCs w:val="24"/>
          <w:highlight w:val="none"/>
        </w:rPr>
        <w:t>：</w:t>
      </w:r>
    </w:p>
    <w:p w14:paraId="78D837A7">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hAnsi="宋体" w:cs="宋体"/>
          <w:snapToGrid w:val="0"/>
          <w:color w:val="auto"/>
          <w:kern w:val="0"/>
          <w:sz w:val="24"/>
          <w:szCs w:val="24"/>
          <w:highlight w:val="none"/>
          <w:lang w:val="en-US" w:eastAsia="zh-CN"/>
        </w:rPr>
        <w:t>《建设工程工程量清单计价标准》(GB/T50500-2024)</w:t>
      </w:r>
      <w:r>
        <w:rPr>
          <w:rFonts w:hint="eastAsia" w:ascii="宋体" w:hAnsi="宋体" w:eastAsia="宋体" w:cs="宋体"/>
          <w:snapToGrid w:val="0"/>
          <w:color w:val="auto"/>
          <w:kern w:val="0"/>
          <w:sz w:val="24"/>
          <w:szCs w:val="24"/>
          <w:highlight w:val="none"/>
        </w:rPr>
        <w:t>；</w:t>
      </w:r>
    </w:p>
    <w:p w14:paraId="517A7435">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hAnsi="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广东省建设工程计价依据（2018）》。具体包括：《广东省房屋建筑与装饰工程综合定额（2018）》《广东省市政工程综合定额（2018）》《广东省通用安装工程综合定额（2018）》《广东省园林绿化工程综合定额（2018）》《广东省建设工程施工机具台班费用编制规则（2018）》等；</w:t>
      </w:r>
    </w:p>
    <w:p w14:paraId="75DF1313">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hAnsi="宋体" w:cs="宋体"/>
          <w:snapToGrid w:val="0"/>
          <w:color w:val="auto"/>
          <w:kern w:val="0"/>
          <w:sz w:val="24"/>
          <w:szCs w:val="24"/>
          <w:highlight w:val="none"/>
          <w:lang w:val="en-US" w:eastAsia="zh-CN"/>
        </w:rPr>
        <w:t>3</w:t>
      </w:r>
      <w:r>
        <w:rPr>
          <w:rFonts w:hint="eastAsia" w:ascii="宋体" w:hAnsi="宋体" w:eastAsia="宋体" w:cs="宋体"/>
          <w:snapToGrid w:val="0"/>
          <w:color w:val="auto"/>
          <w:kern w:val="0"/>
          <w:sz w:val="24"/>
          <w:szCs w:val="24"/>
          <w:highlight w:val="none"/>
        </w:rPr>
        <w:t>）施工图及相关资料；</w:t>
      </w:r>
    </w:p>
    <w:p w14:paraId="769F8315">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hAnsi="宋体" w:cs="宋体"/>
          <w:snapToGrid w:val="0"/>
          <w:color w:val="auto"/>
          <w:kern w:val="0"/>
          <w:sz w:val="24"/>
          <w:szCs w:val="24"/>
          <w:highlight w:val="none"/>
          <w:lang w:val="en-US" w:eastAsia="zh-CN"/>
        </w:rPr>
        <w:t>4</w:t>
      </w:r>
      <w:r>
        <w:rPr>
          <w:rFonts w:hint="eastAsia" w:ascii="宋体" w:hAnsi="宋体" w:eastAsia="宋体" w:cs="宋体"/>
          <w:snapToGrid w:val="0"/>
          <w:color w:val="auto"/>
          <w:kern w:val="0"/>
          <w:sz w:val="24"/>
          <w:szCs w:val="24"/>
          <w:highlight w:val="none"/>
        </w:rPr>
        <w:t>）招标文件及招标工程量清单；</w:t>
      </w:r>
    </w:p>
    <w:p w14:paraId="5CC36838">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hAnsi="宋体" w:cs="宋体"/>
          <w:snapToGrid w:val="0"/>
          <w:color w:val="auto"/>
          <w:kern w:val="0"/>
          <w:sz w:val="24"/>
          <w:szCs w:val="24"/>
          <w:highlight w:val="none"/>
          <w:lang w:val="en-US" w:eastAsia="zh-CN"/>
        </w:rPr>
        <w:t>5</w:t>
      </w:r>
      <w:r>
        <w:rPr>
          <w:rFonts w:hint="eastAsia" w:ascii="宋体" w:hAnsi="宋体" w:eastAsia="宋体" w:cs="宋体"/>
          <w:snapToGrid w:val="0"/>
          <w:color w:val="auto"/>
          <w:kern w:val="0"/>
          <w:sz w:val="24"/>
          <w:szCs w:val="24"/>
          <w:highlight w:val="none"/>
        </w:rPr>
        <w:t>）施工现场情况、工程特点及常规施工方案；</w:t>
      </w:r>
    </w:p>
    <w:p w14:paraId="00CF2A59">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hAnsi="宋体" w:cs="宋体"/>
          <w:snapToGrid w:val="0"/>
          <w:color w:val="auto"/>
          <w:kern w:val="0"/>
          <w:sz w:val="24"/>
          <w:szCs w:val="24"/>
          <w:highlight w:val="none"/>
          <w:lang w:val="en-US" w:eastAsia="zh-CN"/>
        </w:rPr>
        <w:t>6</w:t>
      </w:r>
      <w:r>
        <w:rPr>
          <w:rFonts w:hint="eastAsia" w:ascii="宋体" w:hAnsi="宋体" w:eastAsia="宋体" w:cs="宋体"/>
          <w:snapToGrid w:val="0"/>
          <w:color w:val="auto"/>
          <w:kern w:val="0"/>
          <w:sz w:val="24"/>
          <w:szCs w:val="24"/>
          <w:highlight w:val="none"/>
        </w:rPr>
        <w:t>）项目所在地工程造价管理机构发布的工程造价信息，工程造价信息缺项的，参照市场价格；</w:t>
      </w:r>
    </w:p>
    <w:p w14:paraId="3B78A1B0">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hAnsi="宋体" w:cs="宋体"/>
          <w:snapToGrid w:val="0"/>
          <w:color w:val="auto"/>
          <w:kern w:val="0"/>
          <w:sz w:val="24"/>
          <w:szCs w:val="24"/>
          <w:highlight w:val="none"/>
          <w:lang w:val="en-US" w:eastAsia="zh-CN"/>
        </w:rPr>
        <w:t>7</w:t>
      </w:r>
      <w:r>
        <w:rPr>
          <w:rFonts w:hint="eastAsia" w:ascii="宋体" w:hAnsi="宋体" w:eastAsia="宋体" w:cs="宋体"/>
          <w:snapToGrid w:val="0"/>
          <w:color w:val="auto"/>
          <w:kern w:val="0"/>
          <w:sz w:val="24"/>
          <w:szCs w:val="24"/>
          <w:highlight w:val="none"/>
        </w:rPr>
        <w:t>）与建设项目相关的标准、规范、技术资料。</w:t>
      </w:r>
    </w:p>
    <w:p w14:paraId="5F063D32">
      <w:pPr>
        <w:wordWrap w:val="0"/>
        <w:adjustRightInd w:val="0"/>
        <w:snapToGrid w:val="0"/>
        <w:spacing w:line="360" w:lineRule="auto"/>
        <w:ind w:firstLine="482" w:firstLineChars="200"/>
        <w:rPr>
          <w:rFonts w:hint="eastAsia" w:ascii="宋体" w:hAnsi="宋体" w:eastAsia="宋体" w:cs="宋体"/>
          <w:b/>
          <w:bCs/>
          <w:snapToGrid w:val="0"/>
          <w:color w:val="auto"/>
          <w:kern w:val="0"/>
          <w:sz w:val="24"/>
          <w:szCs w:val="24"/>
          <w:highlight w:val="none"/>
        </w:rPr>
      </w:pPr>
      <w:r>
        <w:rPr>
          <w:rFonts w:hint="eastAsia" w:hAnsi="宋体" w:cs="宋体"/>
          <w:b/>
          <w:bCs/>
          <w:color w:val="auto"/>
          <w:sz w:val="24"/>
          <w:szCs w:val="24"/>
          <w:highlight w:val="none"/>
          <w:shd w:val="clear" w:fill="FFFFFF"/>
          <w:lang w:val="en-US" w:eastAsia="zh-CN"/>
        </w:rPr>
        <w:t>8.2</w:t>
      </w:r>
      <w:r>
        <w:rPr>
          <w:rFonts w:hint="eastAsia" w:ascii="宋体" w:hAnsi="宋体" w:eastAsia="宋体" w:cs="宋体"/>
          <w:b/>
          <w:bCs/>
          <w:color w:val="auto"/>
          <w:sz w:val="24"/>
          <w:szCs w:val="24"/>
          <w:highlight w:val="none"/>
          <w:shd w:val="clear" w:fill="FFFFFF"/>
        </w:rPr>
        <w:t>本项目的</w:t>
      </w:r>
      <w:r>
        <w:rPr>
          <w:rFonts w:hint="eastAsia" w:ascii="宋体" w:hAnsi="宋体" w:eastAsia="宋体" w:cs="宋体"/>
          <w:b/>
          <w:bCs/>
          <w:strike w:val="0"/>
          <w:snapToGrid w:val="0"/>
          <w:color w:val="auto"/>
          <w:kern w:val="0"/>
          <w:sz w:val="24"/>
          <w:szCs w:val="24"/>
          <w:highlight w:val="none"/>
          <w:lang w:val="en-US" w:eastAsia="zh-CN"/>
        </w:rPr>
        <w:t>最高投标限价</w:t>
      </w:r>
      <w:r>
        <w:rPr>
          <w:rFonts w:hint="eastAsia" w:ascii="宋体" w:hAnsi="宋体" w:eastAsia="宋体" w:cs="宋体"/>
          <w:b/>
          <w:bCs/>
          <w:color w:val="auto"/>
          <w:sz w:val="24"/>
          <w:szCs w:val="24"/>
          <w:highlight w:val="none"/>
          <w:shd w:val="clear" w:fill="FFFFFF"/>
        </w:rPr>
        <w:t>为人民币（大写）：</w:t>
      </w:r>
      <w:r>
        <w:rPr>
          <w:rFonts w:hint="eastAsia" w:hAnsi="宋体" w:cs="宋体"/>
          <w:b/>
          <w:bCs/>
          <w:color w:val="auto"/>
          <w:sz w:val="24"/>
          <w:szCs w:val="24"/>
          <w:highlight w:val="none"/>
          <w:u w:val="single"/>
          <w:shd w:val="clear" w:fill="FFFFFF"/>
          <w:lang w:val="en-US" w:eastAsia="zh-CN"/>
        </w:rPr>
        <w:t>贰仟肆佰肆拾玖万玖仟壹佰捌拾叁元叁角玖分</w:t>
      </w:r>
      <w:r>
        <w:rPr>
          <w:rFonts w:hint="eastAsia" w:ascii="宋体" w:hAnsi="宋体" w:eastAsia="宋体" w:cs="宋体"/>
          <w:b/>
          <w:bCs/>
          <w:color w:val="auto"/>
          <w:sz w:val="24"/>
          <w:szCs w:val="24"/>
          <w:highlight w:val="none"/>
          <w:shd w:val="clear" w:fill="FFFFFF"/>
        </w:rPr>
        <w:t>(</w:t>
      </w:r>
      <w:r>
        <w:rPr>
          <w:rFonts w:hint="eastAsia" w:ascii="宋体" w:hAnsi="宋体" w:eastAsia="宋体" w:cs="宋体"/>
          <w:b/>
          <w:bCs/>
          <w:color w:val="auto"/>
          <w:sz w:val="24"/>
          <w:szCs w:val="24"/>
          <w:highlight w:val="none"/>
          <w:shd w:val="clear" w:fill="FFFFFF"/>
          <w:lang w:val="en-US" w:eastAsia="zh-CN"/>
        </w:rPr>
        <w:t>小写：</w:t>
      </w:r>
      <w:r>
        <w:rPr>
          <w:rFonts w:hint="eastAsia" w:ascii="宋体" w:hAnsi="宋体" w:eastAsia="宋体" w:cs="宋体"/>
          <w:b/>
          <w:bCs/>
          <w:snapToGrid w:val="0"/>
          <w:color w:val="auto"/>
          <w:kern w:val="0"/>
          <w:highlight w:val="none"/>
        </w:rPr>
        <w:t>¥</w:t>
      </w:r>
      <w:r>
        <w:rPr>
          <w:rFonts w:hint="eastAsia" w:hAnsi="宋体" w:cs="宋体"/>
          <w:b/>
          <w:bCs/>
          <w:color w:val="auto"/>
          <w:sz w:val="24"/>
          <w:szCs w:val="24"/>
          <w:highlight w:val="none"/>
          <w:u w:val="single"/>
          <w:shd w:val="clear" w:fill="FFFFFF"/>
          <w:lang w:val="en-US" w:eastAsia="zh-CN"/>
        </w:rPr>
        <w:t>24499183.39</w:t>
      </w:r>
      <w:r>
        <w:rPr>
          <w:rFonts w:hint="eastAsia" w:ascii="宋体" w:hAnsi="宋体" w:eastAsia="宋体" w:cs="宋体"/>
          <w:b/>
          <w:bCs/>
          <w:color w:val="auto"/>
          <w:sz w:val="24"/>
          <w:szCs w:val="24"/>
          <w:highlight w:val="none"/>
          <w:shd w:val="clear" w:fill="FFFFFF"/>
        </w:rPr>
        <w:t>元)；其中</w:t>
      </w:r>
      <w:r>
        <w:rPr>
          <w:rFonts w:hint="eastAsia" w:hAnsi="宋体" w:cs="宋体"/>
          <w:b/>
          <w:bCs/>
          <w:color w:val="auto"/>
          <w:sz w:val="24"/>
          <w:szCs w:val="24"/>
          <w:highlight w:val="none"/>
          <w:shd w:val="clear" w:fill="FFFFFF"/>
          <w:lang w:eastAsia="zh-CN"/>
        </w:rPr>
        <w:t>安全生产措施费</w:t>
      </w:r>
      <w:r>
        <w:rPr>
          <w:rFonts w:hint="eastAsia" w:ascii="宋体" w:hAnsi="宋体" w:eastAsia="宋体" w:cs="宋体"/>
          <w:b/>
          <w:bCs/>
          <w:color w:val="auto"/>
          <w:sz w:val="24"/>
          <w:szCs w:val="24"/>
          <w:highlight w:val="none"/>
          <w:shd w:val="clear" w:fill="FFFFFF"/>
        </w:rPr>
        <w:t>¥</w:t>
      </w:r>
      <w:r>
        <w:rPr>
          <w:rFonts w:hint="eastAsia" w:hAnsi="宋体" w:cs="宋体"/>
          <w:b/>
          <w:bCs/>
          <w:color w:val="auto"/>
          <w:sz w:val="24"/>
          <w:szCs w:val="24"/>
          <w:highlight w:val="none"/>
          <w:u w:val="single"/>
          <w:shd w:val="clear" w:fill="FFFFFF"/>
          <w:lang w:val="en-US" w:eastAsia="zh-CN"/>
        </w:rPr>
        <w:t>563074.46</w:t>
      </w:r>
      <w:r>
        <w:rPr>
          <w:rFonts w:hint="eastAsia" w:ascii="宋体" w:hAnsi="宋体" w:eastAsia="宋体" w:cs="宋体"/>
          <w:b/>
          <w:bCs/>
          <w:color w:val="auto"/>
          <w:sz w:val="24"/>
          <w:szCs w:val="24"/>
          <w:highlight w:val="none"/>
          <w:shd w:val="clear" w:fill="FFFFFF"/>
        </w:rPr>
        <w:t>元，</w:t>
      </w:r>
      <w:r>
        <w:rPr>
          <w:rFonts w:hint="eastAsia" w:ascii="宋体" w:hAnsi="宋体" w:eastAsia="宋体" w:cs="宋体"/>
          <w:b/>
          <w:bCs/>
          <w:color w:val="auto"/>
          <w:sz w:val="24"/>
          <w:szCs w:val="24"/>
          <w:highlight w:val="none"/>
          <w:shd w:val="clear" w:fill="FFFFFF"/>
          <w:lang w:val="en-US" w:eastAsia="zh-CN"/>
        </w:rPr>
        <w:t>暂列金</w:t>
      </w:r>
      <w:r>
        <w:rPr>
          <w:rFonts w:hint="eastAsia" w:hAnsi="宋体" w:cs="宋体"/>
          <w:b/>
          <w:bCs/>
          <w:color w:val="auto"/>
          <w:sz w:val="24"/>
          <w:szCs w:val="24"/>
          <w:highlight w:val="none"/>
          <w:shd w:val="clear" w:fill="FFFFFF"/>
          <w:lang w:val="en-US" w:eastAsia="zh-CN"/>
        </w:rPr>
        <w:t>额</w:t>
      </w:r>
      <w:r>
        <w:rPr>
          <w:rFonts w:hint="eastAsia" w:ascii="宋体" w:hAnsi="宋体" w:eastAsia="宋体" w:cs="宋体"/>
          <w:b/>
          <w:bCs/>
          <w:color w:val="auto"/>
          <w:sz w:val="24"/>
          <w:szCs w:val="24"/>
          <w:highlight w:val="none"/>
          <w:shd w:val="clear" w:fill="FFFFFF"/>
        </w:rPr>
        <w:t>为</w:t>
      </w:r>
      <w:r>
        <w:rPr>
          <w:rFonts w:hint="eastAsia" w:ascii="宋体" w:hAnsi="宋体" w:eastAsia="宋体" w:cs="宋体"/>
          <w:b/>
          <w:bCs/>
          <w:snapToGrid w:val="0"/>
          <w:color w:val="auto"/>
          <w:kern w:val="0"/>
          <w:highlight w:val="none"/>
        </w:rPr>
        <w:t>¥</w:t>
      </w:r>
      <w:r>
        <w:rPr>
          <w:rFonts w:hint="eastAsia" w:hAnsi="宋体" w:cs="宋体"/>
          <w:b/>
          <w:bCs/>
          <w:color w:val="auto"/>
          <w:sz w:val="24"/>
          <w:szCs w:val="24"/>
          <w:highlight w:val="none"/>
          <w:u w:val="single"/>
          <w:shd w:val="clear" w:fill="FFFFFF"/>
          <w:lang w:val="en-US" w:eastAsia="zh-CN"/>
        </w:rPr>
        <w:t>630000.00</w:t>
      </w:r>
      <w:r>
        <w:rPr>
          <w:rFonts w:hint="eastAsia" w:ascii="宋体" w:hAnsi="宋体" w:eastAsia="宋体" w:cs="宋体"/>
          <w:b/>
          <w:bCs/>
          <w:color w:val="auto"/>
          <w:sz w:val="24"/>
          <w:szCs w:val="24"/>
          <w:highlight w:val="none"/>
          <w:shd w:val="clear" w:fill="FFFFFF"/>
        </w:rPr>
        <w:t>元</w:t>
      </w:r>
      <w:r>
        <w:rPr>
          <w:rFonts w:hint="eastAsia" w:ascii="宋体" w:hAnsi="宋体" w:eastAsia="宋体" w:cs="宋体"/>
          <w:b/>
          <w:bCs/>
          <w:color w:val="auto"/>
          <w:sz w:val="24"/>
          <w:szCs w:val="24"/>
          <w:highlight w:val="none"/>
          <w:shd w:val="clear" w:fill="FFFFFF"/>
          <w:lang w:eastAsia="zh-CN"/>
        </w:rPr>
        <w:t>，</w:t>
      </w:r>
      <w:r>
        <w:rPr>
          <w:rFonts w:hint="eastAsia" w:ascii="宋体" w:hAnsi="宋体" w:eastAsia="宋体" w:cs="宋体"/>
          <w:b/>
          <w:bCs/>
          <w:color w:val="auto"/>
          <w:sz w:val="24"/>
          <w:szCs w:val="24"/>
          <w:highlight w:val="none"/>
          <w:shd w:val="clear" w:fill="FFFFFF"/>
          <w:lang w:val="en-US" w:eastAsia="zh-CN"/>
        </w:rPr>
        <w:t>暂估价</w:t>
      </w:r>
      <w:r>
        <w:rPr>
          <w:rFonts w:hint="eastAsia" w:ascii="宋体" w:hAnsi="宋体" w:eastAsia="宋体" w:cs="宋体"/>
          <w:b/>
          <w:bCs/>
          <w:color w:val="auto"/>
          <w:sz w:val="24"/>
          <w:szCs w:val="24"/>
          <w:highlight w:val="none"/>
          <w:shd w:val="clear" w:fill="FFFFFF"/>
        </w:rPr>
        <w:t>为</w:t>
      </w:r>
      <w:r>
        <w:rPr>
          <w:rFonts w:hint="eastAsia" w:ascii="宋体" w:hAnsi="宋体" w:eastAsia="宋体" w:cs="宋体"/>
          <w:b/>
          <w:bCs/>
          <w:snapToGrid w:val="0"/>
          <w:color w:val="auto"/>
          <w:kern w:val="0"/>
          <w:highlight w:val="none"/>
        </w:rPr>
        <w:t>¥</w:t>
      </w:r>
      <w:r>
        <w:rPr>
          <w:rFonts w:hint="eastAsia" w:hAnsi="宋体" w:cs="宋体"/>
          <w:b/>
          <w:bCs/>
          <w:color w:val="auto"/>
          <w:sz w:val="24"/>
          <w:szCs w:val="24"/>
          <w:highlight w:val="none"/>
          <w:u w:val="single"/>
          <w:shd w:val="clear" w:fill="FFFFFF"/>
          <w:lang w:val="en-US" w:eastAsia="zh-CN"/>
        </w:rPr>
        <w:t>/</w:t>
      </w:r>
      <w:r>
        <w:rPr>
          <w:rFonts w:hint="eastAsia" w:ascii="宋体" w:hAnsi="宋体" w:eastAsia="宋体" w:cs="宋体"/>
          <w:b/>
          <w:bCs/>
          <w:color w:val="auto"/>
          <w:sz w:val="24"/>
          <w:szCs w:val="24"/>
          <w:highlight w:val="none"/>
          <w:shd w:val="clear" w:fill="FFFFFF"/>
        </w:rPr>
        <w:t>元。</w:t>
      </w:r>
    </w:p>
    <w:p w14:paraId="26E433D6">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8.3</w:t>
      </w:r>
      <w:r>
        <w:rPr>
          <w:rFonts w:hint="eastAsia" w:ascii="宋体" w:hAnsi="宋体" w:eastAsia="宋体" w:cs="宋体"/>
          <w:snapToGrid w:val="0"/>
          <w:color w:val="auto"/>
          <w:kern w:val="0"/>
          <w:sz w:val="24"/>
          <w:szCs w:val="24"/>
          <w:highlight w:val="none"/>
        </w:rPr>
        <w:t xml:space="preserve"> 暂估价指招标工程量清单中提供的用于支付必然发生但暂时不能确定价格的材料、工程设备的单价以及专业工程的金额；暂列金额指招标工程量清单中暂定并包括在合同价款中的一笔款项，用于工程合同签订时尚未确定或者不可预见的所需材料、工程设备、服务的采购，施工中可能发生的工程变更、合同约定调整因素出现时的合同价款调整以及发生的索赔、现场签证确认等的费用。</w:t>
      </w:r>
    </w:p>
    <w:p w14:paraId="5DDF4C56">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8.4</w:t>
      </w:r>
      <w:r>
        <w:rPr>
          <w:rFonts w:hint="eastAsia" w:ascii="宋体" w:hAnsi="宋体" w:eastAsia="宋体" w:cs="宋体"/>
          <w:snapToGrid w:val="0"/>
          <w:color w:val="auto"/>
          <w:kern w:val="0"/>
          <w:sz w:val="24"/>
          <w:szCs w:val="24"/>
          <w:highlight w:val="none"/>
        </w:rPr>
        <w:t xml:space="preserve"> 本招标项目以暂估价形式列入招标工程量清单中的材料、工程设备、专业工程（以下统称“暂估价项目”）包括：</w:t>
      </w:r>
      <w:r>
        <w:rPr>
          <w:rFonts w:hint="eastAsia" w:ascii="宋体" w:hAnsi="宋体" w:eastAsia="宋体" w:cs="宋体"/>
          <w:snapToGrid w:val="0"/>
          <w:color w:val="auto"/>
          <w:kern w:val="0"/>
          <w:sz w:val="24"/>
          <w:szCs w:val="24"/>
          <w:highlight w:val="none"/>
          <w:u w:val="single"/>
        </w:rPr>
        <w:t>为招标人在工程量清单中提供的用于支付必然发生但暂时不能确定价格的材料、工程设备的单价以及专业工程的金额。投标人必须按招标工程量清单中列出的单价、金额统一报价，其结算原则按本招标文件相关条款执行</w:t>
      </w:r>
      <w:r>
        <w:rPr>
          <w:rFonts w:hint="eastAsia" w:ascii="宋体" w:hAnsi="宋体" w:eastAsia="宋体" w:cs="宋体"/>
          <w:snapToGrid w:val="0"/>
          <w:color w:val="auto"/>
          <w:kern w:val="0"/>
          <w:sz w:val="24"/>
          <w:szCs w:val="24"/>
          <w:highlight w:val="none"/>
        </w:rPr>
        <w:t>。</w:t>
      </w:r>
    </w:p>
    <w:p w14:paraId="6E91E6D2">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8.5</w:t>
      </w:r>
      <w:r>
        <w:rPr>
          <w:rFonts w:hint="eastAsia" w:ascii="宋体" w:hAnsi="宋体" w:eastAsia="宋体" w:cs="宋体"/>
          <w:snapToGrid w:val="0"/>
          <w:color w:val="auto"/>
          <w:kern w:val="0"/>
          <w:sz w:val="24"/>
          <w:szCs w:val="24"/>
          <w:highlight w:val="none"/>
        </w:rPr>
        <w:t xml:space="preserve"> 当暂估价项目的内容、标准、要求在项目实施过程中得以深化、明确、固定后，按以下原则发包：</w:t>
      </w:r>
    </w:p>
    <w:p w14:paraId="1A0A5730">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（1）暂估价项目按工程、货物（指材料或工程设备，下同）的类别分类汇总的金额，达到必须招标规模标准的，由</w:t>
      </w:r>
      <w:r>
        <w:rPr>
          <w:rFonts w:hint="eastAsia" w:ascii="宋体" w:hAnsi="宋体" w:eastAsia="宋体" w:cs="宋体"/>
          <w:snapToGrid w:val="0"/>
          <w:color w:val="auto"/>
          <w:kern w:val="0"/>
          <w:sz w:val="24"/>
          <w:szCs w:val="24"/>
          <w:highlight w:val="none"/>
          <w:u w:val="single"/>
        </w:rPr>
        <w:t xml:space="preserve"> 中标人招标，招标人参与管理 </w:t>
      </w:r>
      <w:r>
        <w:rPr>
          <w:rFonts w:hint="eastAsia" w:ascii="宋体" w:hAnsi="宋体" w:eastAsia="宋体" w:cs="宋体"/>
          <w:snapToGrid w:val="0"/>
          <w:color w:val="auto"/>
          <w:kern w:val="0"/>
          <w:sz w:val="24"/>
          <w:szCs w:val="24"/>
          <w:highlight w:val="none"/>
        </w:rPr>
        <w:t>，确定专业工程承包人（或材料、工程设备供应商）和合同价格。</w:t>
      </w:r>
    </w:p>
    <w:p w14:paraId="6FE7774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（2）暂估价项目按工程、货物的类别分类汇总的金额，未达到必须招标规模标准但适用政府采购规定的，按照政府采购规定确定专业工程承包人（或材料、工程设备供应商）和合同价格。</w:t>
      </w:r>
    </w:p>
    <w:p w14:paraId="49BC859B">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暂估价项目按工程、货物的类别分类汇总的金额，未达到必须招标规模标准也不适用政府采购规定，中标人具备相应资格条件的，由中标人承包；中标人不具备相应资格条件但具备分包权的，由中标人分包，招标人同中标人结算原则按本招标文件相关条款执行。</w:t>
      </w:r>
    </w:p>
    <w:p w14:paraId="01F343FE">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（4）暂估价项目按工程、货物的类别分类汇总的金额，未达到必须招标规模标准也不适用政府采购规定，中标人既不具备相应资格条件又不具备分包权的，由招标人另行发包。</w:t>
      </w:r>
    </w:p>
    <w:p w14:paraId="3E0DBD37">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（5）暂估价项目由其他承包人承包的，纳入中标人的管理和协调范围，由其他承包人向中标人承担质量、安全、文明施工、工期责任，中标人向招标人承担责任。</w:t>
      </w:r>
    </w:p>
    <w:p w14:paraId="258019DE">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sz w:val="24"/>
          <w:szCs w:val="24"/>
          <w:highlight w:val="none"/>
        </w:rPr>
      </w:pPr>
      <w:r>
        <w:rPr>
          <w:rFonts w:hint="eastAsia" w:ascii="宋体" w:hAnsi="宋体" w:eastAsia="宋体" w:cs="宋体"/>
          <w:b/>
          <w:bCs/>
          <w:snapToGrid w:val="0"/>
          <w:color w:val="auto"/>
          <w:kern w:val="0"/>
          <w:sz w:val="24"/>
          <w:szCs w:val="24"/>
          <w:highlight w:val="none"/>
        </w:rPr>
        <w:t>8.6</w:t>
      </w:r>
      <w:r>
        <w:rPr>
          <w:rFonts w:hint="eastAsia" w:ascii="宋体" w:hAnsi="宋体" w:eastAsia="宋体" w:cs="宋体"/>
          <w:snapToGrid w:val="0"/>
          <w:color w:val="auto"/>
          <w:kern w:val="0"/>
          <w:sz w:val="24"/>
          <w:szCs w:val="24"/>
          <w:highlight w:val="none"/>
        </w:rPr>
        <w:t xml:space="preserve"> 本招标项目以</w:t>
      </w:r>
      <w:r>
        <w:rPr>
          <w:rFonts w:hint="eastAsia" w:ascii="宋体" w:hAnsi="宋体" w:eastAsia="宋体" w:cs="宋体"/>
          <w:snapToGrid w:val="0"/>
          <w:color w:val="auto"/>
          <w:sz w:val="24"/>
          <w:szCs w:val="24"/>
          <w:highlight w:val="none"/>
        </w:rPr>
        <w:t>暂列金额</w:t>
      </w:r>
      <w:r>
        <w:rPr>
          <w:rFonts w:hint="eastAsia" w:ascii="宋体" w:hAnsi="宋体" w:eastAsia="宋体" w:cs="宋体"/>
          <w:snapToGrid w:val="0"/>
          <w:color w:val="auto"/>
          <w:kern w:val="0"/>
          <w:sz w:val="24"/>
          <w:szCs w:val="24"/>
          <w:highlight w:val="none"/>
        </w:rPr>
        <w:t>形式列入招标工程量清单中的</w:t>
      </w:r>
      <w:r>
        <w:rPr>
          <w:rFonts w:hint="eastAsia" w:ascii="宋体" w:hAnsi="宋体" w:eastAsia="宋体" w:cs="宋体"/>
          <w:snapToGrid w:val="0"/>
          <w:color w:val="auto"/>
          <w:sz w:val="24"/>
          <w:szCs w:val="24"/>
          <w:highlight w:val="none"/>
        </w:rPr>
        <w:t>所需货物和服务的采购</w:t>
      </w:r>
      <w:r>
        <w:rPr>
          <w:rFonts w:hint="eastAsia" w:ascii="宋体" w:hAnsi="宋体" w:eastAsia="宋体" w:cs="宋体"/>
          <w:snapToGrid w:val="0"/>
          <w:color w:val="auto"/>
          <w:kern w:val="0"/>
          <w:sz w:val="24"/>
          <w:szCs w:val="24"/>
          <w:highlight w:val="none"/>
        </w:rPr>
        <w:t>（以下统称“暂列金额项目”）若有</w:t>
      </w:r>
      <w:r>
        <w:rPr>
          <w:rFonts w:hint="eastAsia" w:ascii="宋体" w:hAnsi="宋体" w:eastAsia="宋体" w:cs="宋体"/>
          <w:snapToGrid w:val="0"/>
          <w:color w:val="auto"/>
          <w:sz w:val="24"/>
          <w:szCs w:val="24"/>
          <w:highlight w:val="none"/>
        </w:rPr>
        <w:t>发生，按照本节第</w:t>
      </w:r>
      <w:r>
        <w:rPr>
          <w:rFonts w:hint="eastAsia" w:ascii="宋体" w:hAnsi="宋体" w:eastAsia="宋体" w:cs="宋体"/>
          <w:b/>
          <w:bCs/>
          <w:snapToGrid w:val="0"/>
          <w:color w:val="auto"/>
          <w:kern w:val="0"/>
          <w:sz w:val="24"/>
          <w:szCs w:val="24"/>
          <w:highlight w:val="none"/>
        </w:rPr>
        <w:t>8.5</w:t>
      </w:r>
      <w:r>
        <w:rPr>
          <w:rFonts w:hint="eastAsia" w:ascii="宋体" w:hAnsi="宋体" w:eastAsia="宋体" w:cs="宋体"/>
          <w:snapToGrid w:val="0"/>
          <w:color w:val="auto"/>
          <w:sz w:val="24"/>
          <w:szCs w:val="24"/>
          <w:highlight w:val="none"/>
        </w:rPr>
        <w:t>条的规定确定货物（或服务）供应商和合同价格。暂列金额项目由其他承包人承包的，纳入中标人的管理和协调范围，由其他承包人向中标人承担质量、安全、文明施工、工期责任，中标人向招标人承担责任。</w:t>
      </w:r>
    </w:p>
    <w:p w14:paraId="77B2F1D7">
      <w:pPr>
        <w:pStyle w:val="3"/>
        <w:pageBreakBefore w:val="0"/>
        <w:kinsoku/>
        <w:wordWrap w:val="0"/>
        <w:overflowPunct/>
        <w:topLinePunct w:val="0"/>
        <w:autoSpaceDE/>
        <w:autoSpaceDN/>
        <w:bidi w:val="0"/>
        <w:snapToGrid w:val="0"/>
        <w:spacing w:line="360" w:lineRule="auto"/>
        <w:ind w:left="0" w:leftChars="0" w:right="0" w:firstLine="482" w:firstLineChars="200"/>
        <w:jc w:val="both"/>
        <w:rPr>
          <w:rFonts w:hint="eastAsia" w:ascii="宋体" w:hAnsi="宋体" w:eastAsia="宋体" w:cs="宋体"/>
          <w:b/>
          <w:snapToGrid w:val="0"/>
          <w:color w:val="auto"/>
          <w:sz w:val="24"/>
          <w:szCs w:val="24"/>
          <w:highlight w:val="none"/>
        </w:rPr>
      </w:pPr>
      <w:bookmarkStart w:id="77" w:name="_Toc17205"/>
      <w:bookmarkStart w:id="78" w:name="_Toc8163"/>
    </w:p>
    <w:p w14:paraId="6F87D27A">
      <w:pPr>
        <w:pStyle w:val="4"/>
        <w:pageBreakBefore w:val="0"/>
        <w:kinsoku/>
        <w:overflowPunct/>
        <w:topLinePunct w:val="0"/>
        <w:autoSpaceDE/>
        <w:autoSpaceDN/>
        <w:bidi w:val="0"/>
        <w:spacing w:beforeLines="0" w:afterLines="0" w:line="360" w:lineRule="auto"/>
        <w:ind w:left="0" w:leftChars="0" w:right="0" w:firstLine="482" w:firstLineChars="200"/>
        <w:rPr>
          <w:rFonts w:hint="eastAsia" w:ascii="宋体" w:hAnsi="宋体" w:eastAsia="宋体" w:cs="宋体"/>
          <w:color w:val="auto"/>
          <w:sz w:val="24"/>
          <w:szCs w:val="24"/>
          <w:highlight w:val="none"/>
        </w:rPr>
      </w:pPr>
      <w:bookmarkStart w:id="79" w:name="_Toc19680"/>
      <w:r>
        <w:rPr>
          <w:rFonts w:hint="eastAsia" w:ascii="宋体" w:hAnsi="宋体" w:eastAsia="宋体" w:cs="宋体"/>
          <w:color w:val="auto"/>
          <w:sz w:val="24"/>
          <w:szCs w:val="24"/>
          <w:highlight w:val="none"/>
        </w:rPr>
        <w:t>9．投标报价</w:t>
      </w:r>
      <w:bookmarkEnd w:id="75"/>
      <w:bookmarkEnd w:id="77"/>
      <w:bookmarkEnd w:id="78"/>
      <w:bookmarkEnd w:id="79"/>
      <w:bookmarkStart w:id="80" w:name="_Hlt74498519"/>
      <w:bookmarkEnd w:id="80"/>
    </w:p>
    <w:p w14:paraId="1EDAD067">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9.1</w:t>
      </w:r>
      <w:r>
        <w:rPr>
          <w:rFonts w:hint="eastAsia" w:ascii="宋体" w:hAnsi="宋体" w:eastAsia="宋体" w:cs="宋体"/>
          <w:snapToGrid w:val="0"/>
          <w:color w:val="auto"/>
          <w:kern w:val="0"/>
          <w:sz w:val="24"/>
          <w:szCs w:val="24"/>
          <w:highlight w:val="none"/>
        </w:rPr>
        <w:t xml:space="preserve"> 投标人应按照以下依据编制投标报价：</w:t>
      </w:r>
    </w:p>
    <w:p w14:paraId="0CE2ACB5">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（1）</w:t>
      </w:r>
      <w:r>
        <w:rPr>
          <w:rFonts w:hint="eastAsia" w:hAnsi="宋体" w:cs="宋体"/>
          <w:snapToGrid w:val="0"/>
          <w:color w:val="auto"/>
          <w:kern w:val="0"/>
          <w:sz w:val="24"/>
          <w:szCs w:val="24"/>
          <w:highlight w:val="none"/>
          <w:lang w:val="en-US" w:eastAsia="zh-CN"/>
        </w:rPr>
        <w:t>《建设工程工程量清单计价标准》(GB/T50500-2024)</w:t>
      </w:r>
      <w:r>
        <w:rPr>
          <w:rFonts w:hint="eastAsia" w:ascii="宋体" w:hAnsi="宋体" w:eastAsia="宋体" w:cs="宋体"/>
          <w:snapToGrid w:val="0"/>
          <w:color w:val="auto"/>
          <w:kern w:val="0"/>
          <w:sz w:val="24"/>
          <w:szCs w:val="24"/>
          <w:highlight w:val="none"/>
        </w:rPr>
        <w:t>；</w:t>
      </w:r>
    </w:p>
    <w:p w14:paraId="78B1CF23">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hAnsi="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广东省建设工程计价依据（2018）》。具体包括：《广东省房屋建筑与装饰工程综合定额（2018）》《广东省市政工程综合定额（2018）》《广东省通用安装工程综合定额（2018）》《广东省园林绿化工程综合定额（2018）》《广东省建设工程施工机具台班费用编制规则（2018）》等；</w:t>
      </w:r>
    </w:p>
    <w:p w14:paraId="3A15E6F3">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hAnsi="宋体" w:cs="宋体"/>
          <w:snapToGrid w:val="0"/>
          <w:color w:val="auto"/>
          <w:kern w:val="0"/>
          <w:sz w:val="24"/>
          <w:szCs w:val="24"/>
          <w:highlight w:val="none"/>
          <w:lang w:val="en-US" w:eastAsia="zh-CN"/>
        </w:rPr>
        <w:t>3</w:t>
      </w:r>
      <w:r>
        <w:rPr>
          <w:rFonts w:hint="eastAsia" w:ascii="宋体" w:hAnsi="宋体" w:eastAsia="宋体" w:cs="宋体"/>
          <w:snapToGrid w:val="0"/>
          <w:color w:val="auto"/>
          <w:kern w:val="0"/>
          <w:sz w:val="24"/>
          <w:szCs w:val="24"/>
          <w:highlight w:val="none"/>
        </w:rPr>
        <w:t>）企业定额；</w:t>
      </w:r>
    </w:p>
    <w:p w14:paraId="5E48E41E">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hAnsi="宋体" w:cs="宋体"/>
          <w:snapToGrid w:val="0"/>
          <w:color w:val="auto"/>
          <w:kern w:val="0"/>
          <w:sz w:val="24"/>
          <w:szCs w:val="24"/>
          <w:highlight w:val="none"/>
          <w:lang w:val="en-US" w:eastAsia="zh-CN"/>
        </w:rPr>
        <w:t>4</w:t>
      </w:r>
      <w:r>
        <w:rPr>
          <w:rFonts w:hint="eastAsia" w:ascii="宋体" w:hAnsi="宋体" w:eastAsia="宋体" w:cs="宋体"/>
          <w:snapToGrid w:val="0"/>
          <w:color w:val="auto"/>
          <w:kern w:val="0"/>
          <w:sz w:val="24"/>
          <w:szCs w:val="24"/>
          <w:highlight w:val="none"/>
        </w:rPr>
        <w:t>）招标文件及其答疑（或修改）公告、招标工程量清单；</w:t>
      </w:r>
    </w:p>
    <w:p w14:paraId="75C244C2">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hAnsi="宋体" w:cs="宋体"/>
          <w:snapToGrid w:val="0"/>
          <w:color w:val="auto"/>
          <w:kern w:val="0"/>
          <w:sz w:val="24"/>
          <w:szCs w:val="24"/>
          <w:highlight w:val="none"/>
          <w:lang w:val="en-US" w:eastAsia="zh-CN"/>
        </w:rPr>
        <w:t>5</w:t>
      </w:r>
      <w:r>
        <w:rPr>
          <w:rFonts w:hint="eastAsia" w:ascii="宋体" w:hAnsi="宋体" w:eastAsia="宋体" w:cs="宋体"/>
          <w:snapToGrid w:val="0"/>
          <w:color w:val="auto"/>
          <w:kern w:val="0"/>
          <w:sz w:val="24"/>
          <w:szCs w:val="24"/>
          <w:highlight w:val="none"/>
        </w:rPr>
        <w:t>）施工图及相关资料；</w:t>
      </w:r>
    </w:p>
    <w:p w14:paraId="7BD286AC">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hAnsi="宋体" w:cs="宋体"/>
          <w:snapToGrid w:val="0"/>
          <w:color w:val="auto"/>
          <w:kern w:val="0"/>
          <w:sz w:val="24"/>
          <w:szCs w:val="24"/>
          <w:highlight w:val="none"/>
          <w:lang w:val="en-US" w:eastAsia="zh-CN"/>
        </w:rPr>
        <w:t>6</w:t>
      </w:r>
      <w:r>
        <w:rPr>
          <w:rFonts w:hint="eastAsia" w:ascii="宋体" w:hAnsi="宋体" w:eastAsia="宋体" w:cs="宋体"/>
          <w:snapToGrid w:val="0"/>
          <w:color w:val="auto"/>
          <w:kern w:val="0"/>
          <w:sz w:val="24"/>
          <w:szCs w:val="24"/>
          <w:highlight w:val="none"/>
        </w:rPr>
        <w:t>）施工现场情况、工程特点及投标时拟定的施工组织设计或施工方案；</w:t>
      </w:r>
    </w:p>
    <w:p w14:paraId="3E2BF5DF">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hAnsi="宋体" w:cs="宋体"/>
          <w:snapToGrid w:val="0"/>
          <w:color w:val="auto"/>
          <w:kern w:val="0"/>
          <w:sz w:val="24"/>
          <w:szCs w:val="24"/>
          <w:highlight w:val="none"/>
          <w:lang w:val="en-US" w:eastAsia="zh-CN"/>
        </w:rPr>
        <w:t>7</w:t>
      </w:r>
      <w:r>
        <w:rPr>
          <w:rFonts w:hint="eastAsia" w:ascii="宋体" w:hAnsi="宋体" w:eastAsia="宋体" w:cs="宋体"/>
          <w:snapToGrid w:val="0"/>
          <w:color w:val="auto"/>
          <w:kern w:val="0"/>
          <w:sz w:val="24"/>
          <w:szCs w:val="24"/>
          <w:highlight w:val="none"/>
        </w:rPr>
        <w:t>）市场价格信息或项目所在地工程造价管理机构发布的工程造价信息；</w:t>
      </w:r>
    </w:p>
    <w:p w14:paraId="1DC00349">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hAnsi="宋体" w:cs="宋体"/>
          <w:snapToGrid w:val="0"/>
          <w:color w:val="auto"/>
          <w:kern w:val="0"/>
          <w:sz w:val="24"/>
          <w:szCs w:val="24"/>
          <w:highlight w:val="none"/>
          <w:lang w:val="en-US" w:eastAsia="zh-CN"/>
        </w:rPr>
        <w:t>8</w:t>
      </w:r>
      <w:r>
        <w:rPr>
          <w:rFonts w:hint="eastAsia" w:ascii="宋体" w:hAnsi="宋体" w:eastAsia="宋体" w:cs="宋体"/>
          <w:snapToGrid w:val="0"/>
          <w:color w:val="auto"/>
          <w:kern w:val="0"/>
          <w:sz w:val="24"/>
          <w:szCs w:val="24"/>
          <w:highlight w:val="none"/>
        </w:rPr>
        <w:t>）与建设项目相关的标准、规范、技术资料。</w:t>
      </w:r>
    </w:p>
    <w:p w14:paraId="6924CD51">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9.2</w:t>
      </w:r>
      <w:r>
        <w:rPr>
          <w:rFonts w:hint="eastAsia" w:ascii="宋体" w:hAnsi="宋体" w:eastAsia="宋体" w:cs="宋体"/>
          <w:snapToGrid w:val="0"/>
          <w:color w:val="auto"/>
          <w:kern w:val="0"/>
          <w:sz w:val="24"/>
          <w:szCs w:val="24"/>
          <w:highlight w:val="none"/>
        </w:rPr>
        <w:t xml:space="preserve"> 投标人应根据招标工程量清单、工程量清单计价规范中的工作内容、设计文件和有关要求、施工现场实际情况、投标人拟定的施工组织设计、本单位的企业定额和市场价格进行编制，自行报价，并承担一定范围内的风险费用。</w:t>
      </w:r>
      <w:bookmarkStart w:id="81" w:name="_Hlt66594003"/>
      <w:bookmarkEnd w:id="81"/>
      <w:r>
        <w:rPr>
          <w:rFonts w:hint="eastAsia" w:ascii="宋体" w:hAnsi="宋体" w:eastAsia="宋体" w:cs="宋体"/>
          <w:snapToGrid w:val="0"/>
          <w:color w:val="auto"/>
          <w:kern w:val="0"/>
          <w:sz w:val="24"/>
          <w:szCs w:val="24"/>
          <w:highlight w:val="none"/>
        </w:rPr>
        <w:t>所谓“一定范围内的风险”是指合同约定的风险。</w:t>
      </w:r>
      <w:bookmarkStart w:id="82" w:name="_Hlt69335755"/>
      <w:bookmarkEnd w:id="82"/>
    </w:p>
    <w:p w14:paraId="5ED40A69">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9.3</w:t>
      </w:r>
      <w:r>
        <w:rPr>
          <w:rFonts w:hint="eastAsia" w:ascii="宋体" w:hAnsi="宋体" w:eastAsia="宋体" w:cs="宋体"/>
          <w:snapToGrid w:val="0"/>
          <w:color w:val="auto"/>
          <w:kern w:val="0"/>
          <w:sz w:val="24"/>
          <w:szCs w:val="24"/>
          <w:highlight w:val="none"/>
        </w:rPr>
        <w:t xml:space="preserve"> 招标人及招标代理机构不集中组织现场踏勘，投标人需要了解现场情况的，可自行进行现场踏勘。各投标人应勘察施工现场及周围环境、地形、地貌、水文、交通等情况，以获得一切可能影响到投标的直</w:t>
      </w:r>
      <w:bookmarkStart w:id="83" w:name="_Hlt66509056"/>
      <w:bookmarkEnd w:id="83"/>
      <w:r>
        <w:rPr>
          <w:rFonts w:hint="eastAsia" w:ascii="宋体" w:hAnsi="宋体" w:eastAsia="宋体" w:cs="宋体"/>
          <w:snapToGrid w:val="0"/>
          <w:color w:val="auto"/>
          <w:kern w:val="0"/>
          <w:sz w:val="24"/>
          <w:szCs w:val="24"/>
          <w:highlight w:val="none"/>
        </w:rPr>
        <w:t>接资料。投标人应针对现场情况编制施工组织设计，并在编制投标报价时考虑现场情况的影响。</w:t>
      </w:r>
    </w:p>
    <w:p w14:paraId="77A54009">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9.4</w:t>
      </w:r>
      <w:r>
        <w:rPr>
          <w:rFonts w:hint="eastAsia" w:ascii="宋体" w:hAnsi="宋体" w:eastAsia="宋体" w:cs="宋体"/>
          <w:snapToGrid w:val="0"/>
          <w:color w:val="auto"/>
          <w:kern w:val="0"/>
          <w:sz w:val="24"/>
          <w:szCs w:val="24"/>
          <w:highlight w:val="none"/>
        </w:rPr>
        <w:t xml:space="preserve"> 招标人向投标人提供的有关现场的数据和资料，是招标人现有的能被投标人利用的资料，招标人对投标人做出的任何推论、理解和结论均不负责任。</w:t>
      </w:r>
    </w:p>
    <w:p w14:paraId="7BFC179B">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9.5</w:t>
      </w:r>
      <w:r>
        <w:rPr>
          <w:rFonts w:hint="eastAsia" w:ascii="宋体" w:hAnsi="宋体" w:eastAsia="宋体" w:cs="宋体"/>
          <w:snapToGrid w:val="0"/>
          <w:color w:val="auto"/>
          <w:kern w:val="0"/>
          <w:sz w:val="24"/>
          <w:szCs w:val="24"/>
          <w:highlight w:val="none"/>
        </w:rPr>
        <w:t xml:space="preserve"> 投标人必须按照招标工程量清单及表格填报价格。项目编码、项目名称、项目特征、计量单位、工程量必须与招标工程量清单一致。所有报价均以人民币“元”为单位，并保留小数点后两位。</w:t>
      </w:r>
    </w:p>
    <w:p w14:paraId="7C6B3BEC">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9.6</w:t>
      </w:r>
      <w:r>
        <w:rPr>
          <w:rFonts w:hint="eastAsia" w:ascii="宋体" w:hAnsi="宋体" w:eastAsia="宋体" w:cs="宋体"/>
          <w:snapToGrid w:val="0"/>
          <w:color w:val="auto"/>
          <w:kern w:val="0"/>
          <w:sz w:val="24"/>
          <w:szCs w:val="24"/>
          <w:highlight w:val="none"/>
        </w:rPr>
        <w:t xml:space="preserve"> 投标人只允许有一个投标总价。投标总价必须同时用大、小写表示，大、小写报价应保持一致，若不一致，以大写报价为准。招标工程量清单与计价表中列明的所有需要填写单价和合价的项目，投标人均应填写且只允许有一个报价。未填写单价和合价的项目，视为此项费用已包含在已标价工程量清单其他项目的单价和合价中，竣工结算时不得重新组价和调整。</w:t>
      </w:r>
    </w:p>
    <w:p w14:paraId="44F45FE9">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9.7</w:t>
      </w:r>
      <w:r>
        <w:rPr>
          <w:rFonts w:hint="eastAsia" w:ascii="宋体" w:hAnsi="宋体" w:eastAsia="宋体" w:cs="宋体"/>
          <w:snapToGrid w:val="0"/>
          <w:color w:val="auto"/>
          <w:kern w:val="0"/>
          <w:sz w:val="24"/>
          <w:szCs w:val="24"/>
          <w:highlight w:val="none"/>
        </w:rPr>
        <w:t xml:space="preserve"> 投标人的投标总价不得高于</w:t>
      </w:r>
      <w:r>
        <w:rPr>
          <w:rFonts w:hint="eastAsia" w:ascii="宋体" w:hAnsi="宋体" w:eastAsia="宋体" w:cs="宋体"/>
          <w:snapToGrid w:val="0"/>
          <w:color w:val="auto"/>
          <w:kern w:val="0"/>
          <w:sz w:val="24"/>
          <w:szCs w:val="24"/>
          <w:highlight w:val="none"/>
          <w:lang w:val="en-US" w:eastAsia="zh-CN"/>
        </w:rPr>
        <w:t>最高投标限价</w:t>
      </w:r>
      <w:r>
        <w:rPr>
          <w:rFonts w:hint="eastAsia" w:ascii="宋体" w:hAnsi="宋体" w:eastAsia="宋体" w:cs="宋体"/>
          <w:snapToGrid w:val="0"/>
          <w:color w:val="auto"/>
          <w:kern w:val="0"/>
          <w:sz w:val="24"/>
          <w:szCs w:val="24"/>
          <w:highlight w:val="none"/>
        </w:rPr>
        <w:t>，也不得低于工程成本。投标人对投标总价的所有优惠（降价、让利等），均应当反映在具体清单项目或其综合单价的报价上。</w:t>
      </w:r>
      <w:r>
        <w:rPr>
          <w:rFonts w:hint="eastAsia" w:ascii="宋体" w:hAnsi="宋体" w:eastAsia="宋体" w:cs="宋体"/>
          <w:b w:val="0"/>
          <w:bCs/>
          <w:snapToGrid w:val="0"/>
          <w:color w:val="auto"/>
          <w:kern w:val="0"/>
          <w:sz w:val="24"/>
          <w:szCs w:val="24"/>
          <w:highlight w:val="none"/>
        </w:rPr>
        <w:t>如果投标人的投标总价下浮率（投标总价下浮率＝100%－投标总价÷</w:t>
      </w:r>
      <w:r>
        <w:rPr>
          <w:rFonts w:hint="eastAsia" w:hAnsi="宋体" w:cs="宋体"/>
          <w:b w:val="0"/>
          <w:bCs/>
          <w:snapToGrid w:val="0"/>
          <w:color w:val="auto"/>
          <w:kern w:val="0"/>
          <w:sz w:val="24"/>
          <w:szCs w:val="24"/>
          <w:highlight w:val="none"/>
          <w:lang w:eastAsia="zh-CN"/>
        </w:rPr>
        <w:t>最高投标限价</w:t>
      </w:r>
      <w:r>
        <w:rPr>
          <w:rFonts w:hint="eastAsia" w:ascii="宋体" w:hAnsi="宋体" w:eastAsia="宋体" w:cs="宋体"/>
          <w:b w:val="0"/>
          <w:bCs/>
          <w:snapToGrid w:val="0"/>
          <w:color w:val="auto"/>
          <w:kern w:val="0"/>
          <w:sz w:val="24"/>
          <w:szCs w:val="24"/>
          <w:highlight w:val="none"/>
        </w:rPr>
        <w:t>×100%）高于15%时，投标人必须在投标文件中专项作出详细合理的书面说明并提供以往类似工程详细成本分析报告供评标委员会审查。</w:t>
      </w:r>
    </w:p>
    <w:p w14:paraId="4F1621F2">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9.8</w:t>
      </w:r>
      <w:r>
        <w:rPr>
          <w:rFonts w:hint="eastAsia" w:ascii="宋体" w:hAnsi="宋体" w:eastAsia="宋体" w:cs="宋体"/>
          <w:snapToGrid w:val="0"/>
          <w:color w:val="auto"/>
          <w:kern w:val="0"/>
          <w:sz w:val="24"/>
          <w:szCs w:val="24"/>
          <w:highlight w:val="none"/>
        </w:rPr>
        <w:t xml:space="preserve"> 投标人的</w:t>
      </w:r>
      <w:r>
        <w:rPr>
          <w:rFonts w:hint="eastAsia" w:hAnsi="宋体" w:cs="宋体"/>
          <w:b/>
          <w:bCs/>
          <w:snapToGrid w:val="0"/>
          <w:color w:val="auto"/>
          <w:kern w:val="0"/>
          <w:sz w:val="24"/>
          <w:szCs w:val="24"/>
          <w:highlight w:val="none"/>
          <w:lang w:eastAsia="zh-CN"/>
        </w:rPr>
        <w:t>安全生产措施费</w:t>
      </w:r>
      <w:r>
        <w:rPr>
          <w:rFonts w:hint="eastAsia" w:ascii="宋体" w:hAnsi="宋体" w:eastAsia="宋体" w:cs="宋体"/>
          <w:b/>
          <w:bCs/>
          <w:snapToGrid w:val="0"/>
          <w:color w:val="auto"/>
          <w:kern w:val="0"/>
          <w:sz w:val="24"/>
          <w:szCs w:val="24"/>
          <w:highlight w:val="none"/>
        </w:rPr>
        <w:t>报价必须达到或超过招标</w:t>
      </w:r>
      <w:r>
        <w:rPr>
          <w:rFonts w:hint="eastAsia" w:hAnsi="宋体" w:cs="宋体"/>
          <w:b/>
          <w:bCs/>
          <w:snapToGrid w:val="0"/>
          <w:color w:val="auto"/>
          <w:kern w:val="0"/>
          <w:sz w:val="24"/>
          <w:szCs w:val="24"/>
          <w:highlight w:val="none"/>
          <w:lang w:val="en-US" w:eastAsia="zh-CN"/>
        </w:rPr>
        <w:t>文件</w:t>
      </w:r>
      <w:r>
        <w:rPr>
          <w:rFonts w:hint="eastAsia" w:ascii="宋体" w:hAnsi="宋体" w:eastAsia="宋体" w:cs="宋体"/>
          <w:b/>
          <w:bCs/>
          <w:snapToGrid w:val="0"/>
          <w:color w:val="auto"/>
          <w:kern w:val="0"/>
          <w:sz w:val="24"/>
          <w:szCs w:val="24"/>
          <w:highlight w:val="none"/>
        </w:rPr>
        <w:t>中提供的</w:t>
      </w:r>
      <w:r>
        <w:rPr>
          <w:rFonts w:hint="eastAsia" w:hAnsi="宋体" w:cs="宋体"/>
          <w:b/>
          <w:bCs/>
          <w:snapToGrid w:val="0"/>
          <w:color w:val="auto"/>
          <w:kern w:val="0"/>
          <w:sz w:val="24"/>
          <w:szCs w:val="24"/>
          <w:highlight w:val="none"/>
          <w:lang w:eastAsia="zh-CN"/>
        </w:rPr>
        <w:t>安全生产措施费</w:t>
      </w:r>
      <w:r>
        <w:rPr>
          <w:rFonts w:hint="eastAsia" w:ascii="宋体" w:hAnsi="宋体" w:eastAsia="宋体" w:cs="宋体"/>
          <w:snapToGrid w:val="0"/>
          <w:color w:val="auto"/>
          <w:kern w:val="0"/>
          <w:sz w:val="24"/>
          <w:szCs w:val="24"/>
          <w:highlight w:val="none"/>
        </w:rPr>
        <w:t>。</w:t>
      </w:r>
    </w:p>
    <w:p w14:paraId="72E6963D">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snapToGrid w:val="0"/>
          <w:color w:val="auto"/>
          <w:sz w:val="24"/>
          <w:szCs w:val="24"/>
          <w:highlight w:val="none"/>
        </w:rPr>
      </w:pPr>
      <w:r>
        <w:rPr>
          <w:rFonts w:hint="eastAsia" w:ascii="宋体" w:hAnsi="宋体" w:eastAsia="宋体" w:cs="宋体"/>
          <w:b/>
          <w:bCs/>
          <w:snapToGrid w:val="0"/>
          <w:color w:val="auto"/>
          <w:kern w:val="0"/>
          <w:sz w:val="24"/>
          <w:szCs w:val="24"/>
          <w:highlight w:val="none"/>
        </w:rPr>
        <w:t>9.9</w:t>
      </w:r>
      <w:r>
        <w:rPr>
          <w:rFonts w:hint="eastAsia" w:ascii="宋体" w:hAnsi="宋体" w:eastAsia="宋体" w:cs="宋体"/>
          <w:snapToGrid w:val="0"/>
          <w:color w:val="auto"/>
          <w:kern w:val="0"/>
          <w:sz w:val="24"/>
          <w:szCs w:val="24"/>
          <w:highlight w:val="none"/>
        </w:rPr>
        <w:t xml:space="preserve"> 投标人必须按照招标工程量清单中提供的暂列金额和暂估价统一报价。投标人应充分考虑暂估价项目（或暂列金额项目）的管理和协调所发生的费用，并将其纳入已标价工程量清单中的适当项目。招标人视该项管理和协调所发生的费用已包含在其它有价款的竞争性报价内，不再另行支付。</w:t>
      </w:r>
      <w:bookmarkStart w:id="84" w:name="_（十）投标文件的编制、包装、密封"/>
      <w:bookmarkEnd w:id="84"/>
      <w:bookmarkStart w:id="85" w:name="_Toc28889"/>
      <w:bookmarkStart w:id="86" w:name="_Toc11437"/>
      <w:bookmarkStart w:id="87" w:name="_Toc721"/>
    </w:p>
    <w:p w14:paraId="68ED725C">
      <w:pPr>
        <w:pStyle w:val="3"/>
        <w:pageBreakBefore w:val="0"/>
        <w:kinsoku/>
        <w:wordWrap w:val="0"/>
        <w:overflowPunct/>
        <w:topLinePunct w:val="0"/>
        <w:autoSpaceDE/>
        <w:autoSpaceDN/>
        <w:bidi w:val="0"/>
        <w:snapToGrid w:val="0"/>
        <w:spacing w:line="360" w:lineRule="auto"/>
        <w:ind w:left="0" w:leftChars="0" w:right="0" w:firstLine="482" w:firstLineChars="200"/>
        <w:jc w:val="both"/>
        <w:rPr>
          <w:rFonts w:hint="eastAsia" w:ascii="宋体" w:hAnsi="宋体" w:eastAsia="宋体" w:cs="宋体"/>
          <w:b/>
          <w:snapToGrid w:val="0"/>
          <w:color w:val="auto"/>
          <w:sz w:val="24"/>
          <w:szCs w:val="24"/>
          <w:highlight w:val="none"/>
        </w:rPr>
      </w:pPr>
    </w:p>
    <w:bookmarkEnd w:id="85"/>
    <w:bookmarkEnd w:id="86"/>
    <w:bookmarkEnd w:id="87"/>
    <w:p w14:paraId="1D853762">
      <w:pPr>
        <w:pStyle w:val="4"/>
        <w:pageBreakBefore w:val="0"/>
        <w:kinsoku/>
        <w:overflowPunct/>
        <w:topLinePunct w:val="0"/>
        <w:autoSpaceDE/>
        <w:autoSpaceDN/>
        <w:bidi w:val="0"/>
        <w:spacing w:beforeLines="0" w:afterLines="0" w:line="360" w:lineRule="auto"/>
        <w:ind w:left="0" w:leftChars="0" w:right="0" w:firstLine="482" w:firstLineChars="200"/>
        <w:rPr>
          <w:rFonts w:hint="eastAsia" w:ascii="宋体" w:hAnsi="宋体" w:eastAsia="宋体" w:cs="宋体"/>
          <w:color w:val="auto"/>
          <w:sz w:val="24"/>
          <w:szCs w:val="24"/>
          <w:highlight w:val="none"/>
        </w:rPr>
      </w:pPr>
      <w:bookmarkStart w:id="88" w:name="_Toc15652"/>
      <w:bookmarkStart w:id="89" w:name="_Hlt121629839"/>
      <w:r>
        <w:rPr>
          <w:rFonts w:hint="eastAsia" w:ascii="宋体" w:hAnsi="宋体" w:eastAsia="宋体" w:cs="宋体"/>
          <w:color w:val="auto"/>
          <w:sz w:val="24"/>
          <w:szCs w:val="24"/>
          <w:highlight w:val="none"/>
        </w:rPr>
        <w:t>10．投标文件的编制</w:t>
      </w:r>
      <w:bookmarkStart w:id="90" w:name="_Hlt69208262"/>
      <w:bookmarkEnd w:id="90"/>
      <w:bookmarkStart w:id="91" w:name="_Hlt69332370"/>
      <w:bookmarkEnd w:id="91"/>
      <w:r>
        <w:rPr>
          <w:rFonts w:hint="eastAsia" w:ascii="宋体" w:hAnsi="宋体" w:eastAsia="宋体" w:cs="宋体"/>
          <w:color w:val="auto"/>
          <w:sz w:val="24"/>
          <w:szCs w:val="24"/>
          <w:highlight w:val="none"/>
        </w:rPr>
        <w:t>要求</w:t>
      </w:r>
      <w:bookmarkEnd w:id="88"/>
      <w:bookmarkStart w:id="92" w:name="_Hlt78768224"/>
      <w:bookmarkEnd w:id="92"/>
      <w:bookmarkStart w:id="93" w:name="_Hlt74497202"/>
      <w:bookmarkEnd w:id="93"/>
      <w:bookmarkStart w:id="94" w:name="_Hlt74495594"/>
      <w:bookmarkEnd w:id="94"/>
      <w:bookmarkStart w:id="95" w:name="_Toc17114"/>
    </w:p>
    <w:p w14:paraId="59672748">
      <w:pPr>
        <w:pStyle w:val="4"/>
        <w:keepNext w:val="0"/>
        <w:keepLines w:val="0"/>
        <w:pageBreakBefore w:val="0"/>
        <w:kinsoku/>
        <w:wordWrap w:val="0"/>
        <w:overflowPunct/>
        <w:topLinePunct w:val="0"/>
        <w:autoSpaceDE/>
        <w:autoSpaceDN/>
        <w:bidi w:val="0"/>
        <w:adjustRightInd w:val="0"/>
        <w:snapToGrid w:val="0"/>
        <w:spacing w:beforeLines="0" w:afterLines="0" w:line="360" w:lineRule="auto"/>
        <w:ind w:left="0" w:leftChars="0" w:right="0" w:firstLine="482" w:firstLineChars="200"/>
        <w:jc w:val="both"/>
        <w:rPr>
          <w:rFonts w:hint="eastAsia" w:ascii="宋体" w:hAnsi="宋体" w:eastAsia="宋体" w:cs="宋体"/>
          <w:b/>
          <w:snapToGrid w:val="0"/>
          <w:color w:val="auto"/>
          <w:kern w:val="0"/>
          <w:sz w:val="24"/>
          <w:szCs w:val="24"/>
          <w:highlight w:val="none"/>
        </w:rPr>
      </w:pPr>
      <w:bookmarkStart w:id="96" w:name="_Toc32090"/>
      <w:bookmarkStart w:id="97" w:name="_Toc3493"/>
      <w:bookmarkStart w:id="98" w:name="_Toc15062"/>
      <w:bookmarkStart w:id="99" w:name="_Toc8710"/>
      <w:r>
        <w:rPr>
          <w:rFonts w:hint="eastAsia" w:ascii="宋体" w:hAnsi="宋体" w:eastAsia="宋体" w:cs="宋体"/>
          <w:b/>
          <w:bCs/>
          <w:snapToGrid w:val="0"/>
          <w:color w:val="auto"/>
          <w:kern w:val="0"/>
          <w:sz w:val="24"/>
          <w:szCs w:val="24"/>
          <w:highlight w:val="none"/>
        </w:rPr>
        <w:t>10.1</w:t>
      </w:r>
      <w:r>
        <w:rPr>
          <w:rFonts w:hint="eastAsia" w:ascii="宋体" w:hAnsi="宋体" w:eastAsia="宋体" w:cs="宋体"/>
          <w:bCs/>
          <w:snapToGrid w:val="0"/>
          <w:color w:val="auto"/>
          <w:kern w:val="0"/>
          <w:sz w:val="24"/>
          <w:szCs w:val="24"/>
          <w:highlight w:val="none"/>
        </w:rPr>
        <w:t xml:space="preserve"> 一般要求</w:t>
      </w:r>
      <w:bookmarkEnd w:id="95"/>
      <w:bookmarkEnd w:id="96"/>
      <w:bookmarkEnd w:id="97"/>
      <w:bookmarkEnd w:id="98"/>
      <w:bookmarkEnd w:id="99"/>
    </w:p>
    <w:p w14:paraId="7042858A">
      <w:pPr>
        <w:pStyle w:val="12"/>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投标文件应按第六章 投标文件格式规定的内容，投标人提交的投标文件应当使用招标文件所提供的投标文件全部格式。</w:t>
      </w:r>
    </w:p>
    <w:p w14:paraId="4B261205">
      <w:pPr>
        <w:pStyle w:val="12"/>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10.1.1</w:t>
      </w:r>
      <w:r>
        <w:rPr>
          <w:rFonts w:hint="eastAsia" w:ascii="宋体" w:hAnsi="宋体" w:eastAsia="宋体" w:cs="宋体"/>
          <w:snapToGrid w:val="0"/>
          <w:color w:val="auto"/>
          <w:kern w:val="0"/>
          <w:sz w:val="24"/>
          <w:szCs w:val="24"/>
          <w:highlight w:val="none"/>
        </w:rPr>
        <w:t xml:space="preserve"> 投标人必须响应招标文件，并在充分理解招标人提供的全部文件、设计图纸、资料及现场条件的基础</w:t>
      </w:r>
      <w:bookmarkStart w:id="100" w:name="_Hlt78709790"/>
      <w:bookmarkEnd w:id="100"/>
      <w:r>
        <w:rPr>
          <w:rFonts w:hint="eastAsia" w:ascii="宋体" w:hAnsi="宋体" w:eastAsia="宋体" w:cs="宋体"/>
          <w:snapToGrid w:val="0"/>
          <w:color w:val="auto"/>
          <w:kern w:val="0"/>
          <w:sz w:val="24"/>
          <w:szCs w:val="24"/>
          <w:highlight w:val="none"/>
        </w:rPr>
        <w:t>上编制投标文件。因投标文件不符合招标文件的要求而造成的损失和后果，由投标人自行承担。</w:t>
      </w:r>
      <w:bookmarkStart w:id="101" w:name="_Hlt74496890"/>
      <w:bookmarkEnd w:id="101"/>
    </w:p>
    <w:p w14:paraId="4FBAC89E">
      <w:pPr>
        <w:pStyle w:val="12"/>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10.1.2</w:t>
      </w:r>
      <w:r>
        <w:rPr>
          <w:rFonts w:hint="eastAsia" w:ascii="宋体" w:hAnsi="宋体" w:eastAsia="宋体" w:cs="宋体"/>
          <w:snapToGrid w:val="0"/>
          <w:color w:val="auto"/>
          <w:kern w:val="0"/>
          <w:sz w:val="24"/>
          <w:szCs w:val="24"/>
          <w:highlight w:val="none"/>
        </w:rPr>
        <w:t xml:space="preserve"> 投标文件全部采用电子文档，投标文件所附证书证件均为原件扫描件，并采用单位数字证书，按招标文件要求在相应位置加盖电子印章。投标文件中需个人签字或盖章的，应加盖个人电子印章或在线下完成后扫描上传。按照交易平台关于全流程电子化项目的相关指南进行操作。详见：</w:t>
      </w:r>
      <w:r>
        <w:rPr>
          <w:rFonts w:hint="eastAsia" w:ascii="宋体" w:hAnsi="宋体" w:eastAsia="宋体" w:cs="宋体"/>
          <w:snapToGrid w:val="0"/>
          <w:color w:val="auto"/>
          <w:kern w:val="0"/>
          <w:sz w:val="24"/>
          <w:szCs w:val="24"/>
          <w:highlight w:val="none"/>
          <w:lang w:eastAsia="zh-CN"/>
        </w:rPr>
        <w:t>全国公共资源交易平台（广东省·韶关市）</w:t>
      </w:r>
      <w:r>
        <w:rPr>
          <w:rFonts w:hint="eastAsia" w:ascii="宋体" w:hAnsi="宋体" w:eastAsia="宋体" w:cs="宋体"/>
          <w:snapToGrid w:val="0"/>
          <w:color w:val="auto"/>
          <w:kern w:val="0"/>
          <w:sz w:val="24"/>
          <w:szCs w:val="24"/>
          <w:highlight w:val="none"/>
        </w:rPr>
        <w:t>交易指引。</w:t>
      </w:r>
    </w:p>
    <w:p w14:paraId="3188623D">
      <w:pPr>
        <w:pStyle w:val="12"/>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10.1.3</w:t>
      </w:r>
      <w:r>
        <w:rPr>
          <w:rFonts w:hint="eastAsia" w:ascii="宋体" w:hAnsi="宋体" w:eastAsia="宋体" w:cs="宋体"/>
          <w:snapToGrid w:val="0"/>
          <w:color w:val="auto"/>
          <w:kern w:val="0"/>
          <w:sz w:val="24"/>
          <w:szCs w:val="24"/>
          <w:highlight w:val="none"/>
        </w:rPr>
        <w:t>投标文件需按以下要求签字、盖章：电子投标文件：</w:t>
      </w:r>
    </w:p>
    <w:p w14:paraId="6012A029">
      <w:pPr>
        <w:pStyle w:val="12"/>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10.1.3.1</w:t>
      </w:r>
      <w:r>
        <w:rPr>
          <w:rFonts w:hint="eastAsia" w:ascii="宋体" w:hAnsi="宋体" w:eastAsia="宋体" w:cs="宋体"/>
          <w:snapToGrid w:val="0"/>
          <w:color w:val="auto"/>
          <w:kern w:val="0"/>
          <w:sz w:val="24"/>
          <w:szCs w:val="24"/>
          <w:highlight w:val="none"/>
        </w:rPr>
        <w:t xml:space="preserve"> 投标文件封面、组成内容中凡注明“签字”处由要求的人员签字或电子签章；凡注明“签字或盖章”处由要求的人员签字或盖其私章（电子印章）；凡注明“签字并盖执业印章”处由要求的人员签字并盖其执业印章。</w:t>
      </w:r>
    </w:p>
    <w:p w14:paraId="65CB7E9D">
      <w:pPr>
        <w:pStyle w:val="12"/>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10.1.3.2</w:t>
      </w:r>
      <w:r>
        <w:rPr>
          <w:rFonts w:hint="eastAsia" w:ascii="宋体" w:hAnsi="宋体" w:eastAsia="宋体" w:cs="宋体"/>
          <w:snapToGrid w:val="0"/>
          <w:color w:val="auto"/>
          <w:kern w:val="0"/>
          <w:sz w:val="24"/>
          <w:szCs w:val="24"/>
          <w:highlight w:val="none"/>
        </w:rPr>
        <w:t>投标文件封套、封面、组成内容中凡要求录入投标人名称且注明“盖单位章”处盖单位法人公章（电子印章）。</w:t>
      </w:r>
    </w:p>
    <w:p w14:paraId="76BF475D">
      <w:pPr>
        <w:pStyle w:val="12"/>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10.1.3.3 </w:t>
      </w:r>
      <w:r>
        <w:rPr>
          <w:rFonts w:hint="eastAsia" w:ascii="宋体" w:hAnsi="宋体" w:eastAsia="宋体" w:cs="宋体"/>
          <w:snapToGrid w:val="0"/>
          <w:color w:val="auto"/>
          <w:kern w:val="0"/>
          <w:sz w:val="24"/>
          <w:szCs w:val="24"/>
          <w:highlight w:val="none"/>
        </w:rPr>
        <w:t>投标文件的签字均为签字人本人亲笔署名或签章（电子印章），其余部分的复印件无须另行签字、盖章。</w:t>
      </w:r>
    </w:p>
    <w:p w14:paraId="557D78DE">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10.1.3.4</w:t>
      </w:r>
      <w:r>
        <w:rPr>
          <w:rFonts w:hint="eastAsia" w:ascii="宋体" w:hAnsi="宋体" w:eastAsia="宋体" w:cs="宋体"/>
          <w:snapToGrid w:val="0"/>
          <w:color w:val="auto"/>
          <w:kern w:val="0"/>
          <w:sz w:val="24"/>
          <w:szCs w:val="24"/>
          <w:highlight w:val="none"/>
        </w:rPr>
        <w:t xml:space="preserve"> 联合体投标的，除《联合体协议书》外，由联合体牵头人按以上要求签亲笔署名或签章（电子印章）即可。</w:t>
      </w:r>
      <w:bookmarkStart w:id="102" w:name="_Toc29774"/>
      <w:bookmarkStart w:id="103" w:name="_Toc274313880"/>
      <w:bookmarkStart w:id="104" w:name="_Toc257031159"/>
    </w:p>
    <w:p w14:paraId="56CC41CD">
      <w:pPr>
        <w:pStyle w:val="4"/>
        <w:keepNext w:val="0"/>
        <w:keepLines w:val="0"/>
        <w:pageBreakBefore w:val="0"/>
        <w:kinsoku/>
        <w:wordWrap w:val="0"/>
        <w:overflowPunct/>
        <w:topLinePunct w:val="0"/>
        <w:autoSpaceDE/>
        <w:autoSpaceDN/>
        <w:bidi w:val="0"/>
        <w:adjustRightInd w:val="0"/>
        <w:snapToGrid w:val="0"/>
        <w:spacing w:beforeLines="0" w:afterLines="0" w:line="360" w:lineRule="auto"/>
        <w:ind w:left="0" w:leftChars="0" w:right="0" w:firstLine="482" w:firstLineChars="200"/>
        <w:jc w:val="both"/>
        <w:rPr>
          <w:rFonts w:hint="eastAsia" w:ascii="宋体" w:hAnsi="宋体" w:eastAsia="宋体" w:cs="宋体"/>
          <w:b w:val="0"/>
          <w:bCs w:val="0"/>
          <w:snapToGrid w:val="0"/>
          <w:color w:val="auto"/>
          <w:kern w:val="0"/>
          <w:sz w:val="24"/>
          <w:szCs w:val="24"/>
          <w:highlight w:val="none"/>
        </w:rPr>
      </w:pPr>
      <w:bookmarkStart w:id="105" w:name="_Toc3004"/>
      <w:bookmarkStart w:id="106" w:name="_Toc27367"/>
      <w:bookmarkStart w:id="107" w:name="_Toc2278"/>
      <w:bookmarkStart w:id="108" w:name="_Toc18037"/>
      <w:r>
        <w:rPr>
          <w:rFonts w:hint="eastAsia" w:ascii="宋体" w:hAnsi="宋体" w:eastAsia="宋体" w:cs="宋体"/>
          <w:b/>
          <w:bCs/>
          <w:snapToGrid w:val="0"/>
          <w:color w:val="auto"/>
          <w:kern w:val="0"/>
          <w:sz w:val="24"/>
          <w:szCs w:val="24"/>
          <w:highlight w:val="none"/>
        </w:rPr>
        <w:t xml:space="preserve">10.2 </w:t>
      </w:r>
      <w:r>
        <w:rPr>
          <w:rFonts w:hint="eastAsia" w:ascii="宋体" w:hAnsi="宋体" w:eastAsia="宋体" w:cs="宋体"/>
          <w:b w:val="0"/>
          <w:bCs w:val="0"/>
          <w:snapToGrid w:val="0"/>
          <w:color w:val="auto"/>
          <w:kern w:val="0"/>
          <w:sz w:val="24"/>
          <w:szCs w:val="24"/>
          <w:highlight w:val="none"/>
        </w:rPr>
        <w:t>商务标书的编制要求</w:t>
      </w:r>
      <w:bookmarkEnd w:id="102"/>
      <w:bookmarkEnd w:id="103"/>
      <w:bookmarkEnd w:id="104"/>
      <w:bookmarkEnd w:id="105"/>
      <w:bookmarkEnd w:id="106"/>
      <w:bookmarkEnd w:id="107"/>
      <w:bookmarkEnd w:id="108"/>
    </w:p>
    <w:p w14:paraId="6599076A">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u w:val="single"/>
        </w:rPr>
      </w:pPr>
      <w:r>
        <w:rPr>
          <w:rFonts w:hint="eastAsia" w:ascii="宋体" w:hAnsi="宋体" w:eastAsia="宋体" w:cs="宋体"/>
          <w:b/>
          <w:bCs/>
          <w:snapToGrid w:val="0"/>
          <w:color w:val="auto"/>
          <w:kern w:val="0"/>
          <w:sz w:val="24"/>
          <w:szCs w:val="24"/>
          <w:highlight w:val="none"/>
        </w:rPr>
        <w:t>10.2.1</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bCs/>
          <w:snapToGrid w:val="0"/>
          <w:color w:val="auto"/>
          <w:kern w:val="0"/>
          <w:sz w:val="24"/>
          <w:szCs w:val="24"/>
          <w:highlight w:val="none"/>
        </w:rPr>
        <w:t>商务标书</w:t>
      </w:r>
      <w:r>
        <w:rPr>
          <w:rFonts w:hint="eastAsia" w:ascii="宋体" w:hAnsi="宋体" w:eastAsia="宋体" w:cs="宋体"/>
          <w:snapToGrid w:val="0"/>
          <w:color w:val="auto"/>
          <w:kern w:val="0"/>
          <w:sz w:val="24"/>
          <w:szCs w:val="24"/>
          <w:highlight w:val="none"/>
        </w:rPr>
        <w:t>包括但不限于以下内容：</w:t>
      </w:r>
    </w:p>
    <w:p w14:paraId="57244A79">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（1）封面（格式一）；</w:t>
      </w:r>
    </w:p>
    <w:p w14:paraId="334047B9">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（2）目录； </w:t>
      </w:r>
    </w:p>
    <w:p w14:paraId="259C4E97">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（3）《投标函》（格式二）；</w:t>
      </w:r>
    </w:p>
    <w:p w14:paraId="11BEC83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（4）《各项承诺一览表》（格式三）；</w:t>
      </w:r>
    </w:p>
    <w:p w14:paraId="37F2EC2F">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（5）《授权委托书》（格式四）；</w:t>
      </w:r>
    </w:p>
    <w:p w14:paraId="3969470A">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（6）《法定代表人身份证明》（格式五）；</w:t>
      </w:r>
    </w:p>
    <w:p w14:paraId="25A3E1B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（7）《联合体协议书》（格式六）及所附资料；</w:t>
      </w:r>
    </w:p>
    <w:p w14:paraId="3EA17C45">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（8）投标保证缴纳证明（投标人采用投标保证金的，附建设工程交易系统《缴纳投标保证金通知书》页面截图打印件和银行转账单</w:t>
      </w:r>
      <w:r>
        <w:rPr>
          <w:rFonts w:hint="eastAsia" w:ascii="宋体" w:hAnsi="宋体" w:eastAsia="宋体" w:cs="宋体"/>
          <w:snapToGrid w:val="0"/>
          <w:color w:val="auto"/>
          <w:kern w:val="0"/>
          <w:sz w:val="24"/>
          <w:szCs w:val="24"/>
          <w:highlight w:val="none"/>
          <w:lang w:val="en-US" w:eastAsia="zh-CN"/>
        </w:rPr>
        <w:t>彩色扫描件</w:t>
      </w:r>
      <w:r>
        <w:rPr>
          <w:rFonts w:hint="eastAsia" w:ascii="宋体" w:hAnsi="宋体" w:eastAsia="宋体" w:cs="宋体"/>
          <w:snapToGrid w:val="0"/>
          <w:color w:val="auto"/>
          <w:kern w:val="0"/>
          <w:sz w:val="24"/>
          <w:szCs w:val="24"/>
          <w:highlight w:val="none"/>
        </w:rPr>
        <w:t>；采用投标保证担保的，附银行保函</w:t>
      </w:r>
      <w:r>
        <w:rPr>
          <w:rFonts w:hint="eastAsia" w:ascii="宋体" w:hAnsi="宋体" w:eastAsia="宋体" w:cs="宋体"/>
          <w:snapToGrid w:val="0"/>
          <w:color w:val="auto"/>
          <w:kern w:val="0"/>
          <w:sz w:val="24"/>
          <w:szCs w:val="24"/>
          <w:highlight w:val="none"/>
          <w:lang w:val="en-US" w:eastAsia="zh-CN"/>
        </w:rPr>
        <w:t>彩色扫描件</w:t>
      </w:r>
      <w:r>
        <w:rPr>
          <w:rFonts w:hint="eastAsia" w:ascii="宋体" w:hAnsi="宋体" w:eastAsia="宋体" w:cs="宋体"/>
          <w:snapToGrid w:val="0"/>
          <w:color w:val="auto"/>
          <w:kern w:val="0"/>
          <w:sz w:val="24"/>
          <w:szCs w:val="24"/>
          <w:highlight w:val="none"/>
        </w:rPr>
        <w:t>；采用投标保证保险的，附电子保单和</w:t>
      </w:r>
      <w:r>
        <w:rPr>
          <w:rFonts w:hint="eastAsia" w:ascii="宋体" w:hAnsi="宋体" w:eastAsia="宋体" w:cs="宋体"/>
          <w:b w:val="0"/>
          <w:bCs w:val="0"/>
          <w:color w:val="auto"/>
          <w:sz w:val="24"/>
          <w:szCs w:val="24"/>
          <w:highlight w:val="none"/>
        </w:rPr>
        <w:t>《</w:t>
      </w:r>
      <w:r>
        <w:rPr>
          <w:rFonts w:hint="eastAsia" w:ascii="宋体" w:hAnsi="宋体" w:eastAsia="宋体" w:cs="宋体"/>
          <w:b w:val="0"/>
          <w:bCs w:val="0"/>
          <w:color w:val="auto"/>
          <w:sz w:val="24"/>
          <w:szCs w:val="24"/>
          <w:highlight w:val="none"/>
          <w:lang w:val="en-US" w:eastAsia="zh-CN"/>
        </w:rPr>
        <w:t>韶关市公共资源交易一体化平台保证金缴纳信息</w:t>
      </w:r>
      <w:r>
        <w:rPr>
          <w:rFonts w:hint="eastAsia" w:ascii="宋体" w:hAnsi="宋体" w:eastAsia="宋体" w:cs="宋体"/>
          <w:b w:val="0"/>
          <w:bCs w:val="0"/>
          <w:color w:val="auto"/>
          <w:sz w:val="24"/>
          <w:szCs w:val="24"/>
          <w:highlight w:val="none"/>
        </w:rPr>
        <w:t>》</w:t>
      </w:r>
      <w:r>
        <w:rPr>
          <w:rFonts w:hint="eastAsia" w:ascii="宋体" w:hAnsi="宋体" w:eastAsia="宋体" w:cs="宋体"/>
          <w:b w:val="0"/>
          <w:bCs w:val="0"/>
          <w:snapToGrid w:val="0"/>
          <w:color w:val="auto"/>
          <w:kern w:val="0"/>
          <w:sz w:val="24"/>
          <w:szCs w:val="24"/>
          <w:highlight w:val="none"/>
        </w:rPr>
        <w:t>页面截图）；</w:t>
      </w:r>
    </w:p>
    <w:p w14:paraId="0D262DDE">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（9）《投标人基本情况表》（格式七）及所附资料；</w:t>
      </w:r>
    </w:p>
    <w:p w14:paraId="3180A4A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trike/>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（10）《项目经理简历表》（格式八）及所附资料；</w:t>
      </w:r>
    </w:p>
    <w:p w14:paraId="479569D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（11）《项目经理任职声明》（格式九）；</w:t>
      </w:r>
    </w:p>
    <w:p w14:paraId="55D40E71">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（12）《项目技术负责人简历表》（格式十）及所附资料；</w:t>
      </w:r>
    </w:p>
    <w:p w14:paraId="17540D2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lang w:val="en-US" w:eastAsia="zh-CN"/>
        </w:rPr>
        <w:t>13</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《专职安全员简历表》（格式十一）及所附资料</w:t>
      </w:r>
      <w:r>
        <w:rPr>
          <w:rFonts w:hint="eastAsia" w:ascii="宋体" w:hAnsi="宋体" w:eastAsia="宋体" w:cs="宋体"/>
          <w:snapToGrid w:val="0"/>
          <w:color w:val="auto"/>
          <w:kern w:val="0"/>
          <w:sz w:val="24"/>
          <w:szCs w:val="24"/>
          <w:highlight w:val="none"/>
          <w:lang w:val="en-US" w:eastAsia="zh-CN"/>
        </w:rPr>
        <w:t>；</w:t>
      </w:r>
    </w:p>
    <w:p w14:paraId="2338B1D9">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lang w:val="en-US" w:eastAsia="zh-CN"/>
        </w:rPr>
        <w:t>4</w:t>
      </w:r>
      <w:r>
        <w:rPr>
          <w:rFonts w:hint="eastAsia" w:ascii="宋体" w:hAnsi="宋体" w:eastAsia="宋体" w:cs="宋体"/>
          <w:snapToGrid w:val="0"/>
          <w:color w:val="auto"/>
          <w:kern w:val="0"/>
          <w:sz w:val="24"/>
          <w:szCs w:val="24"/>
          <w:highlight w:val="none"/>
        </w:rPr>
        <w:t>）《项目管理机构组成表》（格式十</w:t>
      </w:r>
      <w:r>
        <w:rPr>
          <w:rFonts w:hint="eastAsia" w:ascii="宋体" w:hAnsi="宋体" w:eastAsia="宋体" w:cs="宋体"/>
          <w:snapToGrid w:val="0"/>
          <w:color w:val="auto"/>
          <w:kern w:val="0"/>
          <w:sz w:val="24"/>
          <w:szCs w:val="24"/>
          <w:highlight w:val="none"/>
          <w:lang w:val="en-US" w:eastAsia="zh-CN"/>
        </w:rPr>
        <w:t>二</w:t>
      </w:r>
      <w:r>
        <w:rPr>
          <w:rFonts w:hint="eastAsia" w:ascii="宋体" w:hAnsi="宋体" w:eastAsia="宋体" w:cs="宋体"/>
          <w:snapToGrid w:val="0"/>
          <w:color w:val="auto"/>
          <w:kern w:val="0"/>
          <w:sz w:val="24"/>
          <w:szCs w:val="24"/>
          <w:highlight w:val="none"/>
        </w:rPr>
        <w:t>）及所附资料；</w:t>
      </w:r>
    </w:p>
    <w:p w14:paraId="10DE681F">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lang w:val="en-US" w:eastAsia="zh-CN"/>
        </w:rPr>
        <w:t>5</w:t>
      </w:r>
      <w:r>
        <w:rPr>
          <w:rFonts w:hint="eastAsia" w:ascii="宋体" w:hAnsi="宋体" w:eastAsia="宋体" w:cs="宋体"/>
          <w:snapToGrid w:val="0"/>
          <w:color w:val="auto"/>
          <w:kern w:val="0"/>
          <w:sz w:val="24"/>
          <w:szCs w:val="24"/>
          <w:highlight w:val="none"/>
        </w:rPr>
        <w:t>）本节第15.5.1目“评标方法”要求提供的评审资料；</w:t>
      </w:r>
    </w:p>
    <w:p w14:paraId="0A54ABB9">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lang w:val="en-US" w:eastAsia="zh-CN"/>
        </w:rPr>
        <w:t>6</w:t>
      </w:r>
      <w:r>
        <w:rPr>
          <w:rFonts w:hint="eastAsia" w:ascii="宋体" w:hAnsi="宋体" w:eastAsia="宋体" w:cs="宋体"/>
          <w:snapToGrid w:val="0"/>
          <w:color w:val="auto"/>
          <w:kern w:val="0"/>
          <w:sz w:val="24"/>
          <w:szCs w:val="24"/>
          <w:highlight w:val="none"/>
        </w:rPr>
        <w:t>）投标人认为有必要补充的其他资料。（例如投标人已经工商变更，但其企业资质证书、安全生产许可证或其员工执业资格注册证书上的企业名称未能在投标期间完成变更的书面说明和佐证材料；外省企业所在省、地级市住建部门或其授权的组织（机构）关于企业资质、人员资格有效期自动顺延或延期办理的相关文件等）</w:t>
      </w:r>
    </w:p>
    <w:p w14:paraId="2106DCE8">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10.2.2</w:t>
      </w:r>
      <w:r>
        <w:rPr>
          <w:rFonts w:hint="eastAsia" w:ascii="宋体" w:hAnsi="宋体" w:eastAsia="宋体" w:cs="宋体"/>
          <w:snapToGrid w:val="0"/>
          <w:color w:val="auto"/>
          <w:kern w:val="0"/>
          <w:sz w:val="24"/>
          <w:szCs w:val="24"/>
          <w:highlight w:val="none"/>
        </w:rPr>
        <w:t xml:space="preserve"> 本节第</w:t>
      </w:r>
      <w:r>
        <w:rPr>
          <w:rFonts w:hint="eastAsia" w:ascii="宋体" w:hAnsi="宋体" w:eastAsia="宋体" w:cs="宋体"/>
          <w:b/>
          <w:bCs/>
          <w:snapToGrid w:val="0"/>
          <w:color w:val="auto"/>
          <w:kern w:val="0"/>
          <w:sz w:val="24"/>
          <w:szCs w:val="24"/>
          <w:highlight w:val="none"/>
        </w:rPr>
        <w:t>10.2.1</w:t>
      </w:r>
      <w:r>
        <w:rPr>
          <w:rFonts w:hint="eastAsia" w:ascii="宋体" w:hAnsi="宋体" w:eastAsia="宋体" w:cs="宋体"/>
          <w:snapToGrid w:val="0"/>
          <w:color w:val="auto"/>
          <w:kern w:val="0"/>
          <w:sz w:val="24"/>
          <w:szCs w:val="24"/>
          <w:highlight w:val="none"/>
        </w:rPr>
        <w:t>目中所列出的商务标书组成内容中，第（1）至第（1</w:t>
      </w:r>
      <w:r>
        <w:rPr>
          <w:rFonts w:hint="eastAsia" w:ascii="宋体" w:hAnsi="宋体" w:eastAsia="宋体" w:cs="宋体"/>
          <w:snapToGrid w:val="0"/>
          <w:color w:val="auto"/>
          <w:kern w:val="0"/>
          <w:sz w:val="24"/>
          <w:szCs w:val="24"/>
          <w:highlight w:val="none"/>
          <w:lang w:val="en-US" w:eastAsia="zh-CN"/>
        </w:rPr>
        <w:t>4</w:t>
      </w:r>
      <w:r>
        <w:rPr>
          <w:rFonts w:hint="eastAsia" w:ascii="宋体" w:hAnsi="宋体" w:eastAsia="宋体" w:cs="宋体"/>
          <w:snapToGrid w:val="0"/>
          <w:color w:val="auto"/>
          <w:kern w:val="0"/>
          <w:sz w:val="24"/>
          <w:szCs w:val="24"/>
          <w:highlight w:val="none"/>
        </w:rPr>
        <w:t>）项所有投标人均应提供，</w:t>
      </w:r>
      <w:r>
        <w:rPr>
          <w:rFonts w:hint="eastAsia" w:ascii="宋体" w:hAnsi="宋体" w:eastAsia="宋体" w:cs="宋体"/>
          <w:b/>
          <w:bCs/>
          <w:snapToGrid w:val="0"/>
          <w:color w:val="auto"/>
          <w:kern w:val="0"/>
          <w:sz w:val="24"/>
          <w:szCs w:val="24"/>
          <w:highlight w:val="none"/>
        </w:rPr>
        <w:t>但非联合体投标的，无需提供第（7）项内容。</w:t>
      </w:r>
    </w:p>
    <w:p w14:paraId="2E24DA05">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color w:val="auto"/>
          <w:sz w:val="24"/>
          <w:szCs w:val="24"/>
          <w:highlight w:val="none"/>
        </w:rPr>
      </w:pPr>
      <w:r>
        <w:rPr>
          <w:rFonts w:hint="eastAsia" w:ascii="宋体" w:hAnsi="宋体" w:eastAsia="宋体" w:cs="宋体"/>
          <w:b/>
          <w:bCs/>
          <w:snapToGrid w:val="0"/>
          <w:color w:val="auto"/>
          <w:kern w:val="0"/>
          <w:sz w:val="24"/>
          <w:szCs w:val="24"/>
          <w:highlight w:val="none"/>
        </w:rPr>
        <w:t>10.2.3</w:t>
      </w:r>
      <w:r>
        <w:rPr>
          <w:rFonts w:hint="eastAsia" w:ascii="宋体" w:hAnsi="宋体" w:eastAsia="宋体" w:cs="宋体"/>
          <w:b w:val="0"/>
          <w:bCs w:val="0"/>
          <w:snapToGrid w:val="0"/>
          <w:color w:val="auto"/>
          <w:kern w:val="0"/>
          <w:sz w:val="24"/>
          <w:szCs w:val="24"/>
          <w:highlight w:val="none"/>
          <w:lang w:val="en-US" w:eastAsia="zh-CN"/>
        </w:rPr>
        <w:t>商务标书的组成内容按本节第 10.2.1 目规定的顺序整理、编排后，逐页（页码起始从封面开始）连续标记页码。</w:t>
      </w:r>
    </w:p>
    <w:p w14:paraId="5E0D2034">
      <w:pPr>
        <w:pStyle w:val="4"/>
        <w:keepNext w:val="0"/>
        <w:keepLines w:val="0"/>
        <w:pageBreakBefore w:val="0"/>
        <w:kinsoku/>
        <w:wordWrap w:val="0"/>
        <w:overflowPunct/>
        <w:topLinePunct w:val="0"/>
        <w:autoSpaceDE/>
        <w:autoSpaceDN/>
        <w:bidi w:val="0"/>
        <w:adjustRightInd w:val="0"/>
        <w:snapToGrid w:val="0"/>
        <w:spacing w:beforeLines="0" w:afterLines="0" w:line="360" w:lineRule="auto"/>
        <w:ind w:left="0" w:leftChars="0" w:right="0" w:firstLine="482" w:firstLineChars="200"/>
        <w:jc w:val="both"/>
        <w:rPr>
          <w:rFonts w:hint="eastAsia" w:ascii="宋体" w:hAnsi="宋体" w:eastAsia="宋体" w:cs="宋体"/>
          <w:b/>
          <w:bCs/>
          <w:snapToGrid w:val="0"/>
          <w:color w:val="auto"/>
          <w:kern w:val="0"/>
          <w:sz w:val="24"/>
          <w:szCs w:val="24"/>
          <w:highlight w:val="none"/>
        </w:rPr>
      </w:pPr>
      <w:bookmarkStart w:id="109" w:name="_Toc30069"/>
      <w:bookmarkStart w:id="110" w:name="_Toc6621"/>
      <w:bookmarkStart w:id="111" w:name="_Toc23486"/>
      <w:bookmarkStart w:id="112" w:name="_Toc24061"/>
      <w:bookmarkStart w:id="113" w:name="_Toc1257"/>
      <w:bookmarkStart w:id="114" w:name="_Toc274313881"/>
      <w:r>
        <w:rPr>
          <w:rFonts w:hint="eastAsia" w:ascii="宋体" w:hAnsi="宋体" w:eastAsia="宋体" w:cs="宋体"/>
          <w:b/>
          <w:bCs/>
          <w:snapToGrid w:val="0"/>
          <w:color w:val="auto"/>
          <w:kern w:val="0"/>
          <w:sz w:val="24"/>
          <w:szCs w:val="24"/>
          <w:highlight w:val="none"/>
        </w:rPr>
        <w:t>10.3</w:t>
      </w:r>
      <w:bookmarkStart w:id="115" w:name="_Hlt69670035"/>
      <w:bookmarkEnd w:id="115"/>
      <w:r>
        <w:rPr>
          <w:rFonts w:hint="eastAsia" w:ascii="宋体" w:hAnsi="宋体" w:eastAsia="宋体" w:cs="宋体"/>
          <w:b/>
          <w:bCs/>
          <w:snapToGrid w:val="0"/>
          <w:color w:val="auto"/>
          <w:kern w:val="0"/>
          <w:sz w:val="24"/>
          <w:szCs w:val="24"/>
          <w:highlight w:val="none"/>
        </w:rPr>
        <w:t xml:space="preserve"> 经济标书的编制要求</w:t>
      </w:r>
      <w:bookmarkEnd w:id="109"/>
      <w:bookmarkEnd w:id="110"/>
      <w:bookmarkEnd w:id="111"/>
      <w:bookmarkEnd w:id="112"/>
      <w:bookmarkEnd w:id="113"/>
      <w:bookmarkEnd w:id="114"/>
    </w:p>
    <w:p w14:paraId="7CEA28A2">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10.3.1</w:t>
      </w:r>
      <w:r>
        <w:rPr>
          <w:rFonts w:hint="eastAsia" w:ascii="宋体" w:hAnsi="宋体" w:eastAsia="宋体" w:cs="宋体"/>
          <w:snapToGrid w:val="0"/>
          <w:color w:val="auto"/>
          <w:kern w:val="0"/>
          <w:sz w:val="24"/>
          <w:szCs w:val="24"/>
          <w:highlight w:val="none"/>
        </w:rPr>
        <w:t xml:space="preserve"> 经济标书包括以下内容：</w:t>
      </w:r>
    </w:p>
    <w:p w14:paraId="19ADA4F4">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（1）封面（格式一）；</w:t>
      </w:r>
    </w:p>
    <w:p w14:paraId="00FD8613">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（2）目录；</w:t>
      </w:r>
    </w:p>
    <w:p w14:paraId="185A08A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（3）《投标总价》；</w:t>
      </w:r>
    </w:p>
    <w:p w14:paraId="1D9C0D47">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说明：《投标总价》的格式按照</w:t>
      </w:r>
      <w:r>
        <w:rPr>
          <w:rFonts w:hint="eastAsia" w:hAnsi="宋体" w:cs="宋体"/>
          <w:snapToGrid w:val="0"/>
          <w:color w:val="auto"/>
          <w:kern w:val="0"/>
          <w:sz w:val="24"/>
          <w:szCs w:val="24"/>
          <w:highlight w:val="none"/>
          <w:lang w:eastAsia="zh-CN"/>
        </w:rPr>
        <w:t>《建设工程工程量清单计价标准》(GB/T50500-2024)</w:t>
      </w:r>
      <w:r>
        <w:rPr>
          <w:rFonts w:hint="eastAsia" w:ascii="宋体" w:hAnsi="宋体" w:eastAsia="宋体" w:cs="宋体"/>
          <w:snapToGrid w:val="0"/>
          <w:color w:val="auto"/>
          <w:kern w:val="0"/>
          <w:sz w:val="24"/>
          <w:szCs w:val="24"/>
          <w:highlight w:val="none"/>
        </w:rPr>
        <w:t>执行，并应满足以下要求：</w:t>
      </w:r>
    </w:p>
    <w:p w14:paraId="62970EB2">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a</w:t>
      </w: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投标总价扉页》（即扉—3）后应附编制人的造价工程师注册证书彩色扫描件（须扫描至变更注册栏，一级造价师或二级造价师均可提供电子证书）；投标人委托造价咨询单位编制《投标总价》的，在该扉页“投标人”栏目加盖造价咨询人公章，并在该扉页后附造价咨询人的营业执照彩色扫描件。</w:t>
      </w:r>
    </w:p>
    <w:p w14:paraId="37409A45">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b</w:t>
      </w:r>
      <w:r>
        <w:rPr>
          <w:rFonts w:hint="eastAsia" w:ascii="宋体" w:hAnsi="宋体" w:eastAsia="宋体" w:cs="宋体"/>
          <w:snapToGrid w:val="0"/>
          <w:color w:val="auto"/>
          <w:kern w:val="0"/>
          <w:sz w:val="24"/>
          <w:szCs w:val="24"/>
          <w:highlight w:val="none"/>
        </w:rPr>
        <w:t>．</w:t>
      </w:r>
      <w:bookmarkStart w:id="116" w:name="_Hlt69699579"/>
      <w:bookmarkEnd w:id="116"/>
      <w:r>
        <w:rPr>
          <w:rFonts w:hint="eastAsia" w:ascii="宋体" w:hAnsi="宋体" w:eastAsia="宋体" w:cs="宋体"/>
          <w:snapToGrid w:val="0"/>
          <w:color w:val="auto"/>
          <w:kern w:val="0"/>
          <w:sz w:val="24"/>
          <w:szCs w:val="24"/>
          <w:highlight w:val="none"/>
        </w:rPr>
        <w:t>投标人认为有必要补充的其他资料（例如关于投标总价下浮率超过15%的书面说明和佐证材料）。</w:t>
      </w:r>
    </w:p>
    <w:p w14:paraId="18AF6EA4">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10.3.2</w:t>
      </w:r>
      <w:r>
        <w:rPr>
          <w:rFonts w:hint="eastAsia" w:ascii="宋体" w:hAnsi="宋体" w:eastAsia="宋体" w:cs="宋体"/>
          <w:snapToGrid w:val="0"/>
          <w:color w:val="auto"/>
          <w:kern w:val="0"/>
          <w:sz w:val="24"/>
          <w:szCs w:val="24"/>
          <w:highlight w:val="none"/>
        </w:rPr>
        <w:t xml:space="preserve"> 本节第</w:t>
      </w:r>
      <w:r>
        <w:rPr>
          <w:rFonts w:hint="eastAsia" w:ascii="宋体" w:hAnsi="宋体" w:eastAsia="宋体" w:cs="宋体"/>
          <w:b/>
          <w:bCs/>
          <w:snapToGrid w:val="0"/>
          <w:color w:val="auto"/>
          <w:kern w:val="0"/>
          <w:sz w:val="24"/>
          <w:szCs w:val="24"/>
          <w:highlight w:val="none"/>
        </w:rPr>
        <w:t>10.3.1</w:t>
      </w:r>
      <w:r>
        <w:rPr>
          <w:rFonts w:hint="eastAsia" w:ascii="宋体" w:hAnsi="宋体" w:eastAsia="宋体" w:cs="宋体"/>
          <w:snapToGrid w:val="0"/>
          <w:color w:val="auto"/>
          <w:kern w:val="0"/>
          <w:sz w:val="24"/>
          <w:szCs w:val="24"/>
          <w:highlight w:val="none"/>
        </w:rPr>
        <w:t>目中所列出的经济标书组成内容中，第（1）至第（3）项所有投标人均应提供</w:t>
      </w:r>
      <w:bookmarkStart w:id="117" w:name="_Hlt145127239"/>
      <w:bookmarkEnd w:id="117"/>
      <w:bookmarkStart w:id="118" w:name="_Toc7035"/>
      <w:r>
        <w:rPr>
          <w:rFonts w:hint="eastAsia" w:ascii="宋体" w:hAnsi="宋体" w:eastAsia="宋体" w:cs="宋体"/>
          <w:snapToGrid w:val="0"/>
          <w:color w:val="auto"/>
          <w:kern w:val="0"/>
          <w:sz w:val="24"/>
          <w:szCs w:val="24"/>
          <w:highlight w:val="none"/>
        </w:rPr>
        <w:t>。</w:t>
      </w:r>
    </w:p>
    <w:p w14:paraId="4DC13290">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10.3.3</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color w:val="auto"/>
          <w:sz w:val="24"/>
          <w:szCs w:val="24"/>
          <w:highlight w:val="none"/>
        </w:rPr>
        <w:t>经济标书的组成内容按本节第10.3.1目规定的顺序整理、编排后，逐页（页码起始从封面开始）连续标记页码。</w:t>
      </w:r>
    </w:p>
    <w:p w14:paraId="1108FDA3">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10.4</w:t>
      </w:r>
      <w:r>
        <w:rPr>
          <w:rFonts w:hint="eastAsia" w:ascii="宋体" w:hAnsi="宋体" w:eastAsia="宋体" w:cs="宋体"/>
          <w:bCs/>
          <w:snapToGrid w:val="0"/>
          <w:color w:val="auto"/>
          <w:kern w:val="0"/>
          <w:sz w:val="24"/>
          <w:szCs w:val="24"/>
          <w:highlight w:val="none"/>
        </w:rPr>
        <w:t xml:space="preserve"> 施工组织设计的编制要求</w:t>
      </w:r>
    </w:p>
    <w:p w14:paraId="53FC768B">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10.4.1</w:t>
      </w:r>
      <w:r>
        <w:rPr>
          <w:rFonts w:hint="eastAsia" w:ascii="宋体" w:hAnsi="宋体" w:eastAsia="宋体" w:cs="宋体"/>
          <w:bCs/>
          <w:snapToGrid w:val="0"/>
          <w:color w:val="auto"/>
          <w:kern w:val="0"/>
          <w:sz w:val="24"/>
          <w:szCs w:val="24"/>
          <w:highlight w:val="none"/>
        </w:rPr>
        <w:t xml:space="preserve"> </w:t>
      </w:r>
      <w:r>
        <w:rPr>
          <w:rFonts w:hint="eastAsia" w:ascii="宋体" w:hAnsi="宋体" w:eastAsia="宋体" w:cs="宋体"/>
          <w:snapToGrid w:val="0"/>
          <w:color w:val="auto"/>
          <w:kern w:val="0"/>
          <w:sz w:val="24"/>
          <w:szCs w:val="24"/>
          <w:highlight w:val="none"/>
        </w:rPr>
        <w:t>施工组织设计的编制依据包括且不限于</w:t>
      </w:r>
      <w:r>
        <w:rPr>
          <w:rFonts w:hint="eastAsia" w:ascii="宋体" w:hAnsi="宋体" w:eastAsia="宋体" w:cs="宋体"/>
          <w:bCs/>
          <w:snapToGrid w:val="0"/>
          <w:color w:val="auto"/>
          <w:kern w:val="0"/>
          <w:sz w:val="24"/>
          <w:szCs w:val="24"/>
          <w:highlight w:val="none"/>
        </w:rPr>
        <w:t>：</w:t>
      </w:r>
    </w:p>
    <w:p w14:paraId="4792F473">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（1）招标文件及</w:t>
      </w:r>
      <w:r>
        <w:rPr>
          <w:rFonts w:hint="eastAsia" w:ascii="宋体" w:hAnsi="宋体" w:eastAsia="宋体" w:cs="宋体"/>
          <w:snapToGrid w:val="0"/>
          <w:color w:val="auto"/>
          <w:kern w:val="0"/>
          <w:sz w:val="24"/>
          <w:szCs w:val="24"/>
          <w:highlight w:val="none"/>
        </w:rPr>
        <w:t>其答疑（或修改）公告；</w:t>
      </w:r>
    </w:p>
    <w:p w14:paraId="00898461">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（2）施工图及相关资料；</w:t>
      </w:r>
    </w:p>
    <w:p w14:paraId="7FFDB399">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（3）施工现场情况、工程特点；</w:t>
      </w:r>
    </w:p>
    <w:p w14:paraId="77A22E19">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（4）相关法律、法规、规定；</w:t>
      </w:r>
    </w:p>
    <w:p w14:paraId="5F6096B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5）国家、广东省、韶关市关于施工现场管理、施工工艺、绿色施工、安全防护、文明施工、环境保护等方面的标准、规范、技术资料。如《广东省住房和城乡建设厅绿色施工导则》《广东省建设工程施工扬尘污染防治管理办法（试行）》等；</w:t>
      </w:r>
    </w:p>
    <w:p w14:paraId="0FF00AE4">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（6）企业内部标准、工法。</w:t>
      </w:r>
    </w:p>
    <w:p w14:paraId="215DB105">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10.4.2</w:t>
      </w:r>
      <w:r>
        <w:rPr>
          <w:rFonts w:hint="eastAsia" w:ascii="宋体" w:hAnsi="宋体" w:eastAsia="宋体" w:cs="宋体"/>
          <w:bCs/>
          <w:snapToGrid w:val="0"/>
          <w:color w:val="auto"/>
          <w:kern w:val="0"/>
          <w:sz w:val="24"/>
          <w:szCs w:val="24"/>
          <w:highlight w:val="none"/>
        </w:rPr>
        <w:t xml:space="preserve"> </w:t>
      </w:r>
      <w:r>
        <w:rPr>
          <w:rFonts w:hint="eastAsia" w:ascii="宋体" w:hAnsi="宋体" w:eastAsia="宋体" w:cs="宋体"/>
          <w:snapToGrid w:val="0"/>
          <w:color w:val="auto"/>
          <w:kern w:val="0"/>
          <w:sz w:val="24"/>
          <w:szCs w:val="24"/>
          <w:highlight w:val="none"/>
        </w:rPr>
        <w:t>施工组织设计包括但不限于以下内容：</w:t>
      </w:r>
    </w:p>
    <w:p w14:paraId="118F7F61">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（1）封面（格式一）；</w:t>
      </w:r>
    </w:p>
    <w:p w14:paraId="0418AE01">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（2）目录；</w:t>
      </w:r>
    </w:p>
    <w:p w14:paraId="29415399">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（3）总体概述（包括施工程序总体设想及施工段划分等内容）；</w:t>
      </w:r>
    </w:p>
    <w:p w14:paraId="059C77A2">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（4）施工总进度计划及保证措施（包括进度管理目标；以横道图或标明关键线路的网络进度计划；保障进度计划需要的人、材、机需求计划及保证措施；违约责任承诺等内容）；</w:t>
      </w:r>
    </w:p>
    <w:p w14:paraId="5247D07A">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（5）质量保证措施（包括质量管理目标；相应保证措施；违约责任承诺等内容）；</w:t>
      </w:r>
    </w:p>
    <w:p w14:paraId="1993F8D7">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（6）施工技术措施（包括关键施工技术、工艺及工程项目实施的重点、难点分析和解决方案；新技术应用与承诺等内容）；</w:t>
      </w:r>
    </w:p>
    <w:p w14:paraId="2608709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（7）绿色施工、安全防护、文明施工措施计划；</w:t>
      </w:r>
    </w:p>
    <w:p w14:paraId="0CB5FB94">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施工现场总平面布置（投标人应递交一份施工现场总平面布置图，绘出现场临时设施布置图表并附文字说明，说明临时设施、加工车间、现场办公、设备及仓储、供电、供水、卫生、生活、道路、消防等设施的情况和布置）；</w:t>
      </w:r>
    </w:p>
    <w:p w14:paraId="7D2AA36C">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i/>
          <w:i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（9）项目管理机构。</w:t>
      </w:r>
    </w:p>
    <w:p w14:paraId="579062E3">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（10）投标人认为有必要补充的其他内容（例如对总包管理的认识以及对专业分包工程的管理、协调、配合、服务方案）。</w:t>
      </w:r>
    </w:p>
    <w:p w14:paraId="40970C5B">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10.4.3</w:t>
      </w:r>
      <w:r>
        <w:rPr>
          <w:rFonts w:hint="eastAsia" w:ascii="宋体" w:hAnsi="宋体" w:eastAsia="宋体" w:cs="宋体"/>
          <w:snapToGrid w:val="0"/>
          <w:color w:val="auto"/>
          <w:kern w:val="0"/>
          <w:sz w:val="24"/>
          <w:szCs w:val="24"/>
          <w:highlight w:val="none"/>
        </w:rPr>
        <w:t xml:space="preserve"> 本节第</w:t>
      </w:r>
      <w:r>
        <w:rPr>
          <w:rFonts w:hint="eastAsia" w:ascii="宋体" w:hAnsi="宋体" w:eastAsia="宋体" w:cs="宋体"/>
          <w:b/>
          <w:bCs/>
          <w:snapToGrid w:val="0"/>
          <w:color w:val="auto"/>
          <w:kern w:val="0"/>
          <w:sz w:val="24"/>
          <w:szCs w:val="24"/>
          <w:highlight w:val="none"/>
        </w:rPr>
        <w:t>10.4.2</w:t>
      </w:r>
      <w:r>
        <w:rPr>
          <w:rFonts w:hint="eastAsia" w:ascii="宋体" w:hAnsi="宋体" w:eastAsia="宋体" w:cs="宋体"/>
          <w:snapToGrid w:val="0"/>
          <w:color w:val="auto"/>
          <w:kern w:val="0"/>
          <w:sz w:val="24"/>
          <w:szCs w:val="24"/>
          <w:highlight w:val="none"/>
        </w:rPr>
        <w:t>目中所列出的施工组织设计组成内容中，第（1）至第（9）项所有投标人均应提供。</w:t>
      </w:r>
    </w:p>
    <w:p w14:paraId="535615BE">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10.4.4</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color w:val="auto"/>
          <w:sz w:val="24"/>
          <w:szCs w:val="24"/>
          <w:highlight w:val="none"/>
        </w:rPr>
        <w:t>施工组织设计的组成内容按本节第10.4.2目规定的顺序整理、编排后，逐页（页码起始从封面开始）连续标记页码。</w:t>
      </w:r>
      <w:r>
        <w:rPr>
          <w:rFonts w:hint="eastAsia" w:ascii="宋体" w:hAnsi="宋体" w:eastAsia="宋体" w:cs="宋体"/>
          <w:snapToGrid w:val="0"/>
          <w:color w:val="auto"/>
          <w:kern w:val="0"/>
          <w:sz w:val="24"/>
          <w:szCs w:val="24"/>
          <w:highlight w:val="none"/>
        </w:rPr>
        <w:t xml:space="preserve">  </w:t>
      </w:r>
    </w:p>
    <w:bookmarkEnd w:id="118"/>
    <w:p w14:paraId="52E748F8">
      <w:pPr>
        <w:rPr>
          <w:rFonts w:hint="eastAsia"/>
          <w:color w:val="auto"/>
          <w:highlight w:val="none"/>
        </w:rPr>
      </w:pPr>
      <w:bookmarkStart w:id="119" w:name="_Toc18012"/>
      <w:bookmarkStart w:id="120" w:name="_Toc32203"/>
    </w:p>
    <w:p w14:paraId="7A9E63DC">
      <w:pPr>
        <w:keepNext w:val="0"/>
        <w:keepLines w:val="0"/>
        <w:pageBreakBefore w:val="0"/>
        <w:widowControl w:val="0"/>
        <w:kinsoku/>
        <w:wordWrap/>
        <w:overflowPunct/>
        <w:topLinePunct w:val="0"/>
        <w:autoSpaceDE/>
        <w:autoSpaceDN/>
        <w:bidi w:val="0"/>
        <w:adjustRightInd/>
        <w:snapToGrid/>
        <w:spacing w:line="360" w:lineRule="auto"/>
        <w:ind w:left="0" w:leftChars="0" w:right="0" w:firstLine="482" w:firstLineChars="200"/>
        <w:textAlignment w:val="auto"/>
        <w:outlineLvl w:val="1"/>
        <w:rPr>
          <w:rFonts w:hint="eastAsia" w:ascii="宋体" w:hAnsi="宋体" w:eastAsia="宋体" w:cs="宋体"/>
          <w:bCs/>
          <w:snapToGrid w:val="0"/>
          <w:color w:val="auto"/>
          <w:sz w:val="24"/>
          <w:szCs w:val="24"/>
          <w:highlight w:val="none"/>
        </w:rPr>
      </w:pPr>
      <w:bookmarkStart w:id="121" w:name="_Toc5963"/>
      <w:r>
        <w:rPr>
          <w:rStyle w:val="155"/>
          <w:rFonts w:hint="eastAsia" w:ascii="宋体" w:hAnsi="宋体" w:eastAsia="宋体" w:cs="宋体"/>
          <w:color w:val="auto"/>
          <w:sz w:val="24"/>
          <w:szCs w:val="24"/>
          <w:highlight w:val="none"/>
          <w:lang w:val="en-US" w:eastAsia="zh-CN"/>
        </w:rPr>
        <w:t>11.电子投标</w:t>
      </w:r>
      <w:bookmarkEnd w:id="119"/>
      <w:bookmarkEnd w:id="121"/>
    </w:p>
    <w:p w14:paraId="31CB50F9">
      <w:pPr>
        <w:pageBreakBefore w:val="0"/>
        <w:kinsoku/>
        <w:wordWrap w:val="0"/>
        <w:overflowPunct/>
        <w:topLinePunct w:val="0"/>
        <w:autoSpaceDE/>
        <w:autoSpaceDN/>
        <w:bidi w:val="0"/>
        <w:adjustRightInd w:val="0"/>
        <w:spacing w:line="360" w:lineRule="auto"/>
        <w:ind w:left="0" w:leftChars="0" w:right="0" w:firstLine="482" w:firstLineChars="200"/>
        <w:rPr>
          <w:rFonts w:hint="eastAsia" w:ascii="宋体" w:hAnsi="宋体" w:eastAsia="宋体" w:cs="宋体"/>
          <w:b/>
          <w:snapToGrid w:val="0"/>
          <w:color w:val="auto"/>
          <w:sz w:val="24"/>
          <w:szCs w:val="24"/>
          <w:highlight w:val="none"/>
        </w:rPr>
      </w:pPr>
      <w:bookmarkStart w:id="122" w:name="_Hlt88627590"/>
      <w:bookmarkEnd w:id="122"/>
      <w:r>
        <w:rPr>
          <w:rFonts w:hint="eastAsia" w:ascii="宋体" w:hAnsi="宋体" w:eastAsia="宋体" w:cs="宋体"/>
          <w:b/>
          <w:bCs w:val="0"/>
          <w:snapToGrid w:val="0"/>
          <w:color w:val="auto"/>
          <w:sz w:val="24"/>
          <w:szCs w:val="24"/>
          <w:highlight w:val="none"/>
        </w:rPr>
        <w:t>11.1</w:t>
      </w:r>
      <w:r>
        <w:rPr>
          <w:rFonts w:hint="eastAsia" w:ascii="宋体" w:hAnsi="宋体" w:eastAsia="宋体" w:cs="宋体"/>
          <w:b w:val="0"/>
          <w:bCs/>
          <w:snapToGrid w:val="0"/>
          <w:color w:val="auto"/>
          <w:sz w:val="24"/>
          <w:szCs w:val="24"/>
          <w:highlight w:val="none"/>
          <w:lang w:val="en-US" w:eastAsia="zh-CN"/>
        </w:rPr>
        <w:t>在建设工程交易系统上传加盖了电子印章的投标文件、录入相关信息及标书页码信息，（页码起始从封面开始）并提交投标标书。提交标书为已加密投标文件。具体操作参照《韶关市公共资源建设工程交易系统-投标人操作指南（电子评标）》。本项目评标采用全流程电子化进行招标投标（投标人应根据韶关市公共资源建设工程交易系统进行编辑投标相关内容、按招标文件电子投标要求上传已加盖电子印章投标文件，否则将自行承担不利后果）。投标文件完成上传后，投标人应使用 CA 数字证书对投标文件进行文件加密，形成加密的投标文件并提交标书。</w:t>
      </w:r>
    </w:p>
    <w:p w14:paraId="7D2DB26E">
      <w:pPr>
        <w:pageBreakBefore w:val="0"/>
        <w:kinsoku/>
        <w:wordWrap w:val="0"/>
        <w:overflowPunct/>
        <w:topLinePunct w:val="0"/>
        <w:autoSpaceDE/>
        <w:autoSpaceDN/>
        <w:bidi w:val="0"/>
        <w:adjustRightInd w:val="0"/>
        <w:spacing w:line="360" w:lineRule="auto"/>
        <w:ind w:left="0" w:leftChars="0" w:right="0" w:firstLine="482" w:firstLineChars="200"/>
        <w:rPr>
          <w:rFonts w:hint="eastAsia" w:ascii="宋体" w:hAnsi="宋体" w:eastAsia="宋体" w:cs="宋体"/>
          <w:b/>
          <w:bCs/>
          <w:snapToGrid w:val="0"/>
          <w:color w:val="auto"/>
          <w:kern w:val="0"/>
          <w:sz w:val="24"/>
          <w:szCs w:val="24"/>
          <w:highlight w:val="none"/>
        </w:rPr>
      </w:pPr>
      <w:bookmarkStart w:id="123" w:name="_Hlt127590288"/>
      <w:bookmarkEnd w:id="123"/>
      <w:r>
        <w:rPr>
          <w:rFonts w:hint="eastAsia" w:ascii="宋体" w:hAnsi="宋体" w:eastAsia="宋体" w:cs="宋体"/>
          <w:b/>
          <w:bCs w:val="0"/>
          <w:snapToGrid w:val="0"/>
          <w:color w:val="auto"/>
          <w:sz w:val="24"/>
          <w:szCs w:val="24"/>
          <w:highlight w:val="none"/>
        </w:rPr>
        <w:t>11.2</w:t>
      </w:r>
      <w:r>
        <w:rPr>
          <w:rFonts w:hint="eastAsia" w:ascii="宋体" w:hAnsi="宋体" w:eastAsia="宋体" w:cs="宋体"/>
          <w:bCs/>
          <w:snapToGrid w:val="0"/>
          <w:color w:val="auto"/>
          <w:sz w:val="24"/>
          <w:szCs w:val="24"/>
          <w:highlight w:val="none"/>
        </w:rPr>
        <w:t>电子投标文件的修改、撤回：在提交投标文件截止时间前，投标人可以修改或撤回未解密的电子投标文件，并于提交投标文件截止时间前将重新上传修改后的电子投标文件至系统，到达投标文件提交截止时间后投标人不得撤回、补充、修改和更换投标文件。</w:t>
      </w:r>
      <w:bookmarkEnd w:id="120"/>
    </w:p>
    <w:p w14:paraId="1CE24FDD">
      <w:pPr>
        <w:rPr>
          <w:rFonts w:hint="eastAsia"/>
          <w:color w:val="auto"/>
          <w:highlight w:val="none"/>
          <w:lang w:val="en-US" w:eastAsia="zh-CN"/>
        </w:rPr>
      </w:pPr>
      <w:bookmarkStart w:id="124" w:name="_Toc25051"/>
    </w:p>
    <w:p w14:paraId="28E13027">
      <w:pPr>
        <w:pStyle w:val="137"/>
        <w:keepNext w:val="0"/>
        <w:keepLines w:val="0"/>
        <w:pageBreakBefore w:val="0"/>
        <w:widowControl w:val="0"/>
        <w:kinsoku/>
        <w:wordWrap w:val="0"/>
        <w:overflowPunct/>
        <w:topLinePunct w:val="0"/>
        <w:autoSpaceDE/>
        <w:autoSpaceDN/>
        <w:bidi w:val="0"/>
        <w:adjustRightInd w:val="0"/>
        <w:snapToGrid w:val="0"/>
        <w:spacing w:line="360" w:lineRule="auto"/>
        <w:ind w:right="0" w:firstLine="482" w:firstLineChars="200"/>
        <w:jc w:val="left"/>
        <w:textAlignment w:val="auto"/>
        <w:rPr>
          <w:rStyle w:val="155"/>
          <w:rFonts w:hint="eastAsia" w:ascii="宋体" w:hAnsi="宋体" w:eastAsia="宋体" w:cs="宋体"/>
          <w:color w:val="auto"/>
          <w:kern w:val="2"/>
          <w:sz w:val="24"/>
          <w:szCs w:val="24"/>
          <w:highlight w:val="none"/>
          <w:lang w:val="en-US" w:eastAsia="zh-CN" w:bidi="ar-SA"/>
        </w:rPr>
      </w:pPr>
      <w:r>
        <w:rPr>
          <w:rStyle w:val="155"/>
          <w:rFonts w:hint="eastAsia" w:ascii="宋体" w:hAnsi="宋体" w:eastAsia="宋体" w:cs="宋体"/>
          <w:color w:val="auto"/>
          <w:kern w:val="2"/>
          <w:sz w:val="24"/>
          <w:szCs w:val="24"/>
          <w:highlight w:val="none"/>
          <w:lang w:val="en-US" w:eastAsia="zh-CN" w:bidi="ar-SA"/>
        </w:rPr>
        <w:t>12.电子投标及投标解密失败及突发情况的补救方案</w:t>
      </w:r>
    </w:p>
    <w:bookmarkEnd w:id="124"/>
    <w:p w14:paraId="2A11A4DB">
      <w:pPr>
        <w:pageBreakBefore w:val="0"/>
        <w:kinsoku/>
        <w:wordWrap w:val="0"/>
        <w:overflowPunct/>
        <w:topLinePunct w:val="0"/>
        <w:autoSpaceDE/>
        <w:autoSpaceDN/>
        <w:bidi w:val="0"/>
        <w:adjustRightInd w:val="0"/>
        <w:spacing w:line="360" w:lineRule="auto"/>
        <w:ind w:left="0" w:leftChars="0" w:right="0" w:firstLine="482" w:firstLineChars="200"/>
        <w:rPr>
          <w:rFonts w:hint="eastAsia" w:ascii="宋体" w:hAnsi="宋体" w:eastAsia="宋体" w:cs="宋体"/>
          <w:bCs/>
          <w:snapToGrid w:val="0"/>
          <w:color w:val="auto"/>
          <w:sz w:val="24"/>
          <w:szCs w:val="24"/>
          <w:highlight w:val="none"/>
        </w:rPr>
      </w:pPr>
      <w:r>
        <w:rPr>
          <w:rFonts w:hint="eastAsia" w:ascii="宋体" w:hAnsi="宋体" w:eastAsia="宋体" w:cs="宋体"/>
          <w:b/>
          <w:bCs/>
          <w:snapToGrid w:val="0"/>
          <w:color w:val="auto"/>
          <w:kern w:val="0"/>
          <w:sz w:val="24"/>
          <w:szCs w:val="24"/>
          <w:highlight w:val="none"/>
          <w:lang w:val="en-US" w:eastAsia="zh-CN" w:bidi="ar-SA"/>
        </w:rPr>
        <w:t>12.1</w:t>
      </w:r>
      <w:r>
        <w:rPr>
          <w:rFonts w:hint="eastAsia" w:ascii="宋体" w:hAnsi="宋体" w:eastAsia="宋体" w:cs="宋体"/>
          <w:bCs/>
          <w:snapToGrid w:val="0"/>
          <w:color w:val="auto"/>
          <w:sz w:val="24"/>
          <w:szCs w:val="24"/>
          <w:highlight w:val="none"/>
        </w:rPr>
        <w:t xml:space="preserve">按照交易平台关于全流程电子化项目的相关指南进行操作。详见：全国公共资源交易平台（广东省·韶关市）（https://ygp.gdzwfw.gov.cn/ggzy-portal/#/440200/index）交易指引栏目发布的最新版操作指引。  </w:t>
      </w:r>
    </w:p>
    <w:p w14:paraId="5A18F35F">
      <w:pPr>
        <w:pageBreakBefore w:val="0"/>
        <w:kinsoku/>
        <w:wordWrap w:val="0"/>
        <w:overflowPunct/>
        <w:topLinePunct w:val="0"/>
        <w:autoSpaceDE/>
        <w:autoSpaceDN/>
        <w:bidi w:val="0"/>
        <w:adjustRightInd w:val="0"/>
        <w:spacing w:line="360" w:lineRule="auto"/>
        <w:ind w:left="0" w:leftChars="0" w:right="0" w:firstLine="482" w:firstLineChars="200"/>
        <w:rPr>
          <w:rFonts w:hint="eastAsia" w:ascii="宋体" w:hAnsi="宋体" w:eastAsia="宋体" w:cs="宋体"/>
          <w:bCs/>
          <w:snapToGrid w:val="0"/>
          <w:color w:val="auto"/>
          <w:sz w:val="24"/>
          <w:szCs w:val="24"/>
          <w:highlight w:val="none"/>
        </w:rPr>
      </w:pPr>
      <w:r>
        <w:rPr>
          <w:rFonts w:hint="eastAsia" w:ascii="宋体" w:hAnsi="宋体" w:eastAsia="宋体" w:cs="宋体"/>
          <w:b/>
          <w:bCs/>
          <w:snapToGrid w:val="0"/>
          <w:color w:val="auto"/>
          <w:kern w:val="0"/>
          <w:sz w:val="24"/>
          <w:szCs w:val="24"/>
          <w:highlight w:val="none"/>
          <w:lang w:val="en-US" w:eastAsia="zh-CN" w:bidi="ar-SA"/>
        </w:rPr>
        <w:t>12.2</w:t>
      </w:r>
      <w:r>
        <w:rPr>
          <w:rFonts w:hint="eastAsia" w:ascii="宋体" w:hAnsi="宋体" w:eastAsia="宋体" w:cs="宋体"/>
          <w:bCs/>
          <w:snapToGrid w:val="0"/>
          <w:color w:val="auto"/>
          <w:sz w:val="24"/>
          <w:szCs w:val="24"/>
          <w:highlight w:val="none"/>
        </w:rPr>
        <w:t>补救方案：</w:t>
      </w:r>
    </w:p>
    <w:p w14:paraId="73FF47F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2" w:firstLineChars="200"/>
        <w:textAlignment w:val="auto"/>
        <w:rPr>
          <w:rFonts w:hint="eastAsia" w:ascii="宋体" w:hAnsi="宋体" w:eastAsia="宋体" w:cs="宋体"/>
          <w:bCs/>
          <w:snapToGrid w:val="0"/>
          <w:color w:val="auto"/>
          <w:sz w:val="24"/>
          <w:szCs w:val="24"/>
          <w:highlight w:val="none"/>
        </w:rPr>
      </w:pPr>
      <w:r>
        <w:rPr>
          <w:rFonts w:hint="eastAsia" w:ascii="宋体" w:hAnsi="宋体" w:eastAsia="宋体" w:cs="宋体"/>
          <w:b/>
          <w:bCs w:val="0"/>
          <w:snapToGrid w:val="0"/>
          <w:color w:val="auto"/>
          <w:sz w:val="24"/>
          <w:szCs w:val="24"/>
          <w:highlight w:val="none"/>
          <w:lang w:val="en-US" w:eastAsia="zh-CN"/>
        </w:rPr>
        <w:t>12.2.1</w:t>
      </w:r>
      <w:r>
        <w:rPr>
          <w:rFonts w:hint="eastAsia" w:ascii="宋体" w:hAnsi="宋体" w:eastAsia="宋体" w:cs="宋体"/>
          <w:bCs/>
          <w:snapToGrid w:val="0"/>
          <w:color w:val="auto"/>
          <w:sz w:val="24"/>
          <w:szCs w:val="24"/>
          <w:highlight w:val="none"/>
        </w:rPr>
        <w:t>投标文件解密失败的补救方案：</w:t>
      </w:r>
    </w:p>
    <w:p w14:paraId="58EDECDB">
      <w:pPr>
        <w:pageBreakBefore w:val="0"/>
        <w:kinsoku/>
        <w:wordWrap w:val="0"/>
        <w:overflowPunct/>
        <w:topLinePunct w:val="0"/>
        <w:autoSpaceDE/>
        <w:autoSpaceDN/>
        <w:bidi w:val="0"/>
        <w:adjustRightInd w:val="0"/>
        <w:spacing w:line="360" w:lineRule="auto"/>
        <w:ind w:left="0" w:leftChars="0" w:right="0" w:firstLine="480" w:firstLineChars="200"/>
        <w:rPr>
          <w:rFonts w:hint="eastAsia" w:ascii="宋体" w:hAnsi="宋体" w:eastAsia="宋体" w:cs="宋体"/>
          <w:bCs/>
          <w:snapToGrid w:val="0"/>
          <w:color w:val="auto"/>
          <w:sz w:val="24"/>
          <w:szCs w:val="24"/>
          <w:highlight w:val="none"/>
        </w:rPr>
      </w:pPr>
      <w:r>
        <w:rPr>
          <w:rFonts w:hint="eastAsia" w:ascii="宋体" w:hAnsi="宋体" w:eastAsia="宋体" w:cs="宋体"/>
          <w:bCs/>
          <w:snapToGrid w:val="0"/>
          <w:color w:val="auto"/>
          <w:sz w:val="24"/>
          <w:szCs w:val="24"/>
          <w:highlight w:val="none"/>
        </w:rPr>
        <w:t>在规定时间内，因投标人之外原因(指网络瘫痪、服务器损坏、交易系统故障短期无法恢复)等导致的电子投标文件解密失败，在开标现场解密环节由代理授权后，解密失败投标人可在建设工程交易系统在规定时间（代理机构授权后30分钟内）内重新提交投标文件继续开标程序。</w:t>
      </w:r>
    </w:p>
    <w:p w14:paraId="2778DE7F">
      <w:pPr>
        <w:pageBreakBefore w:val="0"/>
        <w:kinsoku/>
        <w:wordWrap w:val="0"/>
        <w:overflowPunct/>
        <w:topLinePunct w:val="0"/>
        <w:autoSpaceDE/>
        <w:autoSpaceDN/>
        <w:bidi w:val="0"/>
        <w:adjustRightInd w:val="0"/>
        <w:spacing w:line="360" w:lineRule="auto"/>
        <w:ind w:left="0" w:leftChars="0" w:right="0" w:firstLine="482" w:firstLineChars="200"/>
        <w:rPr>
          <w:rFonts w:hint="eastAsia" w:ascii="宋体" w:hAnsi="宋体" w:eastAsia="宋体" w:cs="宋体"/>
          <w:bCs/>
          <w:snapToGrid w:val="0"/>
          <w:color w:val="auto"/>
          <w:sz w:val="24"/>
          <w:szCs w:val="24"/>
          <w:highlight w:val="none"/>
        </w:rPr>
      </w:pPr>
      <w:r>
        <w:rPr>
          <w:rFonts w:hint="eastAsia" w:ascii="宋体" w:hAnsi="宋体" w:eastAsia="宋体" w:cs="宋体"/>
          <w:b/>
          <w:bCs w:val="0"/>
          <w:snapToGrid w:val="0"/>
          <w:color w:val="auto"/>
          <w:sz w:val="24"/>
          <w:szCs w:val="24"/>
          <w:highlight w:val="none"/>
          <w:lang w:val="en-US" w:eastAsia="zh-CN"/>
        </w:rPr>
        <w:t>12.2.2</w:t>
      </w:r>
      <w:r>
        <w:rPr>
          <w:rFonts w:hint="eastAsia" w:ascii="宋体" w:hAnsi="宋体" w:eastAsia="宋体" w:cs="宋体"/>
          <w:bCs/>
          <w:snapToGrid w:val="0"/>
          <w:color w:val="auto"/>
          <w:sz w:val="24"/>
          <w:szCs w:val="24"/>
          <w:highlight w:val="none"/>
        </w:rPr>
        <w:t>评标时突发情况的补救方案</w:t>
      </w:r>
    </w:p>
    <w:p w14:paraId="02506F98">
      <w:pPr>
        <w:pageBreakBefore w:val="0"/>
        <w:kinsoku/>
        <w:wordWrap w:val="0"/>
        <w:overflowPunct/>
        <w:topLinePunct w:val="0"/>
        <w:autoSpaceDE/>
        <w:autoSpaceDN/>
        <w:bidi w:val="0"/>
        <w:adjustRightInd w:val="0"/>
        <w:spacing w:line="360" w:lineRule="auto"/>
        <w:ind w:left="0" w:leftChars="0" w:right="0" w:firstLine="480" w:firstLineChars="200"/>
        <w:rPr>
          <w:rFonts w:hint="eastAsia" w:ascii="宋体" w:hAnsi="宋体" w:eastAsia="宋体" w:cs="宋体"/>
          <w:bCs/>
          <w:snapToGrid w:val="0"/>
          <w:color w:val="auto"/>
          <w:sz w:val="24"/>
          <w:szCs w:val="24"/>
          <w:highlight w:val="none"/>
        </w:rPr>
      </w:pPr>
      <w:r>
        <w:rPr>
          <w:rFonts w:hint="eastAsia" w:ascii="宋体" w:hAnsi="宋体" w:eastAsia="宋体" w:cs="宋体"/>
          <w:bCs/>
          <w:snapToGrid w:val="0"/>
          <w:color w:val="auto"/>
          <w:sz w:val="24"/>
          <w:szCs w:val="24"/>
          <w:highlight w:val="none"/>
        </w:rPr>
        <w:t>在评标过程中，因主场或副场网络故障、电子设备或者评标系统故障，以及其他原因导致无法继续进行评标时，在4小时以内解除故障的可继续评标，超过4小时无法解除故障的，由招标人确定是否进行评标。如延期评标，招标人及参与评标活动的各方主体及其有关工作人员应当配合主场、副场做好招投标资料的封存和保密工作，另行组建评标委员会重新评标。原评标委员会成员应当对评标情况保密，不得对外透露与评标有关的任何信息与情况。</w:t>
      </w:r>
    </w:p>
    <w:p w14:paraId="107179AD">
      <w:pPr>
        <w:pageBreakBefore w:val="0"/>
        <w:kinsoku/>
        <w:wordWrap w:val="0"/>
        <w:overflowPunct/>
        <w:topLinePunct w:val="0"/>
        <w:autoSpaceDE/>
        <w:autoSpaceDN/>
        <w:bidi w:val="0"/>
        <w:adjustRightInd w:val="0"/>
        <w:spacing w:line="360" w:lineRule="auto"/>
        <w:ind w:left="0" w:leftChars="0" w:right="0" w:firstLine="482" w:firstLineChars="200"/>
        <w:rPr>
          <w:rFonts w:hint="eastAsia" w:ascii="宋体" w:hAnsi="宋体" w:eastAsia="宋体" w:cs="宋体"/>
          <w:bCs/>
          <w:snapToGrid w:val="0"/>
          <w:color w:val="auto"/>
          <w:kern w:val="2"/>
          <w:sz w:val="24"/>
          <w:szCs w:val="24"/>
          <w:highlight w:val="none"/>
          <w:lang w:val="en-US" w:eastAsia="zh-CN" w:bidi="ar-SA"/>
        </w:rPr>
      </w:pPr>
      <w:r>
        <w:rPr>
          <w:rFonts w:hint="eastAsia" w:ascii="宋体" w:hAnsi="宋体" w:eastAsia="宋体" w:cs="宋体"/>
          <w:b/>
          <w:bCs w:val="0"/>
          <w:snapToGrid w:val="0"/>
          <w:color w:val="auto"/>
          <w:sz w:val="24"/>
          <w:szCs w:val="24"/>
          <w:highlight w:val="none"/>
          <w:lang w:val="en-US" w:eastAsia="zh-CN"/>
        </w:rPr>
        <w:t>12.2.3</w:t>
      </w:r>
      <w:r>
        <w:rPr>
          <w:rFonts w:hint="eastAsia" w:ascii="宋体" w:hAnsi="宋体" w:eastAsia="宋体" w:cs="宋体"/>
          <w:b w:val="0"/>
          <w:bCs/>
          <w:snapToGrid w:val="0"/>
          <w:color w:val="auto"/>
          <w:sz w:val="24"/>
          <w:szCs w:val="24"/>
          <w:highlight w:val="none"/>
          <w:lang w:val="en-US" w:eastAsia="zh-CN"/>
        </w:rPr>
        <w:t>除发生上述情况外，开标评标均以投标人（联合体投标的，由联合体牵头人）通过交易平台网上递交的电子投标文件为准。</w:t>
      </w:r>
    </w:p>
    <w:p w14:paraId="42346281">
      <w:pPr>
        <w:rPr>
          <w:rFonts w:hint="eastAsia"/>
          <w:color w:val="auto"/>
          <w:highlight w:val="none"/>
        </w:rPr>
      </w:pPr>
    </w:p>
    <w:p w14:paraId="34E872B4">
      <w:pPr>
        <w:keepNext w:val="0"/>
        <w:keepLines w:val="0"/>
        <w:pageBreakBefore w:val="0"/>
        <w:widowControl w:val="0"/>
        <w:kinsoku/>
        <w:wordWrap/>
        <w:overflowPunct/>
        <w:topLinePunct w:val="0"/>
        <w:autoSpaceDE/>
        <w:autoSpaceDN/>
        <w:bidi w:val="0"/>
        <w:adjustRightInd/>
        <w:snapToGrid/>
        <w:spacing w:line="360" w:lineRule="auto"/>
        <w:ind w:left="0" w:leftChars="0" w:right="0" w:firstLine="482" w:firstLineChars="200"/>
        <w:textAlignment w:val="auto"/>
        <w:outlineLvl w:val="1"/>
        <w:rPr>
          <w:rStyle w:val="155"/>
          <w:rFonts w:hint="eastAsia" w:ascii="宋体" w:hAnsi="宋体" w:eastAsia="宋体" w:cs="宋体"/>
          <w:color w:val="auto"/>
          <w:sz w:val="24"/>
          <w:szCs w:val="24"/>
          <w:highlight w:val="none"/>
          <w:lang w:val="en-US" w:eastAsia="zh-CN"/>
        </w:rPr>
      </w:pPr>
      <w:bookmarkStart w:id="125" w:name="_Toc31800"/>
      <w:r>
        <w:rPr>
          <w:rStyle w:val="155"/>
          <w:rFonts w:hint="eastAsia" w:ascii="宋体" w:hAnsi="宋体" w:eastAsia="宋体" w:cs="宋体"/>
          <w:color w:val="auto"/>
          <w:sz w:val="24"/>
          <w:szCs w:val="24"/>
          <w:highlight w:val="none"/>
          <w:lang w:val="en-US" w:eastAsia="zh-CN"/>
        </w:rPr>
        <w:t>13．投标文件的提交</w:t>
      </w:r>
      <w:bookmarkEnd w:id="125"/>
    </w:p>
    <w:p w14:paraId="5BEEDFBF">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13.1</w:t>
      </w:r>
      <w:r>
        <w:rPr>
          <w:rFonts w:hint="eastAsia" w:ascii="宋体" w:hAnsi="宋体" w:eastAsia="宋体" w:cs="宋体"/>
          <w:snapToGrid w:val="0"/>
          <w:color w:val="auto"/>
          <w:kern w:val="0"/>
          <w:sz w:val="24"/>
          <w:szCs w:val="24"/>
          <w:highlight w:val="none"/>
        </w:rPr>
        <w:t>在投标文件提交截止时间前，投标人通过</w:t>
      </w:r>
      <w:r>
        <w:rPr>
          <w:rFonts w:hint="eastAsia" w:ascii="宋体" w:hAnsi="宋体" w:eastAsia="宋体" w:cs="宋体"/>
          <w:bCs/>
          <w:snapToGrid w:val="0"/>
          <w:color w:val="auto"/>
          <w:sz w:val="24"/>
          <w:szCs w:val="24"/>
          <w:highlight w:val="none"/>
        </w:rPr>
        <w:t>全国公共资源交易平台（广东省·韶关市）</w:t>
      </w:r>
      <w:r>
        <w:rPr>
          <w:rFonts w:hint="eastAsia" w:ascii="宋体" w:hAnsi="宋体" w:eastAsia="宋体" w:cs="宋体"/>
          <w:snapToGrid w:val="0"/>
          <w:color w:val="auto"/>
          <w:kern w:val="0"/>
          <w:sz w:val="24"/>
          <w:szCs w:val="24"/>
          <w:highlight w:val="none"/>
        </w:rPr>
        <w:t>提交已加密投标文件。逾期提交的电子投标文件，</w:t>
      </w:r>
      <w:r>
        <w:rPr>
          <w:rFonts w:hint="eastAsia" w:ascii="宋体" w:hAnsi="宋体" w:eastAsia="宋体" w:cs="宋体"/>
          <w:bCs/>
          <w:snapToGrid w:val="0"/>
          <w:color w:val="auto"/>
          <w:sz w:val="24"/>
          <w:szCs w:val="24"/>
          <w:highlight w:val="none"/>
        </w:rPr>
        <w:t>全国公共资源交易平台（广东省·韶关市）</w:t>
      </w:r>
      <w:r>
        <w:rPr>
          <w:rFonts w:hint="eastAsia" w:ascii="宋体" w:hAnsi="宋体" w:eastAsia="宋体" w:cs="宋体"/>
          <w:snapToGrid w:val="0"/>
          <w:color w:val="auto"/>
          <w:kern w:val="0"/>
          <w:sz w:val="24"/>
          <w:szCs w:val="24"/>
          <w:highlight w:val="none"/>
        </w:rPr>
        <w:t>将予以拒收。</w:t>
      </w:r>
    </w:p>
    <w:p w14:paraId="3A866581">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13.2</w:t>
      </w:r>
      <w:r>
        <w:rPr>
          <w:rFonts w:hint="eastAsia" w:ascii="宋体" w:hAnsi="宋体" w:eastAsia="宋体" w:cs="宋体"/>
          <w:snapToGrid w:val="0"/>
          <w:color w:val="auto"/>
          <w:kern w:val="0"/>
          <w:sz w:val="24"/>
          <w:szCs w:val="24"/>
          <w:highlight w:val="none"/>
        </w:rPr>
        <w:t>提交时间和地点：见本章第二节“重要事项时间地点一览表”</w:t>
      </w:r>
    </w:p>
    <w:p w14:paraId="447F6263">
      <w:pPr>
        <w:pStyle w:val="10"/>
        <w:keepNext w:val="0"/>
        <w:keepLines w:val="0"/>
        <w:pageBreakBefore w:val="0"/>
        <w:widowControl w:val="0"/>
        <w:kinsoku/>
        <w:overflowPunct/>
        <w:topLinePunct w:val="0"/>
        <w:autoSpaceDE/>
        <w:autoSpaceDN/>
        <w:bidi w:val="0"/>
        <w:spacing w:line="360" w:lineRule="auto"/>
        <w:ind w:left="0" w:leftChars="0" w:right="0" w:firstLine="482" w:firstLineChars="200"/>
        <w:rPr>
          <w:rFonts w:hint="eastAsia" w:ascii="宋体" w:hAnsi="宋体" w:eastAsia="宋体" w:cs="宋体"/>
          <w:b/>
          <w:bCs/>
          <w:snapToGrid w:val="0"/>
          <w:color w:val="auto"/>
          <w:sz w:val="24"/>
          <w:szCs w:val="24"/>
          <w:highlight w:val="none"/>
        </w:rPr>
      </w:pPr>
      <w:r>
        <w:rPr>
          <w:rFonts w:hint="eastAsia" w:ascii="宋体" w:hAnsi="宋体" w:eastAsia="宋体" w:cs="宋体"/>
          <w:b/>
          <w:bCs/>
          <w:snapToGrid w:val="0"/>
          <w:color w:val="auto"/>
          <w:sz w:val="24"/>
          <w:szCs w:val="24"/>
          <w:highlight w:val="none"/>
        </w:rPr>
        <w:t xml:space="preserve">13.3 </w:t>
      </w:r>
      <w:r>
        <w:rPr>
          <w:rFonts w:hint="eastAsia" w:ascii="宋体" w:hAnsi="宋体" w:eastAsia="宋体" w:cs="宋体"/>
          <w:snapToGrid w:val="0"/>
          <w:color w:val="auto"/>
          <w:kern w:val="0"/>
          <w:sz w:val="24"/>
          <w:szCs w:val="24"/>
          <w:highlight w:val="none"/>
        </w:rPr>
        <w:t>递交时间和地点：投标人如有招标文件要求提交的用于评审的证书、证件、证明原件（附一式两份清单），由投标人法定代表人或其委托代理人在指定的时间和地点递交（见“重要事项时间地点一览表”）</w:t>
      </w:r>
    </w:p>
    <w:p w14:paraId="3B250463">
      <w:pPr>
        <w:pStyle w:val="10"/>
        <w:keepNext w:val="0"/>
        <w:keepLines w:val="0"/>
        <w:pageBreakBefore w:val="0"/>
        <w:widowControl w:val="0"/>
        <w:kinsoku/>
        <w:overflowPunct/>
        <w:topLinePunct w:val="0"/>
        <w:autoSpaceDE/>
        <w:autoSpaceDN/>
        <w:bidi w:val="0"/>
        <w:spacing w:line="360" w:lineRule="auto"/>
        <w:ind w:left="0" w:leftChars="0" w:right="0" w:firstLine="482" w:firstLineChars="200"/>
        <w:rPr>
          <w:rFonts w:hint="default" w:ascii="宋体" w:hAnsi="宋体" w:eastAsia="宋体" w:cs="宋体"/>
          <w:bCs/>
          <w:snapToGrid w:val="0"/>
          <w:color w:val="auto"/>
          <w:sz w:val="24"/>
          <w:szCs w:val="24"/>
          <w:highlight w:val="none"/>
          <w:lang w:val="en-US" w:eastAsia="zh-CN"/>
        </w:rPr>
      </w:pPr>
      <w:r>
        <w:rPr>
          <w:rFonts w:hint="eastAsia" w:hAnsi="宋体" w:cs="宋体"/>
          <w:b/>
          <w:bCs w:val="0"/>
          <w:snapToGrid w:val="0"/>
          <w:color w:val="auto"/>
          <w:sz w:val="24"/>
          <w:szCs w:val="24"/>
          <w:highlight w:val="none"/>
          <w:lang w:val="en-US" w:eastAsia="zh-CN"/>
        </w:rPr>
        <w:t xml:space="preserve">13.4 </w:t>
      </w:r>
      <w:r>
        <w:rPr>
          <w:rFonts w:hint="eastAsia" w:ascii="宋体" w:hAnsi="宋体" w:eastAsia="宋体" w:cs="宋体"/>
          <w:snapToGrid w:val="0"/>
          <w:color w:val="auto"/>
          <w:kern w:val="0"/>
          <w:sz w:val="24"/>
          <w:szCs w:val="24"/>
          <w:highlight w:val="none"/>
        </w:rPr>
        <w:t>代理机构对因不可抗力事件造成的投标文件的损坏、丢失的，不承担责任。</w:t>
      </w:r>
    </w:p>
    <w:p w14:paraId="0D98FEB5">
      <w:pPr>
        <w:pStyle w:val="10"/>
        <w:keepNext w:val="0"/>
        <w:keepLines w:val="0"/>
        <w:pageBreakBefore w:val="0"/>
        <w:widowControl w:val="0"/>
        <w:kinsoku/>
        <w:overflowPunct/>
        <w:topLinePunct w:val="0"/>
        <w:autoSpaceDE/>
        <w:autoSpaceDN/>
        <w:bidi w:val="0"/>
        <w:spacing w:line="360" w:lineRule="auto"/>
        <w:ind w:left="0" w:leftChars="0" w:right="0" w:firstLine="480" w:firstLineChars="200"/>
        <w:rPr>
          <w:rFonts w:hint="eastAsia" w:ascii="宋体" w:hAnsi="宋体" w:eastAsia="宋体" w:cs="宋体"/>
          <w:strike/>
          <w:dstrike w:val="0"/>
          <w:snapToGrid w:val="0"/>
          <w:color w:val="auto"/>
          <w:kern w:val="0"/>
          <w:sz w:val="24"/>
          <w:szCs w:val="24"/>
          <w:highlight w:val="none"/>
        </w:rPr>
      </w:pPr>
      <w:r>
        <w:rPr>
          <w:rFonts w:hint="eastAsia" w:ascii="宋体" w:hAnsi="宋体" w:eastAsia="宋体" w:cs="宋体"/>
          <w:bCs/>
          <w:snapToGrid w:val="0"/>
          <w:color w:val="auto"/>
          <w:sz w:val="24"/>
          <w:szCs w:val="24"/>
          <w:highlight w:val="none"/>
        </w:rPr>
        <w:t>投标人法定代表人或其委托代理人（以下简称“投标人代表”）应在指定的时间和地点递交投标相关资料（如有）。</w:t>
      </w:r>
    </w:p>
    <w:p w14:paraId="444F38AE">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13.</w:t>
      </w:r>
      <w:r>
        <w:rPr>
          <w:rFonts w:hint="eastAsia" w:hAnsi="宋体" w:cs="宋体"/>
          <w:b/>
          <w:bCs/>
          <w:snapToGrid w:val="0"/>
          <w:color w:val="auto"/>
          <w:kern w:val="0"/>
          <w:sz w:val="24"/>
          <w:szCs w:val="24"/>
          <w:highlight w:val="none"/>
          <w:lang w:val="en-US" w:eastAsia="zh-CN"/>
        </w:rPr>
        <w:t>5</w:t>
      </w:r>
      <w:r>
        <w:rPr>
          <w:rFonts w:hint="eastAsia" w:ascii="宋体" w:hAnsi="宋体" w:eastAsia="宋体" w:cs="宋体"/>
          <w:snapToGrid w:val="0"/>
          <w:color w:val="auto"/>
          <w:kern w:val="0"/>
          <w:sz w:val="24"/>
          <w:szCs w:val="24"/>
          <w:highlight w:val="none"/>
        </w:rPr>
        <w:t>出现下述情形之一，属于未成功提交投标文件，按无效投标处理：</w:t>
      </w:r>
    </w:p>
    <w:p w14:paraId="102CFAE0">
      <w:pPr>
        <w:keepNext w:val="0"/>
        <w:keepLines w:val="0"/>
        <w:pageBreakBefore w:val="0"/>
        <w:widowControl w:val="0"/>
        <w:numPr>
          <w:ilvl w:val="0"/>
          <w:numId w:val="0"/>
        </w:numPr>
        <w:kinsoku/>
        <w:overflowPunct/>
        <w:topLinePunct w:val="0"/>
        <w:autoSpaceDE/>
        <w:autoSpaceDN/>
        <w:bidi w:val="0"/>
        <w:spacing w:line="360"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SA"/>
        </w:rPr>
        <w:t>（1）</w:t>
      </w:r>
      <w:r>
        <w:rPr>
          <w:rFonts w:hint="eastAsia" w:ascii="宋体" w:hAnsi="宋体" w:eastAsia="宋体" w:cs="宋体"/>
          <w:snapToGrid w:val="0"/>
          <w:color w:val="auto"/>
          <w:kern w:val="0"/>
          <w:sz w:val="24"/>
          <w:szCs w:val="24"/>
          <w:highlight w:val="none"/>
        </w:rPr>
        <w:t>至提交投标文件截止时，投标文件未完整上传及提交标书；</w:t>
      </w:r>
    </w:p>
    <w:p w14:paraId="1F4ECA62">
      <w:pPr>
        <w:keepNext w:val="0"/>
        <w:keepLines w:val="0"/>
        <w:pageBreakBefore w:val="0"/>
        <w:widowControl w:val="0"/>
        <w:numPr>
          <w:ilvl w:val="0"/>
          <w:numId w:val="0"/>
        </w:numPr>
        <w:kinsoku/>
        <w:overflowPunct/>
        <w:topLinePunct w:val="0"/>
        <w:autoSpaceDE/>
        <w:autoSpaceDN/>
        <w:bidi w:val="0"/>
        <w:spacing w:line="360"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SA"/>
        </w:rPr>
        <w:t>（</w:t>
      </w:r>
      <w:r>
        <w:rPr>
          <w:rFonts w:hint="eastAsia" w:hAnsi="宋体" w:cs="宋体"/>
          <w:snapToGrid w:val="0"/>
          <w:color w:val="auto"/>
          <w:kern w:val="0"/>
          <w:sz w:val="24"/>
          <w:szCs w:val="24"/>
          <w:highlight w:val="none"/>
          <w:lang w:val="en-US" w:eastAsia="zh-CN" w:bidi="ar-SA"/>
        </w:rPr>
        <w:t>2</w:t>
      </w:r>
      <w:r>
        <w:rPr>
          <w:rFonts w:hint="eastAsia" w:ascii="宋体" w:hAnsi="宋体" w:eastAsia="宋体" w:cs="宋体"/>
          <w:snapToGrid w:val="0"/>
          <w:color w:val="auto"/>
          <w:kern w:val="0"/>
          <w:sz w:val="24"/>
          <w:szCs w:val="24"/>
          <w:highlight w:val="none"/>
          <w:lang w:val="en-US" w:eastAsia="zh-CN" w:bidi="ar-SA"/>
        </w:rPr>
        <w:t>）</w:t>
      </w:r>
      <w:r>
        <w:rPr>
          <w:rFonts w:hint="eastAsia" w:ascii="宋体" w:hAnsi="宋体" w:eastAsia="宋体" w:cs="宋体"/>
          <w:snapToGrid w:val="0"/>
          <w:color w:val="auto"/>
          <w:kern w:val="0"/>
          <w:sz w:val="24"/>
          <w:szCs w:val="24"/>
          <w:highlight w:val="none"/>
        </w:rPr>
        <w:t>解密失败且在规定时间内未重新提交投标文件的</w:t>
      </w:r>
      <w:r>
        <w:rPr>
          <w:rFonts w:hint="eastAsia" w:ascii="宋体" w:hAnsi="宋体" w:eastAsia="宋体" w:cs="宋体"/>
          <w:snapToGrid w:val="0"/>
          <w:color w:val="auto"/>
          <w:kern w:val="0"/>
          <w:sz w:val="24"/>
          <w:szCs w:val="24"/>
          <w:highlight w:val="none"/>
          <w:lang w:eastAsia="zh-CN"/>
        </w:rPr>
        <w:t>；</w:t>
      </w:r>
    </w:p>
    <w:p w14:paraId="4B336C96">
      <w:pPr>
        <w:keepNext w:val="0"/>
        <w:keepLines w:val="0"/>
        <w:pageBreakBefore w:val="0"/>
        <w:widowControl w:val="0"/>
        <w:numPr>
          <w:ilvl w:val="0"/>
          <w:numId w:val="0"/>
        </w:numPr>
        <w:kinsoku/>
        <w:overflowPunct/>
        <w:topLinePunct w:val="0"/>
        <w:autoSpaceDE/>
        <w:autoSpaceDN/>
        <w:bidi w:val="0"/>
        <w:spacing w:line="360"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SA"/>
        </w:rPr>
        <w:t>（</w:t>
      </w:r>
      <w:r>
        <w:rPr>
          <w:rFonts w:hint="eastAsia" w:hAnsi="宋体" w:cs="宋体"/>
          <w:snapToGrid w:val="0"/>
          <w:color w:val="auto"/>
          <w:kern w:val="0"/>
          <w:sz w:val="24"/>
          <w:szCs w:val="24"/>
          <w:highlight w:val="none"/>
          <w:lang w:val="en-US" w:eastAsia="zh-CN" w:bidi="ar-SA"/>
        </w:rPr>
        <w:t>3</w:t>
      </w:r>
      <w:r>
        <w:rPr>
          <w:rFonts w:hint="eastAsia" w:ascii="宋体" w:hAnsi="宋体" w:eastAsia="宋体" w:cs="宋体"/>
          <w:snapToGrid w:val="0"/>
          <w:color w:val="auto"/>
          <w:kern w:val="0"/>
          <w:sz w:val="24"/>
          <w:szCs w:val="24"/>
          <w:highlight w:val="none"/>
          <w:lang w:val="en-US" w:eastAsia="zh-CN" w:bidi="ar-SA"/>
        </w:rPr>
        <w:t>）</w:t>
      </w:r>
      <w:r>
        <w:rPr>
          <w:rFonts w:hint="eastAsia" w:ascii="宋体" w:hAnsi="宋体" w:eastAsia="宋体" w:cs="宋体"/>
          <w:snapToGrid w:val="0"/>
          <w:color w:val="auto"/>
          <w:kern w:val="0"/>
          <w:sz w:val="24"/>
          <w:szCs w:val="24"/>
          <w:highlight w:val="none"/>
        </w:rPr>
        <w:t>投标文件损坏或格式不正确的；</w:t>
      </w:r>
    </w:p>
    <w:p w14:paraId="56ACA964">
      <w:pPr>
        <w:keepNext w:val="0"/>
        <w:keepLines w:val="0"/>
        <w:pageBreakBefore w:val="0"/>
        <w:widowControl w:val="0"/>
        <w:numPr>
          <w:ilvl w:val="0"/>
          <w:numId w:val="0"/>
        </w:numPr>
        <w:kinsoku/>
        <w:overflowPunct/>
        <w:topLinePunct w:val="0"/>
        <w:autoSpaceDE/>
        <w:autoSpaceDN/>
        <w:bidi w:val="0"/>
        <w:spacing w:line="360" w:lineRule="auto"/>
        <w:ind w:left="0" w:leftChars="0" w:right="0" w:firstLine="482" w:firstLineChars="200"/>
        <w:textAlignment w:val="auto"/>
        <w:rPr>
          <w:rFonts w:hint="default" w:ascii="宋体" w:hAnsi="宋体" w:eastAsia="宋体" w:cs="宋体"/>
          <w:snapToGrid w:val="0"/>
          <w:color w:val="auto"/>
          <w:kern w:val="0"/>
          <w:sz w:val="24"/>
          <w:szCs w:val="24"/>
          <w:highlight w:val="none"/>
          <w:lang w:val="en-US" w:eastAsia="zh-CN"/>
        </w:rPr>
      </w:pPr>
      <w:r>
        <w:rPr>
          <w:rFonts w:hint="eastAsia" w:hAnsi="宋体" w:cs="宋体"/>
          <w:b/>
          <w:bCs/>
          <w:snapToGrid w:val="0"/>
          <w:color w:val="auto"/>
          <w:kern w:val="0"/>
          <w:sz w:val="24"/>
          <w:szCs w:val="24"/>
          <w:highlight w:val="none"/>
          <w:lang w:val="en-US" w:eastAsia="zh-CN"/>
        </w:rPr>
        <w:t>13.6</w:t>
      </w:r>
      <w:r>
        <w:rPr>
          <w:rFonts w:hint="eastAsia" w:hAnsi="宋体" w:cs="宋体"/>
          <w:snapToGrid w:val="0"/>
          <w:color w:val="auto"/>
          <w:kern w:val="0"/>
          <w:sz w:val="24"/>
          <w:szCs w:val="24"/>
          <w:highlight w:val="none"/>
          <w:lang w:val="en-US" w:eastAsia="zh-CN"/>
        </w:rPr>
        <w:t xml:space="preserve"> 联合体投标的，由联合体牵头人按以上要求递交相关资料。</w:t>
      </w:r>
    </w:p>
    <w:p w14:paraId="5BA01358">
      <w:pPr>
        <w:keepNext w:val="0"/>
        <w:keepLines w:val="0"/>
        <w:pageBreakBefore w:val="0"/>
        <w:widowControl w:val="0"/>
        <w:kinsoku/>
        <w:overflowPunct/>
        <w:topLinePunct w:val="0"/>
        <w:autoSpaceDE/>
        <w:autoSpaceDN/>
        <w:bidi w:val="0"/>
        <w:spacing w:line="360" w:lineRule="auto"/>
        <w:ind w:left="0" w:leftChars="0" w:right="0"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13.</w:t>
      </w:r>
      <w:r>
        <w:rPr>
          <w:rFonts w:hint="eastAsia" w:hAnsi="宋体" w:cs="宋体"/>
          <w:b/>
          <w:bCs/>
          <w:color w:val="auto"/>
          <w:sz w:val="24"/>
          <w:szCs w:val="24"/>
          <w:highlight w:val="none"/>
          <w:lang w:val="en-US" w:eastAsia="zh-CN"/>
        </w:rPr>
        <w:t>7</w:t>
      </w:r>
      <w:r>
        <w:rPr>
          <w:rFonts w:hint="eastAsia" w:ascii="宋体" w:hAnsi="宋体" w:eastAsia="宋体" w:cs="宋体"/>
          <w:color w:val="auto"/>
          <w:sz w:val="24"/>
          <w:szCs w:val="24"/>
          <w:highlight w:val="none"/>
        </w:rPr>
        <w:t>招标人或其授权的招标代理机构核对、接收投标人递交的投标相关资料后，应向投标人出具标明签收人和签收时间的凭证，并妥善保管。</w:t>
      </w:r>
    </w:p>
    <w:p w14:paraId="68A4EE6B">
      <w:pPr>
        <w:pageBreakBefore w:val="0"/>
        <w:kinsoku/>
        <w:overflowPunct/>
        <w:topLinePunct w:val="0"/>
        <w:autoSpaceDE/>
        <w:autoSpaceDN/>
        <w:bidi w:val="0"/>
        <w:spacing w:line="360" w:lineRule="auto"/>
        <w:ind w:left="0" w:leftChars="0" w:right="0" w:firstLine="482" w:firstLineChars="200"/>
        <w:rPr>
          <w:rFonts w:hint="eastAsia"/>
          <w:color w:val="auto"/>
          <w:highlight w:val="none"/>
        </w:rPr>
      </w:pPr>
      <w:r>
        <w:rPr>
          <w:rFonts w:hint="eastAsia" w:ascii="宋体" w:hAnsi="宋体" w:eastAsia="宋体" w:cs="宋体"/>
          <w:b/>
          <w:bCs/>
          <w:color w:val="auto"/>
          <w:sz w:val="24"/>
          <w:szCs w:val="24"/>
          <w:highlight w:val="none"/>
        </w:rPr>
        <w:t>13.</w:t>
      </w:r>
      <w:r>
        <w:rPr>
          <w:rFonts w:hint="eastAsia" w:hAnsi="宋体" w:cs="宋体"/>
          <w:b/>
          <w:bCs/>
          <w:color w:val="auto"/>
          <w:sz w:val="24"/>
          <w:szCs w:val="24"/>
          <w:highlight w:val="none"/>
          <w:lang w:val="en-US" w:eastAsia="zh-CN"/>
        </w:rPr>
        <w:t>8</w:t>
      </w:r>
      <w:r>
        <w:rPr>
          <w:rFonts w:hint="eastAsia" w:ascii="宋体" w:hAnsi="宋体" w:eastAsia="宋体" w:cs="宋体"/>
          <w:color w:val="auto"/>
          <w:sz w:val="24"/>
          <w:szCs w:val="24"/>
          <w:highlight w:val="none"/>
        </w:rPr>
        <w:t>本次招标投标有效期为</w:t>
      </w:r>
      <w:r>
        <w:rPr>
          <w:rFonts w:hint="eastAsia" w:ascii="宋体" w:hAnsi="宋体" w:eastAsia="宋体" w:cs="宋体"/>
          <w:color w:val="auto"/>
          <w:sz w:val="24"/>
          <w:szCs w:val="24"/>
          <w:highlight w:val="none"/>
          <w:lang w:val="en-US" w:eastAsia="zh-CN"/>
        </w:rPr>
        <w:t>90</w:t>
      </w:r>
      <w:r>
        <w:rPr>
          <w:rFonts w:hint="eastAsia" w:ascii="宋体" w:hAnsi="宋体" w:eastAsia="宋体" w:cs="宋体"/>
          <w:color w:val="auto"/>
          <w:sz w:val="24"/>
          <w:szCs w:val="24"/>
          <w:highlight w:val="none"/>
        </w:rPr>
        <w:t>个日历天，投标有效期从提交投标文件的截止之日起计算。在此期间，投标人不得撤销或修改其投标文件，否则其投标保证不予退还。</w:t>
      </w:r>
    </w:p>
    <w:p w14:paraId="1F956CB3">
      <w:pPr>
        <w:keepNext w:val="0"/>
        <w:keepLines w:val="0"/>
        <w:pageBreakBefore w:val="0"/>
        <w:widowControl w:val="0"/>
        <w:kinsoku/>
        <w:wordWrap/>
        <w:overflowPunct/>
        <w:topLinePunct w:val="0"/>
        <w:autoSpaceDE/>
        <w:autoSpaceDN/>
        <w:bidi w:val="0"/>
        <w:adjustRightInd/>
        <w:snapToGrid/>
        <w:spacing w:line="360" w:lineRule="auto"/>
        <w:ind w:left="0" w:leftChars="0" w:right="0" w:firstLine="482" w:firstLineChars="200"/>
        <w:textAlignment w:val="auto"/>
        <w:outlineLvl w:val="1"/>
        <w:rPr>
          <w:rStyle w:val="155"/>
          <w:rFonts w:hint="eastAsia" w:ascii="宋体" w:hAnsi="宋体" w:eastAsia="宋体" w:cs="宋体"/>
          <w:color w:val="auto"/>
          <w:sz w:val="24"/>
          <w:szCs w:val="24"/>
          <w:highlight w:val="none"/>
          <w:lang w:val="en-US" w:eastAsia="zh-CN"/>
        </w:rPr>
      </w:pPr>
      <w:bookmarkStart w:id="126" w:name="_Toc358"/>
      <w:r>
        <w:rPr>
          <w:rStyle w:val="155"/>
          <w:rFonts w:hint="eastAsia" w:ascii="宋体" w:hAnsi="宋体" w:eastAsia="宋体" w:cs="宋体"/>
          <w:color w:val="auto"/>
          <w:sz w:val="24"/>
          <w:szCs w:val="24"/>
          <w:highlight w:val="none"/>
          <w:lang w:val="en-US" w:eastAsia="zh-CN"/>
        </w:rPr>
        <w:t>14．开标</w:t>
      </w:r>
      <w:bookmarkEnd w:id="126"/>
    </w:p>
    <w:p w14:paraId="29C3732F">
      <w:pPr>
        <w:pStyle w:val="137"/>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14.1</w:t>
      </w:r>
      <w:r>
        <w:rPr>
          <w:rFonts w:hint="eastAsia" w:ascii="宋体" w:hAnsi="宋体" w:eastAsia="宋体" w:cs="宋体"/>
          <w:snapToGrid w:val="0"/>
          <w:color w:val="auto"/>
          <w:kern w:val="0"/>
          <w:sz w:val="24"/>
          <w:szCs w:val="24"/>
          <w:highlight w:val="none"/>
        </w:rPr>
        <w:t xml:space="preserve"> 招标人邀请所有正确获取招标文件、电子投标、缴纳投标保证的投标人参加开标，投标人可自主决定是否参加。投标人可登陆交易平台观看开标实况、提出异议或进行澄清、确认等操作（具体按招标文件和系统操作手册为准）。投标人不参加开标的，视其默认开标结果，以及放弃在开标期间见证、监督、投诉、申辩的权利。</w:t>
      </w:r>
    </w:p>
    <w:p w14:paraId="74FDBAFD">
      <w:pPr>
        <w:pStyle w:val="137"/>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14.1.1</w:t>
      </w:r>
      <w:r>
        <w:rPr>
          <w:rFonts w:hint="eastAsia" w:ascii="宋体" w:hAnsi="宋体" w:eastAsia="宋体" w:cs="宋体"/>
          <w:snapToGrid w:val="0"/>
          <w:color w:val="auto"/>
          <w:kern w:val="0"/>
          <w:sz w:val="24"/>
          <w:szCs w:val="24"/>
          <w:highlight w:val="none"/>
        </w:rPr>
        <w:t xml:space="preserve"> 开标时间和地点：见本章第二节“重要事项时间地点一览表”。</w:t>
      </w:r>
    </w:p>
    <w:p w14:paraId="7AB82DEA">
      <w:pPr>
        <w:pStyle w:val="137"/>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14.1.2</w:t>
      </w:r>
      <w:r>
        <w:rPr>
          <w:rFonts w:hint="eastAsia" w:ascii="宋体" w:hAnsi="宋体" w:eastAsia="宋体" w:cs="宋体"/>
          <w:snapToGrid w:val="0"/>
          <w:color w:val="auto"/>
          <w:kern w:val="0"/>
          <w:sz w:val="24"/>
          <w:szCs w:val="24"/>
          <w:highlight w:val="none"/>
        </w:rPr>
        <w:t xml:space="preserve"> 开标前24小时，若建设工程交易系统显示缴纳投标保证（包括投标保证金、投标保证担保、投标保证保险）的投标人数量不足3个时，招标人将取消原定于次日召开的开标活动。投标人可在投标保证缴纳截止时间（见本章第二节“重要事项时间地点一览表”）至电子投标截止时间（见本章第二节“重要事项时间地点一览表”）期间登录</w:t>
      </w:r>
      <w:r>
        <w:rPr>
          <w:rFonts w:hint="eastAsia" w:ascii="宋体" w:hAnsi="宋体" w:eastAsia="宋体" w:cs="宋体"/>
          <w:snapToGrid w:val="0"/>
          <w:color w:val="auto"/>
          <w:kern w:val="0"/>
          <w:sz w:val="24"/>
          <w:szCs w:val="24"/>
          <w:highlight w:val="none"/>
          <w:lang w:eastAsia="zh-CN"/>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查询是否发布了取消开标活动的相关信息。</w:t>
      </w:r>
    </w:p>
    <w:p w14:paraId="5FC547AC">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14.1.3</w:t>
      </w:r>
      <w:r>
        <w:rPr>
          <w:rFonts w:hint="eastAsia" w:ascii="宋体" w:hAnsi="宋体" w:eastAsia="宋体" w:cs="宋体"/>
          <w:snapToGrid w:val="0"/>
          <w:color w:val="auto"/>
          <w:kern w:val="0"/>
          <w:sz w:val="24"/>
          <w:szCs w:val="24"/>
          <w:highlight w:val="none"/>
        </w:rPr>
        <w:t>本项目实行全流程电子化招标投标，投标人在交易平台按要求上传加盖电子印章并经加密的电子投标文件，并在交易平台录入准确的页码信息即可完成在线投标。由于投标人原因导致未按投标截至时限上传完整投标文件、在交易平台中上传的投标文件无法解密、投标文件损坏或格式不正确、投标文件未按招标文件要求加盖电子印章或电子印章不完整、电子投标文件解密失败且未按要求上传备用投标文件等情形导致投标无效的，由投标人自行负责。</w:t>
      </w:r>
    </w:p>
    <w:p w14:paraId="18105194">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14.2</w:t>
      </w:r>
      <w:r>
        <w:rPr>
          <w:rFonts w:hint="eastAsia" w:ascii="宋体" w:hAnsi="宋体" w:eastAsia="宋体" w:cs="宋体"/>
          <w:snapToGrid w:val="0"/>
          <w:color w:val="auto"/>
          <w:kern w:val="0"/>
          <w:sz w:val="24"/>
          <w:szCs w:val="24"/>
          <w:highlight w:val="none"/>
        </w:rPr>
        <w:t xml:space="preserve"> 开标程序</w:t>
      </w:r>
      <w:bookmarkStart w:id="127" w:name="_Toc1282"/>
      <w:bookmarkStart w:id="128" w:name="_Toc7418"/>
    </w:p>
    <w:p w14:paraId="19BC4552">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（1）主持人（招标人代表或招标人授权的招标代理机构人员）宣读开标纪律。</w:t>
      </w:r>
      <w:bookmarkEnd w:id="127"/>
      <w:bookmarkEnd w:id="128"/>
      <w:bookmarkStart w:id="129" w:name="_Toc30474"/>
      <w:bookmarkStart w:id="130" w:name="_Toc4807"/>
    </w:p>
    <w:p w14:paraId="1C5847E5">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（2）主持人宣布唱标人、记录人、见证人、监督人等有关人员姓名。</w:t>
      </w:r>
      <w:bookmarkEnd w:id="129"/>
      <w:bookmarkEnd w:id="130"/>
      <w:bookmarkStart w:id="131" w:name="_Toc3180"/>
      <w:bookmarkStart w:id="132" w:name="_Toc28242"/>
    </w:p>
    <w:p w14:paraId="1EA7D9B0">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（3）唱标人公布在投标截止时间前进行投标文件的投标人数量和名称</w:t>
      </w:r>
      <w:bookmarkEnd w:id="131"/>
      <w:bookmarkEnd w:id="132"/>
      <w:bookmarkStart w:id="133" w:name="_Toc29778"/>
      <w:bookmarkStart w:id="134" w:name="_Toc10498"/>
      <w:r>
        <w:rPr>
          <w:rFonts w:hint="eastAsia" w:ascii="宋体" w:hAnsi="宋体" w:eastAsia="宋体" w:cs="宋体"/>
          <w:snapToGrid w:val="0"/>
          <w:color w:val="auto"/>
          <w:kern w:val="0"/>
          <w:sz w:val="24"/>
          <w:szCs w:val="24"/>
          <w:highlight w:val="none"/>
          <w:lang w:eastAsia="zh-CN"/>
        </w:rPr>
        <w:t>。</w:t>
      </w:r>
    </w:p>
    <w:p w14:paraId="61B11B3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
          <w:bCs/>
          <w:color w:val="auto"/>
          <w:sz w:val="24"/>
          <w:szCs w:val="24"/>
          <w:highlight w:val="none"/>
        </w:rPr>
      </w:pPr>
      <w:r>
        <w:rPr>
          <w:rFonts w:hint="eastAsia" w:ascii="宋体" w:hAnsi="宋体" w:eastAsia="宋体" w:cs="宋体"/>
          <w:snapToGrid w:val="0"/>
          <w:color w:val="auto"/>
          <w:kern w:val="0"/>
          <w:sz w:val="24"/>
          <w:szCs w:val="24"/>
          <w:highlight w:val="none"/>
        </w:rPr>
        <w:t>（4）招标代理机构</w:t>
      </w:r>
      <w:r>
        <w:rPr>
          <w:rFonts w:hint="eastAsia" w:hAnsi="宋体" w:cs="宋体"/>
          <w:snapToGrid w:val="0"/>
          <w:color w:val="auto"/>
          <w:kern w:val="0"/>
          <w:sz w:val="24"/>
          <w:szCs w:val="24"/>
          <w:highlight w:val="none"/>
          <w:lang w:val="en-US" w:eastAsia="zh-CN"/>
        </w:rPr>
        <w:t>在</w:t>
      </w:r>
      <w:r>
        <w:rPr>
          <w:rFonts w:hint="eastAsia" w:ascii="宋体" w:hAnsi="宋体" w:eastAsia="宋体" w:cs="宋体"/>
          <w:snapToGrid w:val="0"/>
          <w:color w:val="auto"/>
          <w:kern w:val="0"/>
          <w:sz w:val="24"/>
          <w:szCs w:val="24"/>
          <w:highlight w:val="none"/>
        </w:rPr>
        <w:t>交易场所工作人员</w:t>
      </w:r>
      <w:r>
        <w:rPr>
          <w:rFonts w:hint="eastAsia" w:hAnsi="宋体" w:cs="宋体"/>
          <w:snapToGrid w:val="0"/>
          <w:color w:val="auto"/>
          <w:kern w:val="0"/>
          <w:sz w:val="24"/>
          <w:szCs w:val="24"/>
          <w:highlight w:val="none"/>
          <w:lang w:val="en-US" w:eastAsia="zh-CN"/>
        </w:rPr>
        <w:t>见证下</w:t>
      </w:r>
      <w:r>
        <w:rPr>
          <w:rFonts w:hint="eastAsia" w:ascii="宋体" w:hAnsi="宋体" w:eastAsia="宋体" w:cs="宋体"/>
          <w:snapToGrid w:val="0"/>
          <w:color w:val="auto"/>
          <w:kern w:val="0"/>
          <w:sz w:val="24"/>
          <w:szCs w:val="24"/>
          <w:highlight w:val="none"/>
        </w:rPr>
        <w:t>对投标人的电子投标信息进行解密，建设工程交易系统自动生成《投标保证缴纳情况表》和《开标一览表》。</w:t>
      </w:r>
      <w:bookmarkEnd w:id="133"/>
      <w:bookmarkEnd w:id="134"/>
    </w:p>
    <w:p w14:paraId="174B74FB">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b/>
          <w:bCs/>
          <w:color w:val="auto"/>
          <w:sz w:val="24"/>
          <w:szCs w:val="24"/>
          <w:highlight w:val="none"/>
        </w:rPr>
        <w:t>温馨提示：因本项目实行全流程电子化招标投标，投标人无须进行现场签到，可登录交易平台观看开标实况、提出异议或进行澄清、确认等操作，对开标事项的异议未在开标期间提出的，招标人不予受理。具体按招标文件和系统操作手册为准。</w:t>
      </w:r>
    </w:p>
    <w:p w14:paraId="508A6E42">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14.3</w:t>
      </w:r>
      <w:r>
        <w:rPr>
          <w:rFonts w:hint="eastAsia" w:ascii="宋体" w:hAnsi="宋体" w:eastAsia="宋体" w:cs="宋体"/>
          <w:snapToGrid w:val="0"/>
          <w:color w:val="auto"/>
          <w:kern w:val="0"/>
          <w:sz w:val="24"/>
          <w:szCs w:val="24"/>
          <w:highlight w:val="none"/>
        </w:rPr>
        <w:t xml:space="preserve"> 投标人对开标相关事项（如开标程序等）有异议的，必须在开标期间和开标现场提出，招标人或其授权的招标代理机构应当场作出答复，并记录在案。对开标事项的异议未在开标期间和开标现场提出的，招标人不予受理。</w:t>
      </w:r>
    </w:p>
    <w:p w14:paraId="2959DE12">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14.</w:t>
      </w:r>
      <w:bookmarkStart w:id="135" w:name="_Hlt127093805"/>
      <w:bookmarkEnd w:id="135"/>
      <w:r>
        <w:rPr>
          <w:rFonts w:hint="eastAsia" w:ascii="宋体" w:hAnsi="宋体" w:eastAsia="宋体" w:cs="宋体"/>
          <w:b/>
          <w:bCs/>
          <w:snapToGrid w:val="0"/>
          <w:color w:val="auto"/>
          <w:kern w:val="0"/>
          <w:sz w:val="24"/>
          <w:szCs w:val="24"/>
          <w:highlight w:val="none"/>
          <w:lang w:val="en-US" w:eastAsia="zh-CN"/>
        </w:rPr>
        <w:t>4</w:t>
      </w:r>
      <w:r>
        <w:rPr>
          <w:rFonts w:hint="eastAsia" w:ascii="宋体" w:hAnsi="宋体" w:eastAsia="宋体" w:cs="宋体"/>
          <w:snapToGrid w:val="0"/>
          <w:color w:val="auto"/>
          <w:kern w:val="0"/>
          <w:sz w:val="24"/>
          <w:szCs w:val="24"/>
          <w:highlight w:val="none"/>
        </w:rPr>
        <w:t>招标代理机构将资料原件</w:t>
      </w:r>
      <w:r>
        <w:rPr>
          <w:rFonts w:hint="eastAsia" w:ascii="宋体" w:hAnsi="宋体" w:eastAsia="宋体" w:cs="宋体"/>
          <w:snapToGrid w:val="0"/>
          <w:color w:val="auto"/>
          <w:kern w:val="0"/>
          <w:sz w:val="24"/>
          <w:szCs w:val="24"/>
          <w:highlight w:val="none"/>
          <w:lang w:eastAsia="zh-CN"/>
        </w:rPr>
        <w:t>（如有）</w:t>
      </w:r>
      <w:r>
        <w:rPr>
          <w:rFonts w:hint="eastAsia" w:ascii="宋体" w:hAnsi="宋体" w:eastAsia="宋体" w:cs="宋体"/>
          <w:snapToGrid w:val="0"/>
          <w:color w:val="auto"/>
          <w:kern w:val="0"/>
          <w:sz w:val="24"/>
          <w:szCs w:val="24"/>
          <w:highlight w:val="none"/>
        </w:rPr>
        <w:t>、《开标一览表》以及其他有关资料移交评标委员会。</w:t>
      </w:r>
    </w:p>
    <w:p w14:paraId="368AF657">
      <w:pPr>
        <w:keepNext w:val="0"/>
        <w:keepLines w:val="0"/>
        <w:pageBreakBefore w:val="0"/>
        <w:widowControl w:val="0"/>
        <w:kinsoku/>
        <w:wordWrap/>
        <w:overflowPunct/>
        <w:topLinePunct w:val="0"/>
        <w:autoSpaceDE/>
        <w:autoSpaceDN/>
        <w:bidi w:val="0"/>
        <w:adjustRightInd/>
        <w:snapToGrid/>
        <w:spacing w:line="360" w:lineRule="auto"/>
        <w:ind w:right="0" w:firstLine="482" w:firstLineChars="200"/>
        <w:textAlignment w:val="auto"/>
        <w:outlineLvl w:val="1"/>
        <w:rPr>
          <w:rStyle w:val="155"/>
          <w:rFonts w:hint="eastAsia" w:ascii="宋体" w:hAnsi="宋体" w:eastAsia="宋体" w:cs="宋体"/>
          <w:color w:val="auto"/>
          <w:sz w:val="24"/>
          <w:szCs w:val="24"/>
          <w:highlight w:val="none"/>
          <w:lang w:val="en-US" w:eastAsia="zh-CN"/>
        </w:rPr>
      </w:pPr>
      <w:bookmarkStart w:id="136" w:name="_Toc28090"/>
      <w:r>
        <w:rPr>
          <w:rStyle w:val="155"/>
          <w:rFonts w:hint="eastAsia" w:ascii="宋体" w:hAnsi="宋体" w:eastAsia="宋体" w:cs="宋体"/>
          <w:color w:val="auto"/>
          <w:sz w:val="24"/>
          <w:szCs w:val="24"/>
          <w:highlight w:val="none"/>
          <w:lang w:val="en-US" w:eastAsia="zh-CN"/>
        </w:rPr>
        <w:t>15．评标</w:t>
      </w:r>
      <w:bookmarkEnd w:id="136"/>
    </w:p>
    <w:p w14:paraId="7D30E67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评标分为初步评审和详细评审两个阶段，由评标委员会在有关部门的监督下，严格按照本招标文件指定的评标方法，对投标人的投标文件进行审查、评审。评标委员会完成评标后，向招标人推荐</w:t>
      </w:r>
      <w:r>
        <w:rPr>
          <w:rFonts w:hint="eastAsia" w:ascii="宋体" w:hAnsi="宋体" w:eastAsia="宋体" w:cs="宋体"/>
          <w:snapToGrid w:val="0"/>
          <w:color w:val="auto"/>
          <w:kern w:val="0"/>
          <w:sz w:val="24"/>
          <w:szCs w:val="24"/>
          <w:highlight w:val="none"/>
          <w:u w:val="single"/>
        </w:rPr>
        <w:t xml:space="preserve"> 3 </w:t>
      </w:r>
      <w:r>
        <w:rPr>
          <w:rFonts w:hint="eastAsia" w:ascii="宋体" w:hAnsi="宋体" w:eastAsia="宋体" w:cs="宋体"/>
          <w:snapToGrid w:val="0"/>
          <w:color w:val="auto"/>
          <w:kern w:val="0"/>
          <w:sz w:val="24"/>
          <w:szCs w:val="24"/>
          <w:highlight w:val="none"/>
        </w:rPr>
        <w:t>个中标候选人，并向招标人提交由全体评标委员会成员签字的评标报告。</w:t>
      </w:r>
    </w:p>
    <w:p w14:paraId="78DD9487">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15.1</w:t>
      </w:r>
      <w:r>
        <w:rPr>
          <w:rFonts w:hint="eastAsia" w:ascii="宋体" w:hAnsi="宋体" w:eastAsia="宋体" w:cs="宋体"/>
          <w:bCs/>
          <w:snapToGrid w:val="0"/>
          <w:color w:val="auto"/>
          <w:kern w:val="0"/>
          <w:sz w:val="24"/>
          <w:szCs w:val="24"/>
          <w:highlight w:val="none"/>
        </w:rPr>
        <w:t xml:space="preserve"> 评标委员会</w:t>
      </w:r>
    </w:p>
    <w:p w14:paraId="6149B2D5">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15.1.1</w:t>
      </w:r>
      <w:r>
        <w:rPr>
          <w:rFonts w:hint="eastAsia" w:ascii="宋体" w:hAnsi="宋体" w:eastAsia="宋体" w:cs="宋体"/>
          <w:snapToGrid w:val="0"/>
          <w:color w:val="auto"/>
          <w:kern w:val="0"/>
          <w:sz w:val="24"/>
          <w:szCs w:val="24"/>
          <w:highlight w:val="none"/>
        </w:rPr>
        <w:t xml:space="preserve"> 评标委员会由</w:t>
      </w:r>
      <w:r>
        <w:rPr>
          <w:rFonts w:hint="eastAsia" w:ascii="宋体" w:hAnsi="宋体" w:eastAsia="宋体" w:cs="宋体"/>
          <w:snapToGrid w:val="0"/>
          <w:color w:val="auto"/>
          <w:kern w:val="0"/>
          <w:sz w:val="24"/>
          <w:szCs w:val="24"/>
          <w:highlight w:val="none"/>
          <w:u w:val="single"/>
        </w:rPr>
        <w:t>5</w:t>
      </w:r>
      <w:r>
        <w:rPr>
          <w:rFonts w:hint="eastAsia" w:ascii="宋体" w:hAnsi="宋体" w:eastAsia="宋体" w:cs="宋体"/>
          <w:snapToGrid w:val="0"/>
          <w:color w:val="auto"/>
          <w:kern w:val="0"/>
          <w:sz w:val="24"/>
          <w:szCs w:val="24"/>
          <w:highlight w:val="none"/>
        </w:rPr>
        <w:t>人组成，其中招标人代表</w:t>
      </w:r>
      <w:r>
        <w:rPr>
          <w:rFonts w:hint="eastAsia" w:ascii="宋体" w:hAnsi="宋体" w:eastAsia="宋体" w:cs="宋体"/>
          <w:snapToGrid w:val="0"/>
          <w:color w:val="auto"/>
          <w:kern w:val="0"/>
          <w:sz w:val="24"/>
          <w:szCs w:val="24"/>
          <w:highlight w:val="none"/>
          <w:u w:val="single"/>
        </w:rPr>
        <w:t>0</w:t>
      </w:r>
      <w:r>
        <w:rPr>
          <w:rFonts w:hint="eastAsia" w:ascii="宋体" w:hAnsi="宋体" w:eastAsia="宋体" w:cs="宋体"/>
          <w:snapToGrid w:val="0"/>
          <w:color w:val="auto"/>
          <w:kern w:val="0"/>
          <w:sz w:val="24"/>
          <w:szCs w:val="24"/>
          <w:highlight w:val="none"/>
        </w:rPr>
        <w:t>人，专家</w:t>
      </w:r>
      <w:r>
        <w:rPr>
          <w:rFonts w:hint="eastAsia" w:ascii="宋体" w:hAnsi="宋体" w:eastAsia="宋体" w:cs="宋体"/>
          <w:snapToGrid w:val="0"/>
          <w:color w:val="auto"/>
          <w:kern w:val="0"/>
          <w:sz w:val="24"/>
          <w:szCs w:val="24"/>
          <w:highlight w:val="none"/>
          <w:u w:val="single"/>
        </w:rPr>
        <w:t>5</w:t>
      </w:r>
      <w:r>
        <w:rPr>
          <w:rFonts w:hint="eastAsia" w:ascii="宋体" w:hAnsi="宋体" w:eastAsia="宋体" w:cs="宋体"/>
          <w:snapToGrid w:val="0"/>
          <w:color w:val="auto"/>
          <w:kern w:val="0"/>
          <w:sz w:val="24"/>
          <w:szCs w:val="24"/>
          <w:highlight w:val="none"/>
        </w:rPr>
        <w:t>人。</w:t>
      </w:r>
      <w:r>
        <w:rPr>
          <w:rFonts w:hint="eastAsia" w:ascii="宋体" w:hAnsi="宋体" w:eastAsia="宋体" w:cs="宋体"/>
          <w:b w:val="0"/>
          <w:bCs w:val="0"/>
          <w:snapToGrid w:val="0"/>
          <w:color w:val="auto"/>
          <w:kern w:val="0"/>
          <w:sz w:val="24"/>
          <w:szCs w:val="24"/>
          <w:highlight w:val="none"/>
          <w:u w:val="none"/>
        </w:rPr>
        <w:t>专家从广东省综合评标评审专家库</w:t>
      </w:r>
      <w:r>
        <w:rPr>
          <w:rFonts w:hint="eastAsia" w:hAnsi="宋体" w:cs="宋体"/>
          <w:b w:val="0"/>
          <w:bCs w:val="0"/>
          <w:snapToGrid w:val="0"/>
          <w:color w:val="auto"/>
          <w:kern w:val="0"/>
          <w:sz w:val="24"/>
          <w:szCs w:val="24"/>
          <w:highlight w:val="none"/>
          <w:u w:val="none"/>
          <w:lang w:val="en-US" w:eastAsia="zh-CN"/>
        </w:rPr>
        <w:t>-韶关区域中</w:t>
      </w:r>
      <w:r>
        <w:rPr>
          <w:rFonts w:hint="eastAsia" w:ascii="宋体" w:hAnsi="宋体" w:eastAsia="宋体" w:cs="宋体"/>
          <w:b w:val="0"/>
          <w:bCs w:val="0"/>
          <w:snapToGrid w:val="0"/>
          <w:color w:val="auto"/>
          <w:kern w:val="0"/>
          <w:sz w:val="24"/>
          <w:szCs w:val="24"/>
          <w:highlight w:val="none"/>
          <w:u w:val="none"/>
        </w:rPr>
        <w:t>随机抽取，</w:t>
      </w:r>
      <w:r>
        <w:rPr>
          <w:rFonts w:hint="eastAsia" w:ascii="宋体" w:hAnsi="宋体" w:eastAsia="宋体" w:cs="宋体"/>
          <w:snapToGrid w:val="0"/>
          <w:color w:val="auto"/>
          <w:kern w:val="0"/>
          <w:sz w:val="24"/>
          <w:szCs w:val="24"/>
          <w:highlight w:val="none"/>
        </w:rPr>
        <w:t>其中技术类专家</w:t>
      </w:r>
      <w:r>
        <w:rPr>
          <w:rFonts w:hint="eastAsia" w:ascii="宋体" w:hAnsi="宋体" w:eastAsia="宋体" w:cs="宋体"/>
          <w:snapToGrid w:val="0"/>
          <w:color w:val="auto"/>
          <w:kern w:val="0"/>
          <w:sz w:val="24"/>
          <w:szCs w:val="24"/>
          <w:highlight w:val="none"/>
          <w:u w:val="single"/>
        </w:rPr>
        <w:t>3</w:t>
      </w:r>
      <w:r>
        <w:rPr>
          <w:rFonts w:hint="eastAsia" w:ascii="宋体" w:hAnsi="宋体" w:eastAsia="宋体" w:cs="宋体"/>
          <w:snapToGrid w:val="0"/>
          <w:color w:val="auto"/>
          <w:kern w:val="0"/>
          <w:sz w:val="24"/>
          <w:szCs w:val="24"/>
          <w:highlight w:val="none"/>
        </w:rPr>
        <w:t>人，经济类专家</w:t>
      </w:r>
      <w:r>
        <w:rPr>
          <w:rFonts w:hint="eastAsia" w:ascii="宋体" w:hAnsi="宋体" w:eastAsia="宋体" w:cs="宋体"/>
          <w:snapToGrid w:val="0"/>
          <w:color w:val="auto"/>
          <w:kern w:val="0"/>
          <w:sz w:val="24"/>
          <w:szCs w:val="24"/>
          <w:highlight w:val="none"/>
          <w:u w:val="single"/>
        </w:rPr>
        <w:t xml:space="preserve"> 2 </w:t>
      </w:r>
      <w:r>
        <w:rPr>
          <w:rFonts w:hint="eastAsia" w:ascii="宋体" w:hAnsi="宋体" w:eastAsia="宋体" w:cs="宋体"/>
          <w:snapToGrid w:val="0"/>
          <w:color w:val="auto"/>
          <w:kern w:val="0"/>
          <w:sz w:val="24"/>
          <w:szCs w:val="24"/>
          <w:highlight w:val="none"/>
        </w:rPr>
        <w:t>人。评标委员会设负责人，由评标委员会成员推举产生。评标委员会负责人与评标委员会的其他成员有同等的表决权。</w:t>
      </w:r>
    </w:p>
    <w:p w14:paraId="63B4E1FE">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15.1.2</w:t>
      </w:r>
      <w:r>
        <w:rPr>
          <w:rFonts w:hint="eastAsia" w:ascii="宋体" w:hAnsi="宋体" w:eastAsia="宋体" w:cs="宋体"/>
          <w:snapToGrid w:val="0"/>
          <w:color w:val="auto"/>
          <w:kern w:val="0"/>
          <w:sz w:val="24"/>
          <w:szCs w:val="24"/>
          <w:highlight w:val="none"/>
        </w:rPr>
        <w:t xml:space="preserve"> 评标委员会应认真、公正、诚实、廉洁地履行职责。有下列情形之一的，不得担任评标委员会成员：</w:t>
      </w:r>
    </w:p>
    <w:p w14:paraId="344982C2">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（1）投标人或投标人主要负责人的近亲属；</w:t>
      </w:r>
    </w:p>
    <w:p w14:paraId="6C0B912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（2）项目主管部门或者行政监督部门的人员；</w:t>
      </w:r>
    </w:p>
    <w:p w14:paraId="7522E6D9">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（3）与投标人有经济利益关系，可能影响对投标公正评审的；</w:t>
      </w:r>
    </w:p>
    <w:p w14:paraId="6995E11C">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（4）曾因在招标、评标以及其他与招标投标有关活动中从事违法行为而受过行政处罚或刑事处罚的。</w:t>
      </w:r>
    </w:p>
    <w:p w14:paraId="6042B65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评标委员会成员有以上情形之一的，应主动提出回避。</w:t>
      </w:r>
    </w:p>
    <w:p w14:paraId="7ED48367">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15.1.3</w:t>
      </w:r>
      <w:r>
        <w:rPr>
          <w:rFonts w:hint="eastAsia" w:ascii="宋体" w:hAnsi="宋体" w:eastAsia="宋体" w:cs="宋体"/>
          <w:snapToGrid w:val="0"/>
          <w:color w:val="auto"/>
          <w:kern w:val="0"/>
          <w:sz w:val="24"/>
          <w:szCs w:val="24"/>
          <w:highlight w:val="none"/>
        </w:rPr>
        <w:t xml:space="preserve"> 评标全过程实行封闭式管理，在中标结果公布前，禁止评标委员会成员以任何方式私下接触投标人。</w:t>
      </w:r>
    </w:p>
    <w:p w14:paraId="3C89B68E">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15.1.4</w:t>
      </w:r>
      <w:r>
        <w:rPr>
          <w:rFonts w:hint="eastAsia" w:ascii="宋体" w:hAnsi="宋体" w:eastAsia="宋体" w:cs="宋体"/>
          <w:snapToGrid w:val="0"/>
          <w:color w:val="auto"/>
          <w:kern w:val="0"/>
          <w:sz w:val="24"/>
          <w:szCs w:val="24"/>
          <w:highlight w:val="none"/>
        </w:rPr>
        <w:t xml:space="preserve"> 在评标过程中，评标委员会可以书面形式要求投标人对所提交的投标文件中不明确的内容进行书面澄清或说明，但不接受投标人主动提出的澄清或说明。投标人的书面澄清或说明不得改变投标文件的实质性内容，并作为投标文件的组成部分。</w:t>
      </w:r>
    </w:p>
    <w:p w14:paraId="63D9DF4A">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15.1.5</w:t>
      </w:r>
      <w:r>
        <w:rPr>
          <w:rFonts w:hint="eastAsia" w:ascii="宋体" w:hAnsi="宋体" w:eastAsia="宋体" w:cs="宋体"/>
          <w:snapToGrid w:val="0"/>
          <w:color w:val="auto"/>
          <w:kern w:val="0"/>
          <w:sz w:val="24"/>
          <w:szCs w:val="24"/>
          <w:highlight w:val="none"/>
        </w:rPr>
        <w:t xml:space="preserve"> 在任何评标环节中，当评标委员会就某项定性的评审结论不统一、需要做出表决时，由评标委员会全体成员按照少数服从多数的原则，以记名投票方式表决。评标委员会全体成员应共同遵守和执行表决结果，严禁评标委员会任何成员将个人意见强加给他人、影响评标正常秩序和妨碍评审结论的公正性。</w:t>
      </w:r>
    </w:p>
    <w:p w14:paraId="7799B011">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15.2</w:t>
      </w:r>
      <w:r>
        <w:rPr>
          <w:rFonts w:hint="eastAsia" w:ascii="宋体" w:hAnsi="宋体" w:eastAsia="宋体" w:cs="宋体"/>
          <w:bCs/>
          <w:snapToGrid w:val="0"/>
          <w:color w:val="auto"/>
          <w:kern w:val="0"/>
          <w:sz w:val="24"/>
          <w:szCs w:val="24"/>
          <w:highlight w:val="none"/>
        </w:rPr>
        <w:t xml:space="preserve"> 评标方法</w:t>
      </w:r>
    </w:p>
    <w:p w14:paraId="4C7343EE">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根据有关法律、法规的相关规定，结合本招标项目资金来源和规模特点，本次招标采用</w:t>
      </w:r>
      <w:r>
        <w:rPr>
          <w:rFonts w:hint="eastAsia" w:ascii="宋体" w:hAnsi="宋体" w:eastAsia="宋体" w:cs="宋体"/>
          <w:b/>
          <w:bCs/>
          <w:snapToGrid w:val="0"/>
          <w:color w:val="auto"/>
          <w:kern w:val="0"/>
          <w:sz w:val="24"/>
          <w:szCs w:val="24"/>
          <w:highlight w:val="none"/>
          <w:u w:val="single"/>
        </w:rPr>
        <w:t>综合评估法</w:t>
      </w:r>
      <w:r>
        <w:rPr>
          <w:rFonts w:hint="eastAsia" w:ascii="宋体" w:hAnsi="宋体" w:eastAsia="宋体" w:cs="宋体"/>
          <w:snapToGrid w:val="0"/>
          <w:color w:val="auto"/>
          <w:kern w:val="0"/>
          <w:sz w:val="24"/>
          <w:szCs w:val="24"/>
          <w:highlight w:val="none"/>
        </w:rPr>
        <w:t>（评标方法名称）进行评标。</w:t>
      </w:r>
    </w:p>
    <w:p w14:paraId="1EB910AE">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15.3 </w:t>
      </w:r>
      <w:r>
        <w:rPr>
          <w:rFonts w:hint="eastAsia" w:ascii="宋体" w:hAnsi="宋体" w:eastAsia="宋体" w:cs="宋体"/>
          <w:snapToGrid w:val="0"/>
          <w:color w:val="auto"/>
          <w:kern w:val="0"/>
          <w:sz w:val="24"/>
          <w:szCs w:val="24"/>
          <w:highlight w:val="none"/>
        </w:rPr>
        <w:t>评审范围：评标委员会应对所有投标人的投标文件进行评审。</w:t>
      </w:r>
    </w:p>
    <w:p w14:paraId="4C44A4C4">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15.4</w:t>
      </w:r>
      <w:r>
        <w:rPr>
          <w:rFonts w:hint="eastAsia" w:ascii="宋体" w:hAnsi="宋体" w:eastAsia="宋体" w:cs="宋体"/>
          <w:snapToGrid w:val="0"/>
          <w:color w:val="auto"/>
          <w:kern w:val="0"/>
          <w:sz w:val="24"/>
          <w:szCs w:val="24"/>
          <w:highlight w:val="none"/>
        </w:rPr>
        <w:t xml:space="preserve"> 初步评审阶段</w:t>
      </w:r>
    </w:p>
    <w:p w14:paraId="6EF661EE">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初步评审阶段分为资格评审、形式评审和响应性评审三个环节。</w:t>
      </w:r>
    </w:p>
    <w:p w14:paraId="0A45EA58">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15.4.1</w:t>
      </w:r>
      <w:r>
        <w:rPr>
          <w:rFonts w:hint="eastAsia" w:ascii="宋体" w:hAnsi="宋体" w:eastAsia="宋体" w:cs="宋体"/>
          <w:snapToGrid w:val="0"/>
          <w:color w:val="auto"/>
          <w:kern w:val="0"/>
          <w:sz w:val="24"/>
          <w:szCs w:val="24"/>
          <w:highlight w:val="none"/>
        </w:rPr>
        <w:t xml:space="preserve"> 资格评审环节</w:t>
      </w:r>
    </w:p>
    <w:p w14:paraId="66EC6A7E">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资格评审事项包括：</w:t>
      </w:r>
    </w:p>
    <w:p w14:paraId="1E1D6D9E">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（1）投标人是否符合本章第三节第2.4条“禁止投标条款”规定。</w:t>
      </w:r>
    </w:p>
    <w:p w14:paraId="282D6052">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（2）投标人名称是否与营业执照、资质证书、安全生产许可证一致。</w:t>
      </w:r>
    </w:p>
    <w:p w14:paraId="5AFD67B3">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（3）投标人的资质是否符合招标文件规定；其营业执照、资质证书、安全生产许可证是否合法、有效、准确。</w:t>
      </w:r>
    </w:p>
    <w:p w14:paraId="222F0511">
      <w:pPr>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w:t>
      </w:r>
      <w:r>
        <w:rPr>
          <w:rFonts w:hint="eastAsia" w:ascii="宋体" w:hAnsi="宋体" w:eastAsia="宋体" w:cs="宋体"/>
          <w:color w:val="auto"/>
          <w:sz w:val="24"/>
          <w:szCs w:val="24"/>
          <w:highlight w:val="none"/>
        </w:rPr>
        <w:t>《项目经理简历表》中拟派项目经理是否与《开标一览表》一致。</w:t>
      </w:r>
    </w:p>
    <w:p w14:paraId="1391DD89">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拟派项目经理、项目技术负责人、专职安全员的条件是否符合招标文件规定；项目管理机构组成人员的各类证书、证件、证明是否合法、有效、准确；是否擅自修改、遗漏《项目经理任职声明》的实质性内容。</w:t>
      </w:r>
    </w:p>
    <w:p w14:paraId="7CC8CA5A">
      <w:pPr>
        <w:pStyle w:val="137"/>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cs="宋体"/>
          <w:snapToGrid w:val="0"/>
          <w:color w:val="auto"/>
          <w:kern w:val="0"/>
          <w:sz w:val="24"/>
          <w:szCs w:val="24"/>
          <w:highlight w:val="none"/>
          <w:lang w:val="en-US" w:eastAsia="zh-CN"/>
        </w:rPr>
        <w:t>6</w:t>
      </w:r>
      <w:r>
        <w:rPr>
          <w:rFonts w:hint="eastAsia" w:ascii="宋体" w:hAnsi="宋体" w:eastAsia="宋体" w:cs="宋体"/>
          <w:snapToGrid w:val="0"/>
          <w:color w:val="auto"/>
          <w:kern w:val="0"/>
          <w:sz w:val="24"/>
          <w:szCs w:val="24"/>
          <w:highlight w:val="none"/>
        </w:rPr>
        <w:t>）投标人为外省建筑企业的，是否按规定在“进粤企业和人员诚信信息登记平台”录入企业及其拟派人员有关信息并通过数据规范检查。</w:t>
      </w:r>
    </w:p>
    <w:p w14:paraId="7C7FDDAC">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15.4.2</w:t>
      </w:r>
      <w:r>
        <w:rPr>
          <w:rFonts w:hint="eastAsia" w:ascii="宋体" w:hAnsi="宋体" w:eastAsia="宋体" w:cs="宋体"/>
          <w:snapToGrid w:val="0"/>
          <w:color w:val="auto"/>
          <w:kern w:val="0"/>
          <w:sz w:val="24"/>
          <w:szCs w:val="24"/>
          <w:highlight w:val="none"/>
        </w:rPr>
        <w:t xml:space="preserve"> 形式评审环节</w:t>
      </w:r>
    </w:p>
    <w:p w14:paraId="0303D0E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形式评审事项包括：</w:t>
      </w:r>
    </w:p>
    <w:p w14:paraId="42F28010">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各分册是否按招标文件规定加盖电子印章。</w:t>
      </w:r>
    </w:p>
    <w:p w14:paraId="67184E70">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rPr>
        <w:t>）本节第10.2.2目、第10.3.2目、第10.4.3目中规定的“所有投标人均应提供”的组成内容（包括该组成内容的所附资料）是否完整、齐全</w:t>
      </w:r>
      <w:r>
        <w:rPr>
          <w:rFonts w:hint="eastAsia" w:ascii="宋体" w:hAnsi="宋体" w:eastAsia="宋体" w:cs="宋体"/>
          <w:snapToGrid w:val="0"/>
          <w:color w:val="auto"/>
          <w:kern w:val="0"/>
          <w:sz w:val="24"/>
          <w:szCs w:val="24"/>
          <w:highlight w:val="none"/>
          <w:lang w:eastAsia="zh-CN"/>
        </w:rPr>
        <w:t>。</w:t>
      </w:r>
    </w:p>
    <w:p w14:paraId="666AF006">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15.4.3</w:t>
      </w:r>
      <w:r>
        <w:rPr>
          <w:rFonts w:hint="eastAsia" w:ascii="宋体" w:hAnsi="宋体" w:eastAsia="宋体" w:cs="宋体"/>
          <w:snapToGrid w:val="0"/>
          <w:color w:val="auto"/>
          <w:kern w:val="0"/>
          <w:sz w:val="24"/>
          <w:szCs w:val="24"/>
          <w:highlight w:val="none"/>
        </w:rPr>
        <w:t xml:space="preserve"> 响应性评审环节</w:t>
      </w:r>
    </w:p>
    <w:p w14:paraId="179454E3">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响应性评审事项包括：</w:t>
      </w:r>
    </w:p>
    <w:p w14:paraId="5ED68A82">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（1）投标有效期、质量标准、工期等是否响应招标文件实质性要求；是否擅自修改、遗漏《投标函》《各项承诺一览表》的实质性内容。</w:t>
      </w:r>
    </w:p>
    <w:p w14:paraId="2F181F2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（2）编制《投标总价》的造价工程师，其注册证书是否合法、有效。</w:t>
      </w:r>
    </w:p>
    <w:p w14:paraId="3A8C3B0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（3）投标人委托造价咨询单位编制《投标总价》的，是否在《投标总价扉页》（即扉—3）“投标人”栏目加盖造价咨询人公章；是否提供造价咨询人的营业执照</w:t>
      </w:r>
      <w:r>
        <w:rPr>
          <w:rFonts w:hint="eastAsia" w:ascii="宋体" w:hAnsi="宋体" w:eastAsia="宋体" w:cs="宋体"/>
          <w:snapToGrid w:val="0"/>
          <w:color w:val="auto"/>
          <w:kern w:val="0"/>
          <w:sz w:val="24"/>
          <w:szCs w:val="24"/>
          <w:highlight w:val="none"/>
          <w:lang w:eastAsia="zh-CN"/>
        </w:rPr>
        <w:t>彩色扫描件</w:t>
      </w:r>
      <w:r>
        <w:rPr>
          <w:rFonts w:hint="eastAsia" w:ascii="宋体" w:hAnsi="宋体" w:eastAsia="宋体" w:cs="宋体"/>
          <w:snapToGrid w:val="0"/>
          <w:color w:val="auto"/>
          <w:kern w:val="0"/>
          <w:sz w:val="24"/>
          <w:szCs w:val="24"/>
          <w:highlight w:val="none"/>
        </w:rPr>
        <w:t>；</w:t>
      </w:r>
    </w:p>
    <w:p w14:paraId="693F49D1">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（4）投标总价是否唯一；投标总价是否超出</w:t>
      </w:r>
      <w:r>
        <w:rPr>
          <w:rFonts w:hint="eastAsia" w:hAnsi="宋体" w:cs="宋体"/>
          <w:snapToGrid w:val="0"/>
          <w:color w:val="auto"/>
          <w:kern w:val="0"/>
          <w:sz w:val="24"/>
          <w:szCs w:val="24"/>
          <w:highlight w:val="none"/>
          <w:lang w:eastAsia="zh-CN"/>
        </w:rPr>
        <w:t>最高投标限价</w:t>
      </w:r>
      <w:r>
        <w:rPr>
          <w:rFonts w:hint="eastAsia" w:ascii="宋体" w:hAnsi="宋体" w:eastAsia="宋体" w:cs="宋体"/>
          <w:snapToGrid w:val="0"/>
          <w:color w:val="auto"/>
          <w:kern w:val="0"/>
          <w:sz w:val="24"/>
          <w:szCs w:val="24"/>
          <w:highlight w:val="none"/>
        </w:rPr>
        <w:t>；</w:t>
      </w:r>
      <w:r>
        <w:rPr>
          <w:rFonts w:hint="eastAsia" w:hAnsi="宋体" w:cs="宋体"/>
          <w:snapToGrid w:val="0"/>
          <w:color w:val="auto"/>
          <w:kern w:val="0"/>
          <w:sz w:val="24"/>
          <w:szCs w:val="24"/>
          <w:highlight w:val="none"/>
          <w:lang w:eastAsia="zh-CN"/>
        </w:rPr>
        <w:t>安全生产措施费</w:t>
      </w:r>
      <w:r>
        <w:rPr>
          <w:rFonts w:hint="eastAsia" w:ascii="宋体" w:hAnsi="宋体" w:eastAsia="宋体" w:cs="宋体"/>
          <w:snapToGrid w:val="0"/>
          <w:color w:val="auto"/>
          <w:kern w:val="0"/>
          <w:sz w:val="24"/>
          <w:szCs w:val="24"/>
          <w:highlight w:val="none"/>
        </w:rPr>
        <w:t>是否达到最低要求；暂列金额、暂估价是否按照招标工程量清单统一报价；投标人是否以低于成本的价格竞标。</w:t>
      </w:r>
    </w:p>
    <w:p w14:paraId="5B28F3E0">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注：如果某投标人的投标总价下浮率（投标总价下浮率＝100%－投标总价÷</w:t>
      </w:r>
      <w:r>
        <w:rPr>
          <w:rFonts w:hint="eastAsia" w:hAnsi="宋体" w:cs="宋体"/>
          <w:b/>
          <w:bCs/>
          <w:snapToGrid w:val="0"/>
          <w:color w:val="auto"/>
          <w:kern w:val="0"/>
          <w:sz w:val="24"/>
          <w:szCs w:val="24"/>
          <w:highlight w:val="none"/>
          <w:lang w:eastAsia="zh-CN"/>
        </w:rPr>
        <w:t>最高投标限价</w:t>
      </w:r>
      <w:r>
        <w:rPr>
          <w:rFonts w:hint="eastAsia" w:ascii="宋体" w:hAnsi="宋体" w:eastAsia="宋体" w:cs="宋体"/>
          <w:b/>
          <w:bCs/>
          <w:snapToGrid w:val="0"/>
          <w:color w:val="auto"/>
          <w:kern w:val="0"/>
          <w:sz w:val="24"/>
          <w:szCs w:val="24"/>
          <w:highlight w:val="none"/>
        </w:rPr>
        <w:t>×100%）超过15%，又未提供相应书面说明和佐证材料或提供的书面说明和佐证材料不能令人信服的，评标委员会应认定其以低于成本的价格竞标，并否决其投标。评标委员会接受该投标人的投标总价而未否决其投标的，应在评标报告中说明判断理由。</w:t>
      </w:r>
    </w:p>
    <w:p w14:paraId="67EFFC5A">
      <w:pPr>
        <w:pageBreakBefore w:val="0"/>
        <w:kinsoku/>
        <w:wordWrap w:val="0"/>
        <w:overflowPunct/>
        <w:topLinePunct w:val="0"/>
        <w:autoSpaceDE/>
        <w:autoSpaceDN/>
        <w:bidi w:val="0"/>
        <w:adjustRightInd w:val="0"/>
        <w:spacing w:line="360" w:lineRule="auto"/>
        <w:ind w:left="0" w:leftChars="0" w:right="0" w:firstLine="480"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（5）施工组织设计的质量、进度保障措施是否符合国家和省市现行有关规范、规定、标准，是否能实现工程质量、进度管理目标。  </w:t>
      </w:r>
    </w:p>
    <w:p w14:paraId="1F78BC51">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15.4.4</w:t>
      </w:r>
      <w:r>
        <w:rPr>
          <w:rFonts w:hint="eastAsia" w:ascii="宋体" w:hAnsi="宋体" w:eastAsia="宋体" w:cs="宋体"/>
          <w:snapToGrid w:val="0"/>
          <w:color w:val="auto"/>
          <w:kern w:val="0"/>
          <w:sz w:val="24"/>
          <w:szCs w:val="24"/>
          <w:highlight w:val="none"/>
        </w:rPr>
        <w:t xml:space="preserve"> 否决投标说明</w:t>
      </w:r>
    </w:p>
    <w:p w14:paraId="71E2841F">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textAlignment w:val="auto"/>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初步评审阶段各个环节否决投标的全部条件，在本章第四节“否决投标条件”第</w:t>
      </w:r>
      <w:r>
        <w:rPr>
          <w:rFonts w:hint="eastAsia" w:ascii="宋体" w:hAnsi="宋体" w:eastAsia="宋体" w:cs="宋体"/>
          <w:b/>
          <w:bCs/>
          <w:snapToGrid w:val="0"/>
          <w:color w:val="auto"/>
          <w:kern w:val="0"/>
          <w:sz w:val="24"/>
          <w:szCs w:val="24"/>
          <w:highlight w:val="none"/>
        </w:rPr>
        <w:t>1</w:t>
      </w:r>
      <w:r>
        <w:rPr>
          <w:rFonts w:hint="eastAsia" w:ascii="宋体" w:hAnsi="宋体" w:eastAsia="宋体" w:cs="宋体"/>
          <w:snapToGrid w:val="0"/>
          <w:color w:val="auto"/>
          <w:kern w:val="0"/>
          <w:sz w:val="24"/>
          <w:szCs w:val="24"/>
          <w:highlight w:val="none"/>
        </w:rPr>
        <w:t>条至第</w:t>
      </w:r>
      <w:r>
        <w:rPr>
          <w:rFonts w:hint="eastAsia" w:ascii="宋体" w:hAnsi="宋体" w:eastAsia="宋体" w:cs="宋体"/>
          <w:b/>
          <w:bCs/>
          <w:snapToGrid w:val="0"/>
          <w:color w:val="auto"/>
          <w:kern w:val="0"/>
          <w:sz w:val="24"/>
          <w:szCs w:val="24"/>
          <w:highlight w:val="none"/>
        </w:rPr>
        <w:t>4</w:t>
      </w:r>
      <w:r>
        <w:rPr>
          <w:rFonts w:hint="eastAsia" w:ascii="宋体" w:hAnsi="宋体" w:eastAsia="宋体" w:cs="宋体"/>
          <w:snapToGrid w:val="0"/>
          <w:color w:val="auto"/>
          <w:kern w:val="0"/>
          <w:sz w:val="24"/>
          <w:szCs w:val="24"/>
          <w:highlight w:val="none"/>
        </w:rPr>
        <w:t>条中集中列示。投标人有其中所列任何一种情形的，由评标委员会否决其投标。在初步评审阶段任何环节被否决的投标人，不进入下一环节（或阶段）评审。在初步评审阶段任何环节，有效投标人数量不足3个时，招标人应依法重新组织招标。</w:t>
      </w:r>
    </w:p>
    <w:p w14:paraId="591D577B">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15.5</w:t>
      </w:r>
      <w:r>
        <w:rPr>
          <w:rFonts w:hint="eastAsia" w:ascii="宋体" w:hAnsi="宋体" w:eastAsia="宋体" w:cs="宋体"/>
          <w:snapToGrid w:val="0"/>
          <w:color w:val="auto"/>
          <w:kern w:val="0"/>
          <w:sz w:val="24"/>
          <w:szCs w:val="24"/>
          <w:highlight w:val="none"/>
        </w:rPr>
        <w:t xml:space="preserve"> 详细评审阶段</w:t>
      </w:r>
    </w:p>
    <w:p w14:paraId="6F5ABB79">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15.5.1</w:t>
      </w:r>
      <w:r>
        <w:rPr>
          <w:rFonts w:hint="eastAsia" w:ascii="宋体" w:hAnsi="宋体" w:eastAsia="宋体" w:cs="宋体"/>
          <w:bCs/>
          <w:snapToGrid w:val="0"/>
          <w:color w:val="auto"/>
          <w:kern w:val="0"/>
          <w:sz w:val="24"/>
          <w:szCs w:val="24"/>
          <w:highlight w:val="none"/>
        </w:rPr>
        <w:t xml:space="preserve"> “综合评估法”评审程序</w:t>
      </w:r>
    </w:p>
    <w:p w14:paraId="43B4D432">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评审内容分为商务技术和投标报价两大部分。其中，商务技术合计满分</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u w:val="single"/>
          <w:lang w:val="en-US" w:eastAsia="zh-CN"/>
        </w:rPr>
        <w:t>100</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分，权重为</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u w:val="single"/>
          <w:lang w:val="en-US" w:eastAsia="zh-CN"/>
        </w:rPr>
        <w:t>40</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%；投标报价满分</w:t>
      </w:r>
      <w:r>
        <w:rPr>
          <w:rFonts w:hint="eastAsia" w:ascii="宋体" w:hAnsi="宋体" w:eastAsia="宋体" w:cs="宋体"/>
          <w:snapToGrid w:val="0"/>
          <w:color w:val="auto"/>
          <w:kern w:val="0"/>
          <w:sz w:val="24"/>
          <w:szCs w:val="24"/>
          <w:highlight w:val="none"/>
          <w:u w:val="single"/>
        </w:rPr>
        <w:t>100</w:t>
      </w:r>
      <w:r>
        <w:rPr>
          <w:rFonts w:hint="eastAsia" w:ascii="宋体" w:hAnsi="宋体" w:eastAsia="宋体" w:cs="宋体"/>
          <w:snapToGrid w:val="0"/>
          <w:color w:val="auto"/>
          <w:kern w:val="0"/>
          <w:sz w:val="24"/>
          <w:szCs w:val="24"/>
          <w:highlight w:val="none"/>
        </w:rPr>
        <w:t>分，权重为</w:t>
      </w:r>
      <w:r>
        <w:rPr>
          <w:rFonts w:hint="eastAsia" w:ascii="宋体" w:hAnsi="宋体" w:eastAsia="宋体" w:cs="宋体"/>
          <w:snapToGrid w:val="0"/>
          <w:color w:val="auto"/>
          <w:kern w:val="0"/>
          <w:sz w:val="24"/>
          <w:szCs w:val="24"/>
          <w:highlight w:val="none"/>
          <w:u w:val="single"/>
          <w:lang w:val="en-US" w:eastAsia="zh-CN"/>
        </w:rPr>
        <w:t>60</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%。两大部分权重之和应为</w:t>
      </w:r>
      <w:r>
        <w:rPr>
          <w:rFonts w:hint="eastAsia" w:ascii="宋体" w:hAnsi="宋体" w:eastAsia="宋体" w:cs="宋体"/>
          <w:snapToGrid w:val="0"/>
          <w:color w:val="auto"/>
          <w:kern w:val="0"/>
          <w:sz w:val="24"/>
          <w:szCs w:val="24"/>
          <w:highlight w:val="none"/>
          <w:u w:val="single"/>
        </w:rPr>
        <w:t>100</w:t>
      </w:r>
      <w:r>
        <w:rPr>
          <w:rFonts w:hint="eastAsia" w:ascii="宋体" w:hAnsi="宋体" w:eastAsia="宋体" w:cs="宋体"/>
          <w:snapToGrid w:val="0"/>
          <w:color w:val="auto"/>
          <w:kern w:val="0"/>
          <w:sz w:val="24"/>
          <w:szCs w:val="24"/>
          <w:highlight w:val="none"/>
        </w:rPr>
        <w:t>%。</w:t>
      </w:r>
    </w:p>
    <w:p w14:paraId="6800A856">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除特别注明外，综合得分以及商务技术得分、投标报价得分的中间过程计算值和最终值，均按“四舍五入”原则精确到两位小数。</w:t>
      </w:r>
    </w:p>
    <w:p w14:paraId="3800178D">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（1）商务技术得分M</w:t>
      </w:r>
    </w:p>
    <w:p w14:paraId="27315233">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a</w:t>
      </w:r>
      <w:r>
        <w:rPr>
          <w:rFonts w:hint="eastAsia" w:ascii="宋体" w:hAnsi="宋体" w:eastAsia="宋体" w:cs="宋体"/>
          <w:snapToGrid w:val="0"/>
          <w:color w:val="auto"/>
          <w:kern w:val="0"/>
          <w:sz w:val="24"/>
          <w:szCs w:val="24"/>
          <w:highlight w:val="none"/>
        </w:rPr>
        <w:t>．评标委员会按照《综合评分表》商务部分指定的评分标准对各评分因素进行打分。各评分因素得分之和即为某投标人的商务得分M</w:t>
      </w:r>
      <w:r>
        <w:rPr>
          <w:rFonts w:hint="eastAsia" w:ascii="宋体" w:hAnsi="宋体" w:eastAsia="宋体" w:cs="宋体"/>
          <w:snapToGrid w:val="0"/>
          <w:color w:val="auto"/>
          <w:kern w:val="0"/>
          <w:sz w:val="24"/>
          <w:szCs w:val="24"/>
          <w:highlight w:val="none"/>
          <w:vertAlign w:val="subscript"/>
        </w:rPr>
        <w:t>1</w:t>
      </w:r>
      <w:r>
        <w:rPr>
          <w:rFonts w:hint="eastAsia" w:ascii="宋体" w:hAnsi="宋体" w:eastAsia="宋体" w:cs="宋体"/>
          <w:snapToGrid w:val="0"/>
          <w:color w:val="auto"/>
          <w:kern w:val="0"/>
          <w:sz w:val="24"/>
          <w:szCs w:val="24"/>
          <w:highlight w:val="none"/>
        </w:rPr>
        <w:t>。</w:t>
      </w:r>
    </w:p>
    <w:p w14:paraId="52A417FF">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b</w:t>
      </w:r>
      <w:r>
        <w:rPr>
          <w:rFonts w:hint="eastAsia" w:ascii="宋体" w:hAnsi="宋体" w:eastAsia="宋体" w:cs="宋体"/>
          <w:snapToGrid w:val="0"/>
          <w:color w:val="auto"/>
          <w:kern w:val="0"/>
          <w:sz w:val="24"/>
          <w:szCs w:val="24"/>
          <w:highlight w:val="none"/>
        </w:rPr>
        <w:t>．评标委员会各成员独立按照《综合评分表》技术部分（施工组织设计）指定的评分标准对各评分因素进行打分，累加后得出技术评分。将评标委员会所有成员的技术评分去掉最高分和最低分后，取算术平均值，即为某投标人的技术得分M</w:t>
      </w:r>
      <w:r>
        <w:rPr>
          <w:rFonts w:hint="eastAsia" w:ascii="宋体" w:hAnsi="宋体" w:eastAsia="宋体" w:cs="宋体"/>
          <w:snapToGrid w:val="0"/>
          <w:color w:val="auto"/>
          <w:kern w:val="0"/>
          <w:sz w:val="24"/>
          <w:szCs w:val="24"/>
          <w:highlight w:val="none"/>
          <w:vertAlign w:val="subscript"/>
        </w:rPr>
        <w:t>2</w:t>
      </w:r>
      <w:r>
        <w:rPr>
          <w:rFonts w:hint="eastAsia" w:ascii="宋体" w:hAnsi="宋体" w:eastAsia="宋体" w:cs="宋体"/>
          <w:snapToGrid w:val="0"/>
          <w:color w:val="auto"/>
          <w:kern w:val="0"/>
          <w:sz w:val="24"/>
          <w:szCs w:val="24"/>
          <w:highlight w:val="none"/>
        </w:rPr>
        <w:t>。</w:t>
      </w:r>
    </w:p>
    <w:p w14:paraId="643640C6">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c</w:t>
      </w:r>
      <w:r>
        <w:rPr>
          <w:rFonts w:hint="eastAsia" w:ascii="宋体" w:hAnsi="宋体" w:eastAsia="宋体" w:cs="宋体"/>
          <w:snapToGrid w:val="0"/>
          <w:color w:val="auto"/>
          <w:kern w:val="0"/>
          <w:sz w:val="24"/>
          <w:szCs w:val="24"/>
          <w:highlight w:val="none"/>
        </w:rPr>
        <w:t>．M＝M</w:t>
      </w:r>
      <w:r>
        <w:rPr>
          <w:rFonts w:hint="eastAsia" w:ascii="宋体" w:hAnsi="宋体" w:eastAsia="宋体" w:cs="宋体"/>
          <w:snapToGrid w:val="0"/>
          <w:color w:val="auto"/>
          <w:kern w:val="0"/>
          <w:sz w:val="24"/>
          <w:szCs w:val="24"/>
          <w:highlight w:val="none"/>
          <w:vertAlign w:val="subscript"/>
        </w:rPr>
        <w:t>1</w:t>
      </w:r>
      <w:r>
        <w:rPr>
          <w:rFonts w:hint="eastAsia" w:ascii="宋体" w:hAnsi="宋体" w:eastAsia="宋体" w:cs="宋体"/>
          <w:snapToGrid w:val="0"/>
          <w:color w:val="auto"/>
          <w:kern w:val="0"/>
          <w:sz w:val="24"/>
          <w:szCs w:val="24"/>
          <w:highlight w:val="none"/>
        </w:rPr>
        <w:t>＋M</w:t>
      </w:r>
      <w:r>
        <w:rPr>
          <w:rFonts w:hint="eastAsia" w:ascii="宋体" w:hAnsi="宋体" w:eastAsia="宋体" w:cs="宋体"/>
          <w:snapToGrid w:val="0"/>
          <w:color w:val="auto"/>
          <w:kern w:val="0"/>
          <w:sz w:val="24"/>
          <w:szCs w:val="24"/>
          <w:highlight w:val="none"/>
          <w:vertAlign w:val="subscript"/>
        </w:rPr>
        <w:t>2</w:t>
      </w:r>
    </w:p>
    <w:p w14:paraId="7E05BCFC">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式中：M</w:t>
      </w:r>
      <w:r>
        <w:rPr>
          <w:rFonts w:hint="eastAsia" w:ascii="宋体" w:hAnsi="宋体" w:eastAsia="宋体" w:cs="宋体"/>
          <w:snapToGrid w:val="0"/>
          <w:color w:val="auto"/>
          <w:kern w:val="0"/>
          <w:sz w:val="24"/>
          <w:szCs w:val="24"/>
          <w:highlight w:val="none"/>
          <w:vertAlign w:val="subscript"/>
        </w:rPr>
        <w:t>1</w:t>
      </w:r>
      <w:r>
        <w:rPr>
          <w:rFonts w:hint="eastAsia" w:ascii="宋体" w:hAnsi="宋体" w:eastAsia="宋体" w:cs="宋体"/>
          <w:snapToGrid w:val="0"/>
          <w:color w:val="auto"/>
          <w:kern w:val="0"/>
          <w:sz w:val="24"/>
          <w:szCs w:val="24"/>
          <w:highlight w:val="none"/>
        </w:rPr>
        <w:t>为某投标人的商务得分，M</w:t>
      </w:r>
      <w:r>
        <w:rPr>
          <w:rFonts w:hint="eastAsia" w:ascii="宋体" w:hAnsi="宋体" w:eastAsia="宋体" w:cs="宋体"/>
          <w:snapToGrid w:val="0"/>
          <w:color w:val="auto"/>
          <w:kern w:val="0"/>
          <w:sz w:val="24"/>
          <w:szCs w:val="24"/>
          <w:highlight w:val="none"/>
          <w:vertAlign w:val="subscript"/>
        </w:rPr>
        <w:t>2</w:t>
      </w:r>
      <w:r>
        <w:rPr>
          <w:rFonts w:hint="eastAsia" w:ascii="宋体" w:hAnsi="宋体" w:eastAsia="宋体" w:cs="宋体"/>
          <w:snapToGrid w:val="0"/>
          <w:color w:val="auto"/>
          <w:kern w:val="0"/>
          <w:sz w:val="24"/>
          <w:szCs w:val="24"/>
          <w:highlight w:val="none"/>
        </w:rPr>
        <w:t>为某投标人的技术得分。</w:t>
      </w:r>
    </w:p>
    <w:p w14:paraId="65688A7A">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（2）投标报价得分N</w:t>
      </w:r>
    </w:p>
    <w:p w14:paraId="4959AEE7">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a</w:t>
      </w:r>
      <w:r>
        <w:rPr>
          <w:rFonts w:hint="eastAsia" w:ascii="宋体" w:hAnsi="宋体" w:eastAsia="宋体" w:cs="宋体"/>
          <w:snapToGrid w:val="0"/>
          <w:color w:val="auto"/>
          <w:kern w:val="0"/>
          <w:sz w:val="24"/>
          <w:szCs w:val="24"/>
          <w:highlight w:val="none"/>
        </w:rPr>
        <w:t>．评标委员会按照《综合评分表》投标报价部分指定的方法计算评标基准价D。</w:t>
      </w:r>
    </w:p>
    <w:p w14:paraId="2A56735D">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2" w:firstLineChars="20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b</w:t>
      </w:r>
      <w:r>
        <w:rPr>
          <w:rFonts w:hint="eastAsia" w:ascii="宋体" w:hAnsi="宋体" w:eastAsia="宋体" w:cs="宋体"/>
          <w:snapToGrid w:val="0"/>
          <w:color w:val="auto"/>
          <w:kern w:val="0"/>
          <w:sz w:val="24"/>
          <w:szCs w:val="24"/>
          <w:highlight w:val="none"/>
        </w:rPr>
        <w:t>．采用内插法计算某投标人的投标报价得分N，即当投标人的投标总价等于评标基准价时得100分，每高于评标基准价一个百分点扣</w:t>
      </w: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rPr>
        <w:t>分, 每低于评标基准价一个百分点扣</w:t>
      </w:r>
      <w:r>
        <w:rPr>
          <w:rFonts w:hint="eastAsia" w:ascii="宋体" w:hAnsi="宋体" w:eastAsia="宋体" w:cs="宋体"/>
          <w:snapToGrid w:val="0"/>
          <w:color w:val="auto"/>
          <w:kern w:val="0"/>
          <w:sz w:val="24"/>
          <w:szCs w:val="24"/>
          <w:highlight w:val="none"/>
          <w:lang w:val="en-US" w:eastAsia="zh-CN"/>
        </w:rPr>
        <w:t>0.5</w:t>
      </w:r>
      <w:r>
        <w:rPr>
          <w:rFonts w:hint="eastAsia" w:ascii="宋体" w:hAnsi="宋体" w:eastAsia="宋体" w:cs="宋体"/>
          <w:snapToGrid w:val="0"/>
          <w:color w:val="auto"/>
          <w:kern w:val="0"/>
          <w:sz w:val="24"/>
          <w:szCs w:val="24"/>
          <w:highlight w:val="none"/>
        </w:rPr>
        <w:t>分，扣完为止。公式如下：</w:t>
      </w:r>
    </w:p>
    <w:p w14:paraId="7457B9F0">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N＝100－（| Di－D | ÷D）×100×E</w:t>
      </w:r>
    </w:p>
    <w:p w14:paraId="0FF61F3C">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式中：D为评标基准价；Di为某投标人的投标总价；E为扣分因子，当Di＞D时，E＝</w:t>
      </w: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rPr>
        <w:t>；当Di＜D时，E＝</w:t>
      </w:r>
      <w:r>
        <w:rPr>
          <w:rFonts w:hint="eastAsia" w:ascii="宋体" w:hAnsi="宋体" w:eastAsia="宋体" w:cs="宋体"/>
          <w:snapToGrid w:val="0"/>
          <w:color w:val="auto"/>
          <w:kern w:val="0"/>
          <w:sz w:val="24"/>
          <w:szCs w:val="24"/>
          <w:highlight w:val="none"/>
          <w:lang w:val="en-US" w:eastAsia="zh-CN"/>
        </w:rPr>
        <w:t>0.5</w:t>
      </w:r>
      <w:r>
        <w:rPr>
          <w:rFonts w:hint="eastAsia" w:ascii="宋体" w:hAnsi="宋体" w:eastAsia="宋体" w:cs="宋体"/>
          <w:snapToGrid w:val="0"/>
          <w:color w:val="auto"/>
          <w:kern w:val="0"/>
          <w:sz w:val="24"/>
          <w:szCs w:val="24"/>
          <w:highlight w:val="none"/>
        </w:rPr>
        <w:t>。</w:t>
      </w:r>
    </w:p>
    <w:p w14:paraId="5D56130C">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（3）综合得分</w:t>
      </w:r>
    </w:p>
    <w:p w14:paraId="7CBD7B16">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综合得分换算为百分制，满分100分，公式如下：</w:t>
      </w:r>
    </w:p>
    <w:p w14:paraId="03CF0169">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综合得分＝M÷商务技术合计满分×100×商务技术权重＋N×投标报价权重</w:t>
      </w:r>
    </w:p>
    <w:p w14:paraId="0F3ED5EB">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式中：M为商务技术得分，N为投标报价得分。</w:t>
      </w:r>
    </w:p>
    <w:p w14:paraId="5A7138CF">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textAlignment w:val="auto"/>
        <w:rPr>
          <w:rFonts w:hint="eastAsia" w:ascii="宋体" w:hAnsi="宋体" w:eastAsia="宋体" w:cs="宋体"/>
          <w:snapToGrid w:val="0"/>
          <w:color w:val="auto"/>
          <w:kern w:val="0"/>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r>
        <w:rPr>
          <w:rFonts w:hint="eastAsia" w:ascii="宋体" w:hAnsi="宋体" w:eastAsia="宋体" w:cs="宋体"/>
          <w:snapToGrid w:val="0"/>
          <w:color w:val="auto"/>
          <w:kern w:val="0"/>
          <w:sz w:val="24"/>
          <w:szCs w:val="24"/>
          <w:highlight w:val="none"/>
        </w:rPr>
        <w:t>（4）评标委员会汇总、比较所有投标人的综合得分后，取综合得分最高的投标人为第一中标候选人，取综合得分第二、第三高的投标人为第二、第三中标候选人。如果最高综合得分相同，取投标总价低者为第一中标候选人，并依此确定第二、第三中标候选人。如果最高综合得分相同，投标总价也相同，由评标委员会投票确定。</w:t>
      </w:r>
    </w:p>
    <w:p w14:paraId="5B7DBDBF">
      <w:pPr>
        <w:keepNext w:val="0"/>
        <w:keepLines w:val="0"/>
        <w:pageBreakBefore w:val="0"/>
        <w:widowControl w:val="0"/>
        <w:kinsoku/>
        <w:wordWrap w:val="0"/>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b/>
          <w:bCs/>
          <w:snapToGrid w:val="0"/>
          <w:color w:val="auto"/>
          <w:kern w:val="0"/>
          <w:sz w:val="28"/>
          <w:szCs w:val="28"/>
          <w:highlight w:val="none"/>
        </w:rPr>
      </w:pPr>
      <w:r>
        <w:rPr>
          <w:rFonts w:hint="eastAsia" w:ascii="宋体" w:hAnsi="宋体" w:eastAsia="宋体" w:cs="宋体"/>
          <w:b/>
          <w:bCs/>
          <w:snapToGrid w:val="0"/>
          <w:color w:val="auto"/>
          <w:kern w:val="0"/>
          <w:sz w:val="28"/>
          <w:szCs w:val="28"/>
          <w:highlight w:val="none"/>
        </w:rPr>
        <w:t>综合评分表</w:t>
      </w:r>
    </w:p>
    <w:tbl>
      <w:tblPr>
        <w:tblStyle w:val="31"/>
        <w:tblW w:w="10853" w:type="dxa"/>
        <w:jc w:val="center"/>
        <w:tblLayout w:type="fixed"/>
        <w:tblCellMar>
          <w:top w:w="0" w:type="dxa"/>
          <w:left w:w="108" w:type="dxa"/>
          <w:bottom w:w="0" w:type="dxa"/>
          <w:right w:w="108" w:type="dxa"/>
        </w:tblCellMar>
      </w:tblPr>
      <w:tblGrid>
        <w:gridCol w:w="1493"/>
        <w:gridCol w:w="4065"/>
        <w:gridCol w:w="5295"/>
      </w:tblGrid>
      <w:tr w14:paraId="2515FCC3">
        <w:tblPrEx>
          <w:tblCellMar>
            <w:top w:w="0" w:type="dxa"/>
            <w:left w:w="108" w:type="dxa"/>
            <w:bottom w:w="0" w:type="dxa"/>
            <w:right w:w="108" w:type="dxa"/>
          </w:tblCellMar>
        </w:tblPrEx>
        <w:trPr>
          <w:trHeight w:val="23" w:hRule="atLeast"/>
          <w:jc w:val="center"/>
        </w:trPr>
        <w:tc>
          <w:tcPr>
            <w:tcW w:w="10853" w:type="dxa"/>
            <w:gridSpan w:val="3"/>
            <w:tcBorders>
              <w:top w:val="single" w:color="auto" w:sz="4" w:space="0"/>
              <w:left w:val="single" w:color="auto" w:sz="4" w:space="0"/>
              <w:bottom w:val="single" w:color="auto" w:sz="4" w:space="0"/>
              <w:right w:val="single" w:color="auto" w:sz="4" w:space="0"/>
            </w:tcBorders>
            <w:shd w:val="clear" w:color="auto" w:fill="D7D7D7"/>
            <w:noWrap w:val="0"/>
            <w:vAlign w:val="center"/>
          </w:tcPr>
          <w:p w14:paraId="163E87D1">
            <w:pPr>
              <w:pStyle w:val="11"/>
              <w:tabs>
                <w:tab w:val="left" w:pos="1354"/>
                <w:tab w:val="left" w:pos="1459"/>
                <w:tab w:val="center" w:pos="3902"/>
                <w:tab w:val="right" w:pos="7805"/>
              </w:tabs>
              <w:wordWrap w:val="0"/>
              <w:adjustRightInd w:val="0"/>
              <w:snapToGrid w:val="0"/>
              <w:spacing w:after="0"/>
              <w:rPr>
                <w:rFonts w:hint="eastAsia" w:ascii="宋体" w:hAnsi="宋体" w:eastAsia="宋体" w:cs="宋体"/>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商务部分，满分：</w:t>
            </w:r>
            <w:r>
              <w:rPr>
                <w:rFonts w:hint="eastAsia" w:ascii="宋体" w:hAnsi="宋体" w:eastAsia="宋体" w:cs="宋体"/>
                <w:b/>
                <w:bCs/>
                <w:snapToGrid w:val="0"/>
                <w:color w:val="auto"/>
                <w:kern w:val="0"/>
                <w:sz w:val="22"/>
                <w:szCs w:val="22"/>
                <w:highlight w:val="none"/>
                <w:u w:val="single"/>
                <w:lang w:val="en-US" w:eastAsia="zh-CN"/>
              </w:rPr>
              <w:t>80</w:t>
            </w:r>
            <w:r>
              <w:rPr>
                <w:rFonts w:hint="eastAsia" w:ascii="宋体" w:hAnsi="宋体" w:eastAsia="宋体" w:cs="宋体"/>
                <w:b/>
                <w:bCs/>
                <w:snapToGrid w:val="0"/>
                <w:color w:val="auto"/>
                <w:kern w:val="0"/>
                <w:sz w:val="22"/>
                <w:szCs w:val="22"/>
                <w:highlight w:val="none"/>
                <w:u w:val="single"/>
              </w:rPr>
              <w:t xml:space="preserve"> </w:t>
            </w:r>
            <w:r>
              <w:rPr>
                <w:rFonts w:hint="eastAsia" w:ascii="宋体" w:hAnsi="宋体" w:eastAsia="宋体" w:cs="宋体"/>
                <w:b/>
                <w:bCs/>
                <w:snapToGrid w:val="0"/>
                <w:color w:val="auto"/>
                <w:kern w:val="0"/>
                <w:sz w:val="22"/>
                <w:szCs w:val="22"/>
                <w:highlight w:val="none"/>
              </w:rPr>
              <w:t>分。</w:t>
            </w:r>
          </w:p>
        </w:tc>
      </w:tr>
      <w:tr w14:paraId="715481E6">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5E5B5EE4">
            <w:pPr>
              <w:pStyle w:val="11"/>
              <w:keepNext w:val="0"/>
              <w:keepLines w:val="0"/>
              <w:pageBreakBefore w:val="0"/>
              <w:tabs>
                <w:tab w:val="left" w:pos="1354"/>
                <w:tab w:val="left" w:pos="1459"/>
                <w:tab w:val="center" w:pos="3902"/>
                <w:tab w:val="right" w:pos="7805"/>
              </w:tabs>
              <w:kinsoku/>
              <w:wordWrap w:val="0"/>
              <w:overflowPunct/>
              <w:topLinePunct w:val="0"/>
              <w:autoSpaceDE/>
              <w:autoSpaceDN/>
              <w:bidi w:val="0"/>
              <w:adjustRightInd w:val="0"/>
              <w:snapToGrid w:val="0"/>
              <w:spacing w:after="0" w:afterLines="0" w:line="360" w:lineRule="auto"/>
              <w:jc w:val="center"/>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评分因素</w:t>
            </w:r>
          </w:p>
        </w:tc>
        <w:tc>
          <w:tcPr>
            <w:tcW w:w="4065" w:type="dxa"/>
            <w:tcBorders>
              <w:top w:val="single" w:color="auto" w:sz="4" w:space="0"/>
              <w:left w:val="single" w:color="auto" w:sz="4" w:space="0"/>
              <w:bottom w:val="single" w:color="auto" w:sz="4" w:space="0"/>
              <w:right w:val="single" w:color="auto" w:sz="4" w:space="0"/>
            </w:tcBorders>
            <w:noWrap w:val="0"/>
            <w:vAlign w:val="center"/>
          </w:tcPr>
          <w:p w14:paraId="63478C55">
            <w:pPr>
              <w:pStyle w:val="11"/>
              <w:keepNext w:val="0"/>
              <w:keepLines w:val="0"/>
              <w:pageBreakBefore w:val="0"/>
              <w:tabs>
                <w:tab w:val="left" w:pos="1354"/>
                <w:tab w:val="left" w:pos="1459"/>
                <w:tab w:val="center" w:pos="3902"/>
                <w:tab w:val="right" w:pos="7805"/>
              </w:tabs>
              <w:kinsoku/>
              <w:wordWrap w:val="0"/>
              <w:overflowPunct/>
              <w:topLinePunct w:val="0"/>
              <w:autoSpaceDE/>
              <w:autoSpaceDN/>
              <w:bidi w:val="0"/>
              <w:adjustRightInd w:val="0"/>
              <w:snapToGrid w:val="0"/>
              <w:spacing w:after="0" w:afterLines="0" w:line="360" w:lineRule="auto"/>
              <w:jc w:val="center"/>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评分标准</w:t>
            </w:r>
          </w:p>
        </w:tc>
        <w:tc>
          <w:tcPr>
            <w:tcW w:w="5295" w:type="dxa"/>
            <w:tcBorders>
              <w:top w:val="single" w:color="auto" w:sz="4" w:space="0"/>
              <w:left w:val="single" w:color="auto" w:sz="4" w:space="0"/>
              <w:bottom w:val="single" w:color="auto" w:sz="4" w:space="0"/>
              <w:right w:val="single" w:color="auto" w:sz="4" w:space="0"/>
            </w:tcBorders>
            <w:noWrap w:val="0"/>
            <w:vAlign w:val="center"/>
          </w:tcPr>
          <w:p w14:paraId="2DD875DA">
            <w:pPr>
              <w:pStyle w:val="11"/>
              <w:keepNext w:val="0"/>
              <w:keepLines w:val="0"/>
              <w:pageBreakBefore w:val="0"/>
              <w:tabs>
                <w:tab w:val="left" w:pos="1354"/>
                <w:tab w:val="left" w:pos="1459"/>
                <w:tab w:val="center" w:pos="3902"/>
                <w:tab w:val="right" w:pos="7805"/>
              </w:tabs>
              <w:kinsoku/>
              <w:wordWrap w:val="0"/>
              <w:overflowPunct/>
              <w:topLinePunct w:val="0"/>
              <w:autoSpaceDE/>
              <w:autoSpaceDN/>
              <w:bidi w:val="0"/>
              <w:adjustRightInd w:val="0"/>
              <w:snapToGrid w:val="0"/>
              <w:spacing w:after="0" w:afterLines="0" w:line="360" w:lineRule="auto"/>
              <w:jc w:val="center"/>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备注</w:t>
            </w:r>
          </w:p>
        </w:tc>
      </w:tr>
      <w:tr w14:paraId="59847AB3">
        <w:tblPrEx>
          <w:tblCellMar>
            <w:top w:w="0" w:type="dxa"/>
            <w:left w:w="108" w:type="dxa"/>
            <w:bottom w:w="0" w:type="dxa"/>
            <w:right w:w="108" w:type="dxa"/>
          </w:tblCellMar>
        </w:tblPrEx>
        <w:trPr>
          <w:trHeight w:val="318"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048EA7C5">
            <w:pPr>
              <w:widowControl w:val="0"/>
              <w:wordWrap w:val="0"/>
              <w:adjustRightInd w:val="0"/>
              <w:snapToGrid w:val="0"/>
              <w:spacing w:after="0" w:afterLines="0" w:afterAutospacing="0" w:line="360" w:lineRule="auto"/>
              <w:jc w:val="center"/>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lang w:val="en-US" w:eastAsia="zh-CN" w:bidi="ar-SA"/>
              </w:rPr>
              <w:t>企业奖项</w:t>
            </w:r>
          </w:p>
          <w:p w14:paraId="05D2A768">
            <w:pPr>
              <w:widowControl w:val="0"/>
              <w:wordWrap w:val="0"/>
              <w:adjustRightInd w:val="0"/>
              <w:snapToGrid w:val="0"/>
              <w:spacing w:after="0" w:afterLines="0" w:afterAutospacing="0"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b w:val="0"/>
                <w:bCs w:val="0"/>
                <w:snapToGrid w:val="0"/>
                <w:color w:val="auto"/>
                <w:kern w:val="0"/>
                <w:sz w:val="24"/>
                <w:szCs w:val="24"/>
                <w:highlight w:val="none"/>
                <w:lang w:val="en-US" w:eastAsia="zh-CN" w:bidi="ar-SA"/>
              </w:rPr>
              <w:t>（15分）</w:t>
            </w:r>
          </w:p>
        </w:tc>
        <w:tc>
          <w:tcPr>
            <w:tcW w:w="4065" w:type="dxa"/>
            <w:tcBorders>
              <w:top w:val="single" w:color="auto" w:sz="4" w:space="0"/>
              <w:left w:val="single" w:color="auto" w:sz="4" w:space="0"/>
              <w:bottom w:val="single" w:color="auto" w:sz="4" w:space="0"/>
              <w:right w:val="single" w:color="auto" w:sz="4" w:space="0"/>
            </w:tcBorders>
            <w:noWrap w:val="0"/>
            <w:vAlign w:val="center"/>
          </w:tcPr>
          <w:p w14:paraId="2C7CC265">
            <w:pPr>
              <w:widowControl w:val="0"/>
              <w:wordWrap w:val="0"/>
              <w:adjustRightInd w:val="0"/>
              <w:snapToGrid w:val="0"/>
              <w:spacing w:after="0" w:afterLines="0" w:afterAutospacing="0" w:line="360" w:lineRule="auto"/>
              <w:jc w:val="both"/>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lang w:val="en-US" w:eastAsia="zh-CN" w:bidi="ar-SA"/>
              </w:rPr>
              <w:t>企业2020年1月1日至今获得工程类奖项情况：</w:t>
            </w:r>
          </w:p>
          <w:p w14:paraId="64F1D381">
            <w:pPr>
              <w:widowControl w:val="0"/>
              <w:wordWrap w:val="0"/>
              <w:adjustRightInd w:val="0"/>
              <w:snapToGrid w:val="0"/>
              <w:spacing w:after="0" w:afterLines="0" w:afterAutospacing="0" w:line="360" w:lineRule="auto"/>
              <w:jc w:val="both"/>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lang w:val="en-US" w:eastAsia="zh-CN" w:bidi="ar-SA"/>
              </w:rPr>
              <w:t>1．获得国家级奖项的，每个得</w:t>
            </w:r>
            <w:r>
              <w:rPr>
                <w:rFonts w:hint="eastAsia" w:ascii="宋体" w:hAnsi="宋体" w:eastAsia="宋体" w:cs="宋体"/>
                <w:b w:val="0"/>
                <w:bCs w:val="0"/>
                <w:snapToGrid w:val="0"/>
                <w:color w:val="auto"/>
                <w:kern w:val="0"/>
                <w:sz w:val="24"/>
                <w:szCs w:val="24"/>
                <w:highlight w:val="none"/>
                <w:u w:val="single"/>
                <w:lang w:val="en-US" w:eastAsia="zh-CN" w:bidi="ar-SA"/>
              </w:rPr>
              <w:t xml:space="preserve"> 10 </w:t>
            </w:r>
            <w:r>
              <w:rPr>
                <w:rFonts w:hint="eastAsia" w:ascii="宋体" w:hAnsi="宋体" w:eastAsia="宋体" w:cs="宋体"/>
                <w:b w:val="0"/>
                <w:bCs w:val="0"/>
                <w:snapToGrid w:val="0"/>
                <w:color w:val="auto"/>
                <w:kern w:val="0"/>
                <w:sz w:val="24"/>
                <w:szCs w:val="24"/>
                <w:highlight w:val="none"/>
                <w:lang w:val="en-US" w:eastAsia="zh-CN" w:bidi="ar-SA"/>
              </w:rPr>
              <w:t>分。</w:t>
            </w:r>
          </w:p>
          <w:p w14:paraId="654D392D">
            <w:pPr>
              <w:widowControl w:val="0"/>
              <w:wordWrap w:val="0"/>
              <w:adjustRightInd w:val="0"/>
              <w:snapToGrid w:val="0"/>
              <w:spacing w:after="0" w:afterLines="0" w:afterAutospacing="0" w:line="360" w:lineRule="auto"/>
              <w:jc w:val="both"/>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lang w:val="en-US" w:eastAsia="zh-CN" w:bidi="ar-SA"/>
              </w:rPr>
              <w:t>2.获得省级奖项的，每个得</w:t>
            </w:r>
            <w:r>
              <w:rPr>
                <w:rFonts w:hint="eastAsia" w:ascii="宋体" w:hAnsi="宋体" w:eastAsia="宋体" w:cs="宋体"/>
                <w:b w:val="0"/>
                <w:bCs w:val="0"/>
                <w:snapToGrid w:val="0"/>
                <w:color w:val="auto"/>
                <w:kern w:val="0"/>
                <w:sz w:val="24"/>
                <w:szCs w:val="24"/>
                <w:highlight w:val="none"/>
                <w:u w:val="single"/>
                <w:lang w:val="en-US" w:eastAsia="zh-CN" w:bidi="ar-SA"/>
              </w:rPr>
              <w:t xml:space="preserve"> 8 </w:t>
            </w:r>
            <w:r>
              <w:rPr>
                <w:rFonts w:hint="eastAsia" w:ascii="宋体" w:hAnsi="宋体" w:eastAsia="宋体" w:cs="宋体"/>
                <w:b w:val="0"/>
                <w:bCs w:val="0"/>
                <w:snapToGrid w:val="0"/>
                <w:color w:val="auto"/>
                <w:kern w:val="0"/>
                <w:sz w:val="24"/>
                <w:szCs w:val="24"/>
                <w:highlight w:val="none"/>
                <w:lang w:val="en-US" w:eastAsia="zh-CN" w:bidi="ar-SA"/>
              </w:rPr>
              <w:t>分。</w:t>
            </w:r>
          </w:p>
          <w:p w14:paraId="49A8BC6B">
            <w:pPr>
              <w:widowControl w:val="0"/>
              <w:wordWrap w:val="0"/>
              <w:adjustRightInd w:val="0"/>
              <w:snapToGrid w:val="0"/>
              <w:spacing w:after="0" w:afterLines="0" w:afterAutospacing="0" w:line="360" w:lineRule="auto"/>
              <w:jc w:val="both"/>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lang w:val="en-US" w:eastAsia="zh-CN" w:bidi="ar-SA"/>
              </w:rPr>
              <w:t>3．获得地市级奖项的，每个得</w:t>
            </w:r>
            <w:r>
              <w:rPr>
                <w:rFonts w:hint="eastAsia" w:ascii="宋体" w:hAnsi="宋体" w:eastAsia="宋体" w:cs="宋体"/>
                <w:b w:val="0"/>
                <w:bCs w:val="0"/>
                <w:snapToGrid w:val="0"/>
                <w:color w:val="auto"/>
                <w:kern w:val="0"/>
                <w:sz w:val="24"/>
                <w:szCs w:val="24"/>
                <w:highlight w:val="none"/>
                <w:u w:val="single"/>
                <w:lang w:val="en-US" w:eastAsia="zh-CN" w:bidi="ar-SA"/>
              </w:rPr>
              <w:t xml:space="preserve"> 5 </w:t>
            </w:r>
            <w:r>
              <w:rPr>
                <w:rFonts w:hint="eastAsia" w:ascii="宋体" w:hAnsi="宋体" w:eastAsia="宋体" w:cs="宋体"/>
                <w:b w:val="0"/>
                <w:bCs w:val="0"/>
                <w:snapToGrid w:val="0"/>
                <w:color w:val="auto"/>
                <w:kern w:val="0"/>
                <w:sz w:val="24"/>
                <w:szCs w:val="24"/>
                <w:highlight w:val="none"/>
                <w:lang w:val="en-US" w:eastAsia="zh-CN" w:bidi="ar-SA"/>
              </w:rPr>
              <w:t>分。</w:t>
            </w:r>
          </w:p>
          <w:p w14:paraId="0AE149A5">
            <w:pPr>
              <w:widowControl w:val="0"/>
              <w:wordWrap w:val="0"/>
              <w:adjustRightInd w:val="0"/>
              <w:snapToGrid w:val="0"/>
              <w:spacing w:after="0" w:afterLines="0" w:afterAutospacing="0" w:line="360" w:lineRule="auto"/>
              <w:jc w:val="both"/>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lang w:val="en-US" w:eastAsia="zh-CN" w:bidi="ar-SA"/>
              </w:rPr>
              <w:t>4．以上奖项均未获得的，不予计分。</w:t>
            </w:r>
          </w:p>
          <w:p w14:paraId="7C25CDC0">
            <w:pPr>
              <w:widowControl w:val="0"/>
              <w:wordWrap w:val="0"/>
              <w:adjustRightInd w:val="0"/>
              <w:snapToGrid w:val="0"/>
              <w:spacing w:after="0" w:afterLines="0" w:afterAutospacing="0" w:line="360" w:lineRule="auto"/>
              <w:jc w:val="both"/>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lang w:val="en-US" w:eastAsia="zh-CN" w:bidi="ar-SA"/>
              </w:rPr>
              <w:t>5．本项最高得15分。</w:t>
            </w:r>
          </w:p>
          <w:p w14:paraId="2BEAFDF0">
            <w:pPr>
              <w:widowControl w:val="0"/>
              <w:wordWrap w:val="0"/>
              <w:adjustRightInd w:val="0"/>
              <w:snapToGrid w:val="0"/>
              <w:spacing w:after="0" w:afterLines="0" w:afterAutospacing="0" w:line="360" w:lineRule="auto"/>
              <w:jc w:val="both"/>
              <w:rPr>
                <w:rFonts w:hint="eastAsia" w:ascii="宋体" w:hAnsi="宋体" w:eastAsia="宋体" w:cs="宋体"/>
                <w:b w:val="0"/>
                <w:bCs w:val="0"/>
                <w:snapToGrid w:val="0"/>
                <w:color w:val="auto"/>
                <w:kern w:val="0"/>
                <w:sz w:val="24"/>
                <w:szCs w:val="24"/>
                <w:highlight w:val="none"/>
                <w:lang w:val="en-US" w:eastAsia="zh-CN" w:bidi="ar-SA"/>
              </w:rPr>
            </w:pPr>
          </w:p>
          <w:p w14:paraId="7CA9EE6B">
            <w:pPr>
              <w:widowControl w:val="0"/>
              <w:wordWrap w:val="0"/>
              <w:adjustRightInd w:val="0"/>
              <w:snapToGrid w:val="0"/>
              <w:spacing w:after="0" w:afterLines="0" w:afterAutospacing="0" w:line="360" w:lineRule="auto"/>
              <w:jc w:val="both"/>
              <w:rPr>
                <w:rFonts w:hint="eastAsia" w:ascii="宋体" w:hAnsi="宋体" w:eastAsia="宋体" w:cs="宋体"/>
                <w:snapToGrid w:val="0"/>
                <w:color w:val="auto"/>
                <w:kern w:val="0"/>
                <w:sz w:val="22"/>
                <w:szCs w:val="22"/>
                <w:highlight w:val="none"/>
              </w:rPr>
            </w:pPr>
          </w:p>
        </w:tc>
        <w:tc>
          <w:tcPr>
            <w:tcW w:w="5295" w:type="dxa"/>
            <w:tcBorders>
              <w:top w:val="single" w:color="auto" w:sz="4" w:space="0"/>
              <w:left w:val="single" w:color="auto" w:sz="4" w:space="0"/>
              <w:bottom w:val="single" w:color="auto" w:sz="4" w:space="0"/>
              <w:right w:val="single" w:color="auto" w:sz="4" w:space="0"/>
            </w:tcBorders>
            <w:noWrap w:val="0"/>
            <w:vAlign w:val="center"/>
          </w:tcPr>
          <w:p w14:paraId="1F1EFD91">
            <w:pPr>
              <w:widowControl w:val="0"/>
              <w:wordWrap w:val="0"/>
              <w:adjustRightInd w:val="0"/>
              <w:snapToGrid w:val="0"/>
              <w:spacing w:after="0" w:afterLines="0" w:afterAutospacing="0" w:line="360" w:lineRule="auto"/>
              <w:jc w:val="both"/>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lang w:val="en-US" w:eastAsia="zh-CN" w:bidi="ar-SA"/>
              </w:rPr>
              <w:t>1．允许投标人提交多个业绩，但同一业绩只按最高级别奖项计分一次。</w:t>
            </w:r>
          </w:p>
          <w:p w14:paraId="4F853D85">
            <w:pPr>
              <w:widowControl w:val="0"/>
              <w:wordWrap w:val="0"/>
              <w:adjustRightInd w:val="0"/>
              <w:snapToGrid w:val="0"/>
              <w:spacing w:after="0" w:afterLines="0" w:afterAutospacing="0" w:line="360" w:lineRule="auto"/>
              <w:jc w:val="both"/>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lang w:val="en-US" w:eastAsia="zh-CN" w:bidi="ar-SA"/>
              </w:rPr>
              <w:t>2.需附有关奖项证明扫描件（或打印件）。</w:t>
            </w:r>
          </w:p>
          <w:p w14:paraId="466F84EF">
            <w:pPr>
              <w:widowControl w:val="0"/>
              <w:wordWrap w:val="0"/>
              <w:adjustRightInd w:val="0"/>
              <w:snapToGrid w:val="0"/>
              <w:spacing w:after="0" w:afterLines="0" w:afterAutospacing="0" w:line="360" w:lineRule="auto"/>
              <w:jc w:val="both"/>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lang w:val="en-US" w:eastAsia="zh-CN" w:bidi="ar-SA"/>
              </w:rPr>
              <w:t>3．颁发机构限定以下范围：</w:t>
            </w:r>
          </w:p>
          <w:p w14:paraId="63B11F09">
            <w:pPr>
              <w:widowControl w:val="0"/>
              <w:wordWrap w:val="0"/>
              <w:adjustRightInd w:val="0"/>
              <w:snapToGrid w:val="0"/>
              <w:spacing w:after="0" w:afterLines="0" w:afterAutospacing="0" w:line="360" w:lineRule="auto"/>
              <w:jc w:val="both"/>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lang w:val="en-US" w:eastAsia="zh-CN" w:bidi="ar-SA"/>
              </w:rPr>
              <w:t>①国家级奖项：</w:t>
            </w:r>
            <w:r>
              <w:rPr>
                <w:rFonts w:hint="eastAsia" w:ascii="宋体" w:hAnsi="宋体" w:eastAsia="宋体" w:cs="宋体"/>
                <w:b w:val="0"/>
                <w:bCs w:val="0"/>
                <w:snapToGrid w:val="0"/>
                <w:color w:val="auto"/>
                <w:kern w:val="0"/>
                <w:sz w:val="24"/>
                <w:szCs w:val="24"/>
                <w:highlight w:val="none"/>
                <w:u w:val="single"/>
                <w:lang w:val="en-US" w:eastAsia="zh-CN" w:bidi="ar-SA"/>
              </w:rPr>
              <w:t>国务院、住建部、中国市政行业协会、中国建筑业协会</w:t>
            </w:r>
            <w:r>
              <w:rPr>
                <w:rFonts w:hint="eastAsia" w:ascii="宋体" w:hAnsi="宋体" w:eastAsia="宋体" w:cs="宋体"/>
                <w:b w:val="0"/>
                <w:bCs w:val="0"/>
                <w:snapToGrid w:val="0"/>
                <w:color w:val="auto"/>
                <w:kern w:val="0"/>
                <w:sz w:val="24"/>
                <w:szCs w:val="24"/>
                <w:highlight w:val="none"/>
                <w:lang w:val="en-US" w:eastAsia="zh-CN" w:bidi="ar-SA"/>
              </w:rPr>
              <w:t>；（相关协会需经民政部门备案，须提供备案截图，否则不得分）；</w:t>
            </w:r>
          </w:p>
          <w:p w14:paraId="43697938">
            <w:pPr>
              <w:widowControl w:val="0"/>
              <w:wordWrap w:val="0"/>
              <w:adjustRightInd w:val="0"/>
              <w:snapToGrid w:val="0"/>
              <w:spacing w:after="0" w:afterLines="0" w:afterAutospacing="0" w:line="360" w:lineRule="auto"/>
              <w:jc w:val="both"/>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lang w:val="en-US" w:eastAsia="zh-CN" w:bidi="ar-SA"/>
              </w:rPr>
              <w:t>②省级奖项：</w:t>
            </w:r>
            <w:r>
              <w:rPr>
                <w:rFonts w:hint="eastAsia" w:ascii="宋体" w:hAnsi="宋体" w:eastAsia="宋体" w:cs="宋体"/>
                <w:b w:val="0"/>
                <w:bCs w:val="0"/>
                <w:snapToGrid w:val="0"/>
                <w:color w:val="auto"/>
                <w:kern w:val="0"/>
                <w:sz w:val="24"/>
                <w:szCs w:val="24"/>
                <w:highlight w:val="none"/>
                <w:u w:val="single"/>
                <w:lang w:val="en-US" w:eastAsia="zh-CN" w:bidi="ar-SA"/>
              </w:rPr>
              <w:t xml:space="preserve">省级人民政府、省级建设行政主管部门、省市政行业协会、省建筑业协会 </w:t>
            </w:r>
            <w:r>
              <w:rPr>
                <w:rFonts w:hint="eastAsia" w:ascii="宋体" w:hAnsi="宋体" w:eastAsia="宋体" w:cs="宋体"/>
                <w:b w:val="0"/>
                <w:bCs w:val="0"/>
                <w:snapToGrid w:val="0"/>
                <w:color w:val="auto"/>
                <w:kern w:val="0"/>
                <w:sz w:val="24"/>
                <w:szCs w:val="24"/>
                <w:highlight w:val="none"/>
                <w:lang w:val="en-US" w:eastAsia="zh-CN" w:bidi="ar-SA"/>
              </w:rPr>
              <w:t>；（相关协会需经民政部门备案，须提供备案截图，否则不得分）；</w:t>
            </w:r>
          </w:p>
          <w:p w14:paraId="7E1ED98A">
            <w:pPr>
              <w:widowControl w:val="0"/>
              <w:wordWrap w:val="0"/>
              <w:adjustRightInd w:val="0"/>
              <w:snapToGrid w:val="0"/>
              <w:spacing w:after="0" w:afterLines="0" w:afterAutospacing="0" w:line="360" w:lineRule="auto"/>
              <w:jc w:val="both"/>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lang w:val="en-US" w:eastAsia="zh-CN" w:bidi="ar-SA"/>
              </w:rPr>
              <w:t>③地市级奖项：</w:t>
            </w:r>
            <w:r>
              <w:rPr>
                <w:rFonts w:hint="eastAsia" w:ascii="宋体" w:hAnsi="宋体" w:eastAsia="宋体" w:cs="宋体"/>
                <w:b w:val="0"/>
                <w:bCs w:val="0"/>
                <w:snapToGrid w:val="0"/>
                <w:color w:val="auto"/>
                <w:kern w:val="0"/>
                <w:sz w:val="24"/>
                <w:szCs w:val="24"/>
                <w:highlight w:val="none"/>
                <w:u w:val="single"/>
                <w:lang w:val="en-US" w:eastAsia="zh-CN" w:bidi="ar-SA"/>
              </w:rPr>
              <w:t>地市级人民政府、地市级建设行政主管部门、地市级市政行业协会、地市级建筑业协会</w:t>
            </w:r>
            <w:r>
              <w:rPr>
                <w:rFonts w:hint="eastAsia" w:hAnsi="宋体" w:eastAsia="宋体" w:cs="宋体"/>
                <w:b w:val="0"/>
                <w:bCs w:val="0"/>
                <w:snapToGrid w:val="0"/>
                <w:color w:val="auto"/>
                <w:kern w:val="0"/>
                <w:sz w:val="24"/>
                <w:szCs w:val="24"/>
                <w:highlight w:val="none"/>
                <w:u w:val="none"/>
                <w:lang w:val="en-US" w:eastAsia="zh-CN" w:bidi="ar-SA"/>
              </w:rPr>
              <w:t>；</w:t>
            </w:r>
            <w:r>
              <w:rPr>
                <w:rFonts w:hint="eastAsia" w:ascii="宋体" w:hAnsi="宋体" w:eastAsia="宋体" w:cs="宋体"/>
                <w:b w:val="0"/>
                <w:bCs w:val="0"/>
                <w:snapToGrid w:val="0"/>
                <w:color w:val="auto"/>
                <w:kern w:val="0"/>
                <w:sz w:val="24"/>
                <w:szCs w:val="24"/>
                <w:highlight w:val="none"/>
                <w:lang w:val="en-US" w:eastAsia="zh-CN" w:bidi="ar-SA"/>
              </w:rPr>
              <w:t>（相关协会需经民政部门备案，须提供备案截图，否则不得分）。</w:t>
            </w:r>
          </w:p>
          <w:p w14:paraId="4475C305">
            <w:pPr>
              <w:widowControl w:val="0"/>
              <w:wordWrap w:val="0"/>
              <w:adjustRightInd w:val="0"/>
              <w:snapToGrid w:val="0"/>
              <w:spacing w:after="0" w:afterLines="0" w:afterAutospacing="0" w:line="360" w:lineRule="auto"/>
              <w:jc w:val="both"/>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lang w:val="en-US" w:eastAsia="zh-CN" w:bidi="ar-SA"/>
              </w:rPr>
              <w:t>4．获奖时间以奖项证明的落款日期为准。</w:t>
            </w:r>
          </w:p>
          <w:p w14:paraId="02D25165">
            <w:pPr>
              <w:widowControl w:val="0"/>
              <w:wordWrap w:val="0"/>
              <w:adjustRightInd w:val="0"/>
              <w:snapToGrid w:val="0"/>
              <w:spacing w:after="0" w:afterLines="0" w:afterAutospacing="0" w:line="360" w:lineRule="auto"/>
              <w:jc w:val="both"/>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lang w:val="en-US" w:eastAsia="zh-CN" w:bidi="ar-SA"/>
              </w:rPr>
              <w:t>5．任一奖项有以下情形之一的，该奖项视为无效，不予计分：</w:t>
            </w:r>
          </w:p>
          <w:p w14:paraId="637668B1">
            <w:pPr>
              <w:widowControl w:val="0"/>
              <w:wordWrap w:val="0"/>
              <w:adjustRightInd w:val="0"/>
              <w:snapToGrid w:val="0"/>
              <w:spacing w:after="0" w:afterLines="0" w:afterAutospacing="0" w:line="360" w:lineRule="auto"/>
              <w:jc w:val="both"/>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lang w:val="en-US" w:eastAsia="zh-CN" w:bidi="ar-SA"/>
              </w:rPr>
              <w:t>①奖项不属于指定类别的；</w:t>
            </w:r>
          </w:p>
          <w:p w14:paraId="13DB6922">
            <w:pPr>
              <w:widowControl w:val="0"/>
              <w:wordWrap w:val="0"/>
              <w:adjustRightInd w:val="0"/>
              <w:snapToGrid w:val="0"/>
              <w:spacing w:after="0" w:afterLines="0" w:afterAutospacing="0" w:line="360" w:lineRule="auto"/>
              <w:jc w:val="both"/>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lang w:val="en-US" w:eastAsia="zh-CN" w:bidi="ar-SA"/>
              </w:rPr>
              <w:t>②颁发机构不符合要求的；</w:t>
            </w:r>
          </w:p>
          <w:p w14:paraId="4F2AEBDD">
            <w:pPr>
              <w:widowControl w:val="0"/>
              <w:wordWrap w:val="0"/>
              <w:adjustRightInd w:val="0"/>
              <w:snapToGrid w:val="0"/>
              <w:spacing w:after="0" w:afterLines="0" w:afterAutospacing="0" w:line="360" w:lineRule="auto"/>
              <w:jc w:val="both"/>
              <w:rPr>
                <w:rFonts w:hint="eastAsia" w:ascii="宋体" w:hAnsi="宋体" w:eastAsia="宋体" w:cs="宋体"/>
                <w:snapToGrid w:val="0"/>
                <w:color w:val="auto"/>
                <w:kern w:val="0"/>
                <w:sz w:val="22"/>
                <w:szCs w:val="22"/>
                <w:highlight w:val="none"/>
              </w:rPr>
            </w:pPr>
            <w:r>
              <w:rPr>
                <w:rFonts w:hint="eastAsia" w:ascii="宋体" w:hAnsi="宋体" w:eastAsia="宋体" w:cs="宋体"/>
                <w:b w:val="0"/>
                <w:bCs w:val="0"/>
                <w:snapToGrid w:val="0"/>
                <w:color w:val="auto"/>
                <w:kern w:val="0"/>
                <w:sz w:val="24"/>
                <w:szCs w:val="24"/>
                <w:highlight w:val="none"/>
                <w:lang w:val="en-US" w:eastAsia="zh-CN" w:bidi="ar-SA"/>
              </w:rPr>
              <w:t>③获奖时间不符合要求的。</w:t>
            </w:r>
          </w:p>
        </w:tc>
      </w:tr>
      <w:tr w14:paraId="6C4C3AA6">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3EC0AA48">
            <w:pPr>
              <w:widowControl w:val="0"/>
              <w:wordWrap w:val="0"/>
              <w:adjustRightInd w:val="0"/>
              <w:snapToGrid w:val="0"/>
              <w:spacing w:after="0" w:afterLines="0" w:afterAutospacing="0" w:line="360" w:lineRule="auto"/>
              <w:jc w:val="center"/>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lang w:val="en-US" w:eastAsia="zh-CN" w:bidi="ar-SA"/>
              </w:rPr>
              <w:t>企业业绩</w:t>
            </w:r>
          </w:p>
          <w:p w14:paraId="7E219F42">
            <w:pPr>
              <w:widowControl w:val="0"/>
              <w:wordWrap w:val="0"/>
              <w:adjustRightInd w:val="0"/>
              <w:snapToGrid w:val="0"/>
              <w:spacing w:after="0" w:afterLines="0" w:afterAutospacing="0"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b w:val="0"/>
                <w:bCs w:val="0"/>
                <w:snapToGrid w:val="0"/>
                <w:color w:val="auto"/>
                <w:kern w:val="0"/>
                <w:sz w:val="24"/>
                <w:szCs w:val="24"/>
                <w:highlight w:val="none"/>
                <w:lang w:val="en-US" w:eastAsia="zh-CN" w:bidi="ar-SA"/>
              </w:rPr>
              <w:t>（10分）</w:t>
            </w:r>
          </w:p>
        </w:tc>
        <w:tc>
          <w:tcPr>
            <w:tcW w:w="4065" w:type="dxa"/>
            <w:tcBorders>
              <w:top w:val="single" w:color="auto" w:sz="4" w:space="0"/>
              <w:left w:val="single" w:color="auto" w:sz="4" w:space="0"/>
              <w:bottom w:val="single" w:color="auto" w:sz="4" w:space="0"/>
              <w:right w:val="single" w:color="auto" w:sz="4" w:space="0"/>
            </w:tcBorders>
            <w:noWrap w:val="0"/>
            <w:vAlign w:val="center"/>
          </w:tcPr>
          <w:p w14:paraId="2AE75CEF">
            <w:pPr>
              <w:wordWrap w:val="0"/>
              <w:adjustRightInd w:val="0"/>
              <w:snapToGrid w:val="0"/>
              <w:spacing w:line="360" w:lineRule="auto"/>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企业</w:t>
            </w:r>
            <w:r>
              <w:rPr>
                <w:rFonts w:hint="eastAsia" w:ascii="宋体" w:hAnsi="宋体" w:eastAsia="宋体" w:cs="宋体"/>
                <w:b w:val="0"/>
                <w:bCs w:val="0"/>
                <w:snapToGrid w:val="0"/>
                <w:color w:val="auto"/>
                <w:kern w:val="0"/>
                <w:sz w:val="24"/>
                <w:szCs w:val="24"/>
                <w:highlight w:val="none"/>
                <w:lang w:val="en-US" w:eastAsia="zh-CN"/>
              </w:rPr>
              <w:t>2020</w:t>
            </w:r>
            <w:r>
              <w:rPr>
                <w:rFonts w:hint="eastAsia" w:ascii="宋体" w:hAnsi="宋体" w:eastAsia="宋体" w:cs="宋体"/>
                <w:b w:val="0"/>
                <w:bCs w:val="0"/>
                <w:snapToGrid w:val="0"/>
                <w:color w:val="auto"/>
                <w:kern w:val="0"/>
                <w:sz w:val="24"/>
                <w:szCs w:val="24"/>
                <w:highlight w:val="none"/>
              </w:rPr>
              <w:t>年</w:t>
            </w:r>
            <w:r>
              <w:rPr>
                <w:rFonts w:hint="eastAsia" w:ascii="宋体" w:hAnsi="宋体" w:eastAsia="宋体" w:cs="宋体"/>
                <w:b w:val="0"/>
                <w:bCs w:val="0"/>
                <w:snapToGrid w:val="0"/>
                <w:color w:val="auto"/>
                <w:kern w:val="0"/>
                <w:sz w:val="24"/>
                <w:szCs w:val="24"/>
                <w:highlight w:val="none"/>
                <w:lang w:val="en-US" w:eastAsia="zh-CN"/>
              </w:rPr>
              <w:t>1</w:t>
            </w:r>
            <w:r>
              <w:rPr>
                <w:rFonts w:hint="eastAsia" w:ascii="宋体" w:hAnsi="宋体" w:eastAsia="宋体" w:cs="宋体"/>
                <w:b w:val="0"/>
                <w:bCs w:val="0"/>
                <w:snapToGrid w:val="0"/>
                <w:color w:val="auto"/>
                <w:kern w:val="0"/>
                <w:sz w:val="24"/>
                <w:szCs w:val="24"/>
                <w:highlight w:val="none"/>
              </w:rPr>
              <w:t>月</w:t>
            </w:r>
            <w:r>
              <w:rPr>
                <w:rFonts w:hint="eastAsia" w:ascii="宋体" w:hAnsi="宋体" w:eastAsia="宋体" w:cs="宋体"/>
                <w:b w:val="0"/>
                <w:bCs w:val="0"/>
                <w:snapToGrid w:val="0"/>
                <w:color w:val="auto"/>
                <w:kern w:val="0"/>
                <w:sz w:val="24"/>
                <w:szCs w:val="24"/>
                <w:highlight w:val="none"/>
                <w:lang w:val="en-US" w:eastAsia="zh-CN"/>
              </w:rPr>
              <w:t>1</w:t>
            </w:r>
            <w:r>
              <w:rPr>
                <w:rFonts w:hint="eastAsia" w:ascii="宋体" w:hAnsi="宋体" w:eastAsia="宋体" w:cs="宋体"/>
                <w:b w:val="0"/>
                <w:bCs w:val="0"/>
                <w:snapToGrid w:val="0"/>
                <w:color w:val="auto"/>
                <w:kern w:val="0"/>
                <w:sz w:val="24"/>
                <w:szCs w:val="24"/>
                <w:highlight w:val="none"/>
              </w:rPr>
              <w:t>日至</w:t>
            </w:r>
            <w:r>
              <w:rPr>
                <w:rFonts w:hint="eastAsia" w:ascii="宋体" w:hAnsi="宋体" w:eastAsia="宋体" w:cs="宋体"/>
                <w:b w:val="0"/>
                <w:bCs w:val="0"/>
                <w:snapToGrid w:val="0"/>
                <w:color w:val="auto"/>
                <w:kern w:val="0"/>
                <w:sz w:val="24"/>
                <w:szCs w:val="24"/>
                <w:highlight w:val="none"/>
                <w:lang w:val="en-US" w:eastAsia="zh-CN"/>
              </w:rPr>
              <w:t>今</w:t>
            </w:r>
            <w:r>
              <w:rPr>
                <w:rFonts w:hint="eastAsia" w:ascii="宋体" w:hAnsi="宋体" w:eastAsia="宋体" w:cs="宋体"/>
                <w:b w:val="0"/>
                <w:bCs w:val="0"/>
                <w:snapToGrid w:val="0"/>
                <w:color w:val="auto"/>
                <w:kern w:val="0"/>
                <w:sz w:val="24"/>
                <w:szCs w:val="24"/>
                <w:highlight w:val="none"/>
              </w:rPr>
              <w:t>业绩情况：</w:t>
            </w:r>
          </w:p>
          <w:p w14:paraId="4820D3AB">
            <w:pPr>
              <w:wordWrap w:val="0"/>
              <w:adjustRightInd w:val="0"/>
              <w:snapToGrid w:val="0"/>
              <w:spacing w:line="360" w:lineRule="auto"/>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1．</w:t>
            </w:r>
            <w:r>
              <w:rPr>
                <w:rFonts w:hint="eastAsia" w:ascii="宋体" w:hAnsi="宋体" w:eastAsia="宋体" w:cs="宋体"/>
                <w:b w:val="0"/>
                <w:bCs w:val="0"/>
                <w:snapToGrid w:val="0"/>
                <w:color w:val="auto"/>
                <w:kern w:val="0"/>
                <w:sz w:val="24"/>
                <w:szCs w:val="24"/>
                <w:highlight w:val="none"/>
                <w:u w:val="single"/>
              </w:rPr>
              <w:t xml:space="preserve"> 承接 </w:t>
            </w:r>
            <w:r>
              <w:rPr>
                <w:rFonts w:hint="eastAsia" w:ascii="宋体" w:hAnsi="宋体" w:eastAsia="宋体" w:cs="宋体"/>
                <w:b w:val="0"/>
                <w:bCs w:val="0"/>
                <w:snapToGrid w:val="0"/>
                <w:color w:val="auto"/>
                <w:kern w:val="0"/>
                <w:sz w:val="24"/>
                <w:szCs w:val="24"/>
                <w:highlight w:val="none"/>
              </w:rPr>
              <w:t>过类似工程的，每个得</w:t>
            </w:r>
            <w:r>
              <w:rPr>
                <w:rFonts w:hint="eastAsia" w:ascii="宋体" w:hAnsi="宋体" w:eastAsia="宋体" w:cs="宋体"/>
                <w:b w:val="0"/>
                <w:bCs w:val="0"/>
                <w:snapToGrid w:val="0"/>
                <w:color w:val="auto"/>
                <w:kern w:val="0"/>
                <w:sz w:val="24"/>
                <w:szCs w:val="24"/>
                <w:highlight w:val="none"/>
                <w:u w:val="single"/>
              </w:rPr>
              <w:t xml:space="preserve"> </w:t>
            </w:r>
            <w:r>
              <w:rPr>
                <w:rFonts w:hint="eastAsia" w:ascii="宋体" w:hAnsi="宋体" w:eastAsia="宋体" w:cs="宋体"/>
                <w:b w:val="0"/>
                <w:bCs w:val="0"/>
                <w:snapToGrid w:val="0"/>
                <w:color w:val="auto"/>
                <w:kern w:val="0"/>
                <w:sz w:val="24"/>
                <w:szCs w:val="24"/>
                <w:highlight w:val="none"/>
                <w:u w:val="single"/>
                <w:lang w:val="en-US" w:eastAsia="zh-CN"/>
              </w:rPr>
              <w:t>5</w:t>
            </w:r>
            <w:r>
              <w:rPr>
                <w:rFonts w:hint="eastAsia" w:ascii="宋体" w:hAnsi="宋体" w:eastAsia="宋体" w:cs="宋体"/>
                <w:b w:val="0"/>
                <w:bCs w:val="0"/>
                <w:snapToGrid w:val="0"/>
                <w:color w:val="auto"/>
                <w:kern w:val="0"/>
                <w:sz w:val="24"/>
                <w:szCs w:val="24"/>
                <w:highlight w:val="none"/>
              </w:rPr>
              <w:t>分。</w:t>
            </w:r>
          </w:p>
          <w:p w14:paraId="28B1EEB8">
            <w:pPr>
              <w:wordWrap w:val="0"/>
              <w:adjustRightInd w:val="0"/>
              <w:snapToGrid w:val="0"/>
              <w:spacing w:line="360" w:lineRule="auto"/>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2．未</w:t>
            </w:r>
            <w:r>
              <w:rPr>
                <w:rFonts w:hint="eastAsia" w:ascii="宋体" w:hAnsi="宋体" w:eastAsia="宋体" w:cs="宋体"/>
                <w:b w:val="0"/>
                <w:bCs w:val="0"/>
                <w:snapToGrid w:val="0"/>
                <w:color w:val="auto"/>
                <w:kern w:val="0"/>
                <w:sz w:val="24"/>
                <w:szCs w:val="24"/>
                <w:highlight w:val="none"/>
                <w:u w:val="single"/>
              </w:rPr>
              <w:t xml:space="preserve"> 承接 </w:t>
            </w:r>
            <w:r>
              <w:rPr>
                <w:rFonts w:hint="eastAsia" w:ascii="宋体" w:hAnsi="宋体" w:eastAsia="宋体" w:cs="宋体"/>
                <w:b w:val="0"/>
                <w:bCs w:val="0"/>
                <w:snapToGrid w:val="0"/>
                <w:color w:val="auto"/>
                <w:kern w:val="0"/>
                <w:sz w:val="24"/>
                <w:szCs w:val="24"/>
                <w:highlight w:val="none"/>
              </w:rPr>
              <w:t>过类似工程的，不予计分。</w:t>
            </w:r>
          </w:p>
          <w:p w14:paraId="5A08918A">
            <w:pPr>
              <w:wordWrap w:val="0"/>
              <w:adjustRightInd w:val="0"/>
              <w:snapToGrid w:val="0"/>
              <w:spacing w:line="360" w:lineRule="auto"/>
              <w:rPr>
                <w:rFonts w:hint="eastAsia" w:ascii="宋体" w:hAnsi="宋体" w:eastAsia="宋体" w:cs="宋体"/>
                <w:color w:val="auto"/>
                <w:kern w:val="0"/>
                <w:sz w:val="22"/>
                <w:szCs w:val="22"/>
                <w:highlight w:val="none"/>
              </w:rPr>
            </w:pPr>
            <w:r>
              <w:rPr>
                <w:rFonts w:hint="eastAsia" w:ascii="宋体" w:hAnsi="宋体" w:eastAsia="宋体" w:cs="宋体"/>
                <w:b w:val="0"/>
                <w:bCs w:val="0"/>
                <w:snapToGrid w:val="0"/>
                <w:color w:val="auto"/>
                <w:kern w:val="0"/>
                <w:sz w:val="24"/>
                <w:szCs w:val="24"/>
                <w:highlight w:val="none"/>
              </w:rPr>
              <w:t xml:space="preserve">3．本项最高得10分。 </w:t>
            </w:r>
          </w:p>
        </w:tc>
        <w:tc>
          <w:tcPr>
            <w:tcW w:w="5295" w:type="dxa"/>
            <w:tcBorders>
              <w:top w:val="single" w:color="auto" w:sz="4" w:space="0"/>
              <w:left w:val="single" w:color="auto" w:sz="4" w:space="0"/>
              <w:bottom w:val="single" w:color="auto" w:sz="4" w:space="0"/>
              <w:right w:val="single" w:color="auto" w:sz="4" w:space="0"/>
            </w:tcBorders>
            <w:noWrap w:val="0"/>
            <w:vAlign w:val="center"/>
          </w:tcPr>
          <w:p w14:paraId="68E333F7">
            <w:pPr>
              <w:wordWrap w:val="0"/>
              <w:adjustRightInd w:val="0"/>
              <w:snapToGrid w:val="0"/>
              <w:spacing w:line="360" w:lineRule="auto"/>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1．类似工程指：</w:t>
            </w:r>
            <w:r>
              <w:rPr>
                <w:rFonts w:hint="eastAsia" w:ascii="宋体" w:hAnsi="宋体" w:eastAsia="宋体" w:cs="宋体"/>
                <w:b w:val="0"/>
                <w:bCs w:val="0"/>
                <w:snapToGrid w:val="0"/>
                <w:color w:val="auto"/>
                <w:kern w:val="0"/>
                <w:sz w:val="24"/>
                <w:szCs w:val="24"/>
                <w:highlight w:val="none"/>
                <w:u w:val="single"/>
                <w:lang w:val="en-US" w:eastAsia="zh-CN"/>
              </w:rPr>
              <w:t>单项工程造价</w:t>
            </w:r>
            <w:r>
              <w:rPr>
                <w:rFonts w:hint="eastAsia" w:ascii="宋体" w:hAnsi="宋体" w:eastAsia="宋体" w:cs="宋体"/>
                <w:b w:val="0"/>
                <w:bCs w:val="0"/>
                <w:snapToGrid w:val="0"/>
                <w:color w:val="auto"/>
                <w:kern w:val="0"/>
                <w:sz w:val="24"/>
                <w:szCs w:val="24"/>
                <w:highlight w:val="none"/>
                <w:u w:val="single"/>
              </w:rPr>
              <w:t>≥</w:t>
            </w:r>
            <w:r>
              <w:rPr>
                <w:rFonts w:hint="eastAsia" w:ascii="宋体" w:hAnsi="宋体" w:eastAsia="宋体" w:cs="宋体"/>
                <w:b w:val="0"/>
                <w:bCs w:val="0"/>
                <w:snapToGrid w:val="0"/>
                <w:color w:val="auto"/>
                <w:kern w:val="0"/>
                <w:sz w:val="24"/>
                <w:szCs w:val="24"/>
                <w:highlight w:val="none"/>
                <w:u w:val="single"/>
                <w:lang w:val="en-US" w:eastAsia="zh-CN"/>
              </w:rPr>
              <w:t>1000</w:t>
            </w:r>
            <w:r>
              <w:rPr>
                <w:rFonts w:hint="eastAsia" w:ascii="宋体" w:hAnsi="宋体" w:eastAsia="宋体" w:cs="宋体"/>
                <w:b w:val="0"/>
                <w:bCs w:val="0"/>
                <w:snapToGrid w:val="0"/>
                <w:color w:val="auto"/>
                <w:kern w:val="0"/>
                <w:sz w:val="24"/>
                <w:szCs w:val="24"/>
                <w:highlight w:val="none"/>
                <w:u w:val="single"/>
              </w:rPr>
              <w:t>万元</w:t>
            </w:r>
            <w:r>
              <w:rPr>
                <w:rFonts w:hint="eastAsia" w:ascii="宋体" w:hAnsi="宋体" w:eastAsia="宋体" w:cs="宋体"/>
                <w:b w:val="0"/>
                <w:bCs w:val="0"/>
                <w:snapToGrid w:val="0"/>
                <w:color w:val="auto"/>
                <w:kern w:val="0"/>
                <w:sz w:val="24"/>
                <w:szCs w:val="24"/>
                <w:highlight w:val="none"/>
                <w:u w:val="single"/>
                <w:lang w:val="en-US" w:eastAsia="zh-CN"/>
              </w:rPr>
              <w:t>的</w:t>
            </w:r>
            <w:r>
              <w:rPr>
                <w:rFonts w:hint="eastAsia" w:ascii="宋体" w:hAnsi="宋体" w:eastAsia="宋体" w:cs="宋体"/>
                <w:b w:val="0"/>
                <w:bCs w:val="0"/>
                <w:snapToGrid w:val="0"/>
                <w:color w:val="auto"/>
                <w:kern w:val="0"/>
                <w:sz w:val="24"/>
                <w:szCs w:val="24"/>
                <w:highlight w:val="none"/>
                <w:u w:val="single"/>
                <w:lang w:eastAsia="zh-CN"/>
              </w:rPr>
              <w:t>市政</w:t>
            </w:r>
            <w:r>
              <w:rPr>
                <w:rFonts w:hint="eastAsia" w:hAnsi="宋体" w:eastAsia="宋体" w:cs="宋体"/>
                <w:b w:val="0"/>
                <w:bCs w:val="0"/>
                <w:snapToGrid w:val="0"/>
                <w:color w:val="auto"/>
                <w:kern w:val="0"/>
                <w:sz w:val="24"/>
                <w:szCs w:val="24"/>
                <w:highlight w:val="none"/>
                <w:u w:val="single"/>
                <w:lang w:val="en-US" w:eastAsia="zh-CN"/>
              </w:rPr>
              <w:t>类</w:t>
            </w:r>
            <w:r>
              <w:rPr>
                <w:rFonts w:hint="eastAsia" w:ascii="宋体" w:hAnsi="宋体" w:eastAsia="宋体" w:cs="宋体"/>
                <w:b w:val="0"/>
                <w:bCs w:val="0"/>
                <w:snapToGrid w:val="0"/>
                <w:color w:val="auto"/>
                <w:kern w:val="0"/>
                <w:sz w:val="24"/>
                <w:szCs w:val="24"/>
                <w:highlight w:val="none"/>
                <w:u w:val="single"/>
                <w:lang w:val="en-US" w:eastAsia="zh-CN"/>
              </w:rPr>
              <w:t>工程</w:t>
            </w:r>
            <w:r>
              <w:rPr>
                <w:rFonts w:hint="eastAsia" w:ascii="宋体" w:hAnsi="宋体" w:eastAsia="宋体" w:cs="宋体"/>
                <w:b w:val="0"/>
                <w:bCs w:val="0"/>
                <w:snapToGrid w:val="0"/>
                <w:color w:val="auto"/>
                <w:kern w:val="0"/>
                <w:sz w:val="24"/>
                <w:szCs w:val="24"/>
                <w:highlight w:val="none"/>
              </w:rPr>
              <w:t>。</w:t>
            </w:r>
          </w:p>
          <w:p w14:paraId="7E8FB961">
            <w:pPr>
              <w:wordWrap w:val="0"/>
              <w:adjustRightInd w:val="0"/>
              <w:snapToGrid w:val="0"/>
              <w:spacing w:line="360" w:lineRule="auto"/>
              <w:rPr>
                <w:rFonts w:hint="eastAsia" w:ascii="宋体" w:hAnsi="宋体" w:eastAsia="宋体" w:cs="宋体"/>
                <w:b w:val="0"/>
                <w:bCs w:val="0"/>
                <w:strike/>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2．需附有关业绩</w:t>
            </w:r>
            <w:r>
              <w:rPr>
                <w:rFonts w:hint="eastAsia" w:ascii="宋体" w:hAnsi="宋体" w:eastAsia="宋体" w:cs="宋体"/>
                <w:b w:val="0"/>
                <w:bCs w:val="0"/>
                <w:snapToGrid w:val="0"/>
                <w:color w:val="auto"/>
                <w:kern w:val="0"/>
                <w:sz w:val="24"/>
                <w:szCs w:val="24"/>
                <w:highlight w:val="none"/>
                <w:lang w:eastAsia="zh-CN"/>
              </w:rPr>
              <w:t>（</w:t>
            </w:r>
            <w:r>
              <w:rPr>
                <w:rFonts w:hint="eastAsia" w:ascii="宋体" w:hAnsi="宋体" w:eastAsia="宋体" w:cs="宋体"/>
                <w:b w:val="0"/>
                <w:bCs w:val="0"/>
                <w:snapToGrid w:val="0"/>
                <w:color w:val="auto"/>
                <w:kern w:val="0"/>
                <w:sz w:val="24"/>
                <w:szCs w:val="24"/>
                <w:highlight w:val="none"/>
                <w:lang w:val="en-US" w:eastAsia="zh-CN"/>
              </w:rPr>
              <w:t>仅限于以</w:t>
            </w:r>
            <w:r>
              <w:rPr>
                <w:rFonts w:hint="eastAsia" w:ascii="宋体" w:hAnsi="宋体" w:eastAsia="宋体" w:cs="宋体"/>
                <w:b w:val="0"/>
                <w:bCs w:val="0"/>
                <w:snapToGrid w:val="0"/>
                <w:color w:val="auto"/>
                <w:kern w:val="0"/>
                <w:sz w:val="24"/>
                <w:szCs w:val="24"/>
                <w:highlight w:val="none"/>
                <w:u w:val="single"/>
                <w:lang w:val="en-US" w:eastAsia="zh-CN"/>
              </w:rPr>
              <w:t>施工总承包单位/专业承包单位</w:t>
            </w:r>
            <w:r>
              <w:rPr>
                <w:rFonts w:hint="eastAsia" w:ascii="宋体" w:hAnsi="宋体" w:eastAsia="宋体" w:cs="宋体"/>
                <w:b w:val="0"/>
                <w:bCs w:val="0"/>
                <w:snapToGrid w:val="0"/>
                <w:color w:val="auto"/>
                <w:kern w:val="0"/>
                <w:sz w:val="24"/>
                <w:szCs w:val="24"/>
                <w:highlight w:val="none"/>
                <w:lang w:val="en-US" w:eastAsia="zh-CN"/>
              </w:rPr>
              <w:t>身份参建的项目</w:t>
            </w:r>
            <w:r>
              <w:rPr>
                <w:rFonts w:hint="eastAsia" w:ascii="宋体" w:hAnsi="宋体" w:eastAsia="宋体" w:cs="宋体"/>
                <w:b w:val="0"/>
                <w:bCs w:val="0"/>
                <w:snapToGrid w:val="0"/>
                <w:color w:val="auto"/>
                <w:kern w:val="0"/>
                <w:sz w:val="24"/>
                <w:szCs w:val="24"/>
                <w:highlight w:val="none"/>
                <w:lang w:eastAsia="zh-CN"/>
              </w:rPr>
              <w:t>）</w:t>
            </w:r>
            <w:r>
              <w:rPr>
                <w:rFonts w:hint="eastAsia" w:ascii="宋体" w:hAnsi="宋体" w:eastAsia="宋体" w:cs="宋体"/>
                <w:b w:val="0"/>
                <w:bCs w:val="0"/>
                <w:snapToGrid w:val="0"/>
                <w:color w:val="auto"/>
                <w:kern w:val="0"/>
                <w:sz w:val="24"/>
                <w:szCs w:val="24"/>
                <w:highlight w:val="none"/>
              </w:rPr>
              <w:t>合同协议书</w:t>
            </w:r>
            <w:r>
              <w:rPr>
                <w:rFonts w:hint="eastAsia" w:ascii="宋体" w:hAnsi="宋体" w:eastAsia="宋体" w:cs="宋体"/>
                <w:b w:val="0"/>
                <w:bCs w:val="0"/>
                <w:snapToGrid w:val="0"/>
                <w:color w:val="auto"/>
                <w:kern w:val="0"/>
                <w:sz w:val="24"/>
                <w:szCs w:val="24"/>
                <w:highlight w:val="none"/>
                <w:lang w:val="en-US" w:eastAsia="zh-CN"/>
              </w:rPr>
              <w:t>扫描件</w:t>
            </w:r>
            <w:r>
              <w:rPr>
                <w:rFonts w:hint="eastAsia" w:ascii="宋体" w:hAnsi="宋体" w:eastAsia="宋体" w:cs="宋体"/>
                <w:b w:val="0"/>
                <w:bCs w:val="0"/>
                <w:snapToGrid w:val="0"/>
                <w:color w:val="auto"/>
                <w:kern w:val="0"/>
                <w:sz w:val="24"/>
                <w:szCs w:val="24"/>
                <w:highlight w:val="none"/>
              </w:rPr>
              <w:t>。</w:t>
            </w:r>
          </w:p>
          <w:p w14:paraId="06B58D8E">
            <w:pPr>
              <w:wordWrap w:val="0"/>
              <w:adjustRightInd w:val="0"/>
              <w:snapToGrid w:val="0"/>
              <w:spacing w:line="360" w:lineRule="auto"/>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3．业绩时间以合同协议书日期为准。</w:t>
            </w:r>
          </w:p>
          <w:p w14:paraId="16AA5D9F">
            <w:pPr>
              <w:wordWrap w:val="0"/>
              <w:adjustRightInd w:val="0"/>
              <w:snapToGrid w:val="0"/>
              <w:spacing w:line="360" w:lineRule="auto"/>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4．任一业绩有以下情形之一的，该业绩视为无效，不予计分：</w:t>
            </w:r>
          </w:p>
          <w:p w14:paraId="70047EFA">
            <w:pPr>
              <w:wordWrap w:val="0"/>
              <w:adjustRightInd w:val="0"/>
              <w:snapToGrid w:val="0"/>
              <w:spacing w:line="360" w:lineRule="auto"/>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①业绩不属于类似工程的；</w:t>
            </w:r>
          </w:p>
          <w:p w14:paraId="661F18CC">
            <w:pPr>
              <w:wordWrap w:val="0"/>
              <w:adjustRightInd w:val="0"/>
              <w:snapToGrid w:val="0"/>
              <w:spacing w:line="360" w:lineRule="auto"/>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②不是以指定身份参建的；</w:t>
            </w:r>
          </w:p>
          <w:p w14:paraId="35ABFEF5">
            <w:pPr>
              <w:wordWrap w:val="0"/>
              <w:adjustRightInd w:val="0"/>
              <w:snapToGrid w:val="0"/>
              <w:spacing w:line="360" w:lineRule="auto"/>
              <w:rPr>
                <w:rFonts w:hint="eastAsia" w:ascii="宋体" w:hAnsi="宋体" w:eastAsia="宋体" w:cs="宋体"/>
                <w:snapToGrid w:val="0"/>
                <w:color w:val="auto"/>
                <w:kern w:val="0"/>
                <w:sz w:val="22"/>
                <w:szCs w:val="22"/>
                <w:highlight w:val="none"/>
              </w:rPr>
            </w:pPr>
            <w:r>
              <w:rPr>
                <w:rFonts w:hint="eastAsia" w:ascii="宋体" w:hAnsi="宋体" w:eastAsia="宋体" w:cs="宋体"/>
                <w:b w:val="0"/>
                <w:bCs w:val="0"/>
                <w:snapToGrid w:val="0"/>
                <w:color w:val="auto"/>
                <w:kern w:val="0"/>
                <w:sz w:val="24"/>
                <w:szCs w:val="24"/>
                <w:highlight w:val="none"/>
              </w:rPr>
              <w:t>③业绩时间不符合要求的</w:t>
            </w:r>
            <w:r>
              <w:rPr>
                <w:rFonts w:hint="eastAsia" w:ascii="宋体" w:hAnsi="宋体" w:eastAsia="宋体" w:cs="宋体"/>
                <w:b w:val="0"/>
                <w:bCs w:val="0"/>
                <w:snapToGrid w:val="0"/>
                <w:color w:val="auto"/>
                <w:kern w:val="0"/>
                <w:sz w:val="24"/>
                <w:szCs w:val="24"/>
                <w:highlight w:val="none"/>
                <w:lang w:eastAsia="zh-CN"/>
              </w:rPr>
              <w:t>。</w:t>
            </w:r>
          </w:p>
        </w:tc>
      </w:tr>
      <w:tr w14:paraId="23EEFD50">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1564A83F">
            <w:pPr>
              <w:widowControl w:val="0"/>
              <w:wordWrap w:val="0"/>
              <w:adjustRightInd w:val="0"/>
              <w:snapToGrid w:val="0"/>
              <w:spacing w:after="0" w:afterLines="0" w:afterAutospacing="0" w:line="360" w:lineRule="auto"/>
              <w:jc w:val="center"/>
              <w:rPr>
                <w:rFonts w:hint="eastAsia" w:ascii="宋体" w:hAnsi="宋体" w:eastAsia="宋体" w:cs="宋体"/>
                <w:b w:val="0"/>
                <w:bCs w:val="0"/>
                <w:snapToGrid w:val="0"/>
                <w:color w:val="auto"/>
                <w:kern w:val="0"/>
                <w:sz w:val="24"/>
                <w:szCs w:val="24"/>
                <w:highlight w:val="none"/>
                <w:lang w:val="en-US" w:eastAsia="zh-CN" w:bidi="ar"/>
              </w:rPr>
            </w:pPr>
            <w:r>
              <w:rPr>
                <w:rFonts w:hint="eastAsia" w:ascii="宋体" w:hAnsi="宋体" w:eastAsia="宋体" w:cs="宋体"/>
                <w:b w:val="0"/>
                <w:bCs w:val="0"/>
                <w:snapToGrid w:val="0"/>
                <w:color w:val="auto"/>
                <w:kern w:val="0"/>
                <w:sz w:val="24"/>
                <w:szCs w:val="24"/>
                <w:highlight w:val="none"/>
                <w:lang w:val="en-US" w:eastAsia="zh-CN" w:bidi="ar"/>
              </w:rPr>
              <w:t>企业管理</w:t>
            </w:r>
          </w:p>
          <w:p w14:paraId="478C4F50">
            <w:pPr>
              <w:widowControl w:val="0"/>
              <w:wordWrap w:val="0"/>
              <w:adjustRightInd w:val="0"/>
              <w:snapToGrid w:val="0"/>
              <w:spacing w:after="0" w:afterLines="0" w:afterAutospacing="0" w:line="360" w:lineRule="auto"/>
              <w:jc w:val="center"/>
              <w:rPr>
                <w:rFonts w:hint="eastAsia" w:ascii="宋体" w:hAnsi="宋体" w:eastAsia="宋体" w:cs="宋体"/>
                <w:b w:val="0"/>
                <w:bCs w:val="0"/>
                <w:snapToGrid w:val="0"/>
                <w:color w:val="auto"/>
                <w:kern w:val="0"/>
                <w:sz w:val="24"/>
                <w:szCs w:val="24"/>
                <w:highlight w:val="none"/>
                <w:lang w:val="en-US" w:eastAsia="zh-CN" w:bidi="ar"/>
              </w:rPr>
            </w:pPr>
            <w:r>
              <w:rPr>
                <w:rFonts w:hint="eastAsia" w:ascii="宋体" w:hAnsi="宋体" w:eastAsia="宋体" w:cs="宋体"/>
                <w:b w:val="0"/>
                <w:bCs w:val="0"/>
                <w:snapToGrid w:val="0"/>
                <w:color w:val="auto"/>
                <w:kern w:val="0"/>
                <w:sz w:val="24"/>
                <w:szCs w:val="24"/>
                <w:highlight w:val="none"/>
                <w:lang w:val="en-US" w:eastAsia="zh-CN" w:bidi="ar"/>
              </w:rPr>
              <w:t>体系认证</w:t>
            </w:r>
          </w:p>
          <w:p w14:paraId="40CF94AD">
            <w:pPr>
              <w:widowControl w:val="0"/>
              <w:wordWrap w:val="0"/>
              <w:adjustRightInd w:val="0"/>
              <w:snapToGrid w:val="0"/>
              <w:spacing w:after="0" w:afterLines="0" w:afterAutospacing="0"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b w:val="0"/>
                <w:bCs w:val="0"/>
                <w:snapToGrid w:val="0"/>
                <w:color w:val="auto"/>
                <w:kern w:val="0"/>
                <w:sz w:val="24"/>
                <w:szCs w:val="24"/>
                <w:highlight w:val="none"/>
                <w:lang w:val="en-US" w:eastAsia="zh-CN" w:bidi="ar"/>
              </w:rPr>
              <w:t>（6分）</w:t>
            </w:r>
          </w:p>
        </w:tc>
        <w:tc>
          <w:tcPr>
            <w:tcW w:w="4065" w:type="dxa"/>
            <w:tcBorders>
              <w:top w:val="single" w:color="auto" w:sz="4" w:space="0"/>
              <w:left w:val="single" w:color="auto" w:sz="4" w:space="0"/>
              <w:bottom w:val="single" w:color="auto" w:sz="4" w:space="0"/>
              <w:right w:val="single" w:color="auto" w:sz="4" w:space="0"/>
            </w:tcBorders>
            <w:noWrap w:val="0"/>
            <w:vAlign w:val="center"/>
          </w:tcPr>
          <w:p w14:paraId="3B96F0A7">
            <w:pPr>
              <w:widowControl w:val="0"/>
              <w:wordWrap w:val="0"/>
              <w:adjustRightInd w:val="0"/>
              <w:snapToGrid w:val="0"/>
              <w:spacing w:after="0" w:afterLines="0" w:afterAutospacing="0" w:line="360" w:lineRule="auto"/>
              <w:jc w:val="both"/>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lang w:val="en-US" w:eastAsia="zh-CN" w:bidi="ar-SA"/>
              </w:rPr>
              <w:t>1．质量管理体系认证</w:t>
            </w:r>
            <w:r>
              <w:rPr>
                <w:rFonts w:hint="eastAsia" w:ascii="宋体" w:hAnsi="宋体" w:eastAsia="宋体" w:cs="宋体"/>
                <w:b w:val="0"/>
                <w:bCs w:val="0"/>
                <w:snapToGrid w:val="0"/>
                <w:color w:val="auto"/>
                <w:kern w:val="0"/>
                <w:sz w:val="24"/>
                <w:szCs w:val="24"/>
                <w:highlight w:val="none"/>
                <w:lang w:val="en-US" w:eastAsia="zh-CN" w:bidi="ar"/>
              </w:rPr>
              <w:t>、</w:t>
            </w:r>
            <w:r>
              <w:rPr>
                <w:rFonts w:hint="eastAsia" w:ascii="宋体" w:hAnsi="宋体" w:eastAsia="宋体" w:cs="宋体"/>
                <w:b w:val="0"/>
                <w:bCs w:val="0"/>
                <w:snapToGrid w:val="0"/>
                <w:color w:val="auto"/>
                <w:kern w:val="0"/>
                <w:sz w:val="24"/>
                <w:szCs w:val="24"/>
                <w:highlight w:val="none"/>
                <w:lang w:val="en-US" w:eastAsia="zh-CN" w:bidi="ar-SA"/>
              </w:rPr>
              <w:t>职业健康安全管理体系认证</w:t>
            </w:r>
            <w:r>
              <w:rPr>
                <w:rFonts w:hint="eastAsia" w:ascii="宋体" w:hAnsi="宋体" w:eastAsia="宋体" w:cs="宋体"/>
                <w:b w:val="0"/>
                <w:bCs w:val="0"/>
                <w:snapToGrid w:val="0"/>
                <w:color w:val="auto"/>
                <w:kern w:val="0"/>
                <w:sz w:val="24"/>
                <w:szCs w:val="24"/>
                <w:highlight w:val="none"/>
                <w:lang w:val="en-US" w:eastAsia="zh-CN" w:bidi="ar"/>
              </w:rPr>
              <w:t>、</w:t>
            </w:r>
            <w:r>
              <w:rPr>
                <w:rFonts w:hint="eastAsia" w:ascii="宋体" w:hAnsi="宋体" w:eastAsia="宋体" w:cs="宋体"/>
                <w:b w:val="0"/>
                <w:bCs w:val="0"/>
                <w:snapToGrid w:val="0"/>
                <w:color w:val="auto"/>
                <w:kern w:val="0"/>
                <w:sz w:val="24"/>
                <w:szCs w:val="24"/>
                <w:highlight w:val="none"/>
                <w:lang w:val="en-US" w:eastAsia="zh-CN" w:bidi="ar-SA"/>
              </w:rPr>
              <w:t>环境管理体系认证</w:t>
            </w:r>
            <w:r>
              <w:rPr>
                <w:rFonts w:hint="eastAsia" w:ascii="宋体" w:hAnsi="宋体" w:eastAsia="宋体" w:cs="宋体"/>
                <w:b w:val="0"/>
                <w:bCs w:val="0"/>
                <w:snapToGrid w:val="0"/>
                <w:color w:val="auto"/>
                <w:kern w:val="0"/>
                <w:sz w:val="24"/>
                <w:szCs w:val="24"/>
                <w:highlight w:val="none"/>
                <w:lang w:val="en-US" w:eastAsia="zh-CN" w:bidi="ar"/>
              </w:rPr>
              <w:t>中，每获得1项认证</w:t>
            </w:r>
            <w:r>
              <w:rPr>
                <w:rFonts w:hint="eastAsia" w:ascii="宋体" w:hAnsi="宋体" w:eastAsia="宋体" w:cs="宋体"/>
                <w:b w:val="0"/>
                <w:bCs w:val="0"/>
                <w:snapToGrid w:val="0"/>
                <w:color w:val="auto"/>
                <w:kern w:val="0"/>
                <w:sz w:val="24"/>
                <w:szCs w:val="24"/>
                <w:highlight w:val="none"/>
                <w:lang w:val="en-US" w:eastAsia="zh-CN" w:bidi="ar-SA"/>
              </w:rPr>
              <w:t>得2分，最高得6分。</w:t>
            </w:r>
          </w:p>
          <w:p w14:paraId="28085014">
            <w:pPr>
              <w:widowControl w:val="0"/>
              <w:wordWrap w:val="0"/>
              <w:adjustRightInd w:val="0"/>
              <w:snapToGrid w:val="0"/>
              <w:spacing w:after="0" w:afterLines="0" w:afterAutospacing="0" w:line="360" w:lineRule="auto"/>
              <w:jc w:val="both"/>
              <w:rPr>
                <w:rFonts w:hint="eastAsia" w:ascii="宋体" w:hAnsi="宋体" w:eastAsia="宋体" w:cs="宋体"/>
                <w:b w:val="0"/>
                <w:bCs w:val="0"/>
                <w:caps w:val="0"/>
                <w:smallCaps w:val="0"/>
                <w:snapToGrid w:val="0"/>
                <w:color w:val="auto"/>
                <w:spacing w:val="0"/>
                <w:kern w:val="0"/>
                <w:sz w:val="22"/>
                <w:szCs w:val="22"/>
                <w:highlight w:val="none"/>
                <w:lang w:val="en-US" w:eastAsia="zh-CN"/>
              </w:rPr>
            </w:pPr>
            <w:r>
              <w:rPr>
                <w:rFonts w:hint="eastAsia" w:ascii="宋体" w:hAnsi="宋体" w:eastAsia="宋体" w:cs="宋体"/>
                <w:b w:val="0"/>
                <w:bCs w:val="0"/>
                <w:snapToGrid w:val="0"/>
                <w:color w:val="auto"/>
                <w:kern w:val="0"/>
                <w:sz w:val="24"/>
                <w:szCs w:val="24"/>
                <w:highlight w:val="none"/>
                <w:lang w:val="en-US" w:eastAsia="zh-CN" w:bidi="ar-SA"/>
              </w:rPr>
              <w:t>2．未获得以上认证的，不予计分。</w:t>
            </w:r>
          </w:p>
        </w:tc>
        <w:tc>
          <w:tcPr>
            <w:tcW w:w="5295" w:type="dxa"/>
            <w:tcBorders>
              <w:top w:val="single" w:color="auto" w:sz="4" w:space="0"/>
              <w:left w:val="single" w:color="auto" w:sz="4" w:space="0"/>
              <w:bottom w:val="single" w:color="auto" w:sz="4" w:space="0"/>
              <w:right w:val="single" w:color="auto" w:sz="4" w:space="0"/>
            </w:tcBorders>
            <w:noWrap w:val="0"/>
            <w:vAlign w:val="center"/>
          </w:tcPr>
          <w:p w14:paraId="52657775">
            <w:pPr>
              <w:widowControl w:val="0"/>
              <w:wordWrap w:val="0"/>
              <w:adjustRightInd w:val="0"/>
              <w:snapToGrid w:val="0"/>
              <w:spacing w:after="0" w:afterLines="0" w:afterAutospacing="0" w:line="360" w:lineRule="auto"/>
              <w:jc w:val="both"/>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lang w:val="en-US" w:eastAsia="zh-CN" w:bidi="ar-SA"/>
              </w:rPr>
              <w:t>1．需附在有效期内的认证证书扫描件及国家认证认可监督管理委员会官网（http：//www.cnca.gov.cn/）查询截图。</w:t>
            </w:r>
          </w:p>
          <w:p w14:paraId="6D214118">
            <w:pPr>
              <w:widowControl w:val="0"/>
              <w:wordWrap w:val="0"/>
              <w:adjustRightInd w:val="0"/>
              <w:snapToGrid w:val="0"/>
              <w:spacing w:after="0" w:afterLines="0" w:afterAutospacing="0" w:line="360" w:lineRule="auto"/>
              <w:jc w:val="both"/>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lang w:val="en-US" w:eastAsia="zh-CN" w:bidi="ar-SA"/>
              </w:rPr>
              <w:t>2．任一认证证书有以下情形之一的，该认证证书视为无效，不予计分：</w:t>
            </w:r>
          </w:p>
          <w:p w14:paraId="21849169">
            <w:pPr>
              <w:widowControl w:val="0"/>
              <w:wordWrap w:val="0"/>
              <w:adjustRightInd w:val="0"/>
              <w:snapToGrid w:val="0"/>
              <w:spacing w:after="0" w:afterLines="0" w:afterAutospacing="0" w:line="360" w:lineRule="auto"/>
              <w:jc w:val="both"/>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lang w:val="en-US" w:eastAsia="zh-CN" w:bidi="ar-SA"/>
              </w:rPr>
              <w:t>①认证证书不在有效期内的；</w:t>
            </w:r>
          </w:p>
          <w:p w14:paraId="0F8105FA">
            <w:pPr>
              <w:widowControl w:val="0"/>
              <w:wordWrap w:val="0"/>
              <w:adjustRightInd w:val="0"/>
              <w:snapToGrid w:val="0"/>
              <w:spacing w:after="0" w:afterLines="0" w:afterAutospacing="0" w:line="360" w:lineRule="auto"/>
              <w:jc w:val="both"/>
              <w:rPr>
                <w:rFonts w:hint="eastAsia" w:ascii="宋体" w:hAnsi="宋体" w:eastAsia="宋体" w:cs="宋体"/>
                <w:snapToGrid w:val="0"/>
                <w:color w:val="auto"/>
                <w:kern w:val="0"/>
                <w:sz w:val="22"/>
                <w:szCs w:val="22"/>
                <w:highlight w:val="none"/>
              </w:rPr>
            </w:pPr>
            <w:r>
              <w:rPr>
                <w:rFonts w:hint="eastAsia" w:ascii="宋体" w:hAnsi="宋体" w:eastAsia="宋体" w:cs="宋体"/>
                <w:b w:val="0"/>
                <w:bCs w:val="0"/>
                <w:snapToGrid w:val="0"/>
                <w:color w:val="auto"/>
                <w:kern w:val="0"/>
                <w:sz w:val="24"/>
                <w:szCs w:val="24"/>
                <w:highlight w:val="none"/>
                <w:lang w:val="en-US" w:eastAsia="zh-CN" w:bidi="ar-SA"/>
              </w:rPr>
              <w:t>②证书有效性在国家认证认可监督管理委员会官网（http：//www.cnca.gov.cn/）查询失效。</w:t>
            </w:r>
          </w:p>
        </w:tc>
      </w:tr>
      <w:tr w14:paraId="1876F594">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793AAFBB">
            <w:pPr>
              <w:keepNext w:val="0"/>
              <w:keepLines w:val="0"/>
              <w:pageBreakBefore w:val="0"/>
              <w:widowControl w:val="0"/>
              <w:kinsoku/>
              <w:wordWrap w:val="0"/>
              <w:overflowPunct/>
              <w:topLinePunct w:val="0"/>
              <w:autoSpaceDE/>
              <w:autoSpaceDN/>
              <w:bidi w:val="0"/>
              <w:adjustRightInd w:val="0"/>
              <w:snapToGrid w:val="0"/>
              <w:spacing w:before="0" w:beforeLines="0" w:after="0" w:afterLines="0" w:afterAutospacing="0" w:line="360" w:lineRule="auto"/>
              <w:ind w:left="0" w:leftChars="0" w:right="0" w:rightChars="0" w:firstLine="0" w:firstLineChars="0"/>
              <w:jc w:val="center"/>
              <w:textAlignment w:val="auto"/>
              <w:outlineLvl w:val="9"/>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color w:val="auto"/>
                <w:sz w:val="24"/>
                <w:szCs w:val="24"/>
                <w:highlight w:val="none"/>
                <w:lang w:val="en-US" w:eastAsia="zh-CN"/>
              </w:rPr>
              <w:t>企业</w:t>
            </w:r>
            <w:r>
              <w:rPr>
                <w:rFonts w:hint="eastAsia" w:ascii="宋体" w:hAnsi="宋体" w:eastAsia="宋体" w:cs="宋体"/>
                <w:b w:val="0"/>
                <w:bCs w:val="0"/>
                <w:snapToGrid w:val="0"/>
                <w:color w:val="auto"/>
                <w:kern w:val="0"/>
                <w:sz w:val="24"/>
                <w:szCs w:val="24"/>
                <w:highlight w:val="none"/>
                <w:lang w:val="en-US" w:eastAsia="zh-CN" w:bidi="ar-SA"/>
              </w:rPr>
              <w:t>信用</w:t>
            </w:r>
          </w:p>
          <w:p w14:paraId="1FFEAE23">
            <w:pPr>
              <w:widowControl w:val="0"/>
              <w:wordWrap w:val="0"/>
              <w:adjustRightInd w:val="0"/>
              <w:snapToGrid w:val="0"/>
              <w:spacing w:after="0" w:afterLines="0" w:afterAutospacing="0"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b w:val="0"/>
                <w:bCs w:val="0"/>
                <w:i w:val="0"/>
                <w:color w:val="auto"/>
                <w:kern w:val="0"/>
                <w:sz w:val="24"/>
                <w:szCs w:val="24"/>
                <w:highlight w:val="none"/>
                <w:u w:val="none"/>
                <w:lang w:val="en-US" w:eastAsia="zh-CN" w:bidi="ar"/>
              </w:rPr>
              <w:t>（9分）</w:t>
            </w:r>
          </w:p>
        </w:tc>
        <w:tc>
          <w:tcPr>
            <w:tcW w:w="4065" w:type="dxa"/>
            <w:tcBorders>
              <w:top w:val="single" w:color="auto" w:sz="4" w:space="0"/>
              <w:left w:val="single" w:color="auto" w:sz="4" w:space="0"/>
              <w:bottom w:val="single" w:color="auto" w:sz="4" w:space="0"/>
              <w:right w:val="single" w:color="auto" w:sz="4" w:space="0"/>
            </w:tcBorders>
            <w:noWrap w:val="0"/>
            <w:vAlign w:val="center"/>
          </w:tcPr>
          <w:p w14:paraId="41F571AF">
            <w:pPr>
              <w:widowControl w:val="0"/>
              <w:wordWrap w:val="0"/>
              <w:adjustRightInd w:val="0"/>
              <w:snapToGrid w:val="0"/>
              <w:spacing w:after="0" w:afterLines="0" w:afterAutospacing="0" w:line="360" w:lineRule="auto"/>
              <w:jc w:val="both"/>
              <w:rPr>
                <w:rFonts w:hint="eastAsia" w:ascii="宋体" w:hAnsi="宋体" w:eastAsia="宋体" w:cs="宋体"/>
                <w:color w:val="auto"/>
                <w:sz w:val="22"/>
                <w:szCs w:val="22"/>
                <w:highlight w:val="none"/>
              </w:rPr>
            </w:pPr>
            <w:r>
              <w:rPr>
                <w:rFonts w:hint="eastAsia" w:ascii="宋体" w:hAnsi="宋体" w:eastAsia="宋体" w:cs="宋体"/>
                <w:b w:val="0"/>
                <w:bCs w:val="0"/>
                <w:snapToGrid w:val="0"/>
                <w:color w:val="auto"/>
                <w:kern w:val="0"/>
                <w:sz w:val="24"/>
                <w:szCs w:val="24"/>
                <w:highlight w:val="none"/>
                <w:lang w:val="en-US" w:eastAsia="zh-CN" w:bidi="ar-SA"/>
              </w:rPr>
              <w:t>1.企业2024年度获得省级</w:t>
            </w:r>
            <w:r>
              <w:rPr>
                <w:rFonts w:hint="eastAsia" w:ascii="宋体" w:hAnsi="宋体" w:eastAsia="宋体" w:cs="宋体"/>
                <w:b w:val="0"/>
                <w:bCs w:val="0"/>
                <w:color w:val="auto"/>
                <w:sz w:val="24"/>
                <w:szCs w:val="24"/>
                <w:highlight w:val="none"/>
                <w:lang w:val="en-US" w:eastAsia="zh-CN"/>
              </w:rPr>
              <w:t>或以上建筑行业协会颁发的“广东省诚信经营企业”称号的，得9分。</w:t>
            </w:r>
          </w:p>
        </w:tc>
        <w:tc>
          <w:tcPr>
            <w:tcW w:w="5295" w:type="dxa"/>
            <w:tcBorders>
              <w:top w:val="single" w:color="auto" w:sz="4" w:space="0"/>
              <w:left w:val="single" w:color="auto" w:sz="4" w:space="0"/>
              <w:bottom w:val="single" w:color="auto" w:sz="4" w:space="0"/>
              <w:right w:val="single" w:color="auto" w:sz="4" w:space="0"/>
            </w:tcBorders>
            <w:noWrap w:val="0"/>
            <w:vAlign w:val="center"/>
          </w:tcPr>
          <w:p w14:paraId="0142D544">
            <w:pPr>
              <w:keepNext w:val="0"/>
              <w:keepLines w:val="0"/>
              <w:pageBreakBefore w:val="0"/>
              <w:widowControl w:val="0"/>
              <w:wordWrap w:val="0"/>
              <w:overflowPunct/>
              <w:topLinePunct w:val="0"/>
              <w:bidi w:val="0"/>
              <w:adjustRightInd w:val="0"/>
              <w:snapToGrid w:val="0"/>
              <w:spacing w:after="0" w:afterLines="0" w:afterAutospacing="0" w:line="360" w:lineRule="auto"/>
              <w:jc w:val="both"/>
              <w:rPr>
                <w:rFonts w:hint="eastAsia" w:ascii="宋体" w:hAnsi="宋体" w:eastAsia="宋体" w:cs="宋体"/>
                <w:b w:val="0"/>
                <w:bCs w:val="0"/>
                <w:color w:val="auto"/>
                <w:kern w:val="0"/>
                <w:sz w:val="24"/>
                <w:szCs w:val="24"/>
                <w:highlight w:val="none"/>
                <w:lang w:val="en-US" w:eastAsia="zh-CN" w:bidi="ar-SA"/>
              </w:rPr>
            </w:pPr>
            <w:r>
              <w:rPr>
                <w:rFonts w:hint="eastAsia" w:ascii="宋体" w:hAnsi="宋体" w:eastAsia="宋体" w:cs="宋体"/>
                <w:b w:val="0"/>
                <w:bCs w:val="0"/>
                <w:color w:val="auto"/>
                <w:kern w:val="0"/>
                <w:sz w:val="24"/>
                <w:szCs w:val="24"/>
                <w:highlight w:val="none"/>
                <w:lang w:val="en-US" w:eastAsia="zh-CN" w:bidi="ar-SA"/>
              </w:rPr>
              <w:t>1.证书由省级市或以上建筑行业协会颁发，须提供有关证书彩色扫描件</w:t>
            </w:r>
            <w:r>
              <w:rPr>
                <w:rFonts w:hint="eastAsia" w:ascii="宋体" w:hAnsi="宋体" w:eastAsia="宋体" w:cs="宋体"/>
                <w:b w:val="0"/>
                <w:bCs w:val="0"/>
                <w:snapToGrid w:val="0"/>
                <w:color w:val="auto"/>
                <w:kern w:val="0"/>
                <w:sz w:val="24"/>
                <w:szCs w:val="24"/>
                <w:highlight w:val="none"/>
                <w:lang w:val="en-US" w:eastAsia="zh-CN" w:bidi="ar-SA"/>
              </w:rPr>
              <w:t>（相关协会需经民政部门备案，须提供备案截图，否则不得分）；</w:t>
            </w:r>
          </w:p>
          <w:p w14:paraId="47A7CD59">
            <w:pPr>
              <w:widowControl w:val="0"/>
              <w:wordWrap w:val="0"/>
              <w:adjustRightInd w:val="0"/>
              <w:snapToGrid w:val="0"/>
              <w:spacing w:after="0" w:afterLines="0" w:afterAutospacing="0" w:line="360" w:lineRule="auto"/>
              <w:jc w:val="both"/>
              <w:rPr>
                <w:rFonts w:hint="eastAsia" w:ascii="宋体" w:hAnsi="宋体" w:eastAsia="宋体" w:cs="宋体"/>
                <w:color w:val="auto"/>
                <w:sz w:val="22"/>
                <w:szCs w:val="22"/>
                <w:highlight w:val="none"/>
              </w:rPr>
            </w:pPr>
            <w:r>
              <w:rPr>
                <w:rFonts w:hint="eastAsia" w:ascii="宋体" w:hAnsi="宋体" w:eastAsia="宋体" w:cs="宋体"/>
                <w:b w:val="0"/>
                <w:bCs w:val="0"/>
                <w:snapToGrid w:val="0"/>
                <w:color w:val="auto"/>
                <w:kern w:val="0"/>
                <w:sz w:val="24"/>
                <w:szCs w:val="24"/>
                <w:highlight w:val="none"/>
                <w:lang w:val="en-US" w:eastAsia="zh-CN" w:bidi="ar-SA"/>
              </w:rPr>
              <w:t>2.颁发机构不符合要求的，不予得分。</w:t>
            </w:r>
          </w:p>
        </w:tc>
      </w:tr>
      <w:tr w14:paraId="5478A7D2">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159C1668">
            <w:pPr>
              <w:widowControl w:val="0"/>
              <w:wordWrap w:val="0"/>
              <w:adjustRightInd w:val="0"/>
              <w:snapToGrid w:val="0"/>
              <w:spacing w:after="0" w:afterLines="0" w:afterAutospacing="0" w:line="360" w:lineRule="auto"/>
              <w:jc w:val="center"/>
              <w:rPr>
                <w:rFonts w:hint="eastAsia" w:ascii="宋体" w:hAnsi="宋体" w:eastAsia="宋体" w:cs="宋体"/>
                <w:b w:val="0"/>
                <w:bCs w:val="0"/>
                <w:strike/>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rPr>
              <w:t>企业授信状况</w:t>
            </w:r>
          </w:p>
          <w:p w14:paraId="092C6300">
            <w:pPr>
              <w:widowControl w:val="0"/>
              <w:wordWrap w:val="0"/>
              <w:adjustRightInd w:val="0"/>
              <w:snapToGrid w:val="0"/>
              <w:spacing w:after="0" w:afterLines="0" w:afterAutospacing="0"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b w:val="0"/>
                <w:bCs w:val="0"/>
                <w:snapToGrid w:val="0"/>
                <w:color w:val="auto"/>
                <w:kern w:val="0"/>
                <w:sz w:val="24"/>
                <w:szCs w:val="24"/>
                <w:highlight w:val="none"/>
                <w:lang w:val="en-US" w:eastAsia="zh-CN" w:bidi="ar"/>
              </w:rPr>
              <w:t>（10分）</w:t>
            </w:r>
          </w:p>
        </w:tc>
        <w:tc>
          <w:tcPr>
            <w:tcW w:w="4065" w:type="dxa"/>
            <w:tcBorders>
              <w:top w:val="single" w:color="auto" w:sz="4" w:space="0"/>
              <w:left w:val="single" w:color="auto" w:sz="4" w:space="0"/>
              <w:bottom w:val="single" w:color="auto" w:sz="4" w:space="0"/>
              <w:right w:val="single" w:color="auto" w:sz="4" w:space="0"/>
            </w:tcBorders>
            <w:noWrap w:val="0"/>
            <w:vAlign w:val="center"/>
          </w:tcPr>
          <w:p w14:paraId="69B2AFC5">
            <w:pPr>
              <w:widowControl w:val="0"/>
              <w:wordWrap w:val="0"/>
              <w:adjustRightInd w:val="0"/>
              <w:snapToGrid w:val="0"/>
              <w:spacing w:line="360" w:lineRule="auto"/>
              <w:jc w:val="left"/>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1．提供不少于</w:t>
            </w:r>
            <w:r>
              <w:rPr>
                <w:rFonts w:hint="eastAsia" w:ascii="宋体" w:hAnsi="宋体" w:eastAsia="宋体" w:cs="宋体"/>
                <w:b w:val="0"/>
                <w:bCs w:val="0"/>
                <w:snapToGrid w:val="0"/>
                <w:color w:val="auto"/>
                <w:kern w:val="0"/>
                <w:sz w:val="24"/>
                <w:szCs w:val="24"/>
                <w:highlight w:val="none"/>
                <w:u w:val="single"/>
                <w:lang w:val="en-US" w:eastAsia="zh-CN"/>
              </w:rPr>
              <w:t xml:space="preserve"> 500 </w:t>
            </w:r>
            <w:r>
              <w:rPr>
                <w:rFonts w:hint="eastAsia" w:ascii="宋体" w:hAnsi="宋体" w:eastAsia="宋体" w:cs="宋体"/>
                <w:b w:val="0"/>
                <w:bCs w:val="0"/>
                <w:snapToGrid w:val="0"/>
                <w:color w:val="auto"/>
                <w:kern w:val="0"/>
                <w:sz w:val="24"/>
                <w:szCs w:val="24"/>
                <w:highlight w:val="none"/>
              </w:rPr>
              <w:t>万元以上（含</w:t>
            </w:r>
            <w:r>
              <w:rPr>
                <w:rFonts w:hint="eastAsia" w:ascii="宋体" w:hAnsi="宋体" w:eastAsia="宋体" w:cs="宋体"/>
                <w:b w:val="0"/>
                <w:bCs w:val="0"/>
                <w:snapToGrid w:val="0"/>
                <w:color w:val="auto"/>
                <w:kern w:val="0"/>
                <w:sz w:val="24"/>
                <w:szCs w:val="24"/>
                <w:highlight w:val="none"/>
                <w:lang w:val="en-US" w:eastAsia="zh-CN"/>
              </w:rPr>
              <w:t>500</w:t>
            </w:r>
            <w:r>
              <w:rPr>
                <w:rFonts w:hint="eastAsia" w:ascii="宋体" w:hAnsi="宋体" w:eastAsia="宋体" w:cs="宋体"/>
                <w:b w:val="0"/>
                <w:bCs w:val="0"/>
                <w:snapToGrid w:val="0"/>
                <w:color w:val="auto"/>
                <w:kern w:val="0"/>
                <w:sz w:val="24"/>
                <w:szCs w:val="24"/>
                <w:highlight w:val="none"/>
              </w:rPr>
              <w:t>万元）银行授信证明的，得</w:t>
            </w:r>
            <w:r>
              <w:rPr>
                <w:rFonts w:hint="eastAsia" w:ascii="宋体" w:hAnsi="宋体" w:eastAsia="宋体" w:cs="宋体"/>
                <w:b w:val="0"/>
                <w:bCs w:val="0"/>
                <w:snapToGrid w:val="0"/>
                <w:color w:val="auto"/>
                <w:kern w:val="0"/>
                <w:sz w:val="24"/>
                <w:szCs w:val="24"/>
                <w:highlight w:val="none"/>
                <w:lang w:val="en-US" w:eastAsia="zh-CN"/>
              </w:rPr>
              <w:t>10</w:t>
            </w:r>
            <w:r>
              <w:rPr>
                <w:rFonts w:hint="eastAsia" w:ascii="宋体" w:hAnsi="宋体" w:eastAsia="宋体" w:cs="宋体"/>
                <w:b w:val="0"/>
                <w:bCs w:val="0"/>
                <w:snapToGrid w:val="0"/>
                <w:color w:val="auto"/>
                <w:kern w:val="0"/>
                <w:sz w:val="24"/>
                <w:szCs w:val="24"/>
                <w:highlight w:val="none"/>
              </w:rPr>
              <w:t>分；</w:t>
            </w:r>
          </w:p>
          <w:p w14:paraId="697D6DED">
            <w:pPr>
              <w:widowControl w:val="0"/>
              <w:wordWrap w:val="0"/>
              <w:adjustRightInd w:val="0"/>
              <w:snapToGrid w:val="0"/>
              <w:spacing w:line="360" w:lineRule="auto"/>
              <w:jc w:val="left"/>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2．提供不少于</w:t>
            </w:r>
            <w:r>
              <w:rPr>
                <w:rFonts w:hint="eastAsia" w:ascii="宋体" w:hAnsi="宋体" w:eastAsia="宋体" w:cs="宋体"/>
                <w:b w:val="0"/>
                <w:bCs w:val="0"/>
                <w:snapToGrid w:val="0"/>
                <w:color w:val="auto"/>
                <w:kern w:val="0"/>
                <w:sz w:val="24"/>
                <w:szCs w:val="24"/>
                <w:highlight w:val="none"/>
                <w:u w:val="single"/>
                <w:lang w:val="en-US" w:eastAsia="zh-CN"/>
              </w:rPr>
              <w:t xml:space="preserve"> 300 </w:t>
            </w:r>
            <w:r>
              <w:rPr>
                <w:rFonts w:hint="eastAsia" w:ascii="宋体" w:hAnsi="宋体" w:eastAsia="宋体" w:cs="宋体"/>
                <w:b w:val="0"/>
                <w:bCs w:val="0"/>
                <w:snapToGrid w:val="0"/>
                <w:color w:val="auto"/>
                <w:kern w:val="0"/>
                <w:sz w:val="24"/>
                <w:szCs w:val="24"/>
                <w:highlight w:val="none"/>
              </w:rPr>
              <w:t>万元（含</w:t>
            </w:r>
            <w:r>
              <w:rPr>
                <w:rFonts w:hint="eastAsia" w:ascii="宋体" w:hAnsi="宋体" w:eastAsia="宋体" w:cs="宋体"/>
                <w:b w:val="0"/>
                <w:bCs w:val="0"/>
                <w:snapToGrid w:val="0"/>
                <w:color w:val="auto"/>
                <w:kern w:val="0"/>
                <w:sz w:val="24"/>
                <w:szCs w:val="24"/>
                <w:highlight w:val="none"/>
                <w:u w:val="single"/>
                <w:lang w:val="en-US" w:eastAsia="zh-CN"/>
              </w:rPr>
              <w:t xml:space="preserve"> 300 </w:t>
            </w:r>
            <w:r>
              <w:rPr>
                <w:rFonts w:hint="eastAsia" w:ascii="宋体" w:hAnsi="宋体" w:eastAsia="宋体" w:cs="宋体"/>
                <w:b w:val="0"/>
                <w:bCs w:val="0"/>
                <w:snapToGrid w:val="0"/>
                <w:color w:val="auto"/>
                <w:kern w:val="0"/>
                <w:sz w:val="24"/>
                <w:szCs w:val="24"/>
                <w:highlight w:val="none"/>
              </w:rPr>
              <w:t>万元）至</w:t>
            </w:r>
            <w:r>
              <w:rPr>
                <w:rFonts w:hint="eastAsia" w:ascii="宋体" w:hAnsi="宋体" w:eastAsia="宋体" w:cs="宋体"/>
                <w:b w:val="0"/>
                <w:bCs w:val="0"/>
                <w:snapToGrid w:val="0"/>
                <w:color w:val="auto"/>
                <w:kern w:val="0"/>
                <w:sz w:val="24"/>
                <w:szCs w:val="24"/>
                <w:highlight w:val="none"/>
                <w:u w:val="single"/>
                <w:lang w:val="en-US" w:eastAsia="zh-CN"/>
              </w:rPr>
              <w:t xml:space="preserve"> 500 </w:t>
            </w:r>
            <w:r>
              <w:rPr>
                <w:rFonts w:hint="eastAsia" w:ascii="宋体" w:hAnsi="宋体" w:eastAsia="宋体" w:cs="宋体"/>
                <w:b w:val="0"/>
                <w:bCs w:val="0"/>
                <w:snapToGrid w:val="0"/>
                <w:color w:val="auto"/>
                <w:kern w:val="0"/>
                <w:sz w:val="24"/>
                <w:szCs w:val="24"/>
                <w:highlight w:val="none"/>
              </w:rPr>
              <w:t>万元</w:t>
            </w:r>
            <w:r>
              <w:rPr>
                <w:rFonts w:hint="eastAsia" w:ascii="宋体" w:hAnsi="宋体" w:eastAsia="宋体" w:cs="宋体"/>
                <w:b w:val="0"/>
                <w:bCs w:val="0"/>
                <w:snapToGrid w:val="0"/>
                <w:color w:val="auto"/>
                <w:kern w:val="0"/>
                <w:sz w:val="24"/>
                <w:szCs w:val="24"/>
                <w:highlight w:val="none"/>
                <w:lang w:eastAsia="zh-CN"/>
              </w:rPr>
              <w:t>（</w:t>
            </w:r>
            <w:r>
              <w:rPr>
                <w:rFonts w:hint="eastAsia" w:ascii="宋体" w:hAnsi="宋体" w:eastAsia="宋体" w:cs="宋体"/>
                <w:b w:val="0"/>
                <w:bCs w:val="0"/>
                <w:snapToGrid w:val="0"/>
                <w:color w:val="auto"/>
                <w:kern w:val="0"/>
                <w:sz w:val="24"/>
                <w:szCs w:val="24"/>
                <w:highlight w:val="none"/>
                <w:lang w:val="en-US" w:eastAsia="zh-CN"/>
              </w:rPr>
              <w:t>不含500万元</w:t>
            </w:r>
            <w:r>
              <w:rPr>
                <w:rFonts w:hint="eastAsia" w:ascii="宋体" w:hAnsi="宋体" w:eastAsia="宋体" w:cs="宋体"/>
                <w:b w:val="0"/>
                <w:bCs w:val="0"/>
                <w:snapToGrid w:val="0"/>
                <w:color w:val="auto"/>
                <w:kern w:val="0"/>
                <w:sz w:val="24"/>
                <w:szCs w:val="24"/>
                <w:highlight w:val="none"/>
                <w:lang w:eastAsia="zh-CN"/>
              </w:rPr>
              <w:t>）</w:t>
            </w:r>
            <w:r>
              <w:rPr>
                <w:rFonts w:hint="eastAsia" w:ascii="宋体" w:hAnsi="宋体" w:eastAsia="宋体" w:cs="宋体"/>
                <w:b w:val="0"/>
                <w:bCs w:val="0"/>
                <w:snapToGrid w:val="0"/>
                <w:color w:val="auto"/>
                <w:kern w:val="0"/>
                <w:sz w:val="24"/>
                <w:szCs w:val="24"/>
                <w:highlight w:val="none"/>
              </w:rPr>
              <w:t>银行授信证明的，得</w:t>
            </w:r>
            <w:r>
              <w:rPr>
                <w:rFonts w:hint="eastAsia" w:ascii="宋体" w:hAnsi="宋体" w:eastAsia="宋体" w:cs="宋体"/>
                <w:b w:val="0"/>
                <w:bCs w:val="0"/>
                <w:snapToGrid w:val="0"/>
                <w:color w:val="auto"/>
                <w:kern w:val="0"/>
                <w:sz w:val="24"/>
                <w:szCs w:val="24"/>
                <w:highlight w:val="none"/>
                <w:lang w:val="en-US" w:eastAsia="zh-CN"/>
              </w:rPr>
              <w:t>5</w:t>
            </w:r>
            <w:r>
              <w:rPr>
                <w:rFonts w:hint="eastAsia" w:ascii="宋体" w:hAnsi="宋体" w:eastAsia="宋体" w:cs="宋体"/>
                <w:b w:val="0"/>
                <w:bCs w:val="0"/>
                <w:snapToGrid w:val="0"/>
                <w:color w:val="auto"/>
                <w:kern w:val="0"/>
                <w:sz w:val="24"/>
                <w:szCs w:val="24"/>
                <w:highlight w:val="none"/>
              </w:rPr>
              <w:t>分；</w:t>
            </w:r>
          </w:p>
          <w:p w14:paraId="2757E20E">
            <w:pPr>
              <w:widowControl w:val="0"/>
              <w:wordWrap w:val="0"/>
              <w:adjustRightInd w:val="0"/>
              <w:snapToGrid w:val="0"/>
              <w:spacing w:line="360" w:lineRule="auto"/>
              <w:jc w:val="left"/>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3.提供</w:t>
            </w:r>
            <w:r>
              <w:rPr>
                <w:rFonts w:hint="eastAsia" w:ascii="宋体" w:hAnsi="宋体" w:eastAsia="宋体" w:cs="宋体"/>
                <w:b w:val="0"/>
                <w:bCs w:val="0"/>
                <w:snapToGrid w:val="0"/>
                <w:color w:val="auto"/>
                <w:kern w:val="0"/>
                <w:sz w:val="24"/>
                <w:szCs w:val="24"/>
                <w:highlight w:val="none"/>
                <w:u w:val="single"/>
                <w:lang w:val="en-US" w:eastAsia="zh-CN"/>
              </w:rPr>
              <w:t xml:space="preserve"> 300 </w:t>
            </w:r>
            <w:r>
              <w:rPr>
                <w:rFonts w:hint="eastAsia" w:ascii="宋体" w:hAnsi="宋体" w:eastAsia="宋体" w:cs="宋体"/>
                <w:b w:val="0"/>
                <w:bCs w:val="0"/>
                <w:snapToGrid w:val="0"/>
                <w:color w:val="auto"/>
                <w:kern w:val="0"/>
                <w:sz w:val="24"/>
                <w:szCs w:val="24"/>
                <w:highlight w:val="none"/>
              </w:rPr>
              <w:t>万元以下的银行授信证明，不得分；</w:t>
            </w:r>
          </w:p>
          <w:p w14:paraId="7323B1B2">
            <w:pPr>
              <w:widowControl w:val="0"/>
              <w:wordWrap w:val="0"/>
              <w:adjustRightInd w:val="0"/>
              <w:snapToGrid w:val="0"/>
              <w:spacing w:line="360" w:lineRule="auto"/>
              <w:jc w:val="left"/>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4.未提供以上证明的，或证明材料无效的，不得分。</w:t>
            </w:r>
          </w:p>
          <w:p w14:paraId="6E3A6A52">
            <w:pPr>
              <w:widowControl w:val="0"/>
              <w:wordWrap w:val="0"/>
              <w:adjustRightInd w:val="0"/>
              <w:snapToGrid w:val="0"/>
              <w:spacing w:line="360" w:lineRule="auto"/>
              <w:jc w:val="left"/>
              <w:rPr>
                <w:rFonts w:hint="eastAsia" w:ascii="宋体" w:hAnsi="宋体" w:eastAsia="宋体" w:cs="宋体"/>
                <w:color w:val="auto"/>
                <w:sz w:val="22"/>
                <w:szCs w:val="22"/>
                <w:highlight w:val="none"/>
              </w:rPr>
            </w:pPr>
            <w:r>
              <w:rPr>
                <w:rFonts w:hint="eastAsia" w:ascii="宋体" w:hAnsi="宋体" w:eastAsia="宋体" w:cs="宋体"/>
                <w:b w:val="0"/>
                <w:bCs w:val="0"/>
                <w:snapToGrid w:val="0"/>
                <w:color w:val="auto"/>
                <w:kern w:val="0"/>
                <w:sz w:val="24"/>
                <w:szCs w:val="24"/>
                <w:highlight w:val="none"/>
              </w:rPr>
              <w:t>说明：本项最高可得</w:t>
            </w:r>
            <w:r>
              <w:rPr>
                <w:rFonts w:hint="eastAsia" w:ascii="宋体" w:hAnsi="宋体" w:eastAsia="宋体" w:cs="宋体"/>
                <w:b w:val="0"/>
                <w:bCs w:val="0"/>
                <w:snapToGrid w:val="0"/>
                <w:color w:val="auto"/>
                <w:kern w:val="0"/>
                <w:sz w:val="24"/>
                <w:szCs w:val="24"/>
                <w:highlight w:val="none"/>
                <w:lang w:val="en-US" w:eastAsia="zh-CN"/>
              </w:rPr>
              <w:t>10</w:t>
            </w:r>
            <w:r>
              <w:rPr>
                <w:rFonts w:hint="eastAsia" w:ascii="宋体" w:hAnsi="宋体" w:eastAsia="宋体" w:cs="宋体"/>
                <w:b w:val="0"/>
                <w:bCs w:val="0"/>
                <w:snapToGrid w:val="0"/>
                <w:color w:val="auto"/>
                <w:kern w:val="0"/>
                <w:sz w:val="24"/>
                <w:szCs w:val="24"/>
                <w:highlight w:val="none"/>
              </w:rPr>
              <w:t>分。</w:t>
            </w:r>
          </w:p>
        </w:tc>
        <w:tc>
          <w:tcPr>
            <w:tcW w:w="5295" w:type="dxa"/>
            <w:tcBorders>
              <w:top w:val="single" w:color="auto" w:sz="4" w:space="0"/>
              <w:left w:val="single" w:color="auto" w:sz="4" w:space="0"/>
              <w:bottom w:val="single" w:color="auto" w:sz="4" w:space="0"/>
              <w:right w:val="single" w:color="auto" w:sz="4" w:space="0"/>
            </w:tcBorders>
            <w:noWrap w:val="0"/>
            <w:vAlign w:val="center"/>
          </w:tcPr>
          <w:p w14:paraId="03BEEAD9">
            <w:pPr>
              <w:widowControl w:val="0"/>
              <w:wordWrap w:val="0"/>
              <w:adjustRightInd w:val="0"/>
              <w:snapToGrid w:val="0"/>
              <w:spacing w:line="360" w:lineRule="auto"/>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1．需附在有效期内的有关证明彩色扫描件（或打印件）。</w:t>
            </w:r>
          </w:p>
          <w:p w14:paraId="03193F1D">
            <w:pPr>
              <w:widowControl w:val="0"/>
              <w:wordWrap w:val="0"/>
              <w:adjustRightInd w:val="0"/>
              <w:snapToGrid w:val="0"/>
              <w:spacing w:line="360" w:lineRule="auto"/>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2．银行授信证明有以下情形之一的，视为无效：</w:t>
            </w:r>
          </w:p>
          <w:p w14:paraId="2007D093">
            <w:pPr>
              <w:wordWrap w:val="0"/>
              <w:adjustRightInd w:val="0"/>
              <w:snapToGrid w:val="0"/>
              <w:spacing w:line="360" w:lineRule="auto"/>
              <w:rPr>
                <w:rFonts w:hint="eastAsia" w:ascii="宋体" w:hAnsi="宋体" w:eastAsia="宋体" w:cs="宋体"/>
                <w:b w:val="0"/>
                <w:bCs w:val="0"/>
                <w:snapToGrid w:val="0"/>
                <w:color w:val="auto"/>
                <w:kern w:val="0"/>
                <w:sz w:val="24"/>
                <w:szCs w:val="24"/>
                <w:highlight w:val="none"/>
                <w:lang w:val="en-US" w:eastAsia="zh-CN"/>
              </w:rPr>
            </w:pPr>
            <w:r>
              <w:rPr>
                <w:rFonts w:hint="eastAsia" w:ascii="宋体" w:hAnsi="宋体" w:eastAsia="宋体" w:cs="宋体"/>
                <w:b w:val="0"/>
                <w:bCs w:val="0"/>
                <w:snapToGrid w:val="0"/>
                <w:color w:val="auto"/>
                <w:kern w:val="0"/>
                <w:sz w:val="24"/>
                <w:szCs w:val="24"/>
                <w:highlight w:val="none"/>
              </w:rPr>
              <w:t>①</w:t>
            </w:r>
            <w:r>
              <w:rPr>
                <w:rFonts w:hint="eastAsia" w:ascii="宋体" w:hAnsi="宋体" w:eastAsia="宋体" w:cs="宋体"/>
                <w:b w:val="0"/>
                <w:bCs w:val="0"/>
                <w:snapToGrid w:val="0"/>
                <w:color w:val="auto"/>
                <w:kern w:val="0"/>
                <w:sz w:val="24"/>
                <w:szCs w:val="24"/>
                <w:highlight w:val="none"/>
                <w:lang w:val="en-US" w:eastAsia="zh-CN"/>
              </w:rPr>
              <w:t>授信证明不是由企业基本账户开户银行出具的；</w:t>
            </w:r>
          </w:p>
          <w:p w14:paraId="140FF75D">
            <w:pPr>
              <w:wordWrap w:val="0"/>
              <w:adjustRightInd w:val="0"/>
              <w:snapToGrid w:val="0"/>
              <w:spacing w:line="360" w:lineRule="auto"/>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②授信证明不在有效期内的；</w:t>
            </w:r>
          </w:p>
          <w:p w14:paraId="1103D825">
            <w:pPr>
              <w:bidi w:val="0"/>
              <w:spacing w:line="360" w:lineRule="auto"/>
              <w:rPr>
                <w:rFonts w:hint="eastAsia" w:ascii="宋体" w:hAnsi="宋体" w:eastAsia="宋体" w:cs="宋体"/>
                <w:i/>
                <w:iCs/>
                <w:snapToGrid w:val="0"/>
                <w:color w:val="auto"/>
                <w:kern w:val="0"/>
                <w:sz w:val="22"/>
                <w:szCs w:val="22"/>
                <w:highlight w:val="none"/>
              </w:rPr>
            </w:pPr>
            <w:r>
              <w:rPr>
                <w:rFonts w:hint="eastAsia" w:ascii="宋体" w:hAnsi="宋体" w:eastAsia="宋体" w:cs="宋体"/>
                <w:color w:val="auto"/>
                <w:sz w:val="24"/>
                <w:szCs w:val="24"/>
                <w:highlight w:val="none"/>
              </w:rPr>
              <w:t>③授信额度不符合要求的</w:t>
            </w:r>
            <w:r>
              <w:rPr>
                <w:rFonts w:hint="eastAsia" w:ascii="宋体" w:hAnsi="宋体" w:eastAsia="宋体" w:cs="宋体"/>
                <w:color w:val="auto"/>
                <w:sz w:val="24"/>
                <w:szCs w:val="24"/>
                <w:highlight w:val="none"/>
                <w:lang w:eastAsia="zh-CN"/>
              </w:rPr>
              <w:t>。</w:t>
            </w:r>
          </w:p>
        </w:tc>
      </w:tr>
      <w:tr w14:paraId="01BD465F">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351DBC6E">
            <w:pPr>
              <w:widowControl w:val="0"/>
              <w:wordWrap w:val="0"/>
              <w:adjustRightInd w:val="0"/>
              <w:snapToGrid w:val="0"/>
              <w:spacing w:after="0" w:afterLines="0" w:afterAutospacing="0" w:line="360" w:lineRule="auto"/>
              <w:jc w:val="center"/>
              <w:rPr>
                <w:rFonts w:hint="eastAsia" w:ascii="宋体" w:hAnsi="宋体" w:eastAsia="宋体" w:cs="宋体"/>
                <w:b w:val="0"/>
                <w:bCs w:val="0"/>
                <w:i w:val="0"/>
                <w:color w:val="auto"/>
                <w:kern w:val="0"/>
                <w:sz w:val="24"/>
                <w:szCs w:val="24"/>
                <w:highlight w:val="none"/>
                <w:u w:val="none"/>
                <w:lang w:val="en-US" w:eastAsia="zh-CN" w:bidi="ar"/>
              </w:rPr>
            </w:pPr>
            <w:r>
              <w:rPr>
                <w:rFonts w:hint="eastAsia" w:ascii="宋体" w:hAnsi="宋体" w:eastAsia="宋体" w:cs="宋体"/>
                <w:b w:val="0"/>
                <w:bCs w:val="0"/>
                <w:i w:val="0"/>
                <w:color w:val="auto"/>
                <w:kern w:val="0"/>
                <w:sz w:val="24"/>
                <w:szCs w:val="24"/>
                <w:highlight w:val="none"/>
                <w:u w:val="none"/>
                <w:lang w:val="en-US" w:eastAsia="zh-CN" w:bidi="ar"/>
              </w:rPr>
              <w:t>企业创新</w:t>
            </w:r>
          </w:p>
          <w:p w14:paraId="513FB4C9">
            <w:pPr>
              <w:widowControl w:val="0"/>
              <w:wordWrap w:val="0"/>
              <w:adjustRightInd w:val="0"/>
              <w:snapToGrid w:val="0"/>
              <w:spacing w:after="0" w:afterLines="0" w:afterAutospacing="0" w:line="360" w:lineRule="auto"/>
              <w:jc w:val="center"/>
              <w:rPr>
                <w:rFonts w:hint="eastAsia" w:ascii="宋体" w:hAnsi="宋体" w:eastAsia="宋体" w:cs="宋体"/>
                <w:b w:val="0"/>
                <w:bCs w:val="0"/>
                <w:i w:val="0"/>
                <w:color w:val="auto"/>
                <w:kern w:val="0"/>
                <w:sz w:val="24"/>
                <w:szCs w:val="24"/>
                <w:highlight w:val="none"/>
                <w:u w:val="none"/>
                <w:lang w:val="en-US" w:eastAsia="zh-CN" w:bidi="ar"/>
              </w:rPr>
            </w:pPr>
            <w:r>
              <w:rPr>
                <w:rFonts w:hint="eastAsia" w:ascii="宋体" w:hAnsi="宋体" w:eastAsia="宋体" w:cs="宋体"/>
                <w:b w:val="0"/>
                <w:bCs w:val="0"/>
                <w:i w:val="0"/>
                <w:color w:val="auto"/>
                <w:kern w:val="0"/>
                <w:sz w:val="24"/>
                <w:szCs w:val="24"/>
                <w:highlight w:val="none"/>
                <w:u w:val="none"/>
                <w:lang w:val="en-US" w:eastAsia="zh-CN" w:bidi="ar"/>
              </w:rPr>
              <w:t>能力</w:t>
            </w:r>
          </w:p>
          <w:p w14:paraId="28E9FACD">
            <w:pPr>
              <w:widowControl w:val="0"/>
              <w:wordWrap w:val="0"/>
              <w:adjustRightInd w:val="0"/>
              <w:snapToGrid w:val="0"/>
              <w:spacing w:after="0" w:afterLines="0" w:afterAutospacing="0"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b w:val="0"/>
                <w:bCs w:val="0"/>
                <w:i w:val="0"/>
                <w:color w:val="auto"/>
                <w:kern w:val="0"/>
                <w:sz w:val="24"/>
                <w:szCs w:val="24"/>
                <w:highlight w:val="none"/>
                <w:u w:val="none"/>
                <w:lang w:val="en-US" w:eastAsia="zh-CN" w:bidi="ar"/>
              </w:rPr>
              <w:t>（10分）</w:t>
            </w:r>
          </w:p>
        </w:tc>
        <w:tc>
          <w:tcPr>
            <w:tcW w:w="4065" w:type="dxa"/>
            <w:tcBorders>
              <w:top w:val="single" w:color="auto" w:sz="4" w:space="0"/>
              <w:left w:val="single" w:color="auto" w:sz="4" w:space="0"/>
              <w:bottom w:val="single" w:color="auto" w:sz="4" w:space="0"/>
              <w:right w:val="single" w:color="auto" w:sz="4" w:space="0"/>
            </w:tcBorders>
            <w:noWrap w:val="0"/>
            <w:vAlign w:val="center"/>
          </w:tcPr>
          <w:p w14:paraId="7AAB0B4A">
            <w:pPr>
              <w:pStyle w:val="59"/>
              <w:keepNext w:val="0"/>
              <w:keepLines w:val="0"/>
              <w:pageBreakBefore w:val="0"/>
              <w:widowControl/>
              <w:numPr>
                <w:ilvl w:val="0"/>
                <w:numId w:val="0"/>
              </w:numPr>
              <w:kinsoku/>
              <w:wordWrap w:val="0"/>
              <w:overflowPunct/>
              <w:topLinePunct w:val="0"/>
              <w:autoSpaceDE/>
              <w:autoSpaceDN/>
              <w:bidi w:val="0"/>
              <w:adjustRightInd w:val="0"/>
              <w:snapToGrid w:val="0"/>
              <w:spacing w:line="360" w:lineRule="auto"/>
              <w:jc w:val="left"/>
              <w:rPr>
                <w:rFonts w:hint="eastAsia" w:ascii="宋体" w:hAnsi="宋体" w:eastAsia="宋体" w:cs="宋体"/>
                <w:b w:val="0"/>
                <w:bCs w:val="0"/>
                <w:i w:val="0"/>
                <w:color w:val="auto"/>
                <w:kern w:val="0"/>
                <w:sz w:val="24"/>
                <w:szCs w:val="24"/>
                <w:highlight w:val="none"/>
                <w:u w:val="none"/>
                <w:lang w:val="en-US" w:eastAsia="zh-CN" w:bidi="ar"/>
              </w:rPr>
            </w:pPr>
            <w:r>
              <w:rPr>
                <w:rFonts w:hint="eastAsia" w:ascii="宋体" w:hAnsi="宋体" w:eastAsia="宋体" w:cs="宋体"/>
                <w:b w:val="0"/>
                <w:bCs w:val="0"/>
                <w:i w:val="0"/>
                <w:color w:val="auto"/>
                <w:kern w:val="0"/>
                <w:sz w:val="24"/>
                <w:szCs w:val="24"/>
                <w:highlight w:val="none"/>
                <w:lang w:val="en-US" w:eastAsia="zh-CN" w:bidi="ar"/>
              </w:rPr>
              <w:t>1.</w:t>
            </w:r>
            <w:r>
              <w:rPr>
                <w:rFonts w:hint="eastAsia" w:ascii="宋体" w:hAnsi="宋体" w:eastAsia="宋体" w:cs="宋体"/>
                <w:b w:val="0"/>
                <w:bCs w:val="0"/>
                <w:i w:val="0"/>
                <w:color w:val="auto"/>
                <w:kern w:val="0"/>
                <w:sz w:val="24"/>
                <w:szCs w:val="24"/>
                <w:highlight w:val="none"/>
                <w:u w:val="none"/>
                <w:lang w:val="en-US" w:eastAsia="zh-CN" w:bidi="ar"/>
              </w:rPr>
              <w:t>2024年1月1日至今企业获得过省级或以上“高新技术企业”的，并在有效期内的得10分。</w:t>
            </w:r>
          </w:p>
          <w:p w14:paraId="1D76B879">
            <w:pPr>
              <w:pStyle w:val="59"/>
              <w:keepNext w:val="0"/>
              <w:keepLines w:val="0"/>
              <w:pageBreakBefore w:val="0"/>
              <w:widowControl/>
              <w:numPr>
                <w:ilvl w:val="0"/>
                <w:numId w:val="0"/>
              </w:numPr>
              <w:kinsoku/>
              <w:wordWrap w:val="0"/>
              <w:overflowPunct/>
              <w:topLinePunct w:val="0"/>
              <w:autoSpaceDE/>
              <w:autoSpaceDN/>
              <w:bidi w:val="0"/>
              <w:adjustRightInd w:val="0"/>
              <w:snapToGrid w:val="0"/>
              <w:spacing w:line="360" w:lineRule="auto"/>
              <w:jc w:val="left"/>
              <w:rPr>
                <w:rFonts w:hint="eastAsia" w:ascii="宋体" w:hAnsi="宋体" w:eastAsia="宋体" w:cs="宋体"/>
                <w:b w:val="0"/>
                <w:bCs w:val="0"/>
                <w:i w:val="0"/>
                <w:color w:val="auto"/>
                <w:kern w:val="0"/>
                <w:sz w:val="24"/>
                <w:szCs w:val="24"/>
                <w:highlight w:val="none"/>
                <w:u w:val="none"/>
                <w:lang w:val="en-US" w:eastAsia="zh-CN" w:bidi="ar"/>
              </w:rPr>
            </w:pPr>
            <w:r>
              <w:rPr>
                <w:rFonts w:hint="eastAsia" w:ascii="宋体" w:hAnsi="宋体" w:eastAsia="宋体" w:cs="宋体"/>
                <w:b w:val="0"/>
                <w:bCs w:val="0"/>
                <w:i w:val="0"/>
                <w:color w:val="auto"/>
                <w:kern w:val="0"/>
                <w:sz w:val="24"/>
                <w:szCs w:val="24"/>
                <w:highlight w:val="none"/>
                <w:lang w:val="en-US" w:eastAsia="zh-CN" w:bidi="ar"/>
              </w:rPr>
              <w:t>2.</w:t>
            </w:r>
            <w:r>
              <w:rPr>
                <w:rFonts w:hint="eastAsia" w:ascii="宋体" w:hAnsi="宋体" w:eastAsia="宋体" w:cs="宋体"/>
                <w:b w:val="0"/>
                <w:bCs w:val="0"/>
                <w:i w:val="0"/>
                <w:color w:val="auto"/>
                <w:kern w:val="0"/>
                <w:sz w:val="24"/>
                <w:szCs w:val="24"/>
                <w:highlight w:val="none"/>
                <w:u w:val="none"/>
                <w:lang w:val="en-US" w:eastAsia="zh-CN" w:bidi="ar"/>
              </w:rPr>
              <w:t>其他不得分。</w:t>
            </w:r>
          </w:p>
          <w:p w14:paraId="502CC83C">
            <w:pPr>
              <w:pStyle w:val="59"/>
              <w:keepNext w:val="0"/>
              <w:keepLines w:val="0"/>
              <w:pageBreakBefore w:val="0"/>
              <w:widowControl/>
              <w:numPr>
                <w:ilvl w:val="0"/>
                <w:numId w:val="0"/>
              </w:numPr>
              <w:kinsoku/>
              <w:wordWrap w:val="0"/>
              <w:overflowPunct/>
              <w:topLinePunct w:val="0"/>
              <w:autoSpaceDE/>
              <w:autoSpaceDN/>
              <w:bidi w:val="0"/>
              <w:adjustRightInd w:val="0"/>
              <w:snapToGrid w:val="0"/>
              <w:spacing w:line="360" w:lineRule="auto"/>
              <w:ind w:left="0" w:leftChars="0" w:firstLine="0" w:firstLineChars="0"/>
              <w:jc w:val="left"/>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b w:val="0"/>
                <w:bCs w:val="0"/>
                <w:snapToGrid w:val="0"/>
                <w:color w:val="auto"/>
                <w:kern w:val="0"/>
                <w:sz w:val="24"/>
                <w:szCs w:val="24"/>
                <w:highlight w:val="none"/>
              </w:rPr>
              <w:t>说明：</w:t>
            </w:r>
            <w:r>
              <w:rPr>
                <w:rFonts w:hint="eastAsia" w:ascii="宋体" w:hAnsi="宋体" w:eastAsia="宋体" w:cs="宋体"/>
                <w:b w:val="0"/>
                <w:bCs w:val="0"/>
                <w:i w:val="0"/>
                <w:color w:val="auto"/>
                <w:kern w:val="0"/>
                <w:sz w:val="24"/>
                <w:szCs w:val="24"/>
                <w:highlight w:val="none"/>
                <w:u w:val="none"/>
                <w:lang w:val="en-US" w:eastAsia="zh-CN" w:bidi="ar"/>
              </w:rPr>
              <w:t>本项最高得10分。</w:t>
            </w:r>
          </w:p>
        </w:tc>
        <w:tc>
          <w:tcPr>
            <w:tcW w:w="5295" w:type="dxa"/>
            <w:tcBorders>
              <w:top w:val="single" w:color="auto" w:sz="4" w:space="0"/>
              <w:left w:val="single" w:color="auto" w:sz="4" w:space="0"/>
              <w:bottom w:val="single" w:color="auto" w:sz="4" w:space="0"/>
              <w:right w:val="single" w:color="auto" w:sz="4" w:space="0"/>
            </w:tcBorders>
            <w:noWrap w:val="0"/>
            <w:vAlign w:val="center"/>
          </w:tcPr>
          <w:p w14:paraId="3D190AE1">
            <w:pPr>
              <w:pStyle w:val="11"/>
              <w:keepNext w:val="0"/>
              <w:keepLines w:val="0"/>
              <w:pageBreakBefore w:val="0"/>
              <w:widowControl/>
              <w:kinsoku/>
              <w:wordWrap w:val="0"/>
              <w:overflowPunct/>
              <w:topLinePunct w:val="0"/>
              <w:autoSpaceDE/>
              <w:autoSpaceDN/>
              <w:bidi w:val="0"/>
              <w:adjustRightInd w:val="0"/>
              <w:snapToGrid w:val="0"/>
              <w:spacing w:after="0" w:line="360" w:lineRule="auto"/>
              <w:rPr>
                <w:rFonts w:hint="eastAsia" w:ascii="宋体" w:hAnsi="宋体" w:eastAsia="宋体" w:cs="宋体"/>
                <w:snapToGrid w:val="0"/>
                <w:color w:val="auto"/>
                <w:kern w:val="0"/>
                <w:sz w:val="22"/>
                <w:szCs w:val="22"/>
                <w:highlight w:val="none"/>
              </w:rPr>
            </w:pPr>
            <w:r>
              <w:rPr>
                <w:rFonts w:hint="eastAsia" w:ascii="宋体" w:hAnsi="宋体" w:eastAsia="宋体" w:cs="宋体"/>
                <w:b w:val="0"/>
                <w:bCs w:val="0"/>
                <w:i w:val="0"/>
                <w:color w:val="auto"/>
                <w:kern w:val="0"/>
                <w:sz w:val="24"/>
                <w:szCs w:val="24"/>
                <w:highlight w:val="none"/>
                <w:u w:val="none"/>
                <w:lang w:val="en-US" w:eastAsia="zh-CN" w:bidi="ar"/>
              </w:rPr>
              <w:t>1.需附相关证书</w:t>
            </w:r>
            <w:r>
              <w:rPr>
                <w:rFonts w:hint="eastAsia" w:ascii="宋体" w:hAnsi="宋体" w:eastAsia="宋体" w:cs="宋体"/>
                <w:b w:val="0"/>
                <w:bCs w:val="0"/>
                <w:color w:val="auto"/>
                <w:kern w:val="0"/>
                <w:sz w:val="24"/>
                <w:szCs w:val="24"/>
                <w:highlight w:val="none"/>
                <w:lang w:val="en-US" w:eastAsia="zh-CN" w:bidi="ar-SA"/>
              </w:rPr>
              <w:t>彩色扫描件</w:t>
            </w:r>
            <w:r>
              <w:rPr>
                <w:rFonts w:hint="eastAsia" w:ascii="宋体" w:hAnsi="宋体" w:eastAsia="宋体" w:cs="宋体"/>
                <w:b w:val="0"/>
                <w:bCs w:val="0"/>
                <w:i w:val="0"/>
                <w:color w:val="auto"/>
                <w:kern w:val="0"/>
                <w:sz w:val="24"/>
                <w:szCs w:val="24"/>
                <w:highlight w:val="none"/>
                <w:u w:val="none"/>
                <w:lang w:val="en-US" w:eastAsia="zh-CN" w:bidi="ar"/>
              </w:rPr>
              <w:t>（或打印件），否则不得分。</w:t>
            </w:r>
          </w:p>
        </w:tc>
      </w:tr>
      <w:tr w14:paraId="648AC0CE">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3F82B956">
            <w:pPr>
              <w:widowControl w:val="0"/>
              <w:wordWrap w:val="0"/>
              <w:adjustRightInd w:val="0"/>
              <w:snapToGrid w:val="0"/>
              <w:spacing w:after="0" w:afterLines="0" w:afterAutospacing="0" w:line="360" w:lineRule="auto"/>
              <w:jc w:val="center"/>
              <w:rPr>
                <w:rFonts w:hint="eastAsia" w:ascii="宋体" w:hAnsi="宋体" w:eastAsia="宋体" w:cs="宋体"/>
                <w:b w:val="0"/>
                <w:bCs w:val="0"/>
                <w:snapToGrid w:val="0"/>
                <w:color w:val="auto"/>
                <w:kern w:val="0"/>
                <w:sz w:val="24"/>
                <w:szCs w:val="24"/>
                <w:highlight w:val="none"/>
                <w:lang w:val="en-US" w:eastAsia="zh-CN"/>
              </w:rPr>
            </w:pPr>
            <w:r>
              <w:rPr>
                <w:rFonts w:hint="eastAsia" w:ascii="宋体" w:hAnsi="宋体" w:eastAsia="宋体" w:cs="宋体"/>
                <w:b w:val="0"/>
                <w:bCs w:val="0"/>
                <w:snapToGrid w:val="0"/>
                <w:color w:val="auto"/>
                <w:kern w:val="0"/>
                <w:sz w:val="24"/>
                <w:szCs w:val="24"/>
                <w:highlight w:val="none"/>
              </w:rPr>
              <w:t>纳税信用</w:t>
            </w:r>
            <w:r>
              <w:rPr>
                <w:rFonts w:hint="eastAsia" w:ascii="宋体" w:hAnsi="宋体" w:eastAsia="宋体" w:cs="宋体"/>
                <w:b w:val="0"/>
                <w:bCs w:val="0"/>
                <w:snapToGrid w:val="0"/>
                <w:color w:val="auto"/>
                <w:kern w:val="0"/>
                <w:sz w:val="24"/>
                <w:szCs w:val="24"/>
                <w:highlight w:val="none"/>
                <w:lang w:val="en-US" w:eastAsia="zh-CN"/>
              </w:rPr>
              <w:t>情况</w:t>
            </w:r>
          </w:p>
          <w:p w14:paraId="433AE6E1">
            <w:pPr>
              <w:widowControl w:val="0"/>
              <w:wordWrap w:val="0"/>
              <w:adjustRightInd w:val="0"/>
              <w:snapToGrid w:val="0"/>
              <w:spacing w:after="0" w:afterLines="0" w:afterAutospacing="0" w:line="360" w:lineRule="auto"/>
              <w:jc w:val="center"/>
              <w:rPr>
                <w:rFonts w:hint="eastAsia" w:ascii="宋体" w:hAnsi="宋体" w:eastAsia="宋体" w:cs="宋体"/>
                <w:snapToGrid w:val="0"/>
                <w:color w:val="auto"/>
                <w:kern w:val="0"/>
                <w:sz w:val="22"/>
                <w:szCs w:val="22"/>
                <w:highlight w:val="none"/>
                <w:lang w:val="en-US" w:eastAsia="zh-CN"/>
              </w:rPr>
            </w:pPr>
            <w:r>
              <w:rPr>
                <w:rFonts w:hint="eastAsia" w:ascii="宋体" w:hAnsi="宋体" w:eastAsia="宋体" w:cs="宋体"/>
                <w:b w:val="0"/>
                <w:bCs w:val="0"/>
                <w:snapToGrid w:val="0"/>
                <w:color w:val="auto"/>
                <w:kern w:val="0"/>
                <w:sz w:val="24"/>
                <w:szCs w:val="24"/>
                <w:highlight w:val="none"/>
                <w:lang w:val="en-US" w:eastAsia="zh-CN" w:bidi="ar"/>
              </w:rPr>
              <w:t>（10分）</w:t>
            </w:r>
          </w:p>
        </w:tc>
        <w:tc>
          <w:tcPr>
            <w:tcW w:w="4065" w:type="dxa"/>
            <w:tcBorders>
              <w:top w:val="single" w:color="auto" w:sz="4" w:space="0"/>
              <w:left w:val="single" w:color="auto" w:sz="4" w:space="0"/>
              <w:bottom w:val="single" w:color="auto" w:sz="4" w:space="0"/>
              <w:right w:val="single" w:color="auto" w:sz="4" w:space="0"/>
            </w:tcBorders>
            <w:noWrap w:val="0"/>
            <w:vAlign w:val="center"/>
          </w:tcPr>
          <w:p w14:paraId="01702AAE">
            <w:pPr>
              <w:pStyle w:val="11"/>
              <w:numPr>
                <w:ilvl w:val="0"/>
                <w:numId w:val="0"/>
              </w:numPr>
              <w:wordWrap w:val="0"/>
              <w:adjustRightInd w:val="0"/>
              <w:snapToGrid w:val="0"/>
              <w:spacing w:after="0" w:line="36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kern w:val="2"/>
                <w:sz w:val="24"/>
                <w:szCs w:val="24"/>
                <w:highlight w:val="none"/>
                <w:lang w:val="en-US" w:eastAsia="zh-CN" w:bidi="ar-SA"/>
              </w:rPr>
              <w:t>1.</w:t>
            </w:r>
            <w:r>
              <w:rPr>
                <w:rFonts w:hint="eastAsia" w:ascii="宋体" w:hAnsi="宋体" w:eastAsia="宋体" w:cs="宋体"/>
                <w:b w:val="0"/>
                <w:bCs w:val="0"/>
                <w:color w:val="auto"/>
                <w:sz w:val="24"/>
                <w:szCs w:val="24"/>
                <w:highlight w:val="none"/>
              </w:rPr>
              <w:t>企业获得纳税信用A级纳税人的（其中必须有202</w:t>
            </w:r>
            <w:r>
              <w:rPr>
                <w:rFonts w:hint="eastAsia" w:ascii="宋体" w:hAnsi="宋体" w:eastAsia="宋体" w:cs="宋体"/>
                <w:b w:val="0"/>
                <w:bCs w:val="0"/>
                <w:color w:val="auto"/>
                <w:sz w:val="24"/>
                <w:szCs w:val="24"/>
                <w:highlight w:val="none"/>
                <w:lang w:val="en-US" w:eastAsia="zh-CN"/>
              </w:rPr>
              <w:t>4</w:t>
            </w:r>
            <w:r>
              <w:rPr>
                <w:rFonts w:hint="eastAsia" w:ascii="宋体" w:hAnsi="宋体" w:eastAsia="宋体" w:cs="宋体"/>
                <w:b w:val="0"/>
                <w:bCs w:val="0"/>
                <w:color w:val="auto"/>
                <w:sz w:val="24"/>
                <w:szCs w:val="24"/>
                <w:highlight w:val="none"/>
              </w:rPr>
              <w:t>年度）</w:t>
            </w:r>
          </w:p>
          <w:p w14:paraId="4ED92B2D">
            <w:pPr>
              <w:pStyle w:val="11"/>
              <w:numPr>
                <w:ilvl w:val="0"/>
                <w:numId w:val="0"/>
              </w:numPr>
              <w:wordWrap w:val="0"/>
              <w:adjustRightInd w:val="0"/>
              <w:snapToGrid w:val="0"/>
              <w:spacing w:after="0" w:line="360" w:lineRule="auto"/>
              <w:ind w:left="0" w:leftChars="0" w:firstLine="0" w:firstLineChars="0"/>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b w:val="0"/>
                <w:bCs w:val="0"/>
                <w:snapToGrid w:val="0"/>
                <w:color w:val="auto"/>
                <w:kern w:val="0"/>
                <w:sz w:val="24"/>
                <w:szCs w:val="24"/>
                <w:highlight w:val="none"/>
              </w:rPr>
              <w:t>说明：</w:t>
            </w:r>
            <w:r>
              <w:rPr>
                <w:rFonts w:hint="eastAsia" w:ascii="宋体" w:hAnsi="宋体" w:eastAsia="宋体" w:cs="宋体"/>
                <w:b w:val="0"/>
                <w:bCs w:val="0"/>
                <w:i w:val="0"/>
                <w:color w:val="auto"/>
                <w:kern w:val="0"/>
                <w:sz w:val="24"/>
                <w:szCs w:val="24"/>
                <w:highlight w:val="none"/>
                <w:u w:val="none"/>
                <w:lang w:val="en-US" w:eastAsia="zh-CN" w:bidi="ar"/>
              </w:rPr>
              <w:t>本项最高得10分。</w:t>
            </w:r>
          </w:p>
        </w:tc>
        <w:tc>
          <w:tcPr>
            <w:tcW w:w="5295" w:type="dxa"/>
            <w:tcBorders>
              <w:top w:val="single" w:color="auto" w:sz="4" w:space="0"/>
              <w:left w:val="single" w:color="auto" w:sz="4" w:space="0"/>
              <w:bottom w:val="single" w:color="auto" w:sz="4" w:space="0"/>
              <w:right w:val="single" w:color="auto" w:sz="4" w:space="0"/>
            </w:tcBorders>
            <w:noWrap w:val="0"/>
            <w:vAlign w:val="center"/>
          </w:tcPr>
          <w:p w14:paraId="654985E0">
            <w:pPr>
              <w:pStyle w:val="11"/>
              <w:keepNext w:val="0"/>
              <w:keepLines w:val="0"/>
              <w:pageBreakBefore w:val="0"/>
              <w:widowControl/>
              <w:kinsoku/>
              <w:wordWrap w:val="0"/>
              <w:overflowPunct/>
              <w:topLinePunct w:val="0"/>
              <w:autoSpaceDE/>
              <w:autoSpaceDN/>
              <w:bidi w:val="0"/>
              <w:adjustRightInd w:val="0"/>
              <w:snapToGrid w:val="0"/>
              <w:spacing w:line="360" w:lineRule="auto"/>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1.需</w:t>
            </w:r>
            <w:r>
              <w:rPr>
                <w:rFonts w:hint="eastAsia" w:ascii="宋体" w:hAnsi="宋体" w:eastAsia="宋体" w:cs="宋体"/>
                <w:b w:val="0"/>
                <w:bCs w:val="0"/>
                <w:color w:val="auto"/>
                <w:kern w:val="0"/>
                <w:sz w:val="24"/>
                <w:szCs w:val="24"/>
                <w:highlight w:val="none"/>
                <w:lang w:val="en-US" w:eastAsia="zh-CN"/>
              </w:rPr>
              <w:t>提供</w:t>
            </w:r>
            <w:r>
              <w:rPr>
                <w:rFonts w:hint="eastAsia" w:ascii="宋体" w:hAnsi="宋体" w:eastAsia="宋体" w:cs="宋体"/>
                <w:b w:val="0"/>
                <w:bCs w:val="0"/>
                <w:i w:val="0"/>
                <w:color w:val="auto"/>
                <w:kern w:val="0"/>
                <w:sz w:val="24"/>
                <w:szCs w:val="24"/>
                <w:highlight w:val="none"/>
                <w:u w:val="none"/>
                <w:lang w:val="en-US" w:eastAsia="zh-CN" w:bidi="ar"/>
              </w:rPr>
              <w:t>提供企业纳税信用A级纳税人证明材料（或证书）及国家税务总局（或省级电子税务局）网上查询截图，否则不得分。</w:t>
            </w:r>
          </w:p>
          <w:p w14:paraId="65F22379">
            <w:pPr>
              <w:pStyle w:val="11"/>
              <w:wordWrap w:val="0"/>
              <w:adjustRightInd w:val="0"/>
              <w:snapToGrid w:val="0"/>
              <w:spacing w:after="0" w:line="360" w:lineRule="auto"/>
              <w:rPr>
                <w:rFonts w:hint="eastAsia" w:ascii="宋体" w:hAnsi="宋体" w:eastAsia="宋体" w:cs="宋体"/>
                <w:color w:val="auto"/>
                <w:kern w:val="0"/>
                <w:sz w:val="22"/>
                <w:szCs w:val="22"/>
                <w:highlight w:val="none"/>
              </w:rPr>
            </w:pPr>
            <w:r>
              <w:rPr>
                <w:rFonts w:hint="eastAsia" w:ascii="宋体" w:hAnsi="宋体" w:eastAsia="宋体" w:cs="宋体"/>
                <w:b w:val="0"/>
                <w:bCs w:val="0"/>
                <w:color w:val="auto"/>
                <w:kern w:val="0"/>
                <w:sz w:val="24"/>
                <w:szCs w:val="24"/>
                <w:highlight w:val="none"/>
              </w:rPr>
              <w:t>2.只计算投标人自身（不计算投标人的分公司、子公司及分支机构）</w:t>
            </w:r>
            <w:r>
              <w:rPr>
                <w:rFonts w:hint="eastAsia" w:ascii="宋体" w:hAnsi="宋体" w:eastAsia="宋体" w:cs="宋体"/>
                <w:b w:val="0"/>
                <w:bCs w:val="0"/>
                <w:color w:val="auto"/>
                <w:kern w:val="0"/>
                <w:sz w:val="24"/>
                <w:szCs w:val="24"/>
                <w:highlight w:val="none"/>
                <w:lang w:eastAsia="zh-CN"/>
              </w:rPr>
              <w:t>。</w:t>
            </w:r>
          </w:p>
        </w:tc>
      </w:tr>
      <w:tr w14:paraId="003F0DB6">
        <w:tblPrEx>
          <w:tblCellMar>
            <w:top w:w="0" w:type="dxa"/>
            <w:left w:w="108" w:type="dxa"/>
            <w:bottom w:w="0" w:type="dxa"/>
            <w:right w:w="108" w:type="dxa"/>
          </w:tblCellMar>
        </w:tblPrEx>
        <w:trPr>
          <w:trHeight w:val="23" w:hRule="atLeast"/>
          <w:jc w:val="center"/>
        </w:trPr>
        <w:tc>
          <w:tcPr>
            <w:tcW w:w="1493" w:type="dxa"/>
            <w:vMerge w:val="restart"/>
            <w:tcBorders>
              <w:top w:val="single" w:color="auto" w:sz="4" w:space="0"/>
              <w:left w:val="single" w:color="auto" w:sz="4" w:space="0"/>
              <w:right w:val="single" w:color="auto" w:sz="4" w:space="0"/>
            </w:tcBorders>
            <w:noWrap w:val="0"/>
            <w:vAlign w:val="center"/>
          </w:tcPr>
          <w:p w14:paraId="3AC8BD9E">
            <w:pPr>
              <w:widowControl w:val="0"/>
              <w:wordWrap w:val="0"/>
              <w:adjustRightInd w:val="0"/>
              <w:snapToGrid w:val="0"/>
              <w:spacing w:after="120" w:afterLines="0" w:afterAutospacing="0" w:line="360" w:lineRule="auto"/>
              <w:jc w:val="center"/>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lang w:val="en-US" w:eastAsia="zh-CN" w:bidi="ar-SA"/>
              </w:rPr>
              <w:t>招标人</w:t>
            </w:r>
          </w:p>
          <w:p w14:paraId="14021C79">
            <w:pPr>
              <w:widowControl w:val="0"/>
              <w:wordWrap w:val="0"/>
              <w:adjustRightInd w:val="0"/>
              <w:snapToGrid w:val="0"/>
              <w:spacing w:after="120" w:afterLines="0" w:afterAutospacing="0" w:line="360" w:lineRule="auto"/>
              <w:jc w:val="center"/>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lang w:val="en-US" w:eastAsia="zh-CN" w:bidi="ar-SA"/>
              </w:rPr>
              <w:t>自选项</w:t>
            </w:r>
          </w:p>
          <w:p w14:paraId="0EE87561">
            <w:pPr>
              <w:widowControl w:val="0"/>
              <w:wordWrap w:val="0"/>
              <w:adjustRightInd w:val="0"/>
              <w:snapToGrid w:val="0"/>
              <w:spacing w:after="0" w:afterLines="0" w:afterAutospacing="0" w:line="360" w:lineRule="auto"/>
              <w:jc w:val="center"/>
              <w:rPr>
                <w:rFonts w:hint="eastAsia" w:ascii="宋体" w:hAnsi="宋体" w:eastAsia="宋体" w:cs="宋体"/>
                <w:snapToGrid w:val="0"/>
                <w:color w:val="auto"/>
                <w:kern w:val="0"/>
                <w:sz w:val="22"/>
                <w:szCs w:val="22"/>
                <w:highlight w:val="none"/>
                <w:lang w:val="en-US" w:eastAsia="zh-CN"/>
              </w:rPr>
            </w:pPr>
            <w:r>
              <w:rPr>
                <w:rFonts w:hint="eastAsia" w:ascii="宋体" w:hAnsi="宋体" w:eastAsia="宋体" w:cs="宋体"/>
                <w:b w:val="0"/>
                <w:bCs w:val="0"/>
                <w:snapToGrid w:val="0"/>
                <w:color w:val="auto"/>
                <w:kern w:val="0"/>
                <w:sz w:val="24"/>
                <w:szCs w:val="24"/>
                <w:highlight w:val="none"/>
                <w:lang w:val="en-US" w:eastAsia="zh-CN" w:bidi="ar-SA"/>
              </w:rPr>
              <w:t>（10分）</w:t>
            </w:r>
          </w:p>
        </w:tc>
        <w:tc>
          <w:tcPr>
            <w:tcW w:w="4065" w:type="dxa"/>
            <w:tcBorders>
              <w:top w:val="single" w:color="auto" w:sz="4" w:space="0"/>
              <w:left w:val="single" w:color="auto" w:sz="4" w:space="0"/>
              <w:bottom w:val="single" w:color="auto" w:sz="4" w:space="0"/>
              <w:right w:val="single" w:color="auto" w:sz="4" w:space="0"/>
            </w:tcBorders>
            <w:noWrap w:val="0"/>
            <w:vAlign w:val="center"/>
          </w:tcPr>
          <w:p w14:paraId="6742AFBA">
            <w:pPr>
              <w:pStyle w:val="11"/>
              <w:numPr>
                <w:ilvl w:val="0"/>
                <w:numId w:val="0"/>
              </w:numPr>
              <w:wordWrap w:val="0"/>
              <w:adjustRightInd w:val="0"/>
              <w:snapToGrid w:val="0"/>
              <w:spacing w:line="360" w:lineRule="auto"/>
              <w:jc w:val="left"/>
              <w:rPr>
                <w:rFonts w:hint="eastAsia" w:ascii="宋体" w:hAnsi="宋体" w:eastAsia="宋体" w:cs="宋体"/>
                <w:b w:val="0"/>
                <w:bCs w:val="0"/>
                <w:snapToGrid w:val="0"/>
                <w:color w:val="auto"/>
                <w:kern w:val="0"/>
                <w:sz w:val="24"/>
                <w:szCs w:val="24"/>
                <w:highlight w:val="none"/>
                <w:lang w:val="en-US" w:eastAsia="zh-CN"/>
              </w:rPr>
            </w:pPr>
            <w:r>
              <w:rPr>
                <w:rFonts w:hint="eastAsia" w:ascii="宋体" w:hAnsi="宋体" w:eastAsia="宋体" w:cs="宋体"/>
                <w:b w:val="0"/>
                <w:bCs w:val="0"/>
                <w:snapToGrid w:val="0"/>
                <w:color w:val="auto"/>
                <w:kern w:val="0"/>
                <w:sz w:val="24"/>
                <w:szCs w:val="24"/>
                <w:highlight w:val="none"/>
                <w:lang w:val="en-US" w:eastAsia="zh-CN" w:bidi="ar-SA"/>
              </w:rPr>
              <w:t>1.</w:t>
            </w:r>
            <w:r>
              <w:rPr>
                <w:rFonts w:hint="eastAsia" w:ascii="宋体" w:hAnsi="宋体" w:eastAsia="宋体" w:cs="宋体"/>
                <w:b w:val="0"/>
                <w:bCs w:val="0"/>
                <w:snapToGrid w:val="0"/>
                <w:color w:val="auto"/>
                <w:kern w:val="0"/>
                <w:sz w:val="24"/>
                <w:szCs w:val="24"/>
                <w:highlight w:val="none"/>
                <w:lang w:val="en-US" w:eastAsia="zh-CN"/>
              </w:rPr>
              <w:t>企业获得“工程质量评价体系认证证书”5A级的得5分；</w:t>
            </w:r>
          </w:p>
          <w:p w14:paraId="7E4700C3">
            <w:pPr>
              <w:pStyle w:val="11"/>
              <w:numPr>
                <w:ilvl w:val="0"/>
                <w:numId w:val="0"/>
              </w:numPr>
              <w:wordWrap w:val="0"/>
              <w:adjustRightInd w:val="0"/>
              <w:snapToGrid w:val="0"/>
              <w:spacing w:line="360" w:lineRule="auto"/>
              <w:ind w:left="0" w:leftChars="0" w:firstLine="0" w:firstLineChars="0"/>
              <w:jc w:val="left"/>
              <w:rPr>
                <w:rFonts w:hint="eastAsia" w:ascii="宋体" w:hAnsi="宋体" w:eastAsia="宋体" w:cs="宋体"/>
                <w:b w:val="0"/>
                <w:bCs w:val="0"/>
                <w:color w:val="auto"/>
                <w:kern w:val="0"/>
                <w:sz w:val="24"/>
                <w:szCs w:val="24"/>
                <w:highlight w:val="none"/>
                <w:lang w:eastAsia="zh-CN"/>
              </w:rPr>
            </w:pPr>
            <w:r>
              <w:rPr>
                <w:rFonts w:hint="eastAsia" w:ascii="宋体" w:hAnsi="宋体" w:eastAsia="宋体" w:cs="宋体"/>
                <w:b w:val="0"/>
                <w:bCs w:val="0"/>
                <w:color w:val="auto"/>
                <w:kern w:val="0"/>
                <w:sz w:val="24"/>
                <w:szCs w:val="24"/>
                <w:highlight w:val="none"/>
                <w:lang w:val="en-US" w:eastAsia="zh-CN" w:bidi="ar-SA"/>
              </w:rPr>
              <w:t>2.</w:t>
            </w:r>
            <w:r>
              <w:rPr>
                <w:rFonts w:hint="eastAsia" w:ascii="宋体" w:hAnsi="宋体" w:eastAsia="宋体" w:cs="宋体"/>
                <w:b w:val="0"/>
                <w:bCs w:val="0"/>
                <w:snapToGrid w:val="0"/>
                <w:color w:val="auto"/>
                <w:kern w:val="0"/>
                <w:sz w:val="24"/>
                <w:szCs w:val="24"/>
                <w:highlight w:val="none"/>
                <w:lang w:val="en-US" w:eastAsia="zh-CN"/>
              </w:rPr>
              <w:t>企业获得“工程质量评价体系认证证书”5A级以下的得3分。</w:t>
            </w:r>
          </w:p>
          <w:p w14:paraId="60552E8B">
            <w:pPr>
              <w:pStyle w:val="11"/>
              <w:numPr>
                <w:ilvl w:val="0"/>
                <w:numId w:val="0"/>
              </w:numPr>
              <w:wordWrap w:val="0"/>
              <w:adjustRightInd w:val="0"/>
              <w:snapToGrid w:val="0"/>
              <w:spacing w:line="360" w:lineRule="auto"/>
              <w:ind w:left="0" w:leftChars="0" w:firstLine="0" w:firstLineChars="0"/>
              <w:jc w:val="left"/>
              <w:rPr>
                <w:rFonts w:hint="eastAsia" w:ascii="宋体" w:hAnsi="宋体" w:eastAsia="宋体" w:cs="宋体"/>
                <w:b w:val="0"/>
                <w:bCs w:val="0"/>
                <w:color w:val="auto"/>
                <w:kern w:val="0"/>
                <w:sz w:val="24"/>
                <w:szCs w:val="24"/>
                <w:highlight w:val="none"/>
                <w:lang w:eastAsia="zh-CN"/>
              </w:rPr>
            </w:pPr>
            <w:r>
              <w:rPr>
                <w:rFonts w:hint="eastAsia" w:ascii="宋体" w:hAnsi="宋体" w:eastAsia="宋体" w:cs="宋体"/>
                <w:b w:val="0"/>
                <w:bCs w:val="0"/>
                <w:color w:val="auto"/>
                <w:kern w:val="0"/>
                <w:sz w:val="24"/>
                <w:szCs w:val="24"/>
                <w:highlight w:val="none"/>
                <w:lang w:val="en-US" w:eastAsia="zh-CN" w:bidi="ar-SA"/>
              </w:rPr>
              <w:t>3.</w:t>
            </w:r>
            <w:r>
              <w:rPr>
                <w:rFonts w:hint="eastAsia" w:ascii="宋体" w:hAnsi="宋体" w:eastAsia="宋体" w:cs="宋体"/>
                <w:b w:val="0"/>
                <w:bCs w:val="0"/>
                <w:snapToGrid w:val="0"/>
                <w:color w:val="auto"/>
                <w:kern w:val="0"/>
                <w:sz w:val="24"/>
                <w:szCs w:val="24"/>
                <w:highlight w:val="none"/>
                <w:lang w:val="en-US" w:eastAsia="zh-CN"/>
              </w:rPr>
              <w:t xml:space="preserve">未获得的不得分。 </w:t>
            </w:r>
          </w:p>
          <w:p w14:paraId="054BBE76">
            <w:pPr>
              <w:pStyle w:val="11"/>
              <w:numPr>
                <w:ilvl w:val="0"/>
                <w:numId w:val="0"/>
              </w:numPr>
              <w:wordWrap w:val="0"/>
              <w:adjustRightInd w:val="0"/>
              <w:snapToGrid w:val="0"/>
              <w:spacing w:line="360" w:lineRule="auto"/>
              <w:ind w:left="0" w:leftChars="0" w:firstLine="0" w:firstLineChars="0"/>
              <w:jc w:val="left"/>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b w:val="0"/>
                <w:bCs w:val="0"/>
                <w:snapToGrid w:val="0"/>
                <w:color w:val="auto"/>
                <w:kern w:val="0"/>
                <w:sz w:val="24"/>
                <w:szCs w:val="24"/>
                <w:highlight w:val="none"/>
              </w:rPr>
              <w:t>说明：</w:t>
            </w:r>
            <w:r>
              <w:rPr>
                <w:rFonts w:hint="eastAsia" w:ascii="宋体" w:hAnsi="宋体" w:eastAsia="宋体" w:cs="宋体"/>
                <w:b w:val="0"/>
                <w:bCs w:val="0"/>
                <w:i w:val="0"/>
                <w:color w:val="auto"/>
                <w:kern w:val="0"/>
                <w:sz w:val="24"/>
                <w:szCs w:val="24"/>
                <w:highlight w:val="none"/>
                <w:u w:val="none"/>
                <w:lang w:val="en-US" w:eastAsia="zh-CN" w:bidi="ar"/>
              </w:rPr>
              <w:t>本项最高得5分。</w:t>
            </w:r>
          </w:p>
        </w:tc>
        <w:tc>
          <w:tcPr>
            <w:tcW w:w="5295" w:type="dxa"/>
            <w:tcBorders>
              <w:top w:val="single" w:color="auto" w:sz="4" w:space="0"/>
              <w:left w:val="single" w:color="auto" w:sz="4" w:space="0"/>
              <w:bottom w:val="single" w:color="auto" w:sz="4" w:space="0"/>
              <w:right w:val="single" w:color="auto" w:sz="4" w:space="0"/>
            </w:tcBorders>
            <w:noWrap w:val="0"/>
            <w:vAlign w:val="center"/>
          </w:tcPr>
          <w:p w14:paraId="42237FA1">
            <w:pPr>
              <w:widowControl w:val="0"/>
              <w:wordWrap w:val="0"/>
              <w:adjustRightInd w:val="0"/>
              <w:snapToGrid w:val="0"/>
              <w:spacing w:after="0" w:afterLines="0" w:afterAutospacing="0" w:line="360" w:lineRule="auto"/>
              <w:jc w:val="both"/>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lang w:val="en-US" w:eastAsia="zh-CN" w:bidi="ar-SA"/>
              </w:rPr>
              <w:t>1．需附在有效期内的认证证书扫描件及国家认证认可监督管理委员会官网（http：//www.cnca.gov.cn/）查询截图。</w:t>
            </w:r>
          </w:p>
          <w:p w14:paraId="77A4E6FE">
            <w:pPr>
              <w:widowControl w:val="0"/>
              <w:wordWrap w:val="0"/>
              <w:adjustRightInd w:val="0"/>
              <w:snapToGrid w:val="0"/>
              <w:spacing w:after="0" w:afterLines="0" w:afterAutospacing="0" w:line="360" w:lineRule="auto"/>
              <w:jc w:val="both"/>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lang w:val="en-US" w:eastAsia="zh-CN" w:bidi="ar-SA"/>
              </w:rPr>
              <w:t>2．任一认证证书有以下情形之一的，该认证证书视为无效，不予计分：</w:t>
            </w:r>
          </w:p>
          <w:p w14:paraId="0315F455">
            <w:pPr>
              <w:widowControl w:val="0"/>
              <w:wordWrap w:val="0"/>
              <w:adjustRightInd w:val="0"/>
              <w:snapToGrid w:val="0"/>
              <w:spacing w:after="0" w:afterLines="0" w:afterAutospacing="0" w:line="360" w:lineRule="auto"/>
              <w:jc w:val="both"/>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lang w:val="en-US" w:eastAsia="zh-CN" w:bidi="ar-SA"/>
              </w:rPr>
              <w:t>①认证证书不在有效期内的；</w:t>
            </w:r>
          </w:p>
          <w:p w14:paraId="470B85A4">
            <w:pPr>
              <w:widowControl w:val="0"/>
              <w:wordWrap w:val="0"/>
              <w:adjustRightInd w:val="0"/>
              <w:snapToGrid w:val="0"/>
              <w:spacing w:after="0" w:afterLines="0" w:afterAutospacing="0" w:line="360" w:lineRule="auto"/>
              <w:jc w:val="both"/>
              <w:rPr>
                <w:rFonts w:hint="eastAsia" w:ascii="宋体" w:hAnsi="宋体" w:eastAsia="宋体" w:cs="宋体"/>
                <w:color w:val="auto"/>
                <w:kern w:val="0"/>
                <w:sz w:val="22"/>
                <w:szCs w:val="22"/>
                <w:highlight w:val="none"/>
              </w:rPr>
            </w:pPr>
            <w:r>
              <w:rPr>
                <w:rFonts w:hint="eastAsia" w:ascii="宋体" w:hAnsi="宋体" w:eastAsia="宋体" w:cs="宋体"/>
                <w:b w:val="0"/>
                <w:bCs w:val="0"/>
                <w:snapToGrid w:val="0"/>
                <w:color w:val="auto"/>
                <w:kern w:val="0"/>
                <w:sz w:val="24"/>
                <w:szCs w:val="24"/>
                <w:highlight w:val="none"/>
                <w:lang w:val="en-US" w:eastAsia="zh-CN" w:bidi="ar-SA"/>
              </w:rPr>
              <w:t>②证书有效性在国家认证认可监督管理委员会官网（http：//www.cnca.gov.cn/）查询失效。</w:t>
            </w:r>
          </w:p>
        </w:tc>
      </w:tr>
      <w:tr w14:paraId="0194A909">
        <w:tblPrEx>
          <w:tblCellMar>
            <w:top w:w="0" w:type="dxa"/>
            <w:left w:w="108" w:type="dxa"/>
            <w:bottom w:w="0" w:type="dxa"/>
            <w:right w:w="108" w:type="dxa"/>
          </w:tblCellMar>
        </w:tblPrEx>
        <w:trPr>
          <w:trHeight w:val="23" w:hRule="atLeast"/>
          <w:jc w:val="center"/>
        </w:trPr>
        <w:tc>
          <w:tcPr>
            <w:tcW w:w="1493" w:type="dxa"/>
            <w:vMerge w:val="continue"/>
            <w:tcBorders>
              <w:left w:val="single" w:color="auto" w:sz="4" w:space="0"/>
              <w:bottom w:val="single" w:color="auto" w:sz="4" w:space="0"/>
              <w:right w:val="single" w:color="auto" w:sz="4" w:space="0"/>
            </w:tcBorders>
            <w:noWrap w:val="0"/>
            <w:vAlign w:val="center"/>
          </w:tcPr>
          <w:p w14:paraId="4CE20CA0">
            <w:pPr>
              <w:widowControl w:val="0"/>
              <w:wordWrap w:val="0"/>
              <w:adjustRightInd w:val="0"/>
              <w:snapToGrid w:val="0"/>
              <w:spacing w:after="0" w:afterLines="0" w:afterAutospacing="0" w:line="360" w:lineRule="auto"/>
              <w:jc w:val="center"/>
              <w:rPr>
                <w:rFonts w:hint="eastAsia" w:ascii="宋体" w:hAnsi="宋体" w:eastAsia="宋体" w:cs="宋体"/>
                <w:snapToGrid w:val="0"/>
                <w:color w:val="auto"/>
                <w:kern w:val="0"/>
                <w:sz w:val="22"/>
                <w:szCs w:val="22"/>
                <w:highlight w:val="none"/>
                <w:lang w:val="en-US" w:eastAsia="zh-CN"/>
              </w:rPr>
            </w:pPr>
          </w:p>
        </w:tc>
        <w:tc>
          <w:tcPr>
            <w:tcW w:w="4065" w:type="dxa"/>
            <w:tcBorders>
              <w:top w:val="single" w:color="auto" w:sz="4" w:space="0"/>
              <w:left w:val="single" w:color="auto" w:sz="4" w:space="0"/>
              <w:bottom w:val="single" w:color="auto" w:sz="4" w:space="0"/>
              <w:right w:val="single" w:color="auto" w:sz="4" w:space="0"/>
            </w:tcBorders>
            <w:noWrap w:val="0"/>
            <w:vAlign w:val="center"/>
          </w:tcPr>
          <w:p w14:paraId="5D159422">
            <w:pPr>
              <w:pStyle w:val="11"/>
              <w:numPr>
                <w:ilvl w:val="0"/>
                <w:numId w:val="0"/>
              </w:numPr>
              <w:wordWrap w:val="0"/>
              <w:adjustRightInd w:val="0"/>
              <w:snapToGrid w:val="0"/>
              <w:spacing w:after="0" w:line="360" w:lineRule="auto"/>
              <w:rPr>
                <w:rFonts w:hint="eastAsia" w:ascii="宋体" w:hAnsi="宋体" w:eastAsia="宋体" w:cs="宋体"/>
                <w:b w:val="0"/>
                <w:bCs w:val="0"/>
                <w:snapToGrid w:val="0"/>
                <w:color w:val="auto"/>
                <w:kern w:val="0"/>
                <w:sz w:val="24"/>
                <w:szCs w:val="24"/>
                <w:highlight w:val="none"/>
                <w:lang w:val="en-US" w:eastAsia="zh-CN"/>
              </w:rPr>
            </w:pPr>
            <w:r>
              <w:rPr>
                <w:rFonts w:hint="eastAsia" w:ascii="宋体" w:hAnsi="宋体" w:eastAsia="宋体" w:cs="宋体"/>
                <w:b w:val="0"/>
                <w:bCs w:val="0"/>
                <w:snapToGrid w:val="0"/>
                <w:color w:val="auto"/>
                <w:kern w:val="0"/>
                <w:sz w:val="24"/>
                <w:szCs w:val="24"/>
                <w:highlight w:val="none"/>
                <w:lang w:val="en-US" w:eastAsia="zh-CN" w:bidi="ar-SA"/>
              </w:rPr>
              <w:t>1.</w:t>
            </w:r>
            <w:r>
              <w:rPr>
                <w:rFonts w:hint="eastAsia" w:ascii="宋体" w:hAnsi="宋体" w:eastAsia="宋体" w:cs="宋体"/>
                <w:b w:val="0"/>
                <w:bCs w:val="0"/>
                <w:snapToGrid w:val="0"/>
                <w:color w:val="auto"/>
                <w:kern w:val="0"/>
                <w:sz w:val="24"/>
                <w:szCs w:val="24"/>
                <w:highlight w:val="none"/>
                <w:lang w:val="en-US" w:eastAsia="zh-CN"/>
              </w:rPr>
              <w:t>投标人</w:t>
            </w:r>
            <w:r>
              <w:rPr>
                <w:rFonts w:hint="eastAsia" w:ascii="宋体" w:hAnsi="宋体" w:eastAsia="宋体" w:cs="宋体"/>
                <w:b w:val="0"/>
                <w:bCs w:val="0"/>
                <w:snapToGrid w:val="0"/>
                <w:color w:val="auto"/>
                <w:kern w:val="0"/>
                <w:sz w:val="24"/>
                <w:szCs w:val="24"/>
                <w:highlight w:val="none"/>
                <w:lang w:val="en-US" w:eastAsia="zh-CN"/>
              </w:rPr>
              <w:t>2021年1月1日</w:t>
            </w:r>
            <w:r>
              <w:rPr>
                <w:rFonts w:hint="eastAsia" w:ascii="宋体" w:hAnsi="宋体" w:eastAsia="宋体" w:cs="宋体"/>
                <w:b w:val="0"/>
                <w:bCs w:val="0"/>
                <w:snapToGrid w:val="0"/>
                <w:color w:val="auto"/>
                <w:kern w:val="0"/>
                <w:sz w:val="24"/>
                <w:szCs w:val="24"/>
                <w:highlight w:val="none"/>
                <w:lang w:val="en-US" w:eastAsia="zh-CN"/>
              </w:rPr>
              <w:t>至今连续3年或以上获得“市政工程施工安全规范</w:t>
            </w:r>
            <w:r>
              <w:rPr>
                <w:rFonts w:hint="eastAsia" w:ascii="宋体" w:hAnsi="宋体" w:eastAsia="宋体" w:cs="宋体"/>
                <w:b w:val="0"/>
                <w:bCs w:val="0"/>
                <w:strike w:val="0"/>
                <w:dstrike w:val="0"/>
                <w:snapToGrid w:val="0"/>
                <w:color w:val="auto"/>
                <w:kern w:val="0"/>
                <w:sz w:val="24"/>
                <w:szCs w:val="24"/>
                <w:highlight w:val="none"/>
                <w:lang w:val="en-US" w:eastAsia="zh-CN"/>
              </w:rPr>
              <w:t>体系</w:t>
            </w:r>
            <w:r>
              <w:rPr>
                <w:rFonts w:hint="eastAsia" w:ascii="宋体" w:hAnsi="宋体" w:eastAsia="宋体" w:cs="宋体"/>
                <w:b w:val="0"/>
                <w:bCs w:val="0"/>
                <w:snapToGrid w:val="0"/>
                <w:color w:val="auto"/>
                <w:kern w:val="0"/>
                <w:sz w:val="24"/>
                <w:szCs w:val="24"/>
                <w:highlight w:val="none"/>
                <w:lang w:val="en-US" w:eastAsia="zh-CN"/>
              </w:rPr>
              <w:t>认证证书”5A级的得5分；</w:t>
            </w:r>
          </w:p>
          <w:p w14:paraId="37982373">
            <w:pPr>
              <w:pStyle w:val="11"/>
              <w:numPr>
                <w:ilvl w:val="0"/>
                <w:numId w:val="0"/>
              </w:numPr>
              <w:wordWrap w:val="0"/>
              <w:adjustRightInd w:val="0"/>
              <w:snapToGrid w:val="0"/>
              <w:spacing w:after="0" w:line="360" w:lineRule="auto"/>
              <w:rPr>
                <w:rFonts w:hint="eastAsia" w:ascii="宋体" w:hAnsi="宋体" w:eastAsia="宋体" w:cs="宋体"/>
                <w:b w:val="0"/>
                <w:bCs w:val="0"/>
                <w:color w:val="auto"/>
                <w:kern w:val="0"/>
                <w:sz w:val="24"/>
                <w:szCs w:val="24"/>
                <w:highlight w:val="none"/>
                <w:lang w:eastAsia="zh-CN"/>
              </w:rPr>
            </w:pPr>
            <w:r>
              <w:rPr>
                <w:rFonts w:hint="eastAsia" w:ascii="宋体" w:hAnsi="宋体" w:eastAsia="宋体" w:cs="宋体"/>
                <w:b w:val="0"/>
                <w:bCs w:val="0"/>
                <w:color w:val="auto"/>
                <w:kern w:val="0"/>
                <w:sz w:val="24"/>
                <w:szCs w:val="24"/>
                <w:highlight w:val="none"/>
                <w:lang w:val="en-US" w:eastAsia="zh-CN" w:bidi="ar-SA"/>
              </w:rPr>
              <w:t>2.</w:t>
            </w:r>
            <w:r>
              <w:rPr>
                <w:rFonts w:hint="eastAsia" w:ascii="宋体" w:hAnsi="宋体" w:eastAsia="宋体" w:cs="宋体"/>
                <w:b w:val="0"/>
                <w:bCs w:val="0"/>
                <w:snapToGrid w:val="0"/>
                <w:color w:val="auto"/>
                <w:kern w:val="0"/>
                <w:sz w:val="24"/>
                <w:szCs w:val="24"/>
                <w:highlight w:val="none"/>
                <w:lang w:val="en-US" w:eastAsia="zh-CN"/>
              </w:rPr>
              <w:t>投标人202</w:t>
            </w:r>
            <w:r>
              <w:rPr>
                <w:rFonts w:hint="eastAsia" w:ascii="宋体" w:hAnsi="宋体" w:cs="宋体"/>
                <w:b w:val="0"/>
                <w:bCs w:val="0"/>
                <w:snapToGrid w:val="0"/>
                <w:color w:val="auto"/>
                <w:kern w:val="0"/>
                <w:sz w:val="24"/>
                <w:szCs w:val="24"/>
                <w:highlight w:val="none"/>
                <w:lang w:val="en-US" w:eastAsia="zh-CN"/>
              </w:rPr>
              <w:t>1</w:t>
            </w:r>
            <w:r>
              <w:rPr>
                <w:rFonts w:hint="eastAsia" w:ascii="宋体" w:hAnsi="宋体" w:eastAsia="宋体" w:cs="宋体"/>
                <w:b w:val="0"/>
                <w:bCs w:val="0"/>
                <w:snapToGrid w:val="0"/>
                <w:color w:val="auto"/>
                <w:kern w:val="0"/>
                <w:sz w:val="24"/>
                <w:szCs w:val="24"/>
                <w:highlight w:val="none"/>
                <w:lang w:val="en-US" w:eastAsia="zh-CN"/>
              </w:rPr>
              <w:t>年1月1日至今连续3年或以上获得“市政工程施工安全规范</w:t>
            </w:r>
            <w:r>
              <w:rPr>
                <w:rFonts w:hint="eastAsia" w:ascii="宋体" w:hAnsi="宋体" w:eastAsia="宋体" w:cs="宋体"/>
                <w:b w:val="0"/>
                <w:bCs w:val="0"/>
                <w:strike w:val="0"/>
                <w:dstrike w:val="0"/>
                <w:snapToGrid w:val="0"/>
                <w:color w:val="auto"/>
                <w:kern w:val="0"/>
                <w:sz w:val="24"/>
                <w:szCs w:val="24"/>
                <w:highlight w:val="none"/>
                <w:lang w:val="en-US" w:eastAsia="zh-CN"/>
              </w:rPr>
              <w:t>体系</w:t>
            </w:r>
            <w:r>
              <w:rPr>
                <w:rFonts w:hint="eastAsia" w:ascii="宋体" w:hAnsi="宋体" w:eastAsia="宋体" w:cs="宋体"/>
                <w:b w:val="0"/>
                <w:bCs w:val="0"/>
                <w:snapToGrid w:val="0"/>
                <w:color w:val="auto"/>
                <w:kern w:val="0"/>
                <w:sz w:val="24"/>
                <w:szCs w:val="24"/>
                <w:highlight w:val="none"/>
                <w:lang w:val="en-US" w:eastAsia="zh-CN"/>
              </w:rPr>
              <w:t>认证证书”5A级以下的得3分。</w:t>
            </w:r>
          </w:p>
          <w:p w14:paraId="15B9401F">
            <w:pPr>
              <w:pStyle w:val="11"/>
              <w:numPr>
                <w:ilvl w:val="0"/>
                <w:numId w:val="0"/>
              </w:numPr>
              <w:wordWrap w:val="0"/>
              <w:adjustRightInd w:val="0"/>
              <w:snapToGrid w:val="0"/>
              <w:spacing w:after="0" w:line="360" w:lineRule="auto"/>
              <w:ind w:left="0" w:leftChars="0" w:firstLine="0" w:firstLineChars="0"/>
              <w:rPr>
                <w:rFonts w:hint="eastAsia" w:ascii="宋体" w:hAnsi="宋体" w:eastAsia="宋体" w:cs="宋体"/>
                <w:b w:val="0"/>
                <w:bCs w:val="0"/>
                <w:snapToGrid w:val="0"/>
                <w:color w:val="auto"/>
                <w:kern w:val="0"/>
                <w:sz w:val="24"/>
                <w:szCs w:val="24"/>
                <w:highlight w:val="none"/>
                <w:lang w:val="en-US" w:eastAsia="zh-CN"/>
              </w:rPr>
            </w:pPr>
            <w:r>
              <w:rPr>
                <w:rFonts w:hint="eastAsia" w:ascii="宋体" w:hAnsi="宋体" w:eastAsia="宋体" w:cs="宋体"/>
                <w:b w:val="0"/>
                <w:bCs w:val="0"/>
                <w:snapToGrid w:val="0"/>
                <w:color w:val="auto"/>
                <w:kern w:val="0"/>
                <w:sz w:val="24"/>
                <w:szCs w:val="24"/>
                <w:highlight w:val="none"/>
                <w:lang w:val="en-US" w:eastAsia="zh-CN" w:bidi="ar-SA"/>
              </w:rPr>
              <w:t>3.</w:t>
            </w:r>
            <w:r>
              <w:rPr>
                <w:rFonts w:hint="eastAsia" w:ascii="宋体" w:hAnsi="宋体" w:eastAsia="宋体" w:cs="宋体"/>
                <w:b w:val="0"/>
                <w:bCs w:val="0"/>
                <w:snapToGrid w:val="0"/>
                <w:color w:val="auto"/>
                <w:kern w:val="0"/>
                <w:sz w:val="24"/>
                <w:szCs w:val="24"/>
                <w:highlight w:val="none"/>
                <w:lang w:val="en-US" w:eastAsia="zh-CN"/>
              </w:rPr>
              <w:t xml:space="preserve">未达到要求的不得分。 </w:t>
            </w:r>
          </w:p>
          <w:p w14:paraId="133507C3">
            <w:pPr>
              <w:pStyle w:val="11"/>
              <w:numPr>
                <w:ilvl w:val="0"/>
                <w:numId w:val="0"/>
              </w:numPr>
              <w:wordWrap w:val="0"/>
              <w:adjustRightInd w:val="0"/>
              <w:snapToGrid w:val="0"/>
              <w:spacing w:after="0" w:line="360" w:lineRule="auto"/>
              <w:ind w:left="0" w:leftChars="0" w:firstLine="0" w:firstLineChars="0"/>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b w:val="0"/>
                <w:bCs w:val="0"/>
                <w:snapToGrid w:val="0"/>
                <w:color w:val="auto"/>
                <w:kern w:val="0"/>
                <w:sz w:val="24"/>
                <w:szCs w:val="24"/>
                <w:highlight w:val="none"/>
              </w:rPr>
              <w:t>说明：</w:t>
            </w:r>
            <w:r>
              <w:rPr>
                <w:rFonts w:hint="eastAsia" w:ascii="宋体" w:hAnsi="宋体" w:eastAsia="宋体" w:cs="宋体"/>
                <w:b w:val="0"/>
                <w:bCs w:val="0"/>
                <w:i w:val="0"/>
                <w:color w:val="auto"/>
                <w:kern w:val="0"/>
                <w:sz w:val="24"/>
                <w:szCs w:val="24"/>
                <w:highlight w:val="none"/>
                <w:u w:val="none"/>
                <w:lang w:val="en-US" w:eastAsia="zh-CN" w:bidi="ar"/>
              </w:rPr>
              <w:t>本项最高得5分。</w:t>
            </w:r>
          </w:p>
        </w:tc>
        <w:tc>
          <w:tcPr>
            <w:tcW w:w="5295" w:type="dxa"/>
            <w:tcBorders>
              <w:top w:val="single" w:color="auto" w:sz="4" w:space="0"/>
              <w:left w:val="single" w:color="auto" w:sz="4" w:space="0"/>
              <w:bottom w:val="single" w:color="auto" w:sz="4" w:space="0"/>
              <w:right w:val="single" w:color="auto" w:sz="4" w:space="0"/>
            </w:tcBorders>
            <w:noWrap w:val="0"/>
            <w:vAlign w:val="center"/>
          </w:tcPr>
          <w:p w14:paraId="2D58C768">
            <w:pPr>
              <w:widowControl w:val="0"/>
              <w:wordWrap w:val="0"/>
              <w:adjustRightInd w:val="0"/>
              <w:snapToGrid w:val="0"/>
              <w:spacing w:after="0" w:afterLines="0" w:afterAutospacing="0" w:line="360" w:lineRule="auto"/>
              <w:jc w:val="both"/>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lang w:val="en-US" w:eastAsia="zh-CN" w:bidi="ar-SA"/>
              </w:rPr>
              <w:t>1．如投标人在规定期限内获得不同等级，按就低不就高原则评分，需附在有效期内的认证证书扫描件及国家认证认可监督管理委员会官网（http：//www.cnca.gov.cn/）查询截图。</w:t>
            </w:r>
          </w:p>
          <w:p w14:paraId="35AD418C">
            <w:pPr>
              <w:widowControl w:val="0"/>
              <w:wordWrap w:val="0"/>
              <w:adjustRightInd w:val="0"/>
              <w:snapToGrid w:val="0"/>
              <w:spacing w:after="0" w:afterLines="0" w:afterAutospacing="0" w:line="360" w:lineRule="auto"/>
              <w:jc w:val="both"/>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lang w:val="en-US" w:eastAsia="zh-CN" w:bidi="ar-SA"/>
              </w:rPr>
              <w:t>2．任一认证证书有以下情形之一的，该认证证书视为无效，不予计分：</w:t>
            </w:r>
          </w:p>
          <w:p w14:paraId="78D82C46">
            <w:pPr>
              <w:widowControl w:val="0"/>
              <w:wordWrap w:val="0"/>
              <w:adjustRightInd w:val="0"/>
              <w:snapToGrid w:val="0"/>
              <w:spacing w:after="0" w:afterLines="0" w:afterAutospacing="0" w:line="360" w:lineRule="auto"/>
              <w:jc w:val="both"/>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lang w:val="en-US" w:eastAsia="zh-CN" w:bidi="ar-SA"/>
              </w:rPr>
              <w:t>①认证证书不在有效期内的；</w:t>
            </w:r>
          </w:p>
          <w:p w14:paraId="5E62E579">
            <w:pPr>
              <w:widowControl w:val="0"/>
              <w:wordWrap w:val="0"/>
              <w:adjustRightInd w:val="0"/>
              <w:snapToGrid w:val="0"/>
              <w:spacing w:after="0" w:afterLines="0" w:afterAutospacing="0" w:line="360" w:lineRule="auto"/>
              <w:jc w:val="both"/>
              <w:rPr>
                <w:rFonts w:hint="eastAsia" w:ascii="宋体" w:hAnsi="宋体" w:eastAsia="宋体" w:cs="宋体"/>
                <w:color w:val="auto"/>
                <w:kern w:val="0"/>
                <w:sz w:val="22"/>
                <w:szCs w:val="22"/>
                <w:highlight w:val="none"/>
              </w:rPr>
            </w:pPr>
            <w:r>
              <w:rPr>
                <w:rFonts w:hint="eastAsia" w:ascii="宋体" w:hAnsi="宋体" w:eastAsia="宋体" w:cs="宋体"/>
                <w:b w:val="0"/>
                <w:bCs w:val="0"/>
                <w:snapToGrid w:val="0"/>
                <w:color w:val="auto"/>
                <w:kern w:val="0"/>
                <w:sz w:val="24"/>
                <w:szCs w:val="24"/>
                <w:highlight w:val="none"/>
                <w:lang w:val="en-US" w:eastAsia="zh-CN" w:bidi="ar-SA"/>
              </w:rPr>
              <w:t>②证书有效性在国家认证认可监督管理委员会官网（http：//www.cnca.gov.cn/）查询失效。</w:t>
            </w:r>
          </w:p>
        </w:tc>
      </w:tr>
      <w:tr w14:paraId="1770ED0C">
        <w:tblPrEx>
          <w:tblCellMar>
            <w:top w:w="0" w:type="dxa"/>
            <w:left w:w="108" w:type="dxa"/>
            <w:bottom w:w="0" w:type="dxa"/>
            <w:right w:w="108" w:type="dxa"/>
          </w:tblCellMar>
        </w:tblPrEx>
        <w:trPr>
          <w:trHeight w:val="23" w:hRule="atLeast"/>
          <w:jc w:val="center"/>
        </w:trPr>
        <w:tc>
          <w:tcPr>
            <w:tcW w:w="10853" w:type="dxa"/>
            <w:gridSpan w:val="3"/>
            <w:tcBorders>
              <w:top w:val="single" w:color="auto" w:sz="4" w:space="0"/>
              <w:left w:val="single" w:color="auto" w:sz="4" w:space="0"/>
              <w:bottom w:val="single" w:color="auto" w:sz="4" w:space="0"/>
              <w:right w:val="single" w:color="auto" w:sz="4" w:space="0"/>
            </w:tcBorders>
            <w:shd w:val="clear" w:color="auto" w:fill="D9D9D9"/>
            <w:noWrap w:val="0"/>
            <w:vAlign w:val="center"/>
          </w:tcPr>
          <w:p w14:paraId="15776CCB">
            <w:pPr>
              <w:pStyle w:val="11"/>
              <w:wordWrap w:val="0"/>
              <w:adjustRightInd w:val="0"/>
              <w:snapToGrid w:val="0"/>
              <w:spacing w:after="0"/>
              <w:jc w:val="left"/>
              <w:rPr>
                <w:rFonts w:hint="eastAsia" w:ascii="宋体" w:hAnsi="宋体" w:eastAsia="宋体" w:cs="宋体"/>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技术部分（施工组织设计），满分：</w:t>
            </w:r>
            <w:r>
              <w:rPr>
                <w:rFonts w:hint="eastAsia" w:ascii="宋体" w:hAnsi="宋体" w:eastAsia="宋体" w:cs="宋体"/>
                <w:b/>
                <w:bCs/>
                <w:snapToGrid w:val="0"/>
                <w:color w:val="auto"/>
                <w:kern w:val="0"/>
                <w:sz w:val="22"/>
                <w:szCs w:val="22"/>
                <w:highlight w:val="none"/>
                <w:u w:val="single"/>
                <w:lang w:val="en-US" w:eastAsia="zh-CN"/>
              </w:rPr>
              <w:t>20</w:t>
            </w:r>
            <w:r>
              <w:rPr>
                <w:rFonts w:hint="eastAsia" w:ascii="宋体" w:hAnsi="宋体" w:eastAsia="宋体" w:cs="宋体"/>
                <w:b/>
                <w:bCs/>
                <w:snapToGrid w:val="0"/>
                <w:color w:val="auto"/>
                <w:kern w:val="0"/>
                <w:sz w:val="22"/>
                <w:szCs w:val="22"/>
                <w:highlight w:val="none"/>
              </w:rPr>
              <w:t>分。</w:t>
            </w:r>
          </w:p>
        </w:tc>
      </w:tr>
      <w:tr w14:paraId="2AD7B249">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7C000DBD">
            <w:pPr>
              <w:pStyle w:val="11"/>
              <w:wordWrap w:val="0"/>
              <w:adjustRightInd w:val="0"/>
              <w:snapToGrid w:val="0"/>
              <w:spacing w:after="0"/>
              <w:jc w:val="center"/>
              <w:rPr>
                <w:rFonts w:hint="eastAsia" w:ascii="宋体" w:hAnsi="宋体" w:eastAsia="宋体" w:cs="宋体"/>
                <w:b w:val="0"/>
                <w:bCs w:val="0"/>
                <w:snapToGrid w:val="0"/>
                <w:color w:val="auto"/>
                <w:kern w:val="0"/>
                <w:sz w:val="22"/>
                <w:szCs w:val="22"/>
                <w:highlight w:val="none"/>
              </w:rPr>
            </w:pPr>
            <w:r>
              <w:rPr>
                <w:rFonts w:hint="eastAsia" w:ascii="宋体" w:hAnsi="宋体" w:eastAsia="宋体" w:cs="宋体"/>
                <w:b w:val="0"/>
                <w:bCs w:val="0"/>
                <w:snapToGrid w:val="0"/>
                <w:color w:val="auto"/>
                <w:kern w:val="0"/>
                <w:sz w:val="22"/>
                <w:szCs w:val="22"/>
                <w:highlight w:val="none"/>
              </w:rPr>
              <w:t>评分因素</w:t>
            </w:r>
          </w:p>
        </w:tc>
        <w:tc>
          <w:tcPr>
            <w:tcW w:w="4065" w:type="dxa"/>
            <w:tcBorders>
              <w:top w:val="single" w:color="auto" w:sz="4" w:space="0"/>
              <w:left w:val="single" w:color="auto" w:sz="4" w:space="0"/>
              <w:bottom w:val="single" w:color="auto" w:sz="4" w:space="0"/>
              <w:right w:val="single" w:color="auto" w:sz="4" w:space="0"/>
            </w:tcBorders>
            <w:noWrap w:val="0"/>
            <w:vAlign w:val="center"/>
          </w:tcPr>
          <w:p w14:paraId="26C2747E">
            <w:pPr>
              <w:pStyle w:val="11"/>
              <w:wordWrap w:val="0"/>
              <w:adjustRightInd w:val="0"/>
              <w:snapToGrid w:val="0"/>
              <w:spacing w:after="0"/>
              <w:jc w:val="center"/>
              <w:rPr>
                <w:rFonts w:hint="eastAsia" w:ascii="宋体" w:hAnsi="宋体" w:eastAsia="宋体" w:cs="宋体"/>
                <w:b w:val="0"/>
                <w:bCs w:val="0"/>
                <w:snapToGrid w:val="0"/>
                <w:color w:val="auto"/>
                <w:kern w:val="0"/>
                <w:sz w:val="22"/>
                <w:szCs w:val="22"/>
                <w:highlight w:val="none"/>
              </w:rPr>
            </w:pPr>
            <w:r>
              <w:rPr>
                <w:rFonts w:hint="eastAsia" w:ascii="宋体" w:hAnsi="宋体" w:eastAsia="宋体" w:cs="宋体"/>
                <w:b w:val="0"/>
                <w:bCs w:val="0"/>
                <w:snapToGrid w:val="0"/>
                <w:color w:val="auto"/>
                <w:kern w:val="0"/>
                <w:sz w:val="22"/>
                <w:szCs w:val="22"/>
                <w:highlight w:val="none"/>
              </w:rPr>
              <w:t>评分标准</w:t>
            </w:r>
          </w:p>
        </w:tc>
        <w:tc>
          <w:tcPr>
            <w:tcW w:w="5295" w:type="dxa"/>
            <w:tcBorders>
              <w:top w:val="single" w:color="auto" w:sz="4" w:space="0"/>
              <w:left w:val="single" w:color="auto" w:sz="4" w:space="0"/>
              <w:bottom w:val="single" w:color="auto" w:sz="4" w:space="0"/>
              <w:right w:val="single" w:color="auto" w:sz="4" w:space="0"/>
            </w:tcBorders>
            <w:noWrap w:val="0"/>
            <w:vAlign w:val="center"/>
          </w:tcPr>
          <w:p w14:paraId="43F36B56">
            <w:pPr>
              <w:pStyle w:val="11"/>
              <w:wordWrap w:val="0"/>
              <w:adjustRightInd w:val="0"/>
              <w:snapToGrid w:val="0"/>
              <w:spacing w:after="0"/>
              <w:jc w:val="center"/>
              <w:rPr>
                <w:rFonts w:hint="eastAsia" w:ascii="宋体" w:hAnsi="宋体" w:eastAsia="宋体" w:cs="宋体"/>
                <w:b w:val="0"/>
                <w:bCs w:val="0"/>
                <w:snapToGrid w:val="0"/>
                <w:color w:val="auto"/>
                <w:kern w:val="0"/>
                <w:sz w:val="22"/>
                <w:szCs w:val="22"/>
                <w:highlight w:val="none"/>
              </w:rPr>
            </w:pPr>
            <w:r>
              <w:rPr>
                <w:rFonts w:hint="eastAsia" w:ascii="宋体" w:hAnsi="宋体" w:eastAsia="宋体" w:cs="宋体"/>
                <w:b w:val="0"/>
                <w:bCs w:val="0"/>
                <w:snapToGrid w:val="0"/>
                <w:color w:val="auto"/>
                <w:kern w:val="0"/>
                <w:sz w:val="22"/>
                <w:szCs w:val="22"/>
                <w:highlight w:val="none"/>
              </w:rPr>
              <w:t>备注</w:t>
            </w:r>
          </w:p>
        </w:tc>
      </w:tr>
      <w:tr w14:paraId="0943E310">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0096C626">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总体概述</w:t>
            </w:r>
          </w:p>
          <w:p w14:paraId="4A6052FC">
            <w:pPr>
              <w:jc w:val="center"/>
              <w:rPr>
                <w:rFonts w:hint="eastAsia" w:ascii="宋体" w:hAnsi="宋体" w:eastAsia="宋体" w:cs="宋体"/>
                <w:color w:val="auto"/>
                <w:sz w:val="22"/>
                <w:szCs w:val="22"/>
                <w:highlight w:val="none"/>
              </w:rPr>
            </w:pPr>
            <w:r>
              <w:rPr>
                <w:rFonts w:hint="eastAsia" w:ascii="宋体" w:hAnsi="宋体" w:eastAsia="宋体" w:cs="宋体"/>
                <w:color w:val="auto"/>
                <w:sz w:val="24"/>
                <w:szCs w:val="24"/>
                <w:highlight w:val="none"/>
              </w:rPr>
              <w:t>（3分）</w:t>
            </w:r>
          </w:p>
        </w:tc>
        <w:tc>
          <w:tcPr>
            <w:tcW w:w="4065" w:type="dxa"/>
            <w:tcBorders>
              <w:top w:val="single" w:color="auto" w:sz="4" w:space="0"/>
              <w:left w:val="single" w:color="auto" w:sz="4" w:space="0"/>
              <w:bottom w:val="single" w:color="auto" w:sz="4" w:space="0"/>
              <w:right w:val="single" w:color="auto" w:sz="4" w:space="0"/>
            </w:tcBorders>
            <w:noWrap w:val="0"/>
            <w:vAlign w:val="center"/>
          </w:tcPr>
          <w:p w14:paraId="20754B12">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【优】得该项评分因素分值的90%～100%（含90%）。</w:t>
            </w:r>
          </w:p>
          <w:p w14:paraId="7ED2EA7D">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【良】得该项评分因素分值的80%～90%（含80%）。</w:t>
            </w:r>
          </w:p>
          <w:p w14:paraId="45586488">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【中】得该项评分因素分值的70%～80%（含70%）。</w:t>
            </w:r>
          </w:p>
          <w:p w14:paraId="4D6DC20F">
            <w:pPr>
              <w:rPr>
                <w:rFonts w:hint="eastAsia" w:ascii="宋体" w:hAnsi="宋体" w:eastAsia="宋体" w:cs="宋体"/>
                <w:color w:val="auto"/>
                <w:sz w:val="22"/>
                <w:szCs w:val="22"/>
                <w:highlight w:val="none"/>
              </w:rPr>
            </w:pPr>
            <w:r>
              <w:rPr>
                <w:rFonts w:hint="eastAsia" w:ascii="宋体" w:hAnsi="宋体" w:eastAsia="宋体" w:cs="宋体"/>
                <w:color w:val="auto"/>
                <w:sz w:val="24"/>
                <w:szCs w:val="24"/>
                <w:highlight w:val="none"/>
              </w:rPr>
              <w:t>【差】得该项评分因素分值的60～70%（含60%）。</w:t>
            </w:r>
          </w:p>
        </w:tc>
        <w:tc>
          <w:tcPr>
            <w:tcW w:w="5295" w:type="dxa"/>
            <w:tcBorders>
              <w:top w:val="single" w:color="auto" w:sz="4" w:space="0"/>
              <w:left w:val="single" w:color="auto" w:sz="4" w:space="0"/>
              <w:bottom w:val="single" w:color="auto" w:sz="4" w:space="0"/>
              <w:right w:val="single" w:color="auto" w:sz="4" w:space="0"/>
            </w:tcBorders>
            <w:noWrap w:val="0"/>
            <w:vAlign w:val="center"/>
          </w:tcPr>
          <w:p w14:paraId="007D2FF1">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【优】对项目总体有深刻认识，表述清晰、完整、严谨、合理，措施先进、具体、有效、成熟，采用了新技术、新工艺、新材料、新设备；施工段划分呼应总体表述，划分清晰、合理，符合规范要求。</w:t>
            </w:r>
          </w:p>
          <w:p w14:paraId="1FFBBD2C">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【良】对项目总体有一定认识，表述清晰、完整，措施具体有效；施工段划分呼应总体表述，划分清晰，符合规范要求。</w:t>
            </w:r>
          </w:p>
          <w:p w14:paraId="2E06693E">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【中】对项目总体有认识，有一定的措施但部分不具体；施工段划分较合理，符合规范要求。</w:t>
            </w:r>
          </w:p>
          <w:p w14:paraId="50CCA69A">
            <w:pPr>
              <w:rPr>
                <w:rFonts w:hint="eastAsia" w:ascii="宋体" w:hAnsi="宋体" w:eastAsia="宋体" w:cs="宋体"/>
                <w:color w:val="auto"/>
                <w:sz w:val="22"/>
                <w:szCs w:val="22"/>
                <w:highlight w:val="none"/>
              </w:rPr>
            </w:pPr>
            <w:r>
              <w:rPr>
                <w:rFonts w:hint="eastAsia" w:ascii="宋体" w:hAnsi="宋体" w:eastAsia="宋体" w:cs="宋体"/>
                <w:color w:val="auto"/>
                <w:sz w:val="24"/>
                <w:szCs w:val="24"/>
                <w:highlight w:val="none"/>
              </w:rPr>
              <w:t>【差】对项目认识不足，表述不清晰，措施不具体；施工段划分不合理。</w:t>
            </w:r>
          </w:p>
        </w:tc>
      </w:tr>
      <w:tr w14:paraId="398784B7">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29252237">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施工总进度计划及保证措施</w:t>
            </w:r>
          </w:p>
          <w:p w14:paraId="7D7AAB29">
            <w:pPr>
              <w:jc w:val="center"/>
              <w:rPr>
                <w:rFonts w:hint="eastAsia" w:ascii="宋体" w:hAnsi="宋体" w:eastAsia="宋体" w:cs="宋体"/>
                <w:color w:val="auto"/>
                <w:sz w:val="22"/>
                <w:szCs w:val="22"/>
                <w:highlight w:val="none"/>
              </w:rPr>
            </w:pPr>
            <w:r>
              <w:rPr>
                <w:rFonts w:hint="eastAsia" w:ascii="宋体" w:hAnsi="宋体" w:eastAsia="宋体" w:cs="宋体"/>
                <w:color w:val="auto"/>
                <w:sz w:val="24"/>
                <w:szCs w:val="24"/>
                <w:highlight w:val="none"/>
              </w:rPr>
              <w:t>（3分）</w:t>
            </w:r>
          </w:p>
        </w:tc>
        <w:tc>
          <w:tcPr>
            <w:tcW w:w="4065" w:type="dxa"/>
            <w:tcBorders>
              <w:top w:val="single" w:color="auto" w:sz="4" w:space="0"/>
              <w:left w:val="single" w:color="auto" w:sz="4" w:space="0"/>
              <w:bottom w:val="single" w:color="auto" w:sz="4" w:space="0"/>
              <w:right w:val="single" w:color="auto" w:sz="4" w:space="0"/>
            </w:tcBorders>
            <w:noWrap w:val="0"/>
            <w:vAlign w:val="center"/>
          </w:tcPr>
          <w:p w14:paraId="6E1F38EF">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【优】得该项评分因素分值的90%～100%（含90%）。</w:t>
            </w:r>
          </w:p>
          <w:p w14:paraId="1E160652">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【良】得该项评分因素分值的80%～90%（含80%）。</w:t>
            </w:r>
          </w:p>
          <w:p w14:paraId="5EC08AF0">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【中】得该项评分因素分值的70%～80%（含70%）。</w:t>
            </w:r>
          </w:p>
          <w:p w14:paraId="6E39AE03">
            <w:pPr>
              <w:rPr>
                <w:rFonts w:hint="eastAsia" w:ascii="宋体" w:hAnsi="宋体" w:eastAsia="宋体" w:cs="宋体"/>
                <w:color w:val="auto"/>
                <w:sz w:val="22"/>
                <w:szCs w:val="22"/>
                <w:highlight w:val="none"/>
              </w:rPr>
            </w:pPr>
            <w:r>
              <w:rPr>
                <w:rFonts w:hint="eastAsia" w:ascii="宋体" w:hAnsi="宋体" w:eastAsia="宋体" w:cs="宋体"/>
                <w:color w:val="auto"/>
                <w:sz w:val="24"/>
                <w:szCs w:val="24"/>
                <w:highlight w:val="none"/>
              </w:rPr>
              <w:t>【差】得该项评分因素分值的60～70%（含60%）。</w:t>
            </w:r>
          </w:p>
        </w:tc>
        <w:tc>
          <w:tcPr>
            <w:tcW w:w="5295" w:type="dxa"/>
            <w:tcBorders>
              <w:top w:val="single" w:color="auto" w:sz="4" w:space="0"/>
              <w:left w:val="single" w:color="auto" w:sz="4" w:space="0"/>
              <w:bottom w:val="single" w:color="auto" w:sz="4" w:space="0"/>
              <w:right w:val="single" w:color="auto" w:sz="4" w:space="0"/>
            </w:tcBorders>
            <w:noWrap w:val="0"/>
            <w:vAlign w:val="center"/>
          </w:tcPr>
          <w:p w14:paraId="704F91BB">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关键线路清晰、准确、完整，计划编制合理、可行。关键节点的控制措施有力、合理、可行。人、材、机需求和进场计划与进度计划相呼应，较好满足施工需要，调配投入计划合理、准确。进度违约责任承诺具体，经济赔偿合理。</w:t>
            </w:r>
          </w:p>
          <w:p w14:paraId="37C55B6C">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良】关键线路清晰、准确、完整，计划编制可行。关键节点的控制措施合理、可行。人、材、机需求和进场计划与进度计划相呼应，基本满足施工需要，调配投入计划基本合理、准确。进度违约责任承诺具体，经济赔偿较合理。</w:t>
            </w:r>
          </w:p>
          <w:p w14:paraId="1C330CA2">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【中】关键线路基本准确，计划编制基本合理。关键节点的控制措施基本可行。人、材、机需求和进场计划与进度计划相呼应，基本满足施工需要，调配投入计划基本合理。进度违约责任承诺具体。</w:t>
            </w:r>
          </w:p>
          <w:p w14:paraId="35801B5A">
            <w:pPr>
              <w:rPr>
                <w:rFonts w:hint="eastAsia" w:ascii="宋体" w:hAnsi="宋体" w:eastAsia="宋体" w:cs="宋体"/>
                <w:color w:val="auto"/>
                <w:sz w:val="22"/>
                <w:szCs w:val="22"/>
                <w:highlight w:val="none"/>
              </w:rPr>
            </w:pPr>
            <w:r>
              <w:rPr>
                <w:rFonts w:hint="eastAsia" w:ascii="宋体" w:hAnsi="宋体" w:eastAsia="宋体" w:cs="宋体"/>
                <w:color w:val="auto"/>
                <w:sz w:val="24"/>
                <w:szCs w:val="24"/>
                <w:highlight w:val="none"/>
              </w:rPr>
              <w:t>【差】关键线路不准确，计划编制不合理。关键节点的控制不可行。人、材、机需求和进场计划与进度计划不相呼应，不能满足施工需要。没有违约责任承诺。</w:t>
            </w:r>
          </w:p>
        </w:tc>
      </w:tr>
      <w:tr w14:paraId="41603872">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3E818CD2">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质量保证措施</w:t>
            </w:r>
          </w:p>
          <w:p w14:paraId="7BC60F80">
            <w:pPr>
              <w:jc w:val="center"/>
              <w:rPr>
                <w:rFonts w:hint="eastAsia" w:ascii="宋体" w:hAnsi="宋体" w:eastAsia="宋体" w:cs="宋体"/>
                <w:color w:val="auto"/>
                <w:sz w:val="22"/>
                <w:szCs w:val="22"/>
                <w:highlight w:val="none"/>
              </w:rPr>
            </w:pPr>
            <w:r>
              <w:rPr>
                <w:rFonts w:hint="eastAsia" w:ascii="宋体" w:hAnsi="宋体" w:eastAsia="宋体" w:cs="宋体"/>
                <w:color w:val="auto"/>
                <w:sz w:val="24"/>
                <w:szCs w:val="24"/>
                <w:highlight w:val="none"/>
              </w:rPr>
              <w:t>（4分）</w:t>
            </w:r>
          </w:p>
        </w:tc>
        <w:tc>
          <w:tcPr>
            <w:tcW w:w="4065" w:type="dxa"/>
            <w:tcBorders>
              <w:top w:val="single" w:color="auto" w:sz="4" w:space="0"/>
              <w:left w:val="single" w:color="auto" w:sz="4" w:space="0"/>
              <w:bottom w:val="single" w:color="auto" w:sz="4" w:space="0"/>
              <w:right w:val="single" w:color="auto" w:sz="4" w:space="0"/>
            </w:tcBorders>
            <w:noWrap w:val="0"/>
            <w:vAlign w:val="center"/>
          </w:tcPr>
          <w:p w14:paraId="40F9E74A">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【优】得该项评分因素分值的90%～100%（含90%）。</w:t>
            </w:r>
          </w:p>
          <w:p w14:paraId="7C33F0DE">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【良】得该项评分因素分值的80%～90%（含80%）。</w:t>
            </w:r>
          </w:p>
          <w:p w14:paraId="21E101C3">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【中】得该项评分因素分值的70%～80%（含70%）。</w:t>
            </w:r>
          </w:p>
          <w:p w14:paraId="4FDFFEBE">
            <w:pPr>
              <w:rPr>
                <w:rFonts w:hint="eastAsia" w:ascii="宋体" w:hAnsi="宋体" w:eastAsia="宋体" w:cs="宋体"/>
                <w:color w:val="auto"/>
                <w:sz w:val="22"/>
                <w:szCs w:val="22"/>
                <w:highlight w:val="none"/>
              </w:rPr>
            </w:pPr>
            <w:r>
              <w:rPr>
                <w:rFonts w:hint="eastAsia" w:ascii="宋体" w:hAnsi="宋体" w:eastAsia="宋体" w:cs="宋体"/>
                <w:color w:val="auto"/>
                <w:sz w:val="24"/>
                <w:szCs w:val="24"/>
                <w:highlight w:val="none"/>
              </w:rPr>
              <w:t>【差】得该项评分因素分值的60～70%（含60%）。</w:t>
            </w:r>
          </w:p>
        </w:tc>
        <w:tc>
          <w:tcPr>
            <w:tcW w:w="5295" w:type="dxa"/>
            <w:tcBorders>
              <w:top w:val="single" w:color="auto" w:sz="4" w:space="0"/>
              <w:left w:val="single" w:color="auto" w:sz="4" w:space="0"/>
              <w:bottom w:val="single" w:color="auto" w:sz="4" w:space="0"/>
              <w:right w:val="single" w:color="auto" w:sz="4" w:space="0"/>
            </w:tcBorders>
            <w:noWrap w:val="0"/>
            <w:vAlign w:val="center"/>
          </w:tcPr>
          <w:p w14:paraId="06DD4374">
            <w:pPr>
              <w:widowControl w:val="0"/>
              <w:wordWrap w:val="0"/>
              <w:adjustRightInd w:val="0"/>
              <w:snapToGrid w:val="0"/>
              <w:spacing w:line="360" w:lineRule="auto"/>
              <w:jc w:val="both"/>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【优】应用新技术、新工艺、新材料、新设备，针对项目实际提出先进、可行、具体的保证措施。超过招标文件的质量要求。质量违约责任承诺具体，经济赔偿合理。</w:t>
            </w:r>
          </w:p>
          <w:p w14:paraId="06292BA3">
            <w:pPr>
              <w:widowControl w:val="0"/>
              <w:wordWrap w:val="0"/>
              <w:adjustRightInd w:val="0"/>
              <w:snapToGrid w:val="0"/>
              <w:spacing w:line="360" w:lineRule="auto"/>
              <w:jc w:val="both"/>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【良】针对项目实际提出先进、可行、具体的保证措施。满足招标文件的质量要求。质量违约责任承诺具体，经济赔偿较合理。</w:t>
            </w:r>
          </w:p>
          <w:p w14:paraId="12E7A513">
            <w:pPr>
              <w:widowControl w:val="0"/>
              <w:wordWrap w:val="0"/>
              <w:adjustRightInd w:val="0"/>
              <w:snapToGrid w:val="0"/>
              <w:spacing w:line="360" w:lineRule="auto"/>
              <w:jc w:val="both"/>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【中】具体措施可行。满足招标文件的质量要求。质量违约责任承诺具体。</w:t>
            </w:r>
          </w:p>
          <w:p w14:paraId="273287B9">
            <w:pPr>
              <w:rPr>
                <w:rFonts w:hint="eastAsia" w:ascii="宋体" w:hAnsi="宋体" w:eastAsia="宋体" w:cs="宋体"/>
                <w:color w:val="auto"/>
                <w:sz w:val="22"/>
                <w:szCs w:val="22"/>
                <w:highlight w:val="none"/>
              </w:rPr>
            </w:pPr>
            <w:r>
              <w:rPr>
                <w:rFonts w:hint="eastAsia" w:ascii="宋体" w:hAnsi="宋体" w:eastAsia="宋体" w:cs="宋体"/>
                <w:snapToGrid w:val="0"/>
                <w:color w:val="auto"/>
                <w:kern w:val="0"/>
                <w:sz w:val="24"/>
                <w:szCs w:val="24"/>
                <w:highlight w:val="none"/>
                <w:lang w:val="en-US" w:eastAsia="zh-CN" w:bidi="ar-SA"/>
              </w:rPr>
              <w:t>【差】措施不可行，没有质量违约责任承诺。</w:t>
            </w:r>
          </w:p>
        </w:tc>
      </w:tr>
      <w:tr w14:paraId="320C8B91">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39E74FC5">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施工技术措施</w:t>
            </w:r>
          </w:p>
          <w:p w14:paraId="2A9912B5">
            <w:pPr>
              <w:jc w:val="center"/>
              <w:rPr>
                <w:rFonts w:hint="eastAsia" w:ascii="宋体" w:hAnsi="宋体" w:eastAsia="宋体" w:cs="宋体"/>
                <w:color w:val="auto"/>
                <w:sz w:val="22"/>
                <w:szCs w:val="22"/>
                <w:highlight w:val="none"/>
              </w:rPr>
            </w:pPr>
            <w:r>
              <w:rPr>
                <w:rFonts w:hint="eastAsia" w:ascii="宋体" w:hAnsi="宋体" w:eastAsia="宋体" w:cs="宋体"/>
                <w:color w:val="auto"/>
                <w:sz w:val="24"/>
                <w:szCs w:val="24"/>
                <w:highlight w:val="none"/>
              </w:rPr>
              <w:t>（</w:t>
            </w:r>
            <w:r>
              <w:rPr>
                <w:rFonts w:hint="eastAsia" w:hAnsi="宋体" w:cs="宋体"/>
                <w:color w:val="auto"/>
                <w:sz w:val="24"/>
                <w:szCs w:val="24"/>
                <w:highlight w:val="none"/>
                <w:lang w:val="en-US" w:eastAsia="zh-CN"/>
              </w:rPr>
              <w:t>2</w:t>
            </w:r>
            <w:r>
              <w:rPr>
                <w:rFonts w:hint="eastAsia" w:ascii="宋体" w:hAnsi="宋体" w:eastAsia="宋体" w:cs="宋体"/>
                <w:color w:val="auto"/>
                <w:sz w:val="24"/>
                <w:szCs w:val="24"/>
                <w:highlight w:val="none"/>
              </w:rPr>
              <w:t>分）</w:t>
            </w:r>
          </w:p>
        </w:tc>
        <w:tc>
          <w:tcPr>
            <w:tcW w:w="4065" w:type="dxa"/>
            <w:tcBorders>
              <w:top w:val="single" w:color="auto" w:sz="4" w:space="0"/>
              <w:left w:val="single" w:color="auto" w:sz="4" w:space="0"/>
              <w:bottom w:val="single" w:color="auto" w:sz="4" w:space="0"/>
              <w:right w:val="single" w:color="auto" w:sz="4" w:space="0"/>
            </w:tcBorders>
            <w:noWrap w:val="0"/>
            <w:vAlign w:val="center"/>
          </w:tcPr>
          <w:p w14:paraId="0B6A52B8">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【优】得该项评分因素分值的90%～100%（含90%）。</w:t>
            </w:r>
          </w:p>
          <w:p w14:paraId="76CEC937">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【良】得该项评分因素分值的80%～90%（含80%）。</w:t>
            </w:r>
          </w:p>
          <w:p w14:paraId="0EE88AF8">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【中】得该项评分因素分值的70%～80%（含70%）。</w:t>
            </w:r>
          </w:p>
          <w:p w14:paraId="0FF2E9BC">
            <w:pPr>
              <w:rPr>
                <w:rFonts w:hint="eastAsia" w:ascii="宋体" w:hAnsi="宋体" w:eastAsia="宋体" w:cs="宋体"/>
                <w:color w:val="auto"/>
                <w:sz w:val="22"/>
                <w:szCs w:val="22"/>
                <w:highlight w:val="none"/>
              </w:rPr>
            </w:pPr>
            <w:r>
              <w:rPr>
                <w:rFonts w:hint="eastAsia" w:ascii="宋体" w:hAnsi="宋体" w:eastAsia="宋体" w:cs="宋体"/>
                <w:color w:val="auto"/>
                <w:sz w:val="24"/>
                <w:szCs w:val="24"/>
                <w:highlight w:val="none"/>
              </w:rPr>
              <w:t>【差】得该项评分因素分值的60～70%（含60%）。</w:t>
            </w:r>
          </w:p>
        </w:tc>
        <w:tc>
          <w:tcPr>
            <w:tcW w:w="5295" w:type="dxa"/>
            <w:tcBorders>
              <w:top w:val="single" w:color="auto" w:sz="4" w:space="0"/>
              <w:left w:val="single" w:color="auto" w:sz="4" w:space="0"/>
              <w:bottom w:val="single" w:color="auto" w:sz="4" w:space="0"/>
              <w:right w:val="single" w:color="auto" w:sz="4" w:space="0"/>
            </w:tcBorders>
            <w:noWrap w:val="0"/>
            <w:vAlign w:val="center"/>
          </w:tcPr>
          <w:p w14:paraId="77CF327D">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对项目关键技术、工艺有深入的表述，对重点、难点有先进、合理的建议，解决方案完整、经济、安全、切实可行，措施得力。针对项目实际，提出采用新技术的具体措施。新技术的验证材料可靠，对节约投资和工期的保证措施得力、具体、严谨。对采用新技术可能产生的风险有充分的预见，违约承诺具体，经济赔偿合理。</w:t>
            </w:r>
          </w:p>
          <w:p w14:paraId="59A546B3">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良】对项目关键技术、工艺有深入的表述，对重点、难点有合理的建议，解决方案经济、安全、基本可行。针对项目实际，提出采用新技术的具体措施。新技术的验证材料可靠，对节约投资和工期有保证措施。对采用新技术可能产生的风险有一定的预见，违约责任承诺具体，经济赔偿较合理。</w:t>
            </w:r>
          </w:p>
          <w:p w14:paraId="022F8386">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对项目关键技术有一定了解，对重点、难点有建议，解决方案基本可行。有新技术措施，但验证材料不充分，对节约投资和工期可能有一定收益，但对采用的新技术可能产生的风险预见不足。有违约责任承诺。</w:t>
            </w:r>
          </w:p>
          <w:p w14:paraId="2E412A16">
            <w:pPr>
              <w:rPr>
                <w:rFonts w:hint="eastAsia" w:ascii="宋体" w:hAnsi="宋体" w:eastAsia="宋体" w:cs="宋体"/>
                <w:color w:val="auto"/>
                <w:sz w:val="22"/>
                <w:szCs w:val="22"/>
                <w:highlight w:val="none"/>
              </w:rPr>
            </w:pPr>
            <w:r>
              <w:rPr>
                <w:rFonts w:hint="eastAsia" w:ascii="宋体" w:hAnsi="宋体" w:eastAsia="宋体" w:cs="宋体"/>
                <w:color w:val="auto"/>
                <w:sz w:val="24"/>
                <w:szCs w:val="24"/>
                <w:highlight w:val="none"/>
              </w:rPr>
              <w:t>【差】对项目关键技术有表述，对重点、难点有建议，解决方案不可行。采用的新技术针对性不强或验证材料不可靠，对节约投资、工期没有具体收益。无违约责任承诺。</w:t>
            </w:r>
          </w:p>
        </w:tc>
      </w:tr>
      <w:tr w14:paraId="7F59B1DE">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612036CA">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绿色施工、安全防护、文明施工措施计划</w:t>
            </w:r>
          </w:p>
          <w:p w14:paraId="5091A7B2">
            <w:pPr>
              <w:jc w:val="center"/>
              <w:rPr>
                <w:rFonts w:hint="eastAsia" w:ascii="宋体" w:hAnsi="宋体" w:eastAsia="宋体" w:cs="宋体"/>
                <w:color w:val="auto"/>
                <w:sz w:val="22"/>
                <w:szCs w:val="22"/>
                <w:highlight w:val="none"/>
              </w:rPr>
            </w:pPr>
            <w:r>
              <w:rPr>
                <w:rFonts w:hint="eastAsia" w:ascii="宋体" w:hAnsi="宋体" w:eastAsia="宋体" w:cs="宋体"/>
                <w:color w:val="auto"/>
                <w:sz w:val="24"/>
                <w:szCs w:val="24"/>
                <w:highlight w:val="none"/>
              </w:rPr>
              <w:t>（ 3分）</w:t>
            </w:r>
          </w:p>
        </w:tc>
        <w:tc>
          <w:tcPr>
            <w:tcW w:w="4065" w:type="dxa"/>
            <w:tcBorders>
              <w:top w:val="single" w:color="auto" w:sz="4" w:space="0"/>
              <w:left w:val="single" w:color="auto" w:sz="4" w:space="0"/>
              <w:bottom w:val="single" w:color="auto" w:sz="4" w:space="0"/>
              <w:right w:val="single" w:color="auto" w:sz="4" w:space="0"/>
            </w:tcBorders>
            <w:noWrap w:val="0"/>
            <w:vAlign w:val="center"/>
          </w:tcPr>
          <w:p w14:paraId="4839F742">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【优】得该项评分因素分值的90%～100%（含90%）。</w:t>
            </w:r>
          </w:p>
          <w:p w14:paraId="008DB564">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【良】得该项评分因素分值的80%～90%（含80%）。</w:t>
            </w:r>
          </w:p>
          <w:p w14:paraId="52674C4D">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【中】得该项评分因素分值的70%～80%（含70%）。</w:t>
            </w:r>
          </w:p>
          <w:p w14:paraId="2156CD93">
            <w:pPr>
              <w:rPr>
                <w:rFonts w:hint="eastAsia" w:ascii="宋体" w:hAnsi="宋体" w:eastAsia="宋体" w:cs="宋体"/>
                <w:color w:val="auto"/>
                <w:sz w:val="22"/>
                <w:szCs w:val="22"/>
                <w:highlight w:val="none"/>
              </w:rPr>
            </w:pPr>
            <w:r>
              <w:rPr>
                <w:rFonts w:hint="eastAsia" w:ascii="宋体" w:hAnsi="宋体" w:eastAsia="宋体" w:cs="宋体"/>
                <w:color w:val="auto"/>
                <w:sz w:val="24"/>
                <w:szCs w:val="24"/>
                <w:highlight w:val="none"/>
              </w:rPr>
              <w:t>【差】得该项评分因素分值的60～70%（含60%）。</w:t>
            </w:r>
          </w:p>
        </w:tc>
        <w:tc>
          <w:tcPr>
            <w:tcW w:w="5295" w:type="dxa"/>
            <w:tcBorders>
              <w:top w:val="single" w:color="auto" w:sz="4" w:space="0"/>
              <w:left w:val="single" w:color="auto" w:sz="4" w:space="0"/>
              <w:bottom w:val="single" w:color="auto" w:sz="4" w:space="0"/>
              <w:right w:val="single" w:color="auto" w:sz="4" w:space="0"/>
            </w:tcBorders>
            <w:noWrap w:val="0"/>
            <w:vAlign w:val="center"/>
          </w:tcPr>
          <w:p w14:paraId="0F9D4418">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【优】针对项目实际情况，有先进、具体、完整、可行的措施，采用规范准确、清晰。</w:t>
            </w:r>
          </w:p>
          <w:p w14:paraId="0D9987C2">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【良】针对项目实际情况，有合理的措施且具体、完整，采用规范准确。</w:t>
            </w:r>
          </w:p>
          <w:p w14:paraId="2DBFCFBC">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【中】有基本合理的措施，采用规范准确。</w:t>
            </w:r>
          </w:p>
          <w:p w14:paraId="2E521E5E">
            <w:pPr>
              <w:rPr>
                <w:rFonts w:hint="eastAsia" w:ascii="宋体" w:hAnsi="宋体" w:eastAsia="宋体" w:cs="宋体"/>
                <w:color w:val="auto"/>
                <w:sz w:val="22"/>
                <w:szCs w:val="22"/>
                <w:highlight w:val="none"/>
              </w:rPr>
            </w:pPr>
            <w:r>
              <w:rPr>
                <w:rFonts w:hint="eastAsia" w:ascii="宋体" w:hAnsi="宋体" w:eastAsia="宋体" w:cs="宋体"/>
                <w:color w:val="auto"/>
                <w:sz w:val="24"/>
                <w:szCs w:val="24"/>
                <w:highlight w:val="none"/>
              </w:rPr>
              <w:t>【差】措施不力，采用规范不正确。</w:t>
            </w:r>
          </w:p>
        </w:tc>
      </w:tr>
      <w:tr w14:paraId="18FD32B8">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49985C72">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施工平面布置和临时设施布置</w:t>
            </w:r>
          </w:p>
          <w:p w14:paraId="4A5FFDF2">
            <w:pPr>
              <w:jc w:val="center"/>
              <w:rPr>
                <w:rFonts w:hint="eastAsia" w:ascii="宋体" w:hAnsi="宋体" w:eastAsia="宋体" w:cs="宋体"/>
                <w:color w:val="auto"/>
                <w:sz w:val="22"/>
                <w:szCs w:val="22"/>
                <w:highlight w:val="none"/>
              </w:rPr>
            </w:pPr>
            <w:r>
              <w:rPr>
                <w:rFonts w:hint="eastAsia" w:ascii="宋体" w:hAnsi="宋体" w:eastAsia="宋体" w:cs="宋体"/>
                <w:color w:val="auto"/>
                <w:sz w:val="24"/>
                <w:szCs w:val="24"/>
                <w:highlight w:val="none"/>
              </w:rPr>
              <w:t>（2分）</w:t>
            </w:r>
          </w:p>
        </w:tc>
        <w:tc>
          <w:tcPr>
            <w:tcW w:w="4065" w:type="dxa"/>
            <w:tcBorders>
              <w:top w:val="single" w:color="auto" w:sz="4" w:space="0"/>
              <w:left w:val="single" w:color="auto" w:sz="4" w:space="0"/>
              <w:bottom w:val="single" w:color="auto" w:sz="4" w:space="0"/>
              <w:right w:val="single" w:color="auto" w:sz="4" w:space="0"/>
            </w:tcBorders>
            <w:noWrap w:val="0"/>
            <w:vAlign w:val="center"/>
          </w:tcPr>
          <w:p w14:paraId="42F687E9">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【优】得该项评分因素分值的90%～100%（含90%）。</w:t>
            </w:r>
          </w:p>
          <w:p w14:paraId="270AE3C5">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【良】得该项评分因素分值的80%～90%（含80%）。</w:t>
            </w:r>
          </w:p>
          <w:p w14:paraId="7E50EC47">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【中】得该项评分因素分值的70%～80%（含70%）。</w:t>
            </w:r>
          </w:p>
          <w:p w14:paraId="773F9698">
            <w:pPr>
              <w:rPr>
                <w:rFonts w:hint="eastAsia" w:ascii="宋体" w:hAnsi="宋体" w:eastAsia="宋体" w:cs="宋体"/>
                <w:color w:val="auto"/>
                <w:sz w:val="22"/>
                <w:szCs w:val="22"/>
                <w:highlight w:val="none"/>
              </w:rPr>
            </w:pPr>
            <w:r>
              <w:rPr>
                <w:rFonts w:hint="eastAsia" w:ascii="宋体" w:hAnsi="宋体" w:eastAsia="宋体" w:cs="宋体"/>
                <w:color w:val="auto"/>
                <w:sz w:val="24"/>
                <w:szCs w:val="24"/>
                <w:highlight w:val="none"/>
              </w:rPr>
              <w:t>【差】得该项评分因素分值的60～70%（含60%）。</w:t>
            </w:r>
          </w:p>
        </w:tc>
        <w:tc>
          <w:tcPr>
            <w:tcW w:w="5295" w:type="dxa"/>
            <w:tcBorders>
              <w:top w:val="single" w:color="auto" w:sz="4" w:space="0"/>
              <w:left w:val="single" w:color="auto" w:sz="4" w:space="0"/>
              <w:bottom w:val="single" w:color="auto" w:sz="4" w:space="0"/>
              <w:right w:val="single" w:color="auto" w:sz="4" w:space="0"/>
            </w:tcBorders>
            <w:noWrap w:val="0"/>
            <w:vAlign w:val="center"/>
          </w:tcPr>
          <w:p w14:paraId="3A572A01">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【优】总体布置有针对性、合理，较好满足施工需要，符合绿色施工、安全防护、文明施工要求。</w:t>
            </w:r>
          </w:p>
          <w:p w14:paraId="612DBB7E">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【良】总体布置合理，能满足施工需要，基本符合绿色施工、安全防护、文明施工要求。</w:t>
            </w:r>
          </w:p>
          <w:p w14:paraId="122D0EF6">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【中】总体布置基本合理，基本满足施工需要。</w:t>
            </w:r>
          </w:p>
          <w:p w14:paraId="69F3EFFA">
            <w:pPr>
              <w:rPr>
                <w:rFonts w:hint="eastAsia" w:ascii="宋体" w:hAnsi="宋体" w:eastAsia="宋体" w:cs="宋体"/>
                <w:color w:val="auto"/>
                <w:sz w:val="22"/>
                <w:szCs w:val="22"/>
                <w:highlight w:val="none"/>
              </w:rPr>
            </w:pPr>
            <w:r>
              <w:rPr>
                <w:rFonts w:hint="eastAsia" w:ascii="宋体" w:hAnsi="宋体" w:eastAsia="宋体" w:cs="宋体"/>
                <w:color w:val="auto"/>
                <w:sz w:val="24"/>
                <w:szCs w:val="24"/>
                <w:highlight w:val="none"/>
              </w:rPr>
              <w:t>【差】总体布置不合理，不符合绿色施工、安全防护、文明施工要求。</w:t>
            </w:r>
          </w:p>
        </w:tc>
      </w:tr>
      <w:tr w14:paraId="344056C5">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15D563B8">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项目管理机构</w:t>
            </w:r>
          </w:p>
          <w:p w14:paraId="23B2207E">
            <w:pPr>
              <w:jc w:val="center"/>
              <w:rPr>
                <w:rFonts w:hint="eastAsia" w:ascii="宋体" w:hAnsi="宋体" w:eastAsia="宋体" w:cs="宋体"/>
                <w:color w:val="auto"/>
                <w:sz w:val="22"/>
                <w:szCs w:val="22"/>
                <w:highlight w:val="none"/>
              </w:rPr>
            </w:pPr>
            <w:r>
              <w:rPr>
                <w:rFonts w:hint="eastAsia" w:ascii="宋体" w:hAnsi="宋体" w:eastAsia="宋体" w:cs="宋体"/>
                <w:color w:val="auto"/>
                <w:sz w:val="24"/>
                <w:szCs w:val="24"/>
                <w:highlight w:val="none"/>
              </w:rPr>
              <w:t>（</w:t>
            </w:r>
            <w:r>
              <w:rPr>
                <w:rFonts w:hint="eastAsia" w:hAnsi="宋体" w:cs="宋体"/>
                <w:color w:val="auto"/>
                <w:sz w:val="24"/>
                <w:szCs w:val="24"/>
                <w:highlight w:val="none"/>
                <w:lang w:val="en-US" w:eastAsia="zh-CN"/>
              </w:rPr>
              <w:t>3</w:t>
            </w:r>
            <w:r>
              <w:rPr>
                <w:rFonts w:hint="eastAsia" w:ascii="宋体" w:hAnsi="宋体" w:eastAsia="宋体" w:cs="宋体"/>
                <w:color w:val="auto"/>
                <w:sz w:val="24"/>
                <w:szCs w:val="24"/>
                <w:highlight w:val="none"/>
              </w:rPr>
              <w:t>分）</w:t>
            </w:r>
          </w:p>
        </w:tc>
        <w:tc>
          <w:tcPr>
            <w:tcW w:w="4065" w:type="dxa"/>
            <w:tcBorders>
              <w:top w:val="single" w:color="auto" w:sz="4" w:space="0"/>
              <w:left w:val="single" w:color="auto" w:sz="4" w:space="0"/>
              <w:bottom w:val="single" w:color="auto" w:sz="4" w:space="0"/>
              <w:right w:val="single" w:color="auto" w:sz="4" w:space="0"/>
            </w:tcBorders>
            <w:noWrap w:val="0"/>
            <w:vAlign w:val="center"/>
          </w:tcPr>
          <w:p w14:paraId="4BC0E19B">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【优】得该项评分因素分值的90%～100%（含90%）。</w:t>
            </w:r>
          </w:p>
          <w:p w14:paraId="486AF452">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【良】得该项评分因素分值的80%～90%（含80%）。</w:t>
            </w:r>
          </w:p>
          <w:p w14:paraId="48F95EBF">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【中】得该项评分因素分值的70%～80%（含70%）。</w:t>
            </w:r>
          </w:p>
          <w:p w14:paraId="21AC7437">
            <w:pPr>
              <w:rPr>
                <w:rFonts w:hint="eastAsia" w:ascii="宋体" w:hAnsi="宋体" w:eastAsia="宋体" w:cs="宋体"/>
                <w:color w:val="auto"/>
                <w:sz w:val="22"/>
                <w:szCs w:val="22"/>
                <w:highlight w:val="none"/>
              </w:rPr>
            </w:pPr>
            <w:r>
              <w:rPr>
                <w:rFonts w:hint="eastAsia" w:ascii="宋体" w:hAnsi="宋体" w:eastAsia="宋体" w:cs="宋体"/>
                <w:color w:val="auto"/>
                <w:sz w:val="24"/>
                <w:szCs w:val="24"/>
                <w:highlight w:val="none"/>
              </w:rPr>
              <w:t>【差】得该项评分因素分值的60～70%（含60%）。</w:t>
            </w:r>
          </w:p>
        </w:tc>
        <w:tc>
          <w:tcPr>
            <w:tcW w:w="5295" w:type="dxa"/>
            <w:tcBorders>
              <w:top w:val="single" w:color="auto" w:sz="4" w:space="0"/>
              <w:left w:val="single" w:color="auto" w:sz="4" w:space="0"/>
              <w:bottom w:val="single" w:color="auto" w:sz="4" w:space="0"/>
              <w:right w:val="single" w:color="auto" w:sz="4" w:space="0"/>
            </w:tcBorders>
            <w:noWrap w:val="0"/>
            <w:vAlign w:val="center"/>
          </w:tcPr>
          <w:p w14:paraId="1515FA73">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组织机构形式合理，有完善的指挥系统，生产及质量、绿色施工、安全、文明施工、创优达标监控系统、联络协调系统，项目管理人员内高级职称人员20%（含20%）以上、中级职称人员及以上职称60%（含60%）以上。</w:t>
            </w:r>
          </w:p>
          <w:p w14:paraId="0CFAE61F">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良】组织机构形式合理，指挥系统，生产及质量、绿色施工、安全、文明施工、创优达标监控系统、联络协调系统齐全，项目管理人员内高级职称人员15%～20%（含15%）、中级职称及以上职称人员50%～60%（含50%）。</w:t>
            </w:r>
          </w:p>
          <w:p w14:paraId="2ADA2725">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组织机构形式基本合理，有指挥系统，生产及质量、绿色施工、安全、文明施工、创优达标监控系统、联络协调系统，项目管理人员内高级职称人员10%～15%（含10%）、中级职称人员及以上职称40%～50%（含40%）。</w:t>
            </w:r>
          </w:p>
          <w:p w14:paraId="582C3E41">
            <w:pPr>
              <w:rPr>
                <w:rFonts w:hint="eastAsia" w:ascii="宋体" w:hAnsi="宋体" w:eastAsia="宋体" w:cs="宋体"/>
                <w:color w:val="auto"/>
                <w:sz w:val="22"/>
                <w:szCs w:val="22"/>
                <w:highlight w:val="none"/>
              </w:rPr>
            </w:pPr>
            <w:r>
              <w:rPr>
                <w:rFonts w:hint="eastAsia" w:ascii="宋体" w:hAnsi="宋体" w:eastAsia="宋体" w:cs="宋体"/>
                <w:color w:val="auto"/>
                <w:sz w:val="24"/>
                <w:szCs w:val="24"/>
                <w:highlight w:val="none"/>
              </w:rPr>
              <w:t>【差】组织机构形式合理，指挥系统，生产及质量、绿色施工、安全、文明施工、创优达标监控系统、联络协调系统不齐全，项目管理人员内高级职称人员10%以下、中级职称人员及以上职称40%以下。</w:t>
            </w:r>
          </w:p>
        </w:tc>
      </w:tr>
      <w:tr w14:paraId="6DA566AA">
        <w:tblPrEx>
          <w:tblCellMar>
            <w:top w:w="0" w:type="dxa"/>
            <w:left w:w="108" w:type="dxa"/>
            <w:bottom w:w="0" w:type="dxa"/>
            <w:right w:w="108" w:type="dxa"/>
          </w:tblCellMar>
        </w:tblPrEx>
        <w:trPr>
          <w:trHeight w:val="23" w:hRule="atLeast"/>
          <w:jc w:val="center"/>
        </w:trPr>
        <w:tc>
          <w:tcPr>
            <w:tcW w:w="10853" w:type="dxa"/>
            <w:gridSpan w:val="3"/>
            <w:tcBorders>
              <w:top w:val="single" w:color="auto" w:sz="4" w:space="0"/>
              <w:left w:val="single" w:color="auto" w:sz="4" w:space="0"/>
              <w:bottom w:val="single" w:color="auto" w:sz="4" w:space="0"/>
              <w:right w:val="single" w:color="auto" w:sz="4" w:space="0"/>
            </w:tcBorders>
            <w:shd w:val="clear" w:color="auto" w:fill="D9D9D9"/>
            <w:noWrap w:val="0"/>
            <w:vAlign w:val="center"/>
          </w:tcPr>
          <w:p w14:paraId="4705CF4A">
            <w:pPr>
              <w:pStyle w:val="116"/>
              <w:wordWrap w:val="0"/>
              <w:adjustRightInd w:val="0"/>
              <w:snapToGrid w:val="0"/>
              <w:spacing w:line="360" w:lineRule="auto"/>
              <w:rPr>
                <w:rFonts w:hint="eastAsia" w:ascii="宋体" w:hAnsi="宋体" w:eastAsia="宋体" w:cs="宋体"/>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投标报价部分，满分：</w:t>
            </w:r>
            <w:r>
              <w:rPr>
                <w:rFonts w:hint="eastAsia" w:ascii="宋体" w:hAnsi="宋体" w:eastAsia="宋体" w:cs="宋体"/>
                <w:b/>
                <w:bCs/>
                <w:snapToGrid w:val="0"/>
                <w:color w:val="auto"/>
                <w:kern w:val="0"/>
                <w:sz w:val="22"/>
                <w:szCs w:val="22"/>
                <w:highlight w:val="none"/>
                <w:lang w:val="en-US" w:eastAsia="zh-CN"/>
              </w:rPr>
              <w:t>100</w:t>
            </w:r>
            <w:r>
              <w:rPr>
                <w:rFonts w:hint="eastAsia" w:ascii="宋体" w:hAnsi="宋体" w:eastAsia="宋体" w:cs="宋体"/>
                <w:b/>
                <w:bCs/>
                <w:snapToGrid w:val="0"/>
                <w:color w:val="auto"/>
                <w:kern w:val="0"/>
                <w:sz w:val="22"/>
                <w:szCs w:val="22"/>
                <w:highlight w:val="none"/>
              </w:rPr>
              <w:t>分。</w:t>
            </w:r>
          </w:p>
        </w:tc>
      </w:tr>
      <w:tr w14:paraId="2803E02E">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21F0920E">
            <w:pPr>
              <w:pStyle w:val="11"/>
              <w:wordWrap w:val="0"/>
              <w:adjustRightInd w:val="0"/>
              <w:snapToGrid w:val="0"/>
              <w:spacing w:after="0"/>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评分事项</w:t>
            </w:r>
          </w:p>
        </w:tc>
        <w:tc>
          <w:tcPr>
            <w:tcW w:w="9360" w:type="dxa"/>
            <w:gridSpan w:val="2"/>
            <w:tcBorders>
              <w:top w:val="single" w:color="auto" w:sz="4" w:space="0"/>
              <w:left w:val="single" w:color="auto" w:sz="4" w:space="0"/>
              <w:bottom w:val="single" w:color="auto" w:sz="4" w:space="0"/>
              <w:right w:val="single" w:color="auto" w:sz="4" w:space="0"/>
            </w:tcBorders>
            <w:noWrap w:val="0"/>
            <w:vAlign w:val="center"/>
          </w:tcPr>
          <w:p w14:paraId="3D48CD15">
            <w:pPr>
              <w:pStyle w:val="11"/>
              <w:wordWrap w:val="0"/>
              <w:adjustRightInd w:val="0"/>
              <w:snapToGrid w:val="0"/>
              <w:spacing w:after="0"/>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评分方法</w:t>
            </w:r>
          </w:p>
        </w:tc>
      </w:tr>
      <w:tr w14:paraId="2F4D8DE3">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1C934317">
            <w:pPr>
              <w:pStyle w:val="67"/>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评标基准价D</w:t>
            </w:r>
          </w:p>
        </w:tc>
        <w:tc>
          <w:tcPr>
            <w:tcW w:w="9360" w:type="dxa"/>
            <w:gridSpan w:val="2"/>
            <w:tcBorders>
              <w:top w:val="single" w:color="auto" w:sz="4" w:space="0"/>
              <w:left w:val="single" w:color="auto" w:sz="4" w:space="0"/>
              <w:bottom w:val="single" w:color="auto" w:sz="4" w:space="0"/>
              <w:right w:val="single" w:color="auto" w:sz="4" w:space="0"/>
            </w:tcBorders>
            <w:noWrap w:val="0"/>
            <w:vAlign w:val="center"/>
          </w:tcPr>
          <w:p w14:paraId="701E6C20">
            <w:pPr>
              <w:wordWrap w:val="0"/>
              <w:adjustRightInd w:val="0"/>
              <w:snapToGrid w:val="0"/>
              <w:spacing w:line="36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（1）确定</w:t>
            </w:r>
            <w:r>
              <w:rPr>
                <w:rFonts w:hint="eastAsia" w:hAnsi="宋体" w:cs="宋体"/>
                <w:snapToGrid w:val="0"/>
                <w:color w:val="auto"/>
                <w:kern w:val="0"/>
                <w:sz w:val="24"/>
                <w:szCs w:val="24"/>
                <w:highlight w:val="none"/>
                <w:lang w:eastAsia="zh-CN"/>
              </w:rPr>
              <w:t>最高投标限价</w:t>
            </w:r>
            <w:r>
              <w:rPr>
                <w:rFonts w:hint="eastAsia" w:ascii="宋体" w:hAnsi="宋体" w:eastAsia="宋体" w:cs="宋体"/>
                <w:snapToGrid w:val="0"/>
                <w:color w:val="auto"/>
                <w:kern w:val="0"/>
                <w:sz w:val="24"/>
                <w:szCs w:val="24"/>
                <w:highlight w:val="none"/>
              </w:rPr>
              <w:t>下浮系数n：用1～21号球分别代表一个下浮系数，由评委代表从这21个号码中随机抽取</w:t>
            </w:r>
            <w:r>
              <w:rPr>
                <w:rFonts w:hint="eastAsia" w:ascii="宋体" w:hAnsi="宋体" w:eastAsia="宋体" w:cs="宋体"/>
                <w:snapToGrid w:val="0"/>
                <w:color w:val="auto"/>
                <w:kern w:val="0"/>
                <w:sz w:val="24"/>
                <w:szCs w:val="24"/>
                <w:highlight w:val="none"/>
                <w:u w:val="single"/>
              </w:rPr>
              <w:t xml:space="preserve"> 3 </w:t>
            </w:r>
            <w:r>
              <w:rPr>
                <w:rFonts w:hint="eastAsia" w:ascii="宋体" w:hAnsi="宋体" w:eastAsia="宋体" w:cs="宋体"/>
                <w:snapToGrid w:val="0"/>
                <w:color w:val="auto"/>
                <w:kern w:val="0"/>
                <w:sz w:val="24"/>
                <w:szCs w:val="24"/>
                <w:highlight w:val="none"/>
              </w:rPr>
              <w:t>次，每次抽取1个号码，抽出的号球不参与下次抽取。所抽取的3个号码对应下浮系数的算术平均值作为</w:t>
            </w:r>
            <w:r>
              <w:rPr>
                <w:rFonts w:hint="eastAsia" w:hAnsi="宋体" w:cs="宋体"/>
                <w:snapToGrid w:val="0"/>
                <w:color w:val="auto"/>
                <w:kern w:val="0"/>
                <w:sz w:val="24"/>
                <w:szCs w:val="24"/>
                <w:highlight w:val="none"/>
                <w:lang w:eastAsia="zh-CN"/>
              </w:rPr>
              <w:t>最高投标限价</w:t>
            </w:r>
            <w:r>
              <w:rPr>
                <w:rFonts w:hint="eastAsia" w:ascii="宋体" w:hAnsi="宋体" w:eastAsia="宋体" w:cs="宋体"/>
                <w:snapToGrid w:val="0"/>
                <w:color w:val="auto"/>
                <w:kern w:val="0"/>
                <w:sz w:val="24"/>
                <w:szCs w:val="24"/>
                <w:highlight w:val="none"/>
              </w:rPr>
              <w:t>下浮系数n。具体号码对应的下浮系数可参考下表。</w:t>
            </w:r>
          </w:p>
          <w:tbl>
            <w:tblPr>
              <w:tblStyle w:val="31"/>
              <w:tblW w:w="0" w:type="auto"/>
              <w:jc w:val="center"/>
              <w:tblLayout w:type="fixed"/>
              <w:tblCellMar>
                <w:top w:w="0" w:type="dxa"/>
                <w:left w:w="108" w:type="dxa"/>
                <w:bottom w:w="0" w:type="dxa"/>
                <w:right w:w="108" w:type="dxa"/>
              </w:tblCellMar>
            </w:tblPr>
            <w:tblGrid>
              <w:gridCol w:w="1949"/>
              <w:gridCol w:w="794"/>
              <w:gridCol w:w="830"/>
              <w:gridCol w:w="864"/>
              <w:gridCol w:w="848"/>
              <w:gridCol w:w="882"/>
              <w:gridCol w:w="829"/>
              <w:gridCol w:w="819"/>
            </w:tblGrid>
            <w:tr w14:paraId="0DF1D792">
              <w:tblPrEx>
                <w:tblCellMar>
                  <w:top w:w="0" w:type="dxa"/>
                  <w:left w:w="108" w:type="dxa"/>
                  <w:bottom w:w="0" w:type="dxa"/>
                  <w:right w:w="108" w:type="dxa"/>
                </w:tblCellMar>
              </w:tblPrEx>
              <w:trPr>
                <w:trHeight w:val="248" w:hRule="atLeast"/>
                <w:jc w:val="center"/>
              </w:trPr>
              <w:tc>
                <w:tcPr>
                  <w:tcW w:w="1949" w:type="dxa"/>
                  <w:tcBorders>
                    <w:top w:val="single" w:color="000000" w:sz="4" w:space="0"/>
                    <w:left w:val="single" w:color="000000" w:sz="4" w:space="0"/>
                    <w:bottom w:val="single" w:color="000000" w:sz="4" w:space="0"/>
                    <w:right w:val="single" w:color="000000" w:sz="4" w:space="0"/>
                  </w:tcBorders>
                  <w:vAlign w:val="center"/>
                </w:tcPr>
                <w:p w14:paraId="0DF82A2B">
                  <w:pPr>
                    <w:wordWrap w:val="0"/>
                    <w:adjustRightInd w:val="0"/>
                    <w:snapToGrid w:val="0"/>
                    <w:spacing w:line="360" w:lineRule="auto"/>
                    <w:jc w:val="center"/>
                    <w:rPr>
                      <w:rFonts w:hint="eastAsia" w:ascii="宋体" w:hAnsi="宋体" w:eastAsia="宋体" w:cs="宋体"/>
                      <w:b/>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号球</w:t>
                  </w:r>
                </w:p>
              </w:tc>
              <w:tc>
                <w:tcPr>
                  <w:tcW w:w="794" w:type="dxa"/>
                  <w:tcBorders>
                    <w:top w:val="single" w:color="000000" w:sz="4" w:space="0"/>
                    <w:left w:val="single" w:color="000000" w:sz="4" w:space="0"/>
                    <w:bottom w:val="single" w:color="000000" w:sz="4" w:space="0"/>
                    <w:right w:val="single" w:color="000000" w:sz="4" w:space="0"/>
                  </w:tcBorders>
                  <w:vAlign w:val="center"/>
                </w:tcPr>
                <w:p w14:paraId="2503CA61">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p>
              </w:tc>
              <w:tc>
                <w:tcPr>
                  <w:tcW w:w="830" w:type="dxa"/>
                  <w:tcBorders>
                    <w:top w:val="single" w:color="000000" w:sz="4" w:space="0"/>
                    <w:left w:val="single" w:color="000000" w:sz="4" w:space="0"/>
                    <w:bottom w:val="single" w:color="000000" w:sz="4" w:space="0"/>
                    <w:right w:val="single" w:color="000000" w:sz="4" w:space="0"/>
                  </w:tcBorders>
                  <w:vAlign w:val="center"/>
                </w:tcPr>
                <w:p w14:paraId="2A6A6174">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w:t>
                  </w:r>
                </w:p>
              </w:tc>
              <w:tc>
                <w:tcPr>
                  <w:tcW w:w="864" w:type="dxa"/>
                  <w:tcBorders>
                    <w:top w:val="single" w:color="000000" w:sz="4" w:space="0"/>
                    <w:left w:val="single" w:color="000000" w:sz="4" w:space="0"/>
                    <w:bottom w:val="single" w:color="000000" w:sz="4" w:space="0"/>
                    <w:right w:val="single" w:color="000000" w:sz="4" w:space="0"/>
                  </w:tcBorders>
                  <w:vAlign w:val="center"/>
                </w:tcPr>
                <w:p w14:paraId="371F8EDE">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w:t>
                  </w:r>
                </w:p>
              </w:tc>
              <w:tc>
                <w:tcPr>
                  <w:tcW w:w="848" w:type="dxa"/>
                  <w:tcBorders>
                    <w:top w:val="single" w:color="000000" w:sz="4" w:space="0"/>
                    <w:left w:val="single" w:color="000000" w:sz="4" w:space="0"/>
                    <w:bottom w:val="single" w:color="000000" w:sz="4" w:space="0"/>
                    <w:right w:val="single" w:color="000000" w:sz="4" w:space="0"/>
                  </w:tcBorders>
                  <w:vAlign w:val="center"/>
                </w:tcPr>
                <w:p w14:paraId="75C4F6AF">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w:t>
                  </w:r>
                </w:p>
              </w:tc>
              <w:tc>
                <w:tcPr>
                  <w:tcW w:w="882" w:type="dxa"/>
                  <w:tcBorders>
                    <w:top w:val="single" w:color="000000" w:sz="4" w:space="0"/>
                    <w:left w:val="single" w:color="000000" w:sz="4" w:space="0"/>
                    <w:bottom w:val="single" w:color="000000" w:sz="4" w:space="0"/>
                    <w:right w:val="single" w:color="000000" w:sz="4" w:space="0"/>
                  </w:tcBorders>
                  <w:vAlign w:val="center"/>
                </w:tcPr>
                <w:p w14:paraId="23F174A9">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w:t>
                  </w:r>
                </w:p>
              </w:tc>
              <w:tc>
                <w:tcPr>
                  <w:tcW w:w="829" w:type="dxa"/>
                  <w:tcBorders>
                    <w:top w:val="single" w:color="000000" w:sz="4" w:space="0"/>
                    <w:left w:val="single" w:color="000000" w:sz="4" w:space="0"/>
                    <w:bottom w:val="single" w:color="000000" w:sz="4" w:space="0"/>
                    <w:right w:val="single" w:color="000000" w:sz="4" w:space="0"/>
                  </w:tcBorders>
                  <w:vAlign w:val="center"/>
                </w:tcPr>
                <w:p w14:paraId="79333F71">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w:t>
                  </w:r>
                </w:p>
              </w:tc>
              <w:tc>
                <w:tcPr>
                  <w:tcW w:w="819" w:type="dxa"/>
                  <w:tcBorders>
                    <w:top w:val="single" w:color="000000" w:sz="4" w:space="0"/>
                    <w:left w:val="single" w:color="000000" w:sz="4" w:space="0"/>
                    <w:bottom w:val="single" w:color="000000" w:sz="4" w:space="0"/>
                    <w:right w:val="single" w:color="000000" w:sz="4" w:space="0"/>
                  </w:tcBorders>
                  <w:vAlign w:val="center"/>
                </w:tcPr>
                <w:p w14:paraId="70068A15">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w:t>
                  </w:r>
                </w:p>
              </w:tc>
            </w:tr>
            <w:tr w14:paraId="791D8E76">
              <w:tblPrEx>
                <w:tblCellMar>
                  <w:top w:w="0" w:type="dxa"/>
                  <w:left w:w="108" w:type="dxa"/>
                  <w:bottom w:w="0" w:type="dxa"/>
                  <w:right w:w="108" w:type="dxa"/>
                </w:tblCellMar>
              </w:tblPrEx>
              <w:trPr>
                <w:trHeight w:val="575" w:hRule="atLeast"/>
                <w:jc w:val="center"/>
              </w:trPr>
              <w:tc>
                <w:tcPr>
                  <w:tcW w:w="1949" w:type="dxa"/>
                  <w:tcBorders>
                    <w:top w:val="single" w:color="000000" w:sz="4" w:space="0"/>
                    <w:left w:val="single" w:color="000000" w:sz="4" w:space="0"/>
                    <w:bottom w:val="single" w:color="000000" w:sz="4" w:space="0"/>
                    <w:right w:val="single" w:color="000000" w:sz="4" w:space="0"/>
                  </w:tcBorders>
                  <w:vAlign w:val="center"/>
                </w:tcPr>
                <w:p w14:paraId="0D2BA57E">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下浮系数（%）</w:t>
                  </w:r>
                </w:p>
              </w:tc>
              <w:tc>
                <w:tcPr>
                  <w:tcW w:w="794" w:type="dxa"/>
                  <w:tcBorders>
                    <w:top w:val="single" w:color="000000" w:sz="4" w:space="0"/>
                    <w:left w:val="single" w:color="000000" w:sz="4" w:space="0"/>
                    <w:bottom w:val="single" w:color="000000" w:sz="4" w:space="0"/>
                    <w:right w:val="single" w:color="000000" w:sz="4" w:space="0"/>
                  </w:tcBorders>
                  <w:vAlign w:val="center"/>
                </w:tcPr>
                <w:p w14:paraId="732221F4">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w:t>
                  </w:r>
                </w:p>
              </w:tc>
              <w:tc>
                <w:tcPr>
                  <w:tcW w:w="830" w:type="dxa"/>
                  <w:tcBorders>
                    <w:top w:val="single" w:color="000000" w:sz="4" w:space="0"/>
                    <w:left w:val="single" w:color="000000" w:sz="4" w:space="0"/>
                    <w:bottom w:val="single" w:color="000000" w:sz="4" w:space="0"/>
                    <w:right w:val="single" w:color="000000" w:sz="4" w:space="0"/>
                  </w:tcBorders>
                  <w:vAlign w:val="center"/>
                </w:tcPr>
                <w:p w14:paraId="4DA2A8D1">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1.1</w:t>
                  </w:r>
                </w:p>
              </w:tc>
              <w:tc>
                <w:tcPr>
                  <w:tcW w:w="864" w:type="dxa"/>
                  <w:tcBorders>
                    <w:top w:val="single" w:color="000000" w:sz="4" w:space="0"/>
                    <w:left w:val="single" w:color="000000" w:sz="4" w:space="0"/>
                    <w:bottom w:val="single" w:color="000000" w:sz="4" w:space="0"/>
                    <w:right w:val="single" w:color="000000" w:sz="4" w:space="0"/>
                  </w:tcBorders>
                  <w:vAlign w:val="center"/>
                </w:tcPr>
                <w:p w14:paraId="72AB3878">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1.2</w:t>
                  </w:r>
                </w:p>
              </w:tc>
              <w:tc>
                <w:tcPr>
                  <w:tcW w:w="848" w:type="dxa"/>
                  <w:tcBorders>
                    <w:top w:val="single" w:color="000000" w:sz="4" w:space="0"/>
                    <w:left w:val="single" w:color="000000" w:sz="4" w:space="0"/>
                    <w:bottom w:val="single" w:color="000000" w:sz="4" w:space="0"/>
                    <w:right w:val="single" w:color="000000" w:sz="4" w:space="0"/>
                  </w:tcBorders>
                  <w:vAlign w:val="center"/>
                </w:tcPr>
                <w:p w14:paraId="55C80E80">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1.3</w:t>
                  </w:r>
                </w:p>
              </w:tc>
              <w:tc>
                <w:tcPr>
                  <w:tcW w:w="882" w:type="dxa"/>
                  <w:tcBorders>
                    <w:top w:val="single" w:color="000000" w:sz="4" w:space="0"/>
                    <w:left w:val="single" w:color="000000" w:sz="4" w:space="0"/>
                    <w:bottom w:val="single" w:color="000000" w:sz="4" w:space="0"/>
                    <w:right w:val="single" w:color="000000" w:sz="4" w:space="0"/>
                  </w:tcBorders>
                  <w:vAlign w:val="center"/>
                </w:tcPr>
                <w:p w14:paraId="63F20F98">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1.4</w:t>
                  </w:r>
                </w:p>
              </w:tc>
              <w:tc>
                <w:tcPr>
                  <w:tcW w:w="829" w:type="dxa"/>
                  <w:tcBorders>
                    <w:top w:val="single" w:color="000000" w:sz="4" w:space="0"/>
                    <w:left w:val="single" w:color="000000" w:sz="4" w:space="0"/>
                    <w:bottom w:val="single" w:color="000000" w:sz="4" w:space="0"/>
                    <w:right w:val="single" w:color="000000" w:sz="4" w:space="0"/>
                  </w:tcBorders>
                  <w:vAlign w:val="center"/>
                </w:tcPr>
                <w:p w14:paraId="5C6515EB">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1.5</w:t>
                  </w:r>
                </w:p>
              </w:tc>
              <w:tc>
                <w:tcPr>
                  <w:tcW w:w="819" w:type="dxa"/>
                  <w:tcBorders>
                    <w:top w:val="single" w:color="000000" w:sz="4" w:space="0"/>
                    <w:left w:val="single" w:color="000000" w:sz="4" w:space="0"/>
                    <w:bottom w:val="single" w:color="000000" w:sz="4" w:space="0"/>
                    <w:right w:val="single" w:color="000000" w:sz="4" w:space="0"/>
                  </w:tcBorders>
                  <w:vAlign w:val="center"/>
                </w:tcPr>
                <w:p w14:paraId="3056149E">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1.6</w:t>
                  </w:r>
                </w:p>
              </w:tc>
            </w:tr>
            <w:tr w14:paraId="3EAD1EE0">
              <w:tblPrEx>
                <w:tblCellMar>
                  <w:top w:w="0" w:type="dxa"/>
                  <w:left w:w="108" w:type="dxa"/>
                  <w:bottom w:w="0" w:type="dxa"/>
                  <w:right w:w="108" w:type="dxa"/>
                </w:tblCellMar>
              </w:tblPrEx>
              <w:trPr>
                <w:trHeight w:val="515" w:hRule="atLeast"/>
                <w:jc w:val="center"/>
              </w:trPr>
              <w:tc>
                <w:tcPr>
                  <w:tcW w:w="1949" w:type="dxa"/>
                  <w:tcBorders>
                    <w:top w:val="single" w:color="000000" w:sz="4" w:space="0"/>
                    <w:left w:val="single" w:color="000000" w:sz="4" w:space="0"/>
                    <w:bottom w:val="single" w:color="000000" w:sz="4" w:space="0"/>
                    <w:right w:val="single" w:color="000000" w:sz="4" w:space="0"/>
                  </w:tcBorders>
                  <w:vAlign w:val="center"/>
                </w:tcPr>
                <w:p w14:paraId="5536D489">
                  <w:pPr>
                    <w:wordWrap w:val="0"/>
                    <w:adjustRightInd w:val="0"/>
                    <w:snapToGrid w:val="0"/>
                    <w:spacing w:line="360" w:lineRule="auto"/>
                    <w:jc w:val="center"/>
                    <w:rPr>
                      <w:rFonts w:hint="eastAsia" w:ascii="宋体" w:hAnsi="宋体" w:eastAsia="宋体" w:cs="宋体"/>
                      <w:b/>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号球</w:t>
                  </w:r>
                </w:p>
              </w:tc>
              <w:tc>
                <w:tcPr>
                  <w:tcW w:w="794" w:type="dxa"/>
                  <w:tcBorders>
                    <w:top w:val="single" w:color="000000" w:sz="4" w:space="0"/>
                    <w:left w:val="single" w:color="000000" w:sz="4" w:space="0"/>
                    <w:bottom w:val="single" w:color="000000" w:sz="4" w:space="0"/>
                    <w:right w:val="single" w:color="000000" w:sz="4" w:space="0"/>
                  </w:tcBorders>
                  <w:vAlign w:val="center"/>
                </w:tcPr>
                <w:p w14:paraId="3722F012">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w:t>
                  </w:r>
                </w:p>
              </w:tc>
              <w:tc>
                <w:tcPr>
                  <w:tcW w:w="830" w:type="dxa"/>
                  <w:tcBorders>
                    <w:top w:val="single" w:color="000000" w:sz="4" w:space="0"/>
                    <w:left w:val="single" w:color="000000" w:sz="4" w:space="0"/>
                    <w:bottom w:val="single" w:color="000000" w:sz="4" w:space="0"/>
                    <w:right w:val="single" w:color="000000" w:sz="4" w:space="0"/>
                  </w:tcBorders>
                  <w:vAlign w:val="center"/>
                </w:tcPr>
                <w:p w14:paraId="471A335A">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9</w:t>
                  </w:r>
                </w:p>
              </w:tc>
              <w:tc>
                <w:tcPr>
                  <w:tcW w:w="864" w:type="dxa"/>
                  <w:tcBorders>
                    <w:top w:val="single" w:color="000000" w:sz="4" w:space="0"/>
                    <w:left w:val="single" w:color="000000" w:sz="4" w:space="0"/>
                    <w:bottom w:val="single" w:color="000000" w:sz="4" w:space="0"/>
                    <w:right w:val="single" w:color="000000" w:sz="4" w:space="0"/>
                  </w:tcBorders>
                  <w:vAlign w:val="center"/>
                </w:tcPr>
                <w:p w14:paraId="1D7EEDC2">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w:t>
                  </w:r>
                </w:p>
              </w:tc>
              <w:tc>
                <w:tcPr>
                  <w:tcW w:w="848" w:type="dxa"/>
                  <w:tcBorders>
                    <w:top w:val="single" w:color="000000" w:sz="4" w:space="0"/>
                    <w:left w:val="single" w:color="000000" w:sz="4" w:space="0"/>
                    <w:bottom w:val="single" w:color="000000" w:sz="4" w:space="0"/>
                    <w:right w:val="single" w:color="000000" w:sz="4" w:space="0"/>
                  </w:tcBorders>
                  <w:vAlign w:val="center"/>
                </w:tcPr>
                <w:p w14:paraId="530D318F">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11</w:t>
                  </w:r>
                </w:p>
              </w:tc>
              <w:tc>
                <w:tcPr>
                  <w:tcW w:w="882" w:type="dxa"/>
                  <w:tcBorders>
                    <w:top w:val="single" w:color="000000" w:sz="4" w:space="0"/>
                    <w:left w:val="single" w:color="000000" w:sz="4" w:space="0"/>
                    <w:bottom w:val="single" w:color="000000" w:sz="4" w:space="0"/>
                    <w:right w:val="single" w:color="000000" w:sz="4" w:space="0"/>
                  </w:tcBorders>
                  <w:vAlign w:val="center"/>
                </w:tcPr>
                <w:p w14:paraId="00C97CF2">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12</w:t>
                  </w:r>
                </w:p>
              </w:tc>
              <w:tc>
                <w:tcPr>
                  <w:tcW w:w="829" w:type="dxa"/>
                  <w:tcBorders>
                    <w:top w:val="single" w:color="000000" w:sz="4" w:space="0"/>
                    <w:left w:val="single" w:color="000000" w:sz="4" w:space="0"/>
                    <w:bottom w:val="single" w:color="000000" w:sz="4" w:space="0"/>
                    <w:right w:val="single" w:color="000000" w:sz="4" w:space="0"/>
                  </w:tcBorders>
                  <w:vAlign w:val="center"/>
                </w:tcPr>
                <w:p w14:paraId="33BEEA0B">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13</w:t>
                  </w:r>
                </w:p>
              </w:tc>
              <w:tc>
                <w:tcPr>
                  <w:tcW w:w="819" w:type="dxa"/>
                  <w:tcBorders>
                    <w:top w:val="single" w:color="000000" w:sz="4" w:space="0"/>
                    <w:left w:val="single" w:color="000000" w:sz="4" w:space="0"/>
                    <w:bottom w:val="single" w:color="000000" w:sz="4" w:space="0"/>
                    <w:right w:val="single" w:color="000000" w:sz="4" w:space="0"/>
                  </w:tcBorders>
                  <w:vAlign w:val="center"/>
                </w:tcPr>
                <w:p w14:paraId="00626974">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14</w:t>
                  </w:r>
                </w:p>
              </w:tc>
            </w:tr>
            <w:tr w14:paraId="4547A747">
              <w:tblPrEx>
                <w:tblCellMar>
                  <w:top w:w="0" w:type="dxa"/>
                  <w:left w:w="108" w:type="dxa"/>
                  <w:bottom w:w="0" w:type="dxa"/>
                  <w:right w:w="108" w:type="dxa"/>
                </w:tblCellMar>
              </w:tblPrEx>
              <w:trPr>
                <w:trHeight w:val="515" w:hRule="atLeast"/>
                <w:jc w:val="center"/>
              </w:trPr>
              <w:tc>
                <w:tcPr>
                  <w:tcW w:w="1949" w:type="dxa"/>
                  <w:tcBorders>
                    <w:top w:val="single" w:color="000000" w:sz="4" w:space="0"/>
                    <w:left w:val="single" w:color="000000" w:sz="4" w:space="0"/>
                    <w:bottom w:val="single" w:color="000000" w:sz="4" w:space="0"/>
                    <w:right w:val="single" w:color="000000" w:sz="4" w:space="0"/>
                  </w:tcBorders>
                  <w:vAlign w:val="center"/>
                </w:tcPr>
                <w:p w14:paraId="71EE082A">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下浮系数（%）</w:t>
                  </w:r>
                </w:p>
              </w:tc>
              <w:tc>
                <w:tcPr>
                  <w:tcW w:w="794" w:type="dxa"/>
                  <w:tcBorders>
                    <w:top w:val="single" w:color="000000" w:sz="4" w:space="0"/>
                    <w:left w:val="single" w:color="000000" w:sz="4" w:space="0"/>
                    <w:bottom w:val="single" w:color="000000" w:sz="4" w:space="0"/>
                    <w:right w:val="single" w:color="000000" w:sz="4" w:space="0"/>
                  </w:tcBorders>
                  <w:vAlign w:val="center"/>
                </w:tcPr>
                <w:p w14:paraId="04D166A6">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1.7</w:t>
                  </w:r>
                </w:p>
              </w:tc>
              <w:tc>
                <w:tcPr>
                  <w:tcW w:w="830" w:type="dxa"/>
                  <w:tcBorders>
                    <w:top w:val="single" w:color="000000" w:sz="4" w:space="0"/>
                    <w:left w:val="single" w:color="000000" w:sz="4" w:space="0"/>
                    <w:bottom w:val="single" w:color="000000" w:sz="4" w:space="0"/>
                    <w:right w:val="single" w:color="000000" w:sz="4" w:space="0"/>
                  </w:tcBorders>
                  <w:vAlign w:val="center"/>
                </w:tcPr>
                <w:p w14:paraId="4BFD1C54">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1.8</w:t>
                  </w:r>
                </w:p>
              </w:tc>
              <w:tc>
                <w:tcPr>
                  <w:tcW w:w="864" w:type="dxa"/>
                  <w:tcBorders>
                    <w:top w:val="single" w:color="000000" w:sz="4" w:space="0"/>
                    <w:left w:val="single" w:color="000000" w:sz="4" w:space="0"/>
                    <w:bottom w:val="single" w:color="000000" w:sz="4" w:space="0"/>
                    <w:right w:val="single" w:color="000000" w:sz="4" w:space="0"/>
                  </w:tcBorders>
                  <w:vAlign w:val="center"/>
                </w:tcPr>
                <w:p w14:paraId="5B40A026">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1.9</w:t>
                  </w:r>
                </w:p>
              </w:tc>
              <w:tc>
                <w:tcPr>
                  <w:tcW w:w="848" w:type="dxa"/>
                  <w:tcBorders>
                    <w:top w:val="single" w:color="000000" w:sz="4" w:space="0"/>
                    <w:left w:val="single" w:color="000000" w:sz="4" w:space="0"/>
                    <w:bottom w:val="single" w:color="000000" w:sz="4" w:space="0"/>
                    <w:right w:val="single" w:color="000000" w:sz="4" w:space="0"/>
                  </w:tcBorders>
                  <w:vAlign w:val="center"/>
                </w:tcPr>
                <w:p w14:paraId="147FC3D2">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2.0</w:t>
                  </w:r>
                </w:p>
              </w:tc>
              <w:tc>
                <w:tcPr>
                  <w:tcW w:w="882" w:type="dxa"/>
                  <w:tcBorders>
                    <w:top w:val="single" w:color="000000" w:sz="4" w:space="0"/>
                    <w:left w:val="single" w:color="000000" w:sz="4" w:space="0"/>
                    <w:bottom w:val="single" w:color="000000" w:sz="4" w:space="0"/>
                    <w:right w:val="single" w:color="000000" w:sz="4" w:space="0"/>
                  </w:tcBorders>
                  <w:vAlign w:val="center"/>
                </w:tcPr>
                <w:p w14:paraId="6B36024B">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2.1</w:t>
                  </w:r>
                </w:p>
              </w:tc>
              <w:tc>
                <w:tcPr>
                  <w:tcW w:w="829" w:type="dxa"/>
                  <w:tcBorders>
                    <w:top w:val="single" w:color="000000" w:sz="4" w:space="0"/>
                    <w:left w:val="single" w:color="000000" w:sz="4" w:space="0"/>
                    <w:bottom w:val="single" w:color="000000" w:sz="4" w:space="0"/>
                    <w:right w:val="single" w:color="000000" w:sz="4" w:space="0"/>
                  </w:tcBorders>
                  <w:vAlign w:val="center"/>
                </w:tcPr>
                <w:p w14:paraId="07BAE1CD">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2.2</w:t>
                  </w:r>
                </w:p>
              </w:tc>
              <w:tc>
                <w:tcPr>
                  <w:tcW w:w="819" w:type="dxa"/>
                  <w:tcBorders>
                    <w:top w:val="single" w:color="000000" w:sz="4" w:space="0"/>
                    <w:left w:val="single" w:color="000000" w:sz="4" w:space="0"/>
                    <w:bottom w:val="single" w:color="000000" w:sz="4" w:space="0"/>
                    <w:right w:val="single" w:color="000000" w:sz="4" w:space="0"/>
                  </w:tcBorders>
                  <w:vAlign w:val="center"/>
                </w:tcPr>
                <w:p w14:paraId="73D30A8D">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2.3</w:t>
                  </w:r>
                </w:p>
              </w:tc>
            </w:tr>
            <w:tr w14:paraId="71D73A2E">
              <w:tblPrEx>
                <w:tblCellMar>
                  <w:top w:w="0" w:type="dxa"/>
                  <w:left w:w="108" w:type="dxa"/>
                  <w:bottom w:w="0" w:type="dxa"/>
                  <w:right w:w="108" w:type="dxa"/>
                </w:tblCellMar>
              </w:tblPrEx>
              <w:trPr>
                <w:trHeight w:val="470" w:hRule="atLeast"/>
                <w:jc w:val="center"/>
              </w:trPr>
              <w:tc>
                <w:tcPr>
                  <w:tcW w:w="1949" w:type="dxa"/>
                  <w:tcBorders>
                    <w:top w:val="single" w:color="000000" w:sz="4" w:space="0"/>
                    <w:left w:val="single" w:color="000000" w:sz="4" w:space="0"/>
                    <w:bottom w:val="single" w:color="000000" w:sz="4" w:space="0"/>
                    <w:right w:val="single" w:color="000000" w:sz="4" w:space="0"/>
                  </w:tcBorders>
                  <w:vAlign w:val="center"/>
                </w:tcPr>
                <w:p w14:paraId="335209A5">
                  <w:pPr>
                    <w:wordWrap w:val="0"/>
                    <w:adjustRightInd w:val="0"/>
                    <w:snapToGrid w:val="0"/>
                    <w:spacing w:line="360" w:lineRule="auto"/>
                    <w:jc w:val="center"/>
                    <w:rPr>
                      <w:rFonts w:hint="eastAsia" w:ascii="宋体" w:hAnsi="宋体" w:eastAsia="宋体" w:cs="宋体"/>
                      <w:b/>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号球</w:t>
                  </w:r>
                </w:p>
              </w:tc>
              <w:tc>
                <w:tcPr>
                  <w:tcW w:w="794" w:type="dxa"/>
                  <w:tcBorders>
                    <w:top w:val="single" w:color="000000" w:sz="4" w:space="0"/>
                    <w:left w:val="single" w:color="000000" w:sz="4" w:space="0"/>
                    <w:bottom w:val="single" w:color="000000" w:sz="4" w:space="0"/>
                    <w:right w:val="single" w:color="000000" w:sz="4" w:space="0"/>
                  </w:tcBorders>
                  <w:vAlign w:val="center"/>
                </w:tcPr>
                <w:p w14:paraId="635216F6">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15</w:t>
                  </w:r>
                </w:p>
              </w:tc>
              <w:tc>
                <w:tcPr>
                  <w:tcW w:w="830" w:type="dxa"/>
                  <w:tcBorders>
                    <w:top w:val="single" w:color="000000" w:sz="4" w:space="0"/>
                    <w:left w:val="single" w:color="000000" w:sz="4" w:space="0"/>
                    <w:bottom w:val="single" w:color="000000" w:sz="4" w:space="0"/>
                    <w:right w:val="single" w:color="000000" w:sz="4" w:space="0"/>
                  </w:tcBorders>
                  <w:vAlign w:val="center"/>
                </w:tcPr>
                <w:p w14:paraId="142E09A2">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16</w:t>
                  </w:r>
                </w:p>
              </w:tc>
              <w:tc>
                <w:tcPr>
                  <w:tcW w:w="864" w:type="dxa"/>
                  <w:tcBorders>
                    <w:top w:val="single" w:color="000000" w:sz="4" w:space="0"/>
                    <w:left w:val="single" w:color="000000" w:sz="4" w:space="0"/>
                    <w:bottom w:val="single" w:color="000000" w:sz="4" w:space="0"/>
                    <w:right w:val="single" w:color="000000" w:sz="4" w:space="0"/>
                  </w:tcBorders>
                  <w:vAlign w:val="center"/>
                </w:tcPr>
                <w:p w14:paraId="0E1E685E">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17</w:t>
                  </w:r>
                </w:p>
              </w:tc>
              <w:tc>
                <w:tcPr>
                  <w:tcW w:w="848" w:type="dxa"/>
                  <w:tcBorders>
                    <w:top w:val="single" w:color="000000" w:sz="4" w:space="0"/>
                    <w:left w:val="single" w:color="000000" w:sz="4" w:space="0"/>
                    <w:bottom w:val="single" w:color="000000" w:sz="4" w:space="0"/>
                    <w:right w:val="single" w:color="000000" w:sz="4" w:space="0"/>
                  </w:tcBorders>
                  <w:vAlign w:val="center"/>
                </w:tcPr>
                <w:p w14:paraId="0C86F937">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18</w:t>
                  </w:r>
                </w:p>
              </w:tc>
              <w:tc>
                <w:tcPr>
                  <w:tcW w:w="882" w:type="dxa"/>
                  <w:tcBorders>
                    <w:top w:val="single" w:color="000000" w:sz="4" w:space="0"/>
                    <w:left w:val="single" w:color="000000" w:sz="4" w:space="0"/>
                    <w:bottom w:val="single" w:color="000000" w:sz="4" w:space="0"/>
                    <w:right w:val="single" w:color="000000" w:sz="4" w:space="0"/>
                  </w:tcBorders>
                  <w:vAlign w:val="center"/>
                </w:tcPr>
                <w:p w14:paraId="50AD250B">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19</w:t>
                  </w:r>
                </w:p>
              </w:tc>
              <w:tc>
                <w:tcPr>
                  <w:tcW w:w="829" w:type="dxa"/>
                  <w:tcBorders>
                    <w:top w:val="single" w:color="000000" w:sz="4" w:space="0"/>
                    <w:left w:val="single" w:color="000000" w:sz="4" w:space="0"/>
                    <w:bottom w:val="single" w:color="000000" w:sz="4" w:space="0"/>
                    <w:right w:val="single" w:color="000000" w:sz="4" w:space="0"/>
                  </w:tcBorders>
                  <w:vAlign w:val="center"/>
                </w:tcPr>
                <w:p w14:paraId="49886A84">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20</w:t>
                  </w:r>
                </w:p>
              </w:tc>
              <w:tc>
                <w:tcPr>
                  <w:tcW w:w="819" w:type="dxa"/>
                  <w:tcBorders>
                    <w:top w:val="single" w:color="000000" w:sz="4" w:space="0"/>
                    <w:left w:val="single" w:color="000000" w:sz="4" w:space="0"/>
                    <w:bottom w:val="single" w:color="000000" w:sz="4" w:space="0"/>
                    <w:right w:val="single" w:color="000000" w:sz="4" w:space="0"/>
                  </w:tcBorders>
                  <w:vAlign w:val="center"/>
                </w:tcPr>
                <w:p w14:paraId="5E09FA4C">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21</w:t>
                  </w:r>
                </w:p>
              </w:tc>
            </w:tr>
            <w:tr w14:paraId="792B9D54">
              <w:tblPrEx>
                <w:tblCellMar>
                  <w:top w:w="0" w:type="dxa"/>
                  <w:left w:w="108" w:type="dxa"/>
                  <w:bottom w:w="0" w:type="dxa"/>
                  <w:right w:w="108" w:type="dxa"/>
                </w:tblCellMar>
              </w:tblPrEx>
              <w:trPr>
                <w:trHeight w:val="600" w:hRule="atLeast"/>
                <w:jc w:val="center"/>
              </w:trPr>
              <w:tc>
                <w:tcPr>
                  <w:tcW w:w="1949" w:type="dxa"/>
                  <w:tcBorders>
                    <w:top w:val="single" w:color="000000" w:sz="4" w:space="0"/>
                    <w:left w:val="single" w:color="000000" w:sz="4" w:space="0"/>
                    <w:bottom w:val="single" w:color="000000" w:sz="4" w:space="0"/>
                    <w:right w:val="single" w:color="000000" w:sz="4" w:space="0"/>
                  </w:tcBorders>
                  <w:vAlign w:val="center"/>
                </w:tcPr>
                <w:p w14:paraId="78997BCC">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下浮系数（%）</w:t>
                  </w:r>
                </w:p>
              </w:tc>
              <w:tc>
                <w:tcPr>
                  <w:tcW w:w="794" w:type="dxa"/>
                  <w:tcBorders>
                    <w:top w:val="single" w:color="000000" w:sz="4" w:space="0"/>
                    <w:left w:val="single" w:color="000000" w:sz="4" w:space="0"/>
                    <w:bottom w:val="single" w:color="000000" w:sz="4" w:space="0"/>
                    <w:right w:val="single" w:color="000000" w:sz="4" w:space="0"/>
                  </w:tcBorders>
                  <w:vAlign w:val="center"/>
                </w:tcPr>
                <w:p w14:paraId="75A918BF">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2.4</w:t>
                  </w:r>
                </w:p>
              </w:tc>
              <w:tc>
                <w:tcPr>
                  <w:tcW w:w="830" w:type="dxa"/>
                  <w:tcBorders>
                    <w:top w:val="single" w:color="000000" w:sz="4" w:space="0"/>
                    <w:left w:val="single" w:color="000000" w:sz="4" w:space="0"/>
                    <w:bottom w:val="single" w:color="000000" w:sz="4" w:space="0"/>
                    <w:right w:val="single" w:color="000000" w:sz="4" w:space="0"/>
                  </w:tcBorders>
                  <w:vAlign w:val="center"/>
                </w:tcPr>
                <w:p w14:paraId="4A1DAABD">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2.5</w:t>
                  </w:r>
                </w:p>
              </w:tc>
              <w:tc>
                <w:tcPr>
                  <w:tcW w:w="864" w:type="dxa"/>
                  <w:tcBorders>
                    <w:top w:val="single" w:color="000000" w:sz="4" w:space="0"/>
                    <w:left w:val="single" w:color="000000" w:sz="4" w:space="0"/>
                    <w:bottom w:val="single" w:color="000000" w:sz="4" w:space="0"/>
                    <w:right w:val="single" w:color="000000" w:sz="4" w:space="0"/>
                  </w:tcBorders>
                  <w:vAlign w:val="center"/>
                </w:tcPr>
                <w:p w14:paraId="65AE68DD">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2.6</w:t>
                  </w:r>
                </w:p>
              </w:tc>
              <w:tc>
                <w:tcPr>
                  <w:tcW w:w="848" w:type="dxa"/>
                  <w:tcBorders>
                    <w:top w:val="single" w:color="000000" w:sz="4" w:space="0"/>
                    <w:left w:val="single" w:color="000000" w:sz="4" w:space="0"/>
                    <w:bottom w:val="single" w:color="000000" w:sz="4" w:space="0"/>
                    <w:right w:val="single" w:color="000000" w:sz="4" w:space="0"/>
                  </w:tcBorders>
                  <w:vAlign w:val="center"/>
                </w:tcPr>
                <w:p w14:paraId="0FF11C22">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2.7</w:t>
                  </w:r>
                </w:p>
              </w:tc>
              <w:tc>
                <w:tcPr>
                  <w:tcW w:w="882" w:type="dxa"/>
                  <w:tcBorders>
                    <w:top w:val="single" w:color="000000" w:sz="4" w:space="0"/>
                    <w:left w:val="single" w:color="000000" w:sz="4" w:space="0"/>
                    <w:bottom w:val="single" w:color="000000" w:sz="4" w:space="0"/>
                    <w:right w:val="single" w:color="000000" w:sz="4" w:space="0"/>
                  </w:tcBorders>
                  <w:vAlign w:val="center"/>
                </w:tcPr>
                <w:p w14:paraId="5B044708">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2.8</w:t>
                  </w:r>
                </w:p>
              </w:tc>
              <w:tc>
                <w:tcPr>
                  <w:tcW w:w="829" w:type="dxa"/>
                  <w:tcBorders>
                    <w:top w:val="single" w:color="000000" w:sz="4" w:space="0"/>
                    <w:left w:val="single" w:color="000000" w:sz="4" w:space="0"/>
                    <w:bottom w:val="single" w:color="000000" w:sz="4" w:space="0"/>
                    <w:right w:val="single" w:color="000000" w:sz="4" w:space="0"/>
                  </w:tcBorders>
                  <w:vAlign w:val="center"/>
                </w:tcPr>
                <w:p w14:paraId="543F4C0A">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2.9</w:t>
                  </w:r>
                </w:p>
              </w:tc>
              <w:tc>
                <w:tcPr>
                  <w:tcW w:w="819" w:type="dxa"/>
                  <w:tcBorders>
                    <w:top w:val="single" w:color="000000" w:sz="4" w:space="0"/>
                    <w:left w:val="single" w:color="000000" w:sz="4" w:space="0"/>
                    <w:bottom w:val="single" w:color="000000" w:sz="4" w:space="0"/>
                    <w:right w:val="single" w:color="000000" w:sz="4" w:space="0"/>
                  </w:tcBorders>
                  <w:vAlign w:val="center"/>
                </w:tcPr>
                <w:p w14:paraId="50D535DE">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3.0</w:t>
                  </w:r>
                </w:p>
              </w:tc>
            </w:tr>
          </w:tbl>
          <w:p w14:paraId="6F6597A9">
            <w:pPr>
              <w:wordWrap w:val="0"/>
              <w:adjustRightInd w:val="0"/>
              <w:snapToGrid w:val="0"/>
              <w:spacing w:line="36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（2）评标基准价D＝</w:t>
            </w:r>
            <w:r>
              <w:rPr>
                <w:rFonts w:hint="eastAsia" w:hAnsi="宋体" w:cs="宋体"/>
                <w:snapToGrid w:val="0"/>
                <w:color w:val="auto"/>
                <w:kern w:val="0"/>
                <w:sz w:val="24"/>
                <w:szCs w:val="24"/>
                <w:highlight w:val="none"/>
                <w:lang w:eastAsia="zh-CN"/>
              </w:rPr>
              <w:t>最高投标限价</w:t>
            </w:r>
            <w:r>
              <w:rPr>
                <w:rFonts w:hint="eastAsia" w:ascii="宋体" w:hAnsi="宋体" w:eastAsia="宋体" w:cs="宋体"/>
                <w:snapToGrid w:val="0"/>
                <w:color w:val="auto"/>
                <w:kern w:val="0"/>
                <w:sz w:val="24"/>
                <w:szCs w:val="24"/>
                <w:highlight w:val="none"/>
              </w:rPr>
              <w:t>×（1－n）</w:t>
            </w:r>
          </w:p>
        </w:tc>
      </w:tr>
      <w:tr w14:paraId="3318ED63">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4238D6E6">
            <w:pPr>
              <w:pStyle w:val="67"/>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投标报价</w:t>
            </w:r>
          </w:p>
          <w:p w14:paraId="121EC598">
            <w:pPr>
              <w:pStyle w:val="67"/>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得分N</w:t>
            </w:r>
          </w:p>
        </w:tc>
        <w:tc>
          <w:tcPr>
            <w:tcW w:w="9360" w:type="dxa"/>
            <w:gridSpan w:val="2"/>
            <w:tcBorders>
              <w:top w:val="single" w:color="auto" w:sz="4" w:space="0"/>
              <w:left w:val="single" w:color="auto" w:sz="4" w:space="0"/>
              <w:bottom w:val="single" w:color="auto" w:sz="4" w:space="0"/>
              <w:right w:val="single" w:color="auto" w:sz="4" w:space="0"/>
            </w:tcBorders>
            <w:noWrap w:val="0"/>
            <w:vAlign w:val="center"/>
          </w:tcPr>
          <w:p w14:paraId="7CFF6B52">
            <w:pPr>
              <w:wordWrap w:val="0"/>
              <w:adjustRightInd w:val="0"/>
              <w:snapToGrid w:val="0"/>
              <w:spacing w:line="36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采用内插法计算某投标人的投标报价得分N，即当投标人的投标总价等于评标基准价时得</w:t>
            </w:r>
            <w:r>
              <w:rPr>
                <w:rFonts w:hint="eastAsia" w:ascii="宋体" w:hAnsi="宋体" w:eastAsia="宋体" w:cs="宋体"/>
                <w:snapToGrid w:val="0"/>
                <w:color w:val="auto"/>
                <w:kern w:val="0"/>
                <w:sz w:val="24"/>
                <w:szCs w:val="24"/>
                <w:highlight w:val="none"/>
                <w:lang w:val="en-US" w:eastAsia="zh-CN"/>
              </w:rPr>
              <w:t>100</w:t>
            </w:r>
            <w:r>
              <w:rPr>
                <w:rFonts w:hint="eastAsia" w:ascii="宋体" w:hAnsi="宋体" w:eastAsia="宋体" w:cs="宋体"/>
                <w:snapToGrid w:val="0"/>
                <w:color w:val="auto"/>
                <w:kern w:val="0"/>
                <w:sz w:val="24"/>
                <w:szCs w:val="24"/>
                <w:highlight w:val="none"/>
              </w:rPr>
              <w:t>分，每高于评标基准价一个百分点扣</w:t>
            </w: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rPr>
              <w:t>分, 每低于评标基准价一个百分点扣</w:t>
            </w:r>
            <w:r>
              <w:rPr>
                <w:rFonts w:hint="eastAsia" w:ascii="宋体" w:hAnsi="宋体" w:eastAsia="宋体" w:cs="宋体"/>
                <w:snapToGrid w:val="0"/>
                <w:color w:val="auto"/>
                <w:kern w:val="0"/>
                <w:sz w:val="24"/>
                <w:szCs w:val="24"/>
                <w:highlight w:val="none"/>
                <w:lang w:val="en-US" w:eastAsia="zh-CN"/>
              </w:rPr>
              <w:t>0.5</w:t>
            </w:r>
            <w:r>
              <w:rPr>
                <w:rFonts w:hint="eastAsia" w:ascii="宋体" w:hAnsi="宋体" w:eastAsia="宋体" w:cs="宋体"/>
                <w:snapToGrid w:val="0"/>
                <w:color w:val="auto"/>
                <w:kern w:val="0"/>
                <w:sz w:val="24"/>
                <w:szCs w:val="24"/>
                <w:highlight w:val="none"/>
              </w:rPr>
              <w:t>分，扣完为止。公式如下：</w:t>
            </w:r>
          </w:p>
          <w:p w14:paraId="41EA87FA">
            <w:pPr>
              <w:wordWrap w:val="0"/>
              <w:adjustRightInd w:val="0"/>
              <w:snapToGrid w:val="0"/>
              <w:spacing w:line="36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N＝</w:t>
            </w:r>
            <w:r>
              <w:rPr>
                <w:rFonts w:hint="eastAsia" w:ascii="宋体" w:hAnsi="宋体" w:eastAsia="宋体" w:cs="宋体"/>
                <w:snapToGrid w:val="0"/>
                <w:color w:val="auto"/>
                <w:kern w:val="0"/>
                <w:sz w:val="24"/>
                <w:szCs w:val="24"/>
                <w:highlight w:val="none"/>
                <w:lang w:val="en-US" w:eastAsia="zh-CN"/>
              </w:rPr>
              <w:t>10</w:t>
            </w:r>
            <w:r>
              <w:rPr>
                <w:rFonts w:hint="eastAsia" w:ascii="宋体" w:hAnsi="宋体" w:eastAsia="宋体" w:cs="宋体"/>
                <w:snapToGrid w:val="0"/>
                <w:color w:val="auto"/>
                <w:kern w:val="0"/>
                <w:sz w:val="24"/>
                <w:szCs w:val="24"/>
                <w:highlight w:val="none"/>
              </w:rPr>
              <w:t>0－（| Di－D | ÷D）×100×E</w:t>
            </w:r>
          </w:p>
          <w:p w14:paraId="21FF5C85">
            <w:pPr>
              <w:wordWrap w:val="0"/>
              <w:adjustRightInd w:val="0"/>
              <w:snapToGrid w:val="0"/>
              <w:spacing w:line="36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式中：D为评标基准价；Di为某投标人的投标总价；E为扣分因子，当Di＞D时，E＝</w:t>
            </w: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rPr>
              <w:t>；当Di＜D时，E＝</w:t>
            </w:r>
            <w:r>
              <w:rPr>
                <w:rFonts w:hint="eastAsia" w:ascii="宋体" w:hAnsi="宋体" w:eastAsia="宋体" w:cs="宋体"/>
                <w:snapToGrid w:val="0"/>
                <w:color w:val="auto"/>
                <w:kern w:val="0"/>
                <w:sz w:val="24"/>
                <w:szCs w:val="24"/>
                <w:highlight w:val="none"/>
                <w:lang w:val="en-US" w:eastAsia="zh-CN"/>
              </w:rPr>
              <w:t>0.5</w:t>
            </w:r>
            <w:r>
              <w:rPr>
                <w:rFonts w:hint="eastAsia" w:ascii="宋体" w:hAnsi="宋体" w:eastAsia="宋体" w:cs="宋体"/>
                <w:snapToGrid w:val="0"/>
                <w:color w:val="auto"/>
                <w:kern w:val="0"/>
                <w:sz w:val="24"/>
                <w:szCs w:val="24"/>
                <w:highlight w:val="none"/>
              </w:rPr>
              <w:t>。</w:t>
            </w:r>
          </w:p>
        </w:tc>
      </w:tr>
    </w:tbl>
    <w:p w14:paraId="51801D79">
      <w:pPr>
        <w:keepNext w:val="0"/>
        <w:keepLines w:val="0"/>
        <w:pageBreakBefore w:val="0"/>
        <w:widowControl w:val="0"/>
        <w:kinsoku/>
        <w:wordWrap w:val="0"/>
        <w:overflowPunct/>
        <w:topLinePunct w:val="0"/>
        <w:autoSpaceDE/>
        <w:autoSpaceDN/>
        <w:bidi w:val="0"/>
        <w:adjustRightInd w:val="0"/>
        <w:snapToGrid w:val="0"/>
        <w:spacing w:line="336" w:lineRule="auto"/>
        <w:ind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 xml:space="preserve">15.5.2 </w:t>
      </w:r>
      <w:r>
        <w:rPr>
          <w:rFonts w:hint="eastAsia" w:ascii="宋体" w:hAnsi="宋体" w:eastAsia="宋体" w:cs="宋体"/>
          <w:snapToGrid w:val="0"/>
          <w:color w:val="auto"/>
          <w:kern w:val="0"/>
          <w:highlight w:val="none"/>
        </w:rPr>
        <w:t>否决投标说明</w:t>
      </w:r>
    </w:p>
    <w:p w14:paraId="5F21881B">
      <w:pPr>
        <w:keepNext w:val="0"/>
        <w:keepLines w:val="0"/>
        <w:pageBreakBefore w:val="0"/>
        <w:kinsoku/>
        <w:wordWrap w:val="0"/>
        <w:overflowPunct/>
        <w:topLinePunct w:val="0"/>
        <w:autoSpaceDE/>
        <w:autoSpaceDN/>
        <w:bidi w:val="0"/>
        <w:adjustRightInd w:val="0"/>
        <w:snapToGrid w:val="0"/>
        <w:spacing w:line="336"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详细评审阶段否决投标的全部条件，在本章第四节“否决投标条件”第</w:t>
      </w:r>
      <w:r>
        <w:rPr>
          <w:rFonts w:hint="eastAsia" w:ascii="宋体" w:hAnsi="宋体" w:eastAsia="宋体" w:cs="宋体"/>
          <w:b/>
          <w:bCs/>
          <w:snapToGrid w:val="0"/>
          <w:color w:val="auto"/>
          <w:kern w:val="0"/>
          <w:highlight w:val="none"/>
        </w:rPr>
        <w:t>4</w:t>
      </w:r>
      <w:r>
        <w:rPr>
          <w:rFonts w:hint="eastAsia" w:ascii="宋体" w:hAnsi="宋体" w:eastAsia="宋体" w:cs="宋体"/>
          <w:snapToGrid w:val="0"/>
          <w:color w:val="auto"/>
          <w:kern w:val="0"/>
          <w:highlight w:val="none"/>
        </w:rPr>
        <w:t>条中集中列示。投标人有其中所列任何一种情形的，由评标委员会否决其投标。</w:t>
      </w:r>
      <w:r>
        <w:rPr>
          <w:rFonts w:hint="eastAsia" w:ascii="宋体" w:hAnsi="宋体" w:eastAsia="宋体" w:cs="宋体"/>
          <w:snapToGrid w:val="0"/>
          <w:color w:val="auto"/>
          <w:kern w:val="0"/>
          <w:highlight w:val="none"/>
          <w:lang w:val="en-US" w:eastAsia="zh-CN"/>
        </w:rPr>
        <w:t>评标委员会经评审，认为所有投标都不符合招标文件要求的，可否决所有投标，项目的所有投标被否决的，招标人应依法重新组织招标。</w:t>
      </w:r>
    </w:p>
    <w:p w14:paraId="20D7B7CF">
      <w:pPr>
        <w:keepNext w:val="0"/>
        <w:keepLines w:val="0"/>
        <w:pageBreakBefore w:val="0"/>
        <w:kinsoku/>
        <w:wordWrap w:val="0"/>
        <w:overflowPunct/>
        <w:topLinePunct w:val="0"/>
        <w:autoSpaceDE/>
        <w:autoSpaceDN/>
        <w:bidi w:val="0"/>
        <w:adjustRightInd w:val="0"/>
        <w:snapToGrid w:val="0"/>
        <w:spacing w:line="336" w:lineRule="auto"/>
        <w:ind w:firstLine="482" w:firstLineChars="200"/>
        <w:textAlignment w:val="auto"/>
        <w:rPr>
          <w:rFonts w:hint="eastAsia" w:ascii="宋体" w:hAnsi="宋体" w:eastAsia="宋体" w:cs="宋体"/>
          <w:b/>
          <w:snapToGrid w:val="0"/>
          <w:color w:val="auto"/>
          <w:kern w:val="0"/>
          <w:highlight w:val="none"/>
        </w:rPr>
      </w:pPr>
      <w:r>
        <w:rPr>
          <w:rFonts w:hint="eastAsia" w:ascii="宋体" w:hAnsi="宋体" w:eastAsia="宋体" w:cs="宋体"/>
          <w:b/>
          <w:bCs/>
          <w:snapToGrid w:val="0"/>
          <w:color w:val="auto"/>
          <w:kern w:val="0"/>
          <w:highlight w:val="none"/>
        </w:rPr>
        <w:t>注：投标人在详细评审阶段根据评分方法提供的佐证材料，其合法性、有效性和准确性不符合要求的，有关量化因素（或评分因素）的折算、调整（或评分）按相应量化标准（或评分标准）处理，但不否决投标。</w:t>
      </w:r>
    </w:p>
    <w:p w14:paraId="0FA5A99F">
      <w:pPr>
        <w:keepNext w:val="0"/>
        <w:keepLines w:val="0"/>
        <w:pageBreakBefore w:val="0"/>
        <w:widowControl w:val="0"/>
        <w:kinsoku/>
        <w:wordWrap/>
        <w:overflowPunct/>
        <w:topLinePunct w:val="0"/>
        <w:autoSpaceDE/>
        <w:autoSpaceDN/>
        <w:bidi w:val="0"/>
        <w:adjustRightInd/>
        <w:snapToGrid/>
        <w:spacing w:line="336" w:lineRule="auto"/>
        <w:ind w:firstLine="482" w:firstLineChars="200"/>
        <w:textAlignment w:val="auto"/>
        <w:outlineLvl w:val="1"/>
        <w:rPr>
          <w:rStyle w:val="155"/>
          <w:rFonts w:hint="eastAsia" w:ascii="宋体" w:hAnsi="宋体" w:eastAsia="宋体" w:cs="宋体"/>
          <w:color w:val="auto"/>
          <w:highlight w:val="none"/>
          <w:lang w:val="en-US" w:eastAsia="zh-CN"/>
        </w:rPr>
      </w:pPr>
      <w:bookmarkStart w:id="137" w:name="_Toc2839"/>
      <w:r>
        <w:rPr>
          <w:rStyle w:val="155"/>
          <w:rFonts w:hint="eastAsia" w:ascii="宋体" w:hAnsi="宋体" w:eastAsia="宋体" w:cs="宋体"/>
          <w:color w:val="auto"/>
          <w:highlight w:val="none"/>
          <w:lang w:val="en-US" w:eastAsia="zh-CN"/>
        </w:rPr>
        <w:t>16．中标候选人公示</w:t>
      </w:r>
      <w:bookmarkEnd w:id="137"/>
    </w:p>
    <w:p w14:paraId="6C424E97">
      <w:pPr>
        <w:keepNext w:val="0"/>
        <w:keepLines w:val="0"/>
        <w:pageBreakBefore w:val="0"/>
        <w:kinsoku/>
        <w:wordWrap w:val="0"/>
        <w:overflowPunct/>
        <w:topLinePunct w:val="0"/>
        <w:autoSpaceDE/>
        <w:autoSpaceDN/>
        <w:bidi w:val="0"/>
        <w:adjustRightInd w:val="0"/>
        <w:snapToGrid w:val="0"/>
        <w:spacing w:line="336" w:lineRule="auto"/>
        <w:ind w:firstLine="482" w:firstLineChars="200"/>
        <w:textAlignment w:val="auto"/>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highlight w:val="none"/>
        </w:rPr>
        <w:t>16.1</w:t>
      </w:r>
      <w:r>
        <w:rPr>
          <w:rFonts w:hint="eastAsia" w:ascii="宋体" w:hAnsi="宋体" w:eastAsia="宋体" w:cs="宋体"/>
          <w:snapToGrid w:val="0"/>
          <w:color w:val="auto"/>
          <w:kern w:val="0"/>
          <w:highlight w:val="none"/>
        </w:rPr>
        <w:t xml:space="preserve"> 招标人自收到评标委员会提交的书面评标报告和中标候选人名单之日起3日内，将评标结果（即中标候选人名单）、中标候选人投标文件（指商务标书分册）、评标过程（评标专家姓名用代码标记）一并在广东省招标投标监管网（</w:t>
      </w:r>
      <w:r>
        <w:rPr>
          <w:rFonts w:hint="eastAsia" w:ascii="宋体" w:hAnsi="宋体" w:eastAsia="宋体" w:cs="宋体"/>
          <w:snapToGrid w:val="0"/>
          <w:color w:val="auto"/>
          <w:kern w:val="0"/>
          <w:highlight w:val="none"/>
          <w:lang w:eastAsia="zh-CN"/>
        </w:rPr>
        <w:t>https://www.gdzwfw.gov.cn/ztbjg-portal/#/index</w:t>
      </w:r>
      <w:r>
        <w:rPr>
          <w:rFonts w:hint="eastAsia" w:ascii="宋体" w:hAnsi="宋体" w:eastAsia="宋体" w:cs="宋体"/>
          <w:snapToGrid w:val="0"/>
          <w:color w:val="auto"/>
          <w:kern w:val="0"/>
          <w:highlight w:val="none"/>
        </w:rPr>
        <w:t>）</w:t>
      </w:r>
      <w:r>
        <w:rPr>
          <w:rFonts w:hint="eastAsia" w:hAnsi="宋体" w:cs="宋体"/>
          <w:snapToGrid w:val="0"/>
          <w:color w:val="auto"/>
          <w:kern w:val="0"/>
          <w:highlight w:val="none"/>
          <w:lang w:eastAsia="zh-CN"/>
        </w:rPr>
        <w:t>、</w:t>
      </w:r>
      <w:r>
        <w:rPr>
          <w:rFonts w:hint="eastAsia" w:hAnsi="宋体"/>
          <w:snapToGrid w:val="0"/>
          <w:color w:val="auto"/>
          <w:kern w:val="0"/>
          <w:highlight w:val="none"/>
        </w:rPr>
        <w:t>全国公共资源交易平台（广东省·韶关市）（https://ygp.gdzwfw.gov.cn/ggzy-portal/#/440200/index）</w:t>
      </w:r>
      <w:r>
        <w:rPr>
          <w:rFonts w:hint="eastAsia" w:ascii="宋体" w:hAnsi="宋体" w:eastAsia="宋体" w:cs="宋体"/>
          <w:snapToGrid w:val="0"/>
          <w:color w:val="auto"/>
          <w:kern w:val="0"/>
          <w:highlight w:val="none"/>
        </w:rPr>
        <w:t>进行公示，公示期不得少于3天。</w:t>
      </w:r>
    </w:p>
    <w:p w14:paraId="5CC34B69">
      <w:pPr>
        <w:keepNext w:val="0"/>
        <w:keepLines w:val="0"/>
        <w:pageBreakBefore w:val="0"/>
        <w:widowControl/>
        <w:suppressLineNumbers w:val="0"/>
        <w:kinsoku/>
        <w:wordWrap/>
        <w:overflowPunct/>
        <w:topLinePunct w:val="0"/>
        <w:autoSpaceDE/>
        <w:autoSpaceDN/>
        <w:bidi w:val="0"/>
        <w:adjustRightInd/>
        <w:snapToGrid/>
        <w:spacing w:line="336" w:lineRule="auto"/>
        <w:ind w:firstLine="482" w:firstLineChars="200"/>
        <w:jc w:val="left"/>
        <w:textAlignment w:val="auto"/>
        <w:rPr>
          <w:color w:val="auto"/>
          <w:highlight w:val="none"/>
        </w:rPr>
      </w:pPr>
      <w:r>
        <w:rPr>
          <w:rFonts w:hint="eastAsia" w:ascii="宋体" w:hAnsi="宋体" w:eastAsia="宋体" w:cs="宋体"/>
          <w:b/>
          <w:bCs/>
          <w:snapToGrid w:val="0"/>
          <w:color w:val="auto"/>
          <w:kern w:val="0"/>
          <w:highlight w:val="none"/>
        </w:rPr>
        <w:t>16.3</w:t>
      </w:r>
      <w:r>
        <w:rPr>
          <w:rFonts w:hint="eastAsia" w:ascii="宋体" w:hAnsi="宋体" w:eastAsia="宋体" w:cs="宋体"/>
          <w:snapToGrid w:val="0"/>
          <w:color w:val="auto"/>
          <w:kern w:val="0"/>
          <w:highlight w:val="none"/>
        </w:rPr>
        <w:t xml:space="preserve"> 投标人对评标结果、中标候选人投标文件、评标过程有异议的，必须在以上内容公示期间向招标人提出书面异议，否则招标人不予受理。经招标人书面答复，异议人仍不满意的，可在法律规定的时限内向行政监督部门提出书面投诉。异议（投诉）提出、处理的具体办法和要求，按照《韶关市工程建设项目招标投标活动异议和投诉处理办法》（韶发改〔2021〕44号）执行。</w:t>
      </w:r>
      <w:r>
        <w:rPr>
          <w:rFonts w:hint="eastAsia" w:ascii="宋体" w:hAnsi="宋体" w:eastAsia="宋体" w:cs="宋体"/>
          <w:color w:val="auto"/>
          <w:kern w:val="0"/>
          <w:sz w:val="24"/>
          <w:szCs w:val="24"/>
          <w:highlight w:val="none"/>
          <w:lang w:val="en-US" w:eastAsia="zh-CN" w:bidi="ar"/>
        </w:rPr>
        <w:t>如通过交易服务平台提出异议，投标人必须上传提交异议书扫描件（作为附件），异议书格式内容按照</w:t>
      </w:r>
      <w:r>
        <w:rPr>
          <w:rFonts w:hint="eastAsia" w:ascii="宋体" w:hAnsi="宋体" w:eastAsia="宋体" w:cs="宋体"/>
          <w:snapToGrid w:val="0"/>
          <w:color w:val="auto"/>
          <w:kern w:val="0"/>
          <w:highlight w:val="none"/>
        </w:rPr>
        <w:t>《韶关市工程建设项目招标投标活动异议和投诉处理办法》（韶发改〔2021〕44号）</w:t>
      </w:r>
      <w:r>
        <w:rPr>
          <w:rFonts w:hint="eastAsia" w:ascii="宋体" w:hAnsi="宋体" w:eastAsia="宋体" w:cs="宋体"/>
          <w:color w:val="auto"/>
          <w:kern w:val="0"/>
          <w:sz w:val="24"/>
          <w:szCs w:val="24"/>
          <w:highlight w:val="none"/>
          <w:lang w:val="en-US" w:eastAsia="zh-CN" w:bidi="ar"/>
        </w:rPr>
        <w:t>，否则招标人不予受理。投标人提出异议后，必须及时通知招标人查收，否则，由此造成的超出法律规定时限的后果，由投标人自行承担。招标人受理异议后，投标人须及时向招标人提交书面异议。项目如收到异议、投诉等情形，可以根据需要从交易中心处调取纸质档案。</w:t>
      </w:r>
    </w:p>
    <w:p w14:paraId="3613602E">
      <w:pPr>
        <w:keepNext w:val="0"/>
        <w:keepLines w:val="0"/>
        <w:pageBreakBefore w:val="0"/>
        <w:kinsoku/>
        <w:wordWrap w:val="0"/>
        <w:overflowPunct/>
        <w:topLinePunct w:val="0"/>
        <w:autoSpaceDE/>
        <w:autoSpaceDN/>
        <w:bidi w:val="0"/>
        <w:adjustRightInd w:val="0"/>
        <w:snapToGrid w:val="0"/>
        <w:spacing w:line="336" w:lineRule="auto"/>
        <w:ind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16.4</w:t>
      </w:r>
      <w:r>
        <w:rPr>
          <w:rFonts w:hint="eastAsia" w:ascii="宋体" w:hAnsi="宋体" w:eastAsia="宋体" w:cs="宋体"/>
          <w:snapToGrid w:val="0"/>
          <w:color w:val="auto"/>
          <w:kern w:val="0"/>
          <w:highlight w:val="none"/>
        </w:rPr>
        <w:t xml:space="preserve"> 中标候选人公示期满无异议（投诉）后，招标人确定第一中标候选人为中标人，并在中标人确定之日起7日内向中标人发出中标通知书。在中标通知书发出后5个工作日内，韶关市公共资源交易中心将投标保证金（或银行保函）退还给中标候选人以外的投标人。</w:t>
      </w:r>
    </w:p>
    <w:p w14:paraId="619B9F5F">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0696D3F1">
      <w:pPr>
        <w:wordWrap w:val="0"/>
        <w:adjustRightInd w:val="0"/>
        <w:snapToGrid w:val="0"/>
        <w:spacing w:line="360" w:lineRule="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第四节 否决投标条件</w:t>
      </w:r>
    </w:p>
    <w:p w14:paraId="3944C432">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本节所集中列示的否决投标条件，是本章第三节“投标人须知正文”的组成部分，是对本章第三节所规定的否决投标条件的总结和补充。</w:t>
      </w:r>
      <w:r>
        <w:rPr>
          <w:rFonts w:hint="eastAsia" w:ascii="宋体" w:hAnsi="宋体" w:eastAsia="宋体" w:cs="宋体"/>
          <w:b/>
          <w:bCs/>
          <w:snapToGrid w:val="0"/>
          <w:color w:val="auto"/>
          <w:kern w:val="0"/>
          <w:highlight w:val="none"/>
        </w:rPr>
        <w:t>投标人未有列入本节情形的，评标时一律不得否决其投标。</w:t>
      </w:r>
      <w:r>
        <w:rPr>
          <w:rFonts w:hint="eastAsia" w:ascii="宋体" w:hAnsi="宋体" w:eastAsia="宋体" w:cs="宋体"/>
          <w:snapToGrid w:val="0"/>
          <w:color w:val="auto"/>
          <w:kern w:val="0"/>
          <w:highlight w:val="none"/>
        </w:rPr>
        <w:t>本节所称“规定”均指招标文件的规定。</w:t>
      </w:r>
    </w:p>
    <w:p w14:paraId="75F752C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1"/>
        <w:rPr>
          <w:rStyle w:val="155"/>
          <w:rFonts w:hint="eastAsia" w:ascii="宋体" w:hAnsi="宋体" w:eastAsia="宋体" w:cs="宋体"/>
          <w:color w:val="auto"/>
          <w:highlight w:val="none"/>
          <w:lang w:val="en-US" w:eastAsia="zh-CN"/>
        </w:rPr>
      </w:pPr>
      <w:bookmarkStart w:id="138" w:name="_Toc28628"/>
      <w:bookmarkStart w:id="139" w:name="_Toc18979"/>
      <w:bookmarkStart w:id="140" w:name="_Toc18351"/>
      <w:bookmarkStart w:id="141" w:name="_Toc25780"/>
      <w:bookmarkStart w:id="142" w:name="_Toc867"/>
      <w:r>
        <w:rPr>
          <w:rStyle w:val="155"/>
          <w:rFonts w:hint="eastAsia" w:ascii="宋体" w:hAnsi="宋体" w:eastAsia="宋体" w:cs="宋体"/>
          <w:color w:val="auto"/>
          <w:highlight w:val="none"/>
          <w:lang w:val="en-US" w:eastAsia="zh-CN"/>
        </w:rPr>
        <w:t>1．资格评审环节</w:t>
      </w:r>
      <w:bookmarkEnd w:id="138"/>
      <w:bookmarkEnd w:id="139"/>
      <w:bookmarkEnd w:id="140"/>
      <w:bookmarkEnd w:id="141"/>
      <w:bookmarkEnd w:id="142"/>
    </w:p>
    <w:p w14:paraId="6AA929FD">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投标人有下列情形之一的，评标委员会应否决其投标。被否决的投标人，不进入形式评审环节。</w:t>
      </w:r>
    </w:p>
    <w:p w14:paraId="1D96B39B">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b/>
          <w:bCs/>
          <w:snapToGrid w:val="0"/>
          <w:color w:val="auto"/>
          <w:kern w:val="0"/>
          <w:highlight w:val="none"/>
        </w:rPr>
      </w:pPr>
      <w:r>
        <w:rPr>
          <w:rFonts w:hint="eastAsia" w:ascii="宋体" w:hAnsi="宋体" w:eastAsia="宋体" w:cs="宋体"/>
          <w:snapToGrid w:val="0"/>
          <w:color w:val="auto"/>
          <w:kern w:val="0"/>
          <w:highlight w:val="none"/>
        </w:rPr>
        <w:t>（1）有本章第三节第</w:t>
      </w:r>
      <w:r>
        <w:rPr>
          <w:rFonts w:hint="eastAsia" w:ascii="宋体" w:hAnsi="宋体" w:eastAsia="宋体" w:cs="宋体"/>
          <w:b/>
          <w:bCs/>
          <w:snapToGrid w:val="0"/>
          <w:color w:val="auto"/>
          <w:kern w:val="0"/>
          <w:highlight w:val="none"/>
        </w:rPr>
        <w:t>2.4</w:t>
      </w:r>
      <w:r>
        <w:rPr>
          <w:rFonts w:hint="eastAsia" w:ascii="宋体" w:hAnsi="宋体" w:eastAsia="宋体" w:cs="宋体"/>
          <w:snapToGrid w:val="0"/>
          <w:color w:val="auto"/>
          <w:kern w:val="0"/>
          <w:highlight w:val="none"/>
        </w:rPr>
        <w:t>条“禁止投标条款”规定的任何一种情形；</w:t>
      </w:r>
    </w:p>
    <w:p w14:paraId="5C423DBA">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（2）投标人资质不符合</w:t>
      </w:r>
      <w:r>
        <w:rPr>
          <w:rFonts w:hint="eastAsia" w:ascii="宋体" w:hAnsi="宋体" w:eastAsia="宋体" w:cs="宋体"/>
          <w:snapToGrid w:val="0"/>
          <w:color w:val="auto"/>
          <w:kern w:val="0"/>
          <w:szCs w:val="18"/>
          <w:highlight w:val="none"/>
        </w:rPr>
        <w:t>规定的；</w:t>
      </w:r>
    </w:p>
    <w:p w14:paraId="4475671D">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3）投标人名称与营业执照、资质证书、安全生产许可证上的企业名称相互不一致的；其资质证书、安全生产许可证不是由住房城乡建设主管部门颁发的；营业执照、资质证书、安全生产许可证被吊销、暂扣或不在有效期内的；</w:t>
      </w:r>
    </w:p>
    <w:p w14:paraId="0C80F85A">
      <w:pPr>
        <w:keepNext w:val="0"/>
        <w:keepLines w:val="0"/>
        <w:pageBreakBefore w:val="0"/>
        <w:kinsoku/>
        <w:wordWrap w:val="0"/>
        <w:overflowPunct/>
        <w:topLinePunct w:val="0"/>
        <w:autoSpaceDE/>
        <w:autoSpaceDN/>
        <w:bidi w:val="0"/>
        <w:adjustRightInd w:val="0"/>
        <w:snapToGrid w:val="0"/>
        <w:spacing w:line="360" w:lineRule="auto"/>
        <w:ind w:firstLine="482" w:firstLineChars="200"/>
        <w:rPr>
          <w:rFonts w:hint="eastAsia" w:ascii="宋体" w:hAnsi="宋体" w:eastAsia="宋体" w:cs="宋体"/>
          <w:b/>
          <w:bCs/>
          <w:snapToGrid w:val="0"/>
          <w:color w:val="auto"/>
          <w:kern w:val="0"/>
          <w:highlight w:val="none"/>
        </w:rPr>
      </w:pPr>
      <w:r>
        <w:rPr>
          <w:rFonts w:hint="eastAsia" w:ascii="宋体" w:hAnsi="宋体" w:eastAsia="宋体" w:cs="宋体"/>
          <w:b/>
          <w:bCs/>
          <w:snapToGrid w:val="0"/>
          <w:color w:val="auto"/>
          <w:kern w:val="0"/>
          <w:highlight w:val="none"/>
        </w:rPr>
        <w:t>注：投标人已经工商变更，但其企业资质证书、安全生产许可证的企业名称未完成变更的，不得否决其投标；投标人营业执照、资质证书、安全生产许可证之间登记的信息不一致，应当允许投标人澄清，不得直接否决其投标。</w:t>
      </w:r>
    </w:p>
    <w:p w14:paraId="22C60527">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lang w:val="en-US" w:eastAsia="zh-CN"/>
        </w:rPr>
      </w:pPr>
      <w:r>
        <w:rPr>
          <w:rFonts w:hint="eastAsia" w:ascii="宋体" w:hAnsi="宋体" w:eastAsia="宋体" w:cs="宋体"/>
          <w:snapToGrid w:val="0"/>
          <w:color w:val="auto"/>
          <w:kern w:val="0"/>
          <w:highlight w:val="none"/>
        </w:rPr>
        <w:t xml:space="preserve">根据有关文件精神，投标人的企业相关证书到期的，均按该证书的发证机构相关行业主管部门最新文件执行（如自动顺延或推迟办理延期业务的通知），投标人必须将相关文件附在该证书后面中，证明在开标日继续有效。    </w:t>
      </w:r>
      <w:r>
        <w:rPr>
          <w:rFonts w:hint="eastAsia" w:ascii="宋体" w:hAnsi="宋体" w:eastAsia="宋体" w:cs="宋体"/>
          <w:snapToGrid w:val="0"/>
          <w:color w:val="auto"/>
          <w:kern w:val="0"/>
          <w:highlight w:val="none"/>
          <w:lang w:val="en-US" w:eastAsia="zh-CN"/>
        </w:rPr>
        <w:t xml:space="preserve">  </w:t>
      </w:r>
    </w:p>
    <w:p w14:paraId="689D626E">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（4）拟派项目经理、项目技术负责人、专职安全员的条件不符合规定的；拟派专职安全员数量不符合规定的；</w:t>
      </w:r>
    </w:p>
    <w:p w14:paraId="275EBA9B">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（5）《项目经理简历表》中拟派项目经理与《开标一览表》不一致的；</w:t>
      </w:r>
      <w:r>
        <w:rPr>
          <w:rFonts w:hint="eastAsia" w:ascii="宋体" w:hAnsi="宋体" w:eastAsia="宋体" w:cs="宋体"/>
          <w:snapToGrid w:val="0"/>
          <w:color w:val="auto"/>
          <w:kern w:val="0"/>
          <w:highlight w:val="none"/>
          <w:lang w:val="en-US" w:eastAsia="zh-CN"/>
        </w:rPr>
        <w:t>建造师的注册证书不是住建部门颁发的</w:t>
      </w:r>
      <w:r>
        <w:rPr>
          <w:rFonts w:hint="eastAsia" w:ascii="宋体" w:hAnsi="宋体" w:eastAsia="宋体" w:cs="宋体"/>
          <w:snapToGrid w:val="0"/>
          <w:color w:val="auto"/>
          <w:kern w:val="0"/>
          <w:highlight w:val="none"/>
        </w:rPr>
        <w:t>；建造师的注册单位与投标人不一致的；项目管理班子组成人员的各类证书、证件、证明不在有效期内的（建造师注册证书不在使用有效期内的）；擅自修改、遗漏《项目经理任职声明》实质性内容的；</w:t>
      </w:r>
    </w:p>
    <w:p w14:paraId="6EC677A1">
      <w:pPr>
        <w:keepNext w:val="0"/>
        <w:keepLines w:val="0"/>
        <w:pageBreakBefore w:val="0"/>
        <w:kinsoku/>
        <w:wordWrap w:val="0"/>
        <w:overflowPunct/>
        <w:topLinePunct w:val="0"/>
        <w:autoSpaceDE/>
        <w:autoSpaceDN/>
        <w:bidi w:val="0"/>
        <w:adjustRightInd w:val="0"/>
        <w:snapToGrid w:val="0"/>
        <w:spacing w:line="360" w:lineRule="auto"/>
        <w:ind w:firstLine="482" w:firstLineChars="200"/>
        <w:rPr>
          <w:rFonts w:hint="eastAsia" w:ascii="宋体" w:hAnsi="宋体" w:eastAsia="宋体" w:cs="宋体"/>
          <w:b/>
          <w:bCs/>
          <w:snapToGrid w:val="0"/>
          <w:color w:val="auto"/>
          <w:kern w:val="0"/>
          <w:highlight w:val="none"/>
        </w:rPr>
      </w:pPr>
      <w:r>
        <w:rPr>
          <w:rFonts w:hint="eastAsia" w:ascii="宋体" w:hAnsi="宋体" w:eastAsia="宋体" w:cs="宋体"/>
          <w:b/>
          <w:bCs/>
          <w:snapToGrid w:val="0"/>
          <w:color w:val="auto"/>
          <w:kern w:val="0"/>
          <w:highlight w:val="none"/>
        </w:rPr>
        <w:t>注：投标人已经工商变更，但其员工执业资格注册证书的注册单位名称未完成变更的，不得否决其投标。</w:t>
      </w:r>
    </w:p>
    <w:p w14:paraId="00769B10">
      <w:pPr>
        <w:keepNext w:val="0"/>
        <w:keepLines w:val="0"/>
        <w:pageBreakBefore w:val="0"/>
        <w:widowControl w:val="0"/>
        <w:kinsoku/>
        <w:wordWrap w:val="0"/>
        <w:overflowPunct/>
        <w:topLinePunct w:val="0"/>
        <w:autoSpaceDE/>
        <w:autoSpaceDN/>
        <w:bidi w:val="0"/>
        <w:adjustRightInd w:val="0"/>
        <w:snapToGrid w:val="0"/>
        <w:spacing w:line="336" w:lineRule="auto"/>
        <w:ind w:firstLine="482" w:firstLineChars="200"/>
        <w:textAlignment w:val="auto"/>
        <w:rPr>
          <w:rFonts w:hint="eastAsia"/>
          <w:color w:val="auto"/>
          <w:highlight w:val="none"/>
        </w:rPr>
      </w:pPr>
      <w:r>
        <w:rPr>
          <w:rFonts w:hint="eastAsia" w:ascii="宋体" w:hAnsi="宋体" w:eastAsia="宋体" w:cs="宋体"/>
          <w:b/>
          <w:bCs/>
          <w:snapToGrid w:val="0"/>
          <w:color w:val="auto"/>
          <w:kern w:val="0"/>
          <w:sz w:val="24"/>
          <w:szCs w:val="24"/>
          <w:highlight w:val="none"/>
        </w:rPr>
        <w:t>鉴于目前继续教育开展的实际情况，建筑和市政工程施工现场专业人员（</w:t>
      </w:r>
      <w:r>
        <w:rPr>
          <w:rFonts w:hint="eastAsia" w:hAnsi="宋体" w:cs="宋体"/>
          <w:b/>
          <w:bCs/>
          <w:snapToGrid w:val="0"/>
          <w:color w:val="auto"/>
          <w:kern w:val="0"/>
          <w:sz w:val="24"/>
          <w:szCs w:val="24"/>
          <w:highlight w:val="none"/>
          <w:lang w:val="en-US" w:eastAsia="zh-CN"/>
        </w:rPr>
        <w:t>例如</w:t>
      </w:r>
      <w:r>
        <w:rPr>
          <w:rFonts w:hint="eastAsia" w:ascii="宋体" w:hAnsi="宋体" w:eastAsia="宋体" w:cs="宋体"/>
          <w:b/>
          <w:bCs/>
          <w:snapToGrid w:val="0"/>
          <w:color w:val="auto"/>
          <w:kern w:val="0"/>
          <w:sz w:val="24"/>
          <w:szCs w:val="24"/>
          <w:highlight w:val="none"/>
        </w:rPr>
        <w:t>：施工员、质量员、材料员、资料员）的岗位证书或培训证书不审查其证书的有效期。</w:t>
      </w:r>
    </w:p>
    <w:p w14:paraId="500CA949">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szCs w:val="18"/>
          <w:highlight w:val="none"/>
        </w:rPr>
      </w:pPr>
      <w:r>
        <w:rPr>
          <w:rFonts w:hint="eastAsia" w:ascii="宋体" w:hAnsi="宋体" w:eastAsia="宋体" w:cs="宋体"/>
          <w:snapToGrid w:val="0"/>
          <w:color w:val="auto"/>
          <w:kern w:val="0"/>
          <w:highlight w:val="none"/>
        </w:rPr>
        <w:t>（6）招标文件规定不接受联合体投标，但以联合体投标的；</w:t>
      </w:r>
    </w:p>
    <w:p w14:paraId="1F0DC44E">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hAnsi="宋体" w:cs="宋体"/>
          <w:snapToGrid w:val="0"/>
          <w:color w:val="auto"/>
          <w:kern w:val="0"/>
          <w:highlight w:val="none"/>
          <w:lang w:val="en-US" w:eastAsia="zh-CN"/>
        </w:rPr>
        <w:t>7</w:t>
      </w:r>
      <w:r>
        <w:rPr>
          <w:rFonts w:hint="eastAsia" w:ascii="宋体" w:hAnsi="宋体" w:eastAsia="宋体" w:cs="宋体"/>
          <w:snapToGrid w:val="0"/>
          <w:color w:val="auto"/>
          <w:kern w:val="0"/>
          <w:highlight w:val="none"/>
        </w:rPr>
        <w:t>）投标人为外省建筑企业，但未提供“进粤企业和人员诚信信息登记平台”企业和拟派人员信息情况打印页或网页截图的。</w:t>
      </w:r>
    </w:p>
    <w:p w14:paraId="4221425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1"/>
        <w:rPr>
          <w:rStyle w:val="155"/>
          <w:rFonts w:hint="eastAsia" w:ascii="宋体" w:hAnsi="宋体" w:eastAsia="宋体" w:cs="宋体"/>
          <w:color w:val="auto"/>
          <w:highlight w:val="none"/>
          <w:lang w:val="en-US" w:eastAsia="zh-CN"/>
        </w:rPr>
      </w:pPr>
      <w:bookmarkStart w:id="143" w:name="_Toc21442"/>
      <w:bookmarkStart w:id="144" w:name="_Toc3746"/>
      <w:bookmarkStart w:id="145" w:name="_Toc30923"/>
      <w:bookmarkStart w:id="146" w:name="_Toc19719"/>
      <w:bookmarkStart w:id="147" w:name="_Toc12980"/>
      <w:r>
        <w:rPr>
          <w:rStyle w:val="155"/>
          <w:rFonts w:hint="eastAsia" w:ascii="宋体" w:hAnsi="宋体" w:eastAsia="宋体" w:cs="宋体"/>
          <w:color w:val="auto"/>
          <w:highlight w:val="none"/>
          <w:lang w:val="en-US" w:eastAsia="zh-CN"/>
        </w:rPr>
        <w:t>2．形式评审环节</w:t>
      </w:r>
      <w:bookmarkEnd w:id="143"/>
      <w:bookmarkEnd w:id="144"/>
      <w:bookmarkEnd w:id="145"/>
      <w:bookmarkEnd w:id="146"/>
      <w:bookmarkEnd w:id="147"/>
    </w:p>
    <w:p w14:paraId="7BA92EF0">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投标人有下列情形之一的，评标委员会应否决其投标。被否决的投标人，不进入响应性评审环节。</w:t>
      </w:r>
    </w:p>
    <w:p w14:paraId="1CA79946">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1</w:t>
      </w:r>
      <w:r>
        <w:rPr>
          <w:rFonts w:hint="eastAsia" w:ascii="宋体" w:hAnsi="宋体" w:eastAsia="宋体" w:cs="宋体"/>
          <w:snapToGrid w:val="0"/>
          <w:color w:val="auto"/>
          <w:kern w:val="0"/>
          <w:highlight w:val="none"/>
        </w:rPr>
        <w:t>）</w:t>
      </w:r>
      <w:r>
        <w:rPr>
          <w:rStyle w:val="150"/>
          <w:rFonts w:hint="eastAsia" w:ascii="宋体" w:hAnsi="宋体" w:eastAsia="宋体" w:cs="宋体"/>
          <w:color w:val="auto"/>
          <w:kern w:val="0"/>
          <w:highlight w:val="none"/>
        </w:rPr>
        <w:t>投标文件的分册组成是否符合招标文件规定。</w:t>
      </w:r>
    </w:p>
    <w:p w14:paraId="01812C57">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2</w:t>
      </w:r>
      <w:r>
        <w:rPr>
          <w:rFonts w:hint="eastAsia" w:ascii="宋体" w:hAnsi="宋体" w:eastAsia="宋体" w:cs="宋体"/>
          <w:snapToGrid w:val="0"/>
          <w:color w:val="auto"/>
          <w:kern w:val="0"/>
          <w:highlight w:val="none"/>
        </w:rPr>
        <w:t>）本章第三节第</w:t>
      </w:r>
      <w:r>
        <w:rPr>
          <w:rFonts w:hint="eastAsia" w:ascii="宋体" w:hAnsi="宋体" w:eastAsia="宋体" w:cs="宋体"/>
          <w:b/>
          <w:bCs/>
          <w:snapToGrid w:val="0"/>
          <w:color w:val="auto"/>
          <w:kern w:val="0"/>
          <w:szCs w:val="18"/>
          <w:highlight w:val="none"/>
        </w:rPr>
        <w:t>10.2.2</w:t>
      </w:r>
      <w:r>
        <w:rPr>
          <w:rFonts w:hint="eastAsia" w:ascii="宋体" w:hAnsi="宋体" w:eastAsia="宋体" w:cs="宋体"/>
          <w:snapToGrid w:val="0"/>
          <w:color w:val="auto"/>
          <w:kern w:val="0"/>
          <w:szCs w:val="18"/>
          <w:highlight w:val="none"/>
        </w:rPr>
        <w:t>目、</w:t>
      </w:r>
      <w:r>
        <w:rPr>
          <w:rFonts w:hint="eastAsia" w:ascii="宋体" w:hAnsi="宋体" w:eastAsia="宋体" w:cs="宋体"/>
          <w:snapToGrid w:val="0"/>
          <w:color w:val="auto"/>
          <w:kern w:val="0"/>
          <w:highlight w:val="none"/>
        </w:rPr>
        <w:t>第</w:t>
      </w:r>
      <w:r>
        <w:rPr>
          <w:rFonts w:hint="eastAsia" w:ascii="宋体" w:hAnsi="宋体" w:eastAsia="宋体" w:cs="宋体"/>
          <w:b/>
          <w:bCs/>
          <w:snapToGrid w:val="0"/>
          <w:color w:val="auto"/>
          <w:kern w:val="0"/>
          <w:szCs w:val="18"/>
          <w:highlight w:val="none"/>
        </w:rPr>
        <w:t>10.3.2</w:t>
      </w:r>
      <w:r>
        <w:rPr>
          <w:rFonts w:hint="eastAsia" w:ascii="宋体" w:hAnsi="宋体" w:eastAsia="宋体" w:cs="宋体"/>
          <w:snapToGrid w:val="0"/>
          <w:color w:val="auto"/>
          <w:kern w:val="0"/>
          <w:szCs w:val="18"/>
          <w:highlight w:val="none"/>
        </w:rPr>
        <w:t>目、第</w:t>
      </w:r>
      <w:r>
        <w:rPr>
          <w:rFonts w:hint="eastAsia" w:ascii="宋体" w:hAnsi="宋体" w:eastAsia="宋体" w:cs="宋体"/>
          <w:b/>
          <w:bCs/>
          <w:snapToGrid w:val="0"/>
          <w:color w:val="auto"/>
          <w:kern w:val="0"/>
          <w:highlight w:val="none"/>
        </w:rPr>
        <w:t>10.4.3</w:t>
      </w:r>
      <w:r>
        <w:rPr>
          <w:rFonts w:hint="eastAsia" w:ascii="宋体" w:hAnsi="宋体" w:eastAsia="宋体" w:cs="宋体"/>
          <w:snapToGrid w:val="0"/>
          <w:color w:val="auto"/>
          <w:kern w:val="0"/>
          <w:highlight w:val="none"/>
        </w:rPr>
        <w:t>目中规定的“</w:t>
      </w:r>
      <w:r>
        <w:rPr>
          <w:rFonts w:hint="eastAsia" w:ascii="宋体" w:hAnsi="宋体" w:eastAsia="宋体" w:cs="宋体"/>
          <w:snapToGrid w:val="0"/>
          <w:color w:val="auto"/>
          <w:kern w:val="0"/>
          <w:szCs w:val="18"/>
          <w:highlight w:val="none"/>
        </w:rPr>
        <w:t>所有投标人均应提供</w:t>
      </w:r>
      <w:r>
        <w:rPr>
          <w:rFonts w:hint="eastAsia" w:ascii="宋体" w:hAnsi="宋体" w:eastAsia="宋体" w:cs="宋体"/>
          <w:snapToGrid w:val="0"/>
          <w:color w:val="auto"/>
          <w:kern w:val="0"/>
          <w:highlight w:val="none"/>
        </w:rPr>
        <w:t>”的组成内容（包括该组成内容的所附资料）中，任何一项有缺漏的；</w:t>
      </w:r>
    </w:p>
    <w:p w14:paraId="433748C5">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3</w:t>
      </w:r>
      <w:r>
        <w:rPr>
          <w:rFonts w:hint="eastAsia" w:ascii="宋体" w:hAnsi="宋体" w:eastAsia="宋体" w:cs="宋体"/>
          <w:snapToGrid w:val="0"/>
          <w:color w:val="auto"/>
          <w:kern w:val="0"/>
          <w:highlight w:val="none"/>
        </w:rPr>
        <w:t>）关键字迹模糊、无法辨认，</w:t>
      </w:r>
      <w:r>
        <w:rPr>
          <w:rFonts w:hint="eastAsia" w:ascii="宋体" w:hAnsi="宋体" w:eastAsia="宋体" w:cs="宋体"/>
          <w:b/>
          <w:bCs/>
          <w:snapToGrid w:val="0"/>
          <w:color w:val="auto"/>
          <w:kern w:val="0"/>
          <w:highlight w:val="none"/>
        </w:rPr>
        <w:t>且该种过错将导致评标委员会无法判断投标文件是否响应招标文件实质性要求的</w:t>
      </w:r>
      <w:r>
        <w:rPr>
          <w:rFonts w:hint="eastAsia" w:ascii="宋体" w:hAnsi="宋体" w:eastAsia="宋体" w:cs="宋体"/>
          <w:snapToGrid w:val="0"/>
          <w:color w:val="auto"/>
          <w:kern w:val="0"/>
          <w:highlight w:val="none"/>
        </w:rPr>
        <w:t>；有涂改、行间插字或删除，但未加盖单位章或由投标人的法定代表人或其委托代理人签字确认的；</w:t>
      </w:r>
    </w:p>
    <w:p w14:paraId="0B80B721">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4</w:t>
      </w:r>
      <w:r>
        <w:rPr>
          <w:rFonts w:hint="eastAsia" w:ascii="宋体" w:hAnsi="宋体" w:eastAsia="宋体" w:cs="宋体"/>
          <w:snapToGrid w:val="0"/>
          <w:color w:val="auto"/>
          <w:kern w:val="0"/>
          <w:highlight w:val="none"/>
        </w:rPr>
        <w:t>）投标文件未按规定签字、盖章的；</w:t>
      </w:r>
    </w:p>
    <w:p w14:paraId="3C3BB8B1">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p>
    <w:p w14:paraId="48139FF4">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1"/>
        <w:rPr>
          <w:rStyle w:val="155"/>
          <w:rFonts w:hint="eastAsia" w:ascii="宋体" w:hAnsi="宋体" w:eastAsia="宋体" w:cs="宋体"/>
          <w:color w:val="auto"/>
          <w:highlight w:val="none"/>
          <w:lang w:val="en-US" w:eastAsia="zh-CN"/>
        </w:rPr>
      </w:pPr>
      <w:bookmarkStart w:id="148" w:name="_Toc27344"/>
      <w:bookmarkStart w:id="149" w:name="_Toc31483"/>
      <w:bookmarkStart w:id="150" w:name="_Toc8201"/>
      <w:bookmarkStart w:id="151" w:name="_Toc23068"/>
      <w:bookmarkStart w:id="152" w:name="_Toc13299"/>
      <w:r>
        <w:rPr>
          <w:rStyle w:val="155"/>
          <w:rFonts w:hint="eastAsia" w:ascii="宋体" w:hAnsi="宋体" w:eastAsia="宋体" w:cs="宋体"/>
          <w:color w:val="auto"/>
          <w:highlight w:val="none"/>
          <w:lang w:val="en-US" w:eastAsia="zh-CN"/>
        </w:rPr>
        <w:t>3．响应性评审环节</w:t>
      </w:r>
      <w:bookmarkEnd w:id="148"/>
      <w:bookmarkEnd w:id="149"/>
      <w:bookmarkEnd w:id="150"/>
      <w:bookmarkEnd w:id="151"/>
      <w:bookmarkEnd w:id="152"/>
    </w:p>
    <w:p w14:paraId="1EEBA7D7">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投标人有下列情形之一的，评标委员会应否决其投标。被否决的投标人，不进入详细评审阶段。</w:t>
      </w:r>
    </w:p>
    <w:p w14:paraId="5E3F8E3D">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1</w:t>
      </w:r>
      <w:r>
        <w:rPr>
          <w:rFonts w:hint="eastAsia" w:ascii="宋体" w:hAnsi="宋体" w:eastAsia="宋体" w:cs="宋体"/>
          <w:snapToGrid w:val="0"/>
          <w:color w:val="auto"/>
          <w:kern w:val="0"/>
          <w:highlight w:val="none"/>
        </w:rPr>
        <w:t>）承诺的投标有效期短于规定的；质量标准低于规定的；工期超出规定的；擅自修改、遗漏《投标函》《各项承诺一览表》实质性内容的；</w:t>
      </w:r>
    </w:p>
    <w:p w14:paraId="38FC6911">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2</w:t>
      </w:r>
      <w:r>
        <w:rPr>
          <w:rFonts w:hint="eastAsia" w:ascii="宋体" w:hAnsi="宋体" w:eastAsia="宋体" w:cs="宋体"/>
          <w:snapToGrid w:val="0"/>
          <w:color w:val="auto"/>
          <w:kern w:val="0"/>
          <w:highlight w:val="none"/>
        </w:rPr>
        <w:t>）编制《投标总价》的</w:t>
      </w:r>
      <w:r>
        <w:rPr>
          <w:rFonts w:hint="eastAsia" w:ascii="宋体" w:hAnsi="宋体" w:eastAsia="宋体" w:cs="宋体"/>
          <w:snapToGrid w:val="0"/>
          <w:color w:val="auto"/>
          <w:kern w:val="0"/>
          <w:szCs w:val="18"/>
          <w:highlight w:val="none"/>
        </w:rPr>
        <w:t>造价工程师，其注册证书不是住建部门颁发的；其注册单位与投标人（或造价咨询人）不一致的；其注册证书</w:t>
      </w:r>
      <w:r>
        <w:rPr>
          <w:rFonts w:hint="eastAsia" w:ascii="宋体" w:hAnsi="宋体" w:eastAsia="宋体" w:cs="宋体"/>
          <w:snapToGrid w:val="0"/>
          <w:color w:val="auto"/>
          <w:kern w:val="0"/>
          <w:highlight w:val="none"/>
        </w:rPr>
        <w:t>不在有效期内的。</w:t>
      </w:r>
    </w:p>
    <w:p w14:paraId="789271B2">
      <w:pPr>
        <w:keepNext w:val="0"/>
        <w:keepLines w:val="0"/>
        <w:pageBreakBefore w:val="0"/>
        <w:kinsoku/>
        <w:wordWrap w:val="0"/>
        <w:overflowPunct/>
        <w:topLinePunct w:val="0"/>
        <w:autoSpaceDE/>
        <w:autoSpaceDN/>
        <w:bidi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注：投标人（或造价咨询人）已经工商变更，但其员工的执业资格注册证书的注册单位名称未完成变更的，不得否决其投标。</w:t>
      </w:r>
    </w:p>
    <w:p w14:paraId="4DDF576F">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3</w:t>
      </w:r>
      <w:r>
        <w:rPr>
          <w:rFonts w:hint="eastAsia" w:ascii="宋体" w:hAnsi="宋体" w:eastAsia="宋体" w:cs="宋体"/>
          <w:snapToGrid w:val="0"/>
          <w:color w:val="auto"/>
          <w:kern w:val="0"/>
          <w:highlight w:val="none"/>
        </w:rPr>
        <w:t>）投标人委托造价咨询单位编制《投标总价》，但未在《投标总价》封面（即封—3）加盖造价咨询人公章的；未提供造价咨询人的营业执照</w:t>
      </w:r>
      <w:r>
        <w:rPr>
          <w:rFonts w:hint="eastAsia" w:ascii="宋体" w:hAnsi="宋体" w:eastAsia="宋体" w:cs="宋体"/>
          <w:snapToGrid w:val="0"/>
          <w:color w:val="auto"/>
          <w:kern w:val="0"/>
          <w:highlight w:val="none"/>
          <w:lang w:eastAsia="zh-CN"/>
        </w:rPr>
        <w:t>彩色扫描件</w:t>
      </w:r>
      <w:r>
        <w:rPr>
          <w:rFonts w:hint="eastAsia" w:ascii="宋体" w:hAnsi="宋体" w:eastAsia="宋体" w:cs="宋体"/>
          <w:snapToGrid w:val="0"/>
          <w:color w:val="auto"/>
          <w:kern w:val="0"/>
          <w:highlight w:val="none"/>
        </w:rPr>
        <w:t>的；</w:t>
      </w:r>
    </w:p>
    <w:p w14:paraId="10FDD5D9">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4</w:t>
      </w:r>
      <w:r>
        <w:rPr>
          <w:rFonts w:hint="eastAsia" w:ascii="宋体" w:hAnsi="宋体" w:eastAsia="宋体" w:cs="宋体"/>
          <w:snapToGrid w:val="0"/>
          <w:color w:val="auto"/>
          <w:kern w:val="0"/>
          <w:highlight w:val="none"/>
        </w:rPr>
        <w:t>）出现两个或两个以上投标总价的（同一个投标总价大、小写不一致的除外）；投标总价超出</w:t>
      </w:r>
      <w:r>
        <w:rPr>
          <w:rFonts w:hint="eastAsia" w:hAnsi="宋体" w:cs="宋体"/>
          <w:snapToGrid w:val="0"/>
          <w:color w:val="auto"/>
          <w:kern w:val="0"/>
          <w:highlight w:val="none"/>
          <w:lang w:eastAsia="zh-CN"/>
        </w:rPr>
        <w:t>最高投标限价</w:t>
      </w:r>
      <w:r>
        <w:rPr>
          <w:rFonts w:hint="eastAsia" w:ascii="宋体" w:hAnsi="宋体" w:eastAsia="宋体" w:cs="宋体"/>
          <w:snapToGrid w:val="0"/>
          <w:color w:val="auto"/>
          <w:kern w:val="0"/>
          <w:highlight w:val="none"/>
        </w:rPr>
        <w:t>的；</w:t>
      </w:r>
      <w:r>
        <w:rPr>
          <w:rFonts w:hint="eastAsia" w:hAnsi="宋体" w:cs="宋体"/>
          <w:snapToGrid w:val="0"/>
          <w:color w:val="auto"/>
          <w:kern w:val="0"/>
          <w:highlight w:val="none"/>
          <w:lang w:eastAsia="zh-CN"/>
        </w:rPr>
        <w:t>安全生产措施费</w:t>
      </w:r>
      <w:r>
        <w:rPr>
          <w:rFonts w:hint="eastAsia" w:ascii="宋体" w:hAnsi="宋体" w:eastAsia="宋体" w:cs="宋体"/>
          <w:snapToGrid w:val="0"/>
          <w:color w:val="auto"/>
          <w:kern w:val="0"/>
          <w:highlight w:val="none"/>
        </w:rPr>
        <w:t>少于规定的；暂列金额、暂估价未按照招标工程量清单统一报价的；投标总价下浮率超过15%，又未提供相应书面说明和佐证材料或提供的书面说明和佐证材料不能令人信服，被评标委员会认定以低于成本报价竞标的；擅自修改、增减招标工程量清单项目（包括措施项目）的；</w:t>
      </w:r>
    </w:p>
    <w:p w14:paraId="08E170B2">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5</w:t>
      </w:r>
      <w:r>
        <w:rPr>
          <w:rFonts w:hint="eastAsia" w:ascii="宋体" w:hAnsi="宋体" w:eastAsia="宋体" w:cs="宋体"/>
          <w:snapToGrid w:val="0"/>
          <w:color w:val="auto"/>
          <w:kern w:val="0"/>
          <w:highlight w:val="none"/>
        </w:rPr>
        <w:t>）在施工组织设计评审中，评标委员会认定质量、进度保障措施与国家和省市现行有关规范、规定、标准有重大偏差，</w:t>
      </w:r>
      <w:r>
        <w:rPr>
          <w:rFonts w:hint="eastAsia" w:ascii="宋体" w:hAnsi="宋体" w:eastAsia="宋体" w:cs="宋体"/>
          <w:b/>
          <w:bCs/>
          <w:snapToGrid w:val="0"/>
          <w:color w:val="auto"/>
          <w:kern w:val="0"/>
          <w:highlight w:val="none"/>
        </w:rPr>
        <w:t>且该种过错将导致工程质量、进度管理目标无法实现的</w:t>
      </w:r>
      <w:r>
        <w:rPr>
          <w:rFonts w:hint="eastAsia" w:ascii="宋体" w:hAnsi="宋体" w:eastAsia="宋体" w:cs="宋体"/>
          <w:snapToGrid w:val="0"/>
          <w:color w:val="auto"/>
          <w:kern w:val="0"/>
          <w:highlight w:val="none"/>
        </w:rPr>
        <w:t>。</w:t>
      </w:r>
    </w:p>
    <w:p w14:paraId="5AC70DCF">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p>
    <w:p w14:paraId="478E18C8">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1"/>
        <w:rPr>
          <w:rStyle w:val="155"/>
          <w:rFonts w:hint="eastAsia" w:ascii="宋体" w:hAnsi="宋体" w:eastAsia="宋体" w:cs="宋体"/>
          <w:color w:val="auto"/>
          <w:highlight w:val="none"/>
          <w:lang w:val="en-US" w:eastAsia="zh-CN"/>
        </w:rPr>
      </w:pPr>
      <w:bookmarkStart w:id="153" w:name="_Toc24919"/>
      <w:r>
        <w:rPr>
          <w:rStyle w:val="155"/>
          <w:rFonts w:hint="eastAsia" w:ascii="宋体" w:hAnsi="宋体" w:eastAsia="宋体" w:cs="宋体"/>
          <w:color w:val="auto"/>
          <w:highlight w:val="none"/>
          <w:lang w:val="en-US" w:eastAsia="zh-CN"/>
        </w:rPr>
        <w:t>4．其他</w:t>
      </w:r>
      <w:bookmarkEnd w:id="153"/>
    </w:p>
    <w:p w14:paraId="5C2FF6B1">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Cs w:val="22"/>
          <w:highlight w:val="none"/>
        </w:rPr>
      </w:pPr>
      <w:r>
        <w:rPr>
          <w:rFonts w:hint="eastAsia" w:ascii="宋体" w:hAnsi="宋体" w:eastAsia="宋体" w:cs="宋体"/>
          <w:snapToGrid w:val="0"/>
          <w:color w:val="auto"/>
          <w:kern w:val="0"/>
          <w:highlight w:val="none"/>
        </w:rPr>
        <w:t>在任何评标环节（或阶段），投标人有下列情形之一的，评标委员会应否决其投标。</w:t>
      </w:r>
      <w:r>
        <w:rPr>
          <w:rFonts w:hint="eastAsia" w:ascii="宋体" w:hAnsi="宋体" w:eastAsia="宋体" w:cs="宋体"/>
          <w:snapToGrid w:val="0"/>
          <w:color w:val="auto"/>
          <w:kern w:val="0"/>
          <w:szCs w:val="22"/>
          <w:highlight w:val="none"/>
        </w:rPr>
        <w:t>被否决的投标人，不进入下一环节（或阶段）。</w:t>
      </w:r>
    </w:p>
    <w:p w14:paraId="71BB4B13">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（1）不按评标委员会要求澄清、说明或补正的；</w:t>
      </w:r>
    </w:p>
    <w:p w14:paraId="1DCBB723">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（2）有下列情形之一，被评标委员会认定属于串通投标的：</w:t>
      </w:r>
    </w:p>
    <w:p w14:paraId="4BA0D477">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①不同投标人的投标文件两处以上（含两处）错、漏一致；</w:t>
      </w:r>
    </w:p>
    <w:p w14:paraId="643B229A">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②不同投标人的投标总价相近且各分项报价、综合单价分析表内容混乱不能相互对应、乱调乱压或乱抬的，而在询标时没有合理的解释或者不能提供计算依据和报价依据；</w:t>
      </w:r>
    </w:p>
    <w:p w14:paraId="27FF91F1">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③不同投标人的投标各项报价存在异常一致或者呈规律性变化；</w:t>
      </w:r>
    </w:p>
    <w:p w14:paraId="18C13B04">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④不同投标人的投标文件由同一单位或者同一个人编制；</w:t>
      </w:r>
    </w:p>
    <w:p w14:paraId="7E64FC6E">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⑤不同投标人的投标文件中投标资料（包括电子资料）相互混装或项目班子成员出现同一人；</w:t>
      </w:r>
    </w:p>
    <w:p w14:paraId="06781C17">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⑥不同投标人的投标文件由同一电脑编制或同一台附属设备打印，或投标报价用同一个预算编制软件密码锁制作或出自同一电子文档；</w:t>
      </w:r>
    </w:p>
    <w:p w14:paraId="661EC41C">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⑦不同投标人的投标保证由同一企业或同一账户资金缴纳；</w:t>
      </w:r>
    </w:p>
    <w:p w14:paraId="1D31BC8A">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sectPr>
          <w:endnotePr>
            <w:numFmt w:val="decimal"/>
          </w:endnotePr>
          <w:pgSz w:w="11906" w:h="16838"/>
          <w:pgMar w:top="1134" w:right="1134" w:bottom="1134" w:left="1134" w:header="850" w:footer="567" w:gutter="0"/>
          <w:pgBorders>
            <w:top w:val="none" w:sz="0" w:space="0"/>
            <w:left w:val="none" w:sz="0" w:space="0"/>
            <w:bottom w:val="none" w:sz="0" w:space="0"/>
            <w:right w:val="none" w:sz="0" w:space="0"/>
          </w:pgBorders>
          <w:cols w:space="720" w:num="1"/>
          <w:docGrid w:linePitch="327" w:charSpace="0"/>
        </w:sectPr>
      </w:pPr>
      <w:r>
        <w:rPr>
          <w:rFonts w:hint="eastAsia" w:ascii="宋体" w:hAnsi="宋体" w:eastAsia="宋体" w:cs="宋体"/>
          <w:snapToGrid w:val="0"/>
          <w:color w:val="auto"/>
          <w:kern w:val="0"/>
          <w:highlight w:val="none"/>
        </w:rPr>
        <w:t>⑧不同投标人委托同一个人或注册在同一家企业的注册人员或同一家企业为其投标提供投标咨询、商务报价、技术咨询（招标项目本身要求采用专有技术的除外）等服务。</w:t>
      </w:r>
      <w:bookmarkEnd w:id="89"/>
    </w:p>
    <w:p w14:paraId="074F1233">
      <w:pPr>
        <w:pStyle w:val="2"/>
        <w:wordWrap w:val="0"/>
        <w:autoSpaceDE/>
        <w:autoSpaceDN/>
        <w:snapToGrid w:val="0"/>
        <w:spacing w:line="440" w:lineRule="exact"/>
        <w:jc w:val="center"/>
        <w:rPr>
          <w:rFonts w:hint="eastAsia" w:ascii="宋体" w:hAnsi="宋体" w:eastAsia="宋体" w:cs="宋体"/>
          <w:b/>
          <w:snapToGrid w:val="0"/>
          <w:color w:val="auto"/>
          <w:kern w:val="0"/>
          <w:highlight w:val="none"/>
        </w:rPr>
      </w:pPr>
      <w:bookmarkStart w:id="154" w:name="_Hlt87952408"/>
      <w:bookmarkEnd w:id="154"/>
      <w:bookmarkStart w:id="155" w:name="_Hlt69669771"/>
      <w:bookmarkEnd w:id="155"/>
      <w:bookmarkStart w:id="156" w:name="_Hlt112206772"/>
      <w:bookmarkEnd w:id="156"/>
      <w:bookmarkStart w:id="157" w:name="_Hlt70150994"/>
      <w:bookmarkEnd w:id="157"/>
      <w:bookmarkStart w:id="158" w:name="_Toc20451"/>
      <w:bookmarkStart w:id="159" w:name="_Hlt69698722"/>
      <w:bookmarkStart w:id="160" w:name="_Hlt69698769"/>
      <w:bookmarkStart w:id="161" w:name="_Toc24543"/>
      <w:bookmarkStart w:id="162" w:name="_Hlt69698741"/>
      <w:r>
        <w:rPr>
          <w:rFonts w:hint="eastAsia" w:ascii="宋体" w:hAnsi="宋体" w:eastAsia="宋体" w:cs="宋体"/>
          <w:b/>
          <w:snapToGrid w:val="0"/>
          <w:color w:val="auto"/>
          <w:sz w:val="24"/>
          <w:highlight w:val="none"/>
          <w:lang w:val="en-US" w:eastAsia="zh-CN"/>
        </w:rPr>
        <w:t>第</w:t>
      </w:r>
      <w:bookmarkStart w:id="163" w:name="_Hlt69669171"/>
      <w:bookmarkEnd w:id="163"/>
      <w:r>
        <w:rPr>
          <w:rFonts w:hint="eastAsia" w:ascii="宋体" w:hAnsi="宋体" w:eastAsia="宋体" w:cs="宋体"/>
          <w:b/>
          <w:snapToGrid w:val="0"/>
          <w:color w:val="auto"/>
          <w:sz w:val="24"/>
          <w:highlight w:val="none"/>
          <w:lang w:val="en-US" w:eastAsia="zh-CN"/>
        </w:rPr>
        <w:t>二章</w:t>
      </w:r>
      <w:bookmarkStart w:id="164" w:name="_Hlt87793839"/>
      <w:bookmarkEnd w:id="164"/>
      <w:r>
        <w:rPr>
          <w:rFonts w:hint="eastAsia" w:ascii="宋体" w:hAnsi="宋体" w:eastAsia="宋体" w:cs="宋体"/>
          <w:b/>
          <w:snapToGrid w:val="0"/>
          <w:color w:val="auto"/>
          <w:sz w:val="24"/>
          <w:highlight w:val="none"/>
          <w:lang w:val="en-US" w:eastAsia="zh-CN"/>
        </w:rPr>
        <w:t xml:space="preserve"> 中标人须知</w:t>
      </w:r>
      <w:bookmarkEnd w:id="158"/>
      <w:bookmarkEnd w:id="159"/>
      <w:bookmarkEnd w:id="160"/>
      <w:bookmarkEnd w:id="161"/>
      <w:bookmarkEnd w:id="162"/>
    </w:p>
    <w:p w14:paraId="72010CA4">
      <w:pPr>
        <w:pStyle w:val="4"/>
        <w:bidi w:val="0"/>
        <w:spacing w:line="360" w:lineRule="auto"/>
        <w:rPr>
          <w:rFonts w:hint="eastAsia"/>
          <w:color w:val="auto"/>
          <w:highlight w:val="none"/>
        </w:rPr>
      </w:pPr>
      <w:bookmarkStart w:id="165" w:name="_Toc2206"/>
      <w:bookmarkStart w:id="166" w:name="_Toc28684"/>
      <w:bookmarkStart w:id="167" w:name="_Toc19632"/>
      <w:bookmarkStart w:id="168" w:name="_Hlt69698765"/>
      <w:bookmarkStart w:id="169" w:name="_Hlt69698713"/>
      <w:bookmarkStart w:id="170" w:name="_Toc28918"/>
      <w:bookmarkStart w:id="171" w:name="_Hlt69698776"/>
      <w:r>
        <w:rPr>
          <w:rFonts w:hint="eastAsia"/>
          <w:color w:val="auto"/>
          <w:highlight w:val="none"/>
        </w:rPr>
        <w:t>1．中标通知书</w:t>
      </w:r>
      <w:bookmarkEnd w:id="165"/>
    </w:p>
    <w:p w14:paraId="16784DF1">
      <w:pPr>
        <w:wordWrap w:val="0"/>
        <w:adjustRightInd w:val="0"/>
        <w:snapToGrid w:val="0"/>
        <w:spacing w:line="360" w:lineRule="auto"/>
        <w:ind w:firstLine="562"/>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招标人确定第一中标候选人为中标人，并在中标人确定之日起7日内向中标人发出中标通知书，中标人必须按韶关市公共资源交易中心的规定办理相关手续后方可领取。中标通知书对招标人和中标人均具有法律约束力。中标通知书发出后，招标人改变中标结果和中标人放弃中标的，应当承担法律责任。</w:t>
      </w:r>
    </w:p>
    <w:p w14:paraId="0D245D85">
      <w:pPr>
        <w:wordWrap w:val="0"/>
        <w:adjustRightInd w:val="0"/>
        <w:snapToGrid w:val="0"/>
        <w:spacing w:line="360" w:lineRule="auto"/>
        <w:ind w:firstLine="562"/>
        <w:rPr>
          <w:rFonts w:hint="eastAsia" w:ascii="宋体" w:hAnsi="宋体" w:eastAsia="宋体" w:cs="宋体"/>
          <w:snapToGrid w:val="0"/>
          <w:color w:val="auto"/>
          <w:kern w:val="0"/>
          <w:highlight w:val="none"/>
        </w:rPr>
      </w:pPr>
    </w:p>
    <w:p w14:paraId="79A077BF">
      <w:pPr>
        <w:pStyle w:val="4"/>
        <w:bidi w:val="0"/>
        <w:spacing w:line="360" w:lineRule="auto"/>
        <w:rPr>
          <w:rFonts w:hint="eastAsia"/>
          <w:color w:val="auto"/>
          <w:highlight w:val="none"/>
        </w:rPr>
      </w:pPr>
      <w:bookmarkStart w:id="172" w:name="_Toc14349"/>
      <w:r>
        <w:rPr>
          <w:rFonts w:hint="eastAsia"/>
          <w:color w:val="auto"/>
          <w:highlight w:val="none"/>
        </w:rPr>
        <w:t>2．中标结果公示</w:t>
      </w:r>
      <w:bookmarkEnd w:id="172"/>
    </w:p>
    <w:p w14:paraId="041EC288">
      <w:pPr>
        <w:wordWrap w:val="0"/>
        <w:adjustRightInd w:val="0"/>
        <w:snapToGrid w:val="0"/>
        <w:spacing w:line="360" w:lineRule="auto"/>
        <w:ind w:firstLine="562"/>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中标通知书发出后15日内，招标人应将中标结果在广东省招标投标监管网（</w:t>
      </w:r>
      <w:r>
        <w:rPr>
          <w:rFonts w:hint="eastAsia" w:ascii="宋体" w:hAnsi="宋体" w:eastAsia="宋体" w:cs="宋体"/>
          <w:snapToGrid w:val="0"/>
          <w:color w:val="auto"/>
          <w:kern w:val="0"/>
          <w:highlight w:val="none"/>
          <w:lang w:eastAsia="zh-CN"/>
        </w:rPr>
        <w:t>https://www.gdzwfw.gov.cn/ztbjg-portal/#/index</w:t>
      </w: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eastAsia="zh-CN"/>
        </w:rPr>
        <w:t>全国公共资源交易平台（广东省·韶关市）（https://ygp.gdzwfw.gov.cn/ggzy-portal/#/440200/index）</w:t>
      </w:r>
      <w:r>
        <w:rPr>
          <w:rFonts w:hint="eastAsia" w:ascii="宋体" w:hAnsi="宋体" w:eastAsia="宋体" w:cs="宋体"/>
          <w:snapToGrid w:val="0"/>
          <w:color w:val="auto"/>
          <w:kern w:val="0"/>
          <w:highlight w:val="none"/>
        </w:rPr>
        <w:t>进行公示。</w:t>
      </w:r>
    </w:p>
    <w:p w14:paraId="1127DF11">
      <w:pPr>
        <w:wordWrap w:val="0"/>
        <w:adjustRightInd w:val="0"/>
        <w:snapToGrid w:val="0"/>
        <w:spacing w:line="360" w:lineRule="auto"/>
        <w:ind w:firstLine="562"/>
        <w:rPr>
          <w:rFonts w:hint="eastAsia" w:ascii="宋体" w:hAnsi="宋体" w:eastAsia="宋体" w:cs="宋体"/>
          <w:snapToGrid w:val="0"/>
          <w:color w:val="auto"/>
          <w:kern w:val="0"/>
          <w:highlight w:val="none"/>
        </w:rPr>
      </w:pPr>
    </w:p>
    <w:p w14:paraId="57599105">
      <w:pPr>
        <w:pStyle w:val="4"/>
        <w:pageBreakBefore w:val="0"/>
        <w:kinsoku/>
        <w:overflowPunct/>
        <w:topLinePunct w:val="0"/>
        <w:autoSpaceDE/>
        <w:autoSpaceDN/>
        <w:bidi w:val="0"/>
        <w:spacing w:beforeLines="0" w:afterLines="0" w:line="360" w:lineRule="auto"/>
        <w:ind w:firstLine="482" w:firstLineChars="200"/>
        <w:textAlignment w:val="auto"/>
        <w:rPr>
          <w:rFonts w:hint="eastAsia"/>
          <w:color w:val="auto"/>
          <w:highlight w:val="none"/>
        </w:rPr>
      </w:pPr>
      <w:bookmarkStart w:id="173" w:name="_Toc10406"/>
      <w:r>
        <w:rPr>
          <w:rFonts w:hint="eastAsia"/>
          <w:color w:val="auto"/>
          <w:highlight w:val="none"/>
        </w:rPr>
        <w:t>3．履约保证</w:t>
      </w:r>
      <w:bookmarkEnd w:id="173"/>
    </w:p>
    <w:p w14:paraId="146217A2">
      <w:pPr>
        <w:pageBreakBefore w:val="0"/>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3.1</w:t>
      </w:r>
      <w:r>
        <w:rPr>
          <w:rFonts w:hint="eastAsia" w:ascii="宋体" w:hAnsi="宋体" w:eastAsia="宋体" w:cs="宋体"/>
          <w:snapToGrid w:val="0"/>
          <w:color w:val="auto"/>
          <w:kern w:val="0"/>
          <w:highlight w:val="none"/>
        </w:rPr>
        <w:t xml:space="preserve"> 中标人须在领取中标通知书之日起</w:t>
      </w:r>
      <w:r>
        <w:rPr>
          <w:rFonts w:hint="eastAsia" w:ascii="宋体" w:hAnsi="宋体" w:eastAsia="宋体" w:cs="宋体"/>
          <w:snapToGrid w:val="0"/>
          <w:color w:val="auto"/>
          <w:kern w:val="0"/>
          <w:highlight w:val="none"/>
          <w:u w:val="single"/>
        </w:rPr>
        <w:t xml:space="preserve"> </w:t>
      </w:r>
      <w:r>
        <w:rPr>
          <w:rFonts w:hint="eastAsia" w:hAnsi="宋体" w:cs="宋体"/>
          <w:snapToGrid w:val="0"/>
          <w:color w:val="auto"/>
          <w:kern w:val="0"/>
          <w:highlight w:val="none"/>
          <w:u w:val="single"/>
          <w:lang w:val="en-US" w:eastAsia="zh-CN"/>
        </w:rPr>
        <w:t>10</w:t>
      </w:r>
      <w:r>
        <w:rPr>
          <w:rFonts w:hint="eastAsia" w:ascii="宋体" w:hAnsi="宋体" w:eastAsia="宋体" w:cs="宋体"/>
          <w:snapToGrid w:val="0"/>
          <w:color w:val="auto"/>
          <w:kern w:val="0"/>
          <w:highlight w:val="none"/>
          <w:u w:val="single"/>
          <w:lang w:val="en-US" w:eastAsia="zh-CN"/>
        </w:rPr>
        <w:t xml:space="preserve"> </w:t>
      </w:r>
      <w:r>
        <w:rPr>
          <w:rFonts w:hint="eastAsia" w:ascii="宋体" w:hAnsi="宋体" w:eastAsia="宋体" w:cs="宋体"/>
          <w:snapToGrid w:val="0"/>
          <w:color w:val="auto"/>
          <w:kern w:val="0"/>
          <w:highlight w:val="none"/>
        </w:rPr>
        <w:t>个工作日内、签订合同前向招标人提交金额为中标价</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u w:val="single"/>
          <w:lang w:val="en-US" w:eastAsia="zh-CN"/>
        </w:rPr>
        <w:t>5</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 xml:space="preserve">%的履约保证。 </w:t>
      </w:r>
    </w:p>
    <w:p w14:paraId="5346E332">
      <w:pPr>
        <w:wordWrap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中标人根据《关于统一在市公共资源交易一体化服务平台缴退工程建设项目履约保证金的通知》办理相关手续，履约保证的形式包括履约保证金、履约保证担保、履约保证保险三种，由中标人在建设工程交易系统中自主选择一种进行缴交。</w:t>
      </w:r>
    </w:p>
    <w:p w14:paraId="5E10CB1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auto"/>
          <w:sz w:val="24"/>
          <w:szCs w:val="22"/>
          <w:highlight w:val="none"/>
        </w:rPr>
      </w:pPr>
      <w:r>
        <w:rPr>
          <w:rFonts w:hint="eastAsia" w:ascii="宋体" w:hAnsi="宋体" w:eastAsia="宋体" w:cs="宋体"/>
          <w:b/>
          <w:bCs/>
          <w:color w:val="auto"/>
          <w:sz w:val="24"/>
          <w:szCs w:val="22"/>
          <w:highlight w:val="none"/>
        </w:rPr>
        <w:t>3.</w:t>
      </w:r>
      <w:r>
        <w:rPr>
          <w:rFonts w:hint="eastAsia" w:hAnsi="宋体" w:cs="宋体"/>
          <w:b/>
          <w:bCs/>
          <w:color w:val="auto"/>
          <w:sz w:val="24"/>
          <w:szCs w:val="22"/>
          <w:highlight w:val="none"/>
          <w:lang w:val="en-US" w:eastAsia="zh-CN"/>
        </w:rPr>
        <w:t>2</w:t>
      </w:r>
      <w:r>
        <w:rPr>
          <w:rFonts w:hint="eastAsia" w:ascii="宋体" w:hAnsi="宋体" w:eastAsia="宋体" w:cs="宋体"/>
          <w:color w:val="auto"/>
          <w:sz w:val="24"/>
          <w:szCs w:val="22"/>
          <w:highlight w:val="none"/>
        </w:rPr>
        <w:t>中标通知书发出时，招标人应登录韶关市公共资源一体化平台发起收缴履约担保并填写担保金金额、缴交时限和项目工期。收缴信息推送至中标人账号中，向中标人收缴履约担保。</w:t>
      </w:r>
    </w:p>
    <w:p w14:paraId="52D9B165">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auto"/>
          <w:sz w:val="24"/>
          <w:szCs w:val="22"/>
          <w:highlight w:val="none"/>
        </w:rPr>
      </w:pPr>
      <w:r>
        <w:rPr>
          <w:rFonts w:hint="eastAsia" w:ascii="宋体" w:hAnsi="宋体" w:eastAsia="宋体" w:cs="宋体"/>
          <w:b/>
          <w:bCs/>
          <w:color w:val="auto"/>
          <w:sz w:val="24"/>
          <w:szCs w:val="22"/>
          <w:highlight w:val="none"/>
        </w:rPr>
        <w:t>3.</w:t>
      </w:r>
      <w:r>
        <w:rPr>
          <w:rFonts w:hint="eastAsia" w:hAnsi="宋体" w:cs="宋体"/>
          <w:b/>
          <w:bCs/>
          <w:color w:val="auto"/>
          <w:sz w:val="24"/>
          <w:szCs w:val="22"/>
          <w:highlight w:val="none"/>
          <w:lang w:val="en-US" w:eastAsia="zh-CN"/>
        </w:rPr>
        <w:t>3</w:t>
      </w:r>
      <w:r>
        <w:rPr>
          <w:rFonts w:hint="eastAsia" w:ascii="宋体" w:hAnsi="宋体" w:eastAsia="宋体" w:cs="宋体"/>
          <w:color w:val="auto"/>
          <w:sz w:val="24"/>
          <w:szCs w:val="22"/>
          <w:highlight w:val="none"/>
        </w:rPr>
        <w:t>项目通过竣工验收后招标人应登录韶关市公共资源一体化平台进行履约担保退回操作。</w:t>
      </w:r>
    </w:p>
    <w:p w14:paraId="472B688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auto"/>
          <w:sz w:val="24"/>
          <w:szCs w:val="22"/>
          <w:highlight w:val="none"/>
        </w:rPr>
      </w:pPr>
      <w:r>
        <w:rPr>
          <w:rFonts w:hint="eastAsia" w:ascii="宋体" w:hAnsi="宋体" w:eastAsia="宋体" w:cs="宋体"/>
          <w:b/>
          <w:bCs/>
          <w:color w:val="auto"/>
          <w:sz w:val="24"/>
          <w:szCs w:val="22"/>
          <w:highlight w:val="none"/>
        </w:rPr>
        <w:t>3.</w:t>
      </w:r>
      <w:r>
        <w:rPr>
          <w:rFonts w:hint="eastAsia" w:hAnsi="宋体" w:cs="宋体"/>
          <w:b/>
          <w:bCs/>
          <w:color w:val="auto"/>
          <w:sz w:val="24"/>
          <w:szCs w:val="22"/>
          <w:highlight w:val="none"/>
          <w:lang w:val="en-US" w:eastAsia="zh-CN"/>
        </w:rPr>
        <w:t>4</w:t>
      </w:r>
      <w:r>
        <w:rPr>
          <w:rFonts w:hint="eastAsia" w:ascii="宋体" w:hAnsi="宋体" w:eastAsia="宋体" w:cs="宋体"/>
          <w:color w:val="auto"/>
          <w:sz w:val="24"/>
          <w:szCs w:val="24"/>
          <w:highlight w:val="none"/>
        </w:rPr>
        <w:t>项目通过竣工验收之日后</w:t>
      </w:r>
      <w:r>
        <w:rPr>
          <w:rFonts w:hint="eastAsia" w:ascii="宋体" w:hAnsi="宋体" w:eastAsia="宋体" w:cs="宋体"/>
          <w:color w:val="auto"/>
          <w:sz w:val="24"/>
          <w:szCs w:val="22"/>
          <w:highlight w:val="none"/>
        </w:rPr>
        <w:t>28天内，招标人将履约担保退还给承包人。</w:t>
      </w:r>
    </w:p>
    <w:p w14:paraId="058081E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auto"/>
          <w:sz w:val="24"/>
          <w:szCs w:val="22"/>
          <w:highlight w:val="none"/>
        </w:rPr>
      </w:pPr>
      <w:r>
        <w:rPr>
          <w:rFonts w:hint="eastAsia" w:ascii="宋体" w:hAnsi="宋体" w:eastAsia="宋体" w:cs="宋体"/>
          <w:b/>
          <w:bCs/>
          <w:color w:val="auto"/>
          <w:sz w:val="24"/>
          <w:szCs w:val="22"/>
          <w:highlight w:val="none"/>
        </w:rPr>
        <w:t>3.</w:t>
      </w:r>
      <w:r>
        <w:rPr>
          <w:rFonts w:hint="eastAsia" w:hAnsi="宋体" w:cs="宋体"/>
          <w:b/>
          <w:bCs/>
          <w:color w:val="auto"/>
          <w:sz w:val="24"/>
          <w:szCs w:val="22"/>
          <w:highlight w:val="none"/>
          <w:lang w:val="en-US" w:eastAsia="zh-CN"/>
        </w:rPr>
        <w:t>5</w:t>
      </w:r>
      <w:r>
        <w:rPr>
          <w:rFonts w:hint="eastAsia" w:ascii="宋体" w:hAnsi="宋体" w:eastAsia="宋体" w:cs="宋体"/>
          <w:color w:val="auto"/>
          <w:sz w:val="24"/>
          <w:szCs w:val="22"/>
          <w:highlight w:val="none"/>
        </w:rPr>
        <w:t>项目延期竣工的，中标人应登录韶关市公共资源一体化平台办理延长履约担保期限。</w:t>
      </w:r>
    </w:p>
    <w:p w14:paraId="1EF4D2B1">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auto"/>
          <w:sz w:val="24"/>
          <w:szCs w:val="22"/>
          <w:highlight w:val="none"/>
        </w:rPr>
      </w:pPr>
      <w:r>
        <w:rPr>
          <w:rFonts w:hint="eastAsia" w:ascii="宋体" w:hAnsi="宋体" w:eastAsia="宋体" w:cs="宋体"/>
          <w:b/>
          <w:bCs/>
          <w:color w:val="auto"/>
          <w:sz w:val="24"/>
          <w:szCs w:val="22"/>
          <w:highlight w:val="none"/>
        </w:rPr>
        <w:t>3.</w:t>
      </w:r>
      <w:r>
        <w:rPr>
          <w:rFonts w:hint="eastAsia" w:hAnsi="宋体" w:cs="宋体"/>
          <w:b/>
          <w:bCs/>
          <w:color w:val="auto"/>
          <w:sz w:val="24"/>
          <w:szCs w:val="22"/>
          <w:highlight w:val="none"/>
          <w:lang w:val="en-US" w:eastAsia="zh-CN"/>
        </w:rPr>
        <w:t>6</w:t>
      </w:r>
      <w:r>
        <w:rPr>
          <w:rFonts w:hint="eastAsia" w:ascii="宋体" w:hAnsi="宋体" w:eastAsia="宋体" w:cs="宋体"/>
          <w:color w:val="auto"/>
          <w:sz w:val="24"/>
          <w:szCs w:val="22"/>
          <w:highlight w:val="none"/>
        </w:rPr>
        <w:t>中标人在领取中标通知书之后按有关规定及时提交履约保证。</w:t>
      </w:r>
    </w:p>
    <w:p w14:paraId="5907BD0A">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color w:val="auto"/>
          <w:sz w:val="24"/>
          <w:szCs w:val="22"/>
          <w:highlight w:val="none"/>
        </w:rPr>
        <w:t>3.</w:t>
      </w:r>
      <w:r>
        <w:rPr>
          <w:rFonts w:hint="eastAsia" w:hAnsi="宋体" w:cs="宋体"/>
          <w:b/>
          <w:bCs/>
          <w:color w:val="auto"/>
          <w:sz w:val="24"/>
          <w:szCs w:val="22"/>
          <w:highlight w:val="none"/>
          <w:lang w:val="en-US" w:eastAsia="zh-CN"/>
        </w:rPr>
        <w:t>7</w:t>
      </w:r>
      <w:r>
        <w:rPr>
          <w:rFonts w:hint="eastAsia" w:ascii="宋体" w:hAnsi="宋体" w:eastAsia="宋体" w:cs="宋体"/>
          <w:color w:val="auto"/>
          <w:sz w:val="24"/>
          <w:szCs w:val="22"/>
          <w:highlight w:val="none"/>
        </w:rPr>
        <w:t>在工程实施过程中，如果承包人（即招标阶段的中标人，下同）由于自身的资金、技术、质量、非不可抗力等原因给发包人（即招标阶段的招标人，下同）造成经济损失，发包人有权扣划相应金额的履约保证。</w:t>
      </w:r>
    </w:p>
    <w:p w14:paraId="6AE92E6D">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p>
    <w:p w14:paraId="4E778795">
      <w:pPr>
        <w:pStyle w:val="4"/>
        <w:bidi w:val="0"/>
        <w:spacing w:line="360" w:lineRule="auto"/>
        <w:rPr>
          <w:rFonts w:hint="eastAsia"/>
          <w:color w:val="auto"/>
          <w:highlight w:val="none"/>
        </w:rPr>
      </w:pPr>
      <w:bookmarkStart w:id="174" w:name="_Toc9821"/>
      <w:r>
        <w:rPr>
          <w:rFonts w:hint="eastAsia"/>
          <w:color w:val="auto"/>
          <w:highlight w:val="none"/>
        </w:rPr>
        <w:t>4．合同订立</w:t>
      </w:r>
      <w:bookmarkEnd w:id="174"/>
    </w:p>
    <w:p w14:paraId="7585DDEA">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4.1</w:t>
      </w:r>
      <w:r>
        <w:rPr>
          <w:rFonts w:hint="eastAsia" w:ascii="宋体" w:hAnsi="宋体" w:eastAsia="宋体" w:cs="宋体"/>
          <w:snapToGrid w:val="0"/>
          <w:color w:val="auto"/>
          <w:kern w:val="0"/>
          <w:highlight w:val="none"/>
        </w:rPr>
        <w:t xml:space="preserve"> 招标人应当自中标通知书发出之日起</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u w:val="single"/>
          <w:lang w:val="en-US" w:eastAsia="zh-CN"/>
        </w:rPr>
        <w:t>30</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日内，按照招标文件、中标人的投标文件与中标人订立书面合同。</w:t>
      </w:r>
    </w:p>
    <w:p w14:paraId="500B5C5E">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w:t>
      </w:r>
      <w:r>
        <w:rPr>
          <w:rFonts w:hint="eastAsia" w:ascii="宋体" w:hAnsi="宋体" w:eastAsia="宋体" w:cs="宋体"/>
          <w:snapToGrid w:val="0"/>
          <w:color w:val="auto"/>
          <w:kern w:val="0"/>
          <w:highlight w:val="none"/>
        </w:rPr>
        <w:t xml:space="preserve"> 不正常报价的梳理和确认</w:t>
      </w:r>
    </w:p>
    <w:p w14:paraId="3C6E33DB">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4.2.1</w:t>
      </w:r>
      <w:r>
        <w:rPr>
          <w:rFonts w:hint="eastAsia" w:ascii="宋体" w:hAnsi="宋体" w:eastAsia="宋体" w:cs="宋体"/>
          <w:snapToGrid w:val="0"/>
          <w:color w:val="auto"/>
          <w:kern w:val="0"/>
          <w:highlight w:val="none"/>
        </w:rPr>
        <w:t xml:space="preserve"> </w:t>
      </w:r>
      <w:r>
        <w:rPr>
          <w:rFonts w:hint="eastAsia" w:ascii="宋体" w:hAnsi="宋体" w:eastAsia="宋体" w:cs="宋体"/>
          <w:b/>
          <w:bCs/>
          <w:snapToGrid w:val="0"/>
          <w:color w:val="auto"/>
          <w:kern w:val="0"/>
          <w:highlight w:val="none"/>
        </w:rPr>
        <w:t>合同订立期间，在不改变中标人的投标总价的前提下，招标人应对中标人的投标报价进行全面分析和整理，从而发现并提取其中可能存在的算术性错误、错漏项、不平衡报价等不正常报价，并修正其中的算术性错误。</w:t>
      </w:r>
      <w:r>
        <w:rPr>
          <w:rFonts w:hint="eastAsia" w:ascii="宋体" w:hAnsi="宋体" w:eastAsia="宋体" w:cs="宋体"/>
          <w:snapToGrid w:val="0"/>
          <w:color w:val="auto"/>
          <w:kern w:val="0"/>
          <w:highlight w:val="none"/>
        </w:rPr>
        <w:t>招标人不具备以上能力的，可授权编制本项目</w:t>
      </w:r>
      <w:r>
        <w:rPr>
          <w:rFonts w:hint="eastAsia" w:hAnsi="宋体" w:cs="宋体"/>
          <w:snapToGrid w:val="0"/>
          <w:color w:val="auto"/>
          <w:kern w:val="0"/>
          <w:highlight w:val="none"/>
          <w:lang w:eastAsia="zh-CN"/>
        </w:rPr>
        <w:t>最高投标限价</w:t>
      </w:r>
      <w:r>
        <w:rPr>
          <w:rFonts w:hint="eastAsia" w:ascii="宋体" w:hAnsi="宋体" w:eastAsia="宋体" w:cs="宋体"/>
          <w:snapToGrid w:val="0"/>
          <w:color w:val="auto"/>
          <w:kern w:val="0"/>
          <w:highlight w:val="none"/>
        </w:rPr>
        <w:t>的造价咨询单位实施。</w:t>
      </w:r>
    </w:p>
    <w:p w14:paraId="6558B3A6">
      <w:pPr>
        <w:wordWrap w:val="0"/>
        <w:adjustRightInd w:val="0"/>
        <w:snapToGrid w:val="0"/>
        <w:spacing w:line="360" w:lineRule="auto"/>
        <w:ind w:firstLine="48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4.2.2</w:t>
      </w:r>
      <w:r>
        <w:rPr>
          <w:rFonts w:hint="eastAsia" w:ascii="宋体" w:hAnsi="宋体" w:eastAsia="宋体" w:cs="宋体"/>
          <w:snapToGrid w:val="0"/>
          <w:color w:val="auto"/>
          <w:kern w:val="0"/>
          <w:highlight w:val="none"/>
        </w:rPr>
        <w:t xml:space="preserve"> 算术性错误的分析和修正。投标报价汇总表中，投标总价与各分项费用之和不一致的，以投标总价为准修正分项费用；投标报价汇总表的各分项费用与对应分项表中的费用不一致的，以投标报价汇总表中的分项费用为准修正对应分项表中的费用；各分项表中总价金额与依据单价计算出的结果不一致的，以总价为准修正单价。</w:t>
      </w:r>
    </w:p>
    <w:p w14:paraId="702E453C">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4.2.3</w:t>
      </w:r>
      <w:r>
        <w:rPr>
          <w:rFonts w:hint="eastAsia" w:ascii="宋体" w:hAnsi="宋体" w:eastAsia="宋体" w:cs="宋体"/>
          <w:snapToGrid w:val="0"/>
          <w:color w:val="auto"/>
          <w:kern w:val="0"/>
          <w:highlight w:val="none"/>
        </w:rPr>
        <w:t xml:space="preserve"> 错漏项的认定。中标人已标价工程量清单中，任一清单项目未填报价格或价格为零的，视为错漏项。</w:t>
      </w:r>
    </w:p>
    <w:p w14:paraId="7D05A169">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4.2.4</w:t>
      </w:r>
      <w:r>
        <w:rPr>
          <w:rFonts w:hint="eastAsia" w:ascii="宋体" w:hAnsi="宋体" w:eastAsia="宋体" w:cs="宋体"/>
          <w:snapToGrid w:val="0"/>
          <w:color w:val="auto"/>
          <w:kern w:val="0"/>
          <w:highlight w:val="none"/>
        </w:rPr>
        <w:t xml:space="preserve"> 不平衡报价的认定。经修正算术性错误后的中标人已标价工程量清单中，</w:t>
      </w:r>
      <w:r>
        <w:rPr>
          <w:rFonts w:hint="eastAsia" w:ascii="宋体" w:hAnsi="宋体" w:eastAsia="宋体" w:cs="宋体"/>
          <w:b/>
          <w:bCs/>
          <w:snapToGrid w:val="0"/>
          <w:color w:val="auto"/>
          <w:kern w:val="0"/>
          <w:highlight w:val="none"/>
          <w:u w:val="single"/>
        </w:rPr>
        <w:t>分部分项工程量清单项目的投标综合单价与</w:t>
      </w:r>
      <w:r>
        <w:rPr>
          <w:rFonts w:hint="eastAsia" w:hAnsi="宋体" w:cs="宋体"/>
          <w:b/>
          <w:bCs/>
          <w:snapToGrid w:val="0"/>
          <w:color w:val="auto"/>
          <w:kern w:val="0"/>
          <w:highlight w:val="none"/>
          <w:u w:val="single"/>
          <w:lang w:eastAsia="zh-CN"/>
        </w:rPr>
        <w:t>最高投标限价</w:t>
      </w:r>
      <w:r>
        <w:rPr>
          <w:rFonts w:hint="eastAsia" w:ascii="宋体" w:hAnsi="宋体" w:eastAsia="宋体" w:cs="宋体"/>
          <w:b/>
          <w:bCs/>
          <w:snapToGrid w:val="0"/>
          <w:color w:val="auto"/>
          <w:kern w:val="0"/>
          <w:highlight w:val="none"/>
          <w:u w:val="single"/>
        </w:rPr>
        <w:t>分部分项工程量清单项目的综合单价偏差≥20%</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的清单项目，视为不平衡报价项目。</w:t>
      </w:r>
    </w:p>
    <w:p w14:paraId="7E277DD2">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4.2.5</w:t>
      </w:r>
      <w:r>
        <w:rPr>
          <w:rFonts w:hint="eastAsia" w:ascii="宋体" w:hAnsi="宋体" w:eastAsia="宋体" w:cs="宋体"/>
          <w:snapToGrid w:val="0"/>
          <w:color w:val="auto"/>
          <w:kern w:val="0"/>
          <w:highlight w:val="none"/>
        </w:rPr>
        <w:t xml:space="preserve"> 招标人或其授权的造价咨询单位应就发现的以上所有不正常报价分类整理、汇总，形成《不正常报价清单》，并交中标人复核和确认。经招标人和中标人共同签字、盖章确认的《不正常报价清单》，构成施工合同的组成部分。</w:t>
      </w:r>
    </w:p>
    <w:p w14:paraId="78F778E1">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4.2.6</w:t>
      </w:r>
      <w:r>
        <w:rPr>
          <w:rFonts w:hint="eastAsia" w:ascii="宋体" w:hAnsi="宋体" w:eastAsia="宋体" w:cs="宋体"/>
          <w:snapToGrid w:val="0"/>
          <w:color w:val="auto"/>
          <w:kern w:val="0"/>
          <w:highlight w:val="none"/>
        </w:rPr>
        <w:t xml:space="preserve"> </w:t>
      </w:r>
      <w:r>
        <w:rPr>
          <w:rFonts w:hint="eastAsia" w:ascii="宋体" w:hAnsi="宋体" w:eastAsia="宋体" w:cs="宋体"/>
          <w:b/>
          <w:bCs/>
          <w:snapToGrid w:val="0"/>
          <w:color w:val="auto"/>
          <w:kern w:val="0"/>
          <w:highlight w:val="none"/>
        </w:rPr>
        <w:t>合同履行过程中，被认定为错漏项的清单项目，结算时按照第三章“拟签订合同的主要条款”第2.6条规定处理。</w:t>
      </w:r>
    </w:p>
    <w:p w14:paraId="558AD17B">
      <w:pPr>
        <w:wordWrap w:val="0"/>
        <w:adjustRightInd w:val="0"/>
        <w:snapToGrid w:val="0"/>
        <w:spacing w:line="360" w:lineRule="auto"/>
        <w:ind w:firstLine="482" w:firstLineChars="200"/>
        <w:rPr>
          <w:rFonts w:hint="eastAsia" w:ascii="宋体" w:hAnsi="宋体" w:eastAsia="宋体" w:cs="宋体"/>
          <w:b/>
          <w:bCs/>
          <w:snapToGrid w:val="0"/>
          <w:color w:val="auto"/>
          <w:kern w:val="0"/>
          <w:highlight w:val="none"/>
        </w:rPr>
      </w:pPr>
      <w:r>
        <w:rPr>
          <w:rFonts w:hint="eastAsia" w:ascii="宋体" w:hAnsi="宋体" w:eastAsia="宋体" w:cs="宋体"/>
          <w:b/>
          <w:bCs/>
          <w:snapToGrid w:val="0"/>
          <w:color w:val="auto"/>
          <w:kern w:val="0"/>
          <w:highlight w:val="none"/>
        </w:rPr>
        <w:t>4.2.7 合同履行过程中，合同约定的调整因素（如工程量偏差、工程变更、项目特征不符、招标工程量清单缺项等）出现时，被认定为不平衡报价的清单项目以及采用被认定为不平衡报价的清单项目的价格作为取价（或参照取价）依据的变更、新增项目，按照第三章“拟签订合同的主要条款”第2.3条的有关规定调整合同价款。</w:t>
      </w:r>
    </w:p>
    <w:p w14:paraId="0C9C79C6">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 xml:space="preserve">4.3 </w:t>
      </w:r>
      <w:r>
        <w:rPr>
          <w:rFonts w:hint="eastAsia" w:ascii="宋体" w:hAnsi="宋体" w:eastAsia="宋体" w:cs="宋体"/>
          <w:snapToGrid w:val="0"/>
          <w:color w:val="auto"/>
          <w:kern w:val="0"/>
          <w:highlight w:val="none"/>
        </w:rPr>
        <w:t>本招标项目合同计价方式为：</w:t>
      </w:r>
      <w:r>
        <w:rPr>
          <w:rFonts w:hint="eastAsia" w:ascii="宋体" w:hAnsi="宋体" w:eastAsia="宋体" w:cs="宋体"/>
          <w:snapToGrid w:val="0"/>
          <w:color w:val="auto"/>
          <w:kern w:val="0"/>
          <w:highlight w:val="none"/>
          <w:u w:val="single"/>
        </w:rPr>
        <w:t xml:space="preserve"> 单价 </w:t>
      </w:r>
      <w:r>
        <w:rPr>
          <w:rFonts w:hint="eastAsia" w:ascii="宋体" w:hAnsi="宋体" w:eastAsia="宋体" w:cs="宋体"/>
          <w:snapToGrid w:val="0"/>
          <w:color w:val="auto"/>
          <w:kern w:val="0"/>
          <w:highlight w:val="none"/>
        </w:rPr>
        <w:t>合同。</w:t>
      </w:r>
    </w:p>
    <w:p w14:paraId="519978E4">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4.4</w:t>
      </w:r>
      <w:r>
        <w:rPr>
          <w:rFonts w:hint="eastAsia" w:ascii="宋体" w:hAnsi="宋体" w:eastAsia="宋体" w:cs="宋体"/>
          <w:snapToGrid w:val="0"/>
          <w:color w:val="auto"/>
          <w:kern w:val="0"/>
          <w:highlight w:val="none"/>
        </w:rPr>
        <w:t xml:space="preserve"> 合同的标的、质量、履行期限条款和合同的价款、单价、比例条款等主要条款，应当与招标文件、中标人的投标文件的内容一致。中标人在签订合同时不得向招标人提出附加条件。</w:t>
      </w:r>
    </w:p>
    <w:p w14:paraId="2A640E25">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4.5</w:t>
      </w:r>
      <w:r>
        <w:rPr>
          <w:rFonts w:hint="eastAsia" w:ascii="宋体" w:hAnsi="宋体" w:eastAsia="宋体" w:cs="宋体"/>
          <w:snapToGrid w:val="0"/>
          <w:color w:val="auto"/>
          <w:kern w:val="0"/>
          <w:highlight w:val="none"/>
        </w:rPr>
        <w:t xml:space="preserve"> 若中标人在领取中标通知书之日起30天内仍未签订合同，招标人发出第一次提醒函；在领取中标通知书之日起40天内仍未签订，招标人发出第二次提醒函；在领取中标通知书之日起45天内仍未签订，视其放弃中标。</w:t>
      </w:r>
    </w:p>
    <w:p w14:paraId="66A55A2C">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4.6</w:t>
      </w:r>
      <w:r>
        <w:rPr>
          <w:rFonts w:hint="eastAsia" w:ascii="宋体" w:hAnsi="宋体" w:eastAsia="宋体" w:cs="宋体"/>
          <w:snapToGrid w:val="0"/>
          <w:color w:val="auto"/>
          <w:kern w:val="0"/>
          <w:highlight w:val="none"/>
        </w:rPr>
        <w:t xml:space="preserve"> 在书面合同订立之日起2个工作日内，由中标人或招标</w:t>
      </w:r>
      <w:r>
        <w:rPr>
          <w:rFonts w:hint="eastAsia" w:hAnsi="宋体" w:cs="宋体"/>
          <w:snapToGrid w:val="0"/>
          <w:color w:val="auto"/>
          <w:kern w:val="0"/>
          <w:highlight w:val="none"/>
          <w:lang w:val="en-US" w:eastAsia="zh-CN"/>
        </w:rPr>
        <w:t>人</w:t>
      </w:r>
      <w:r>
        <w:rPr>
          <w:rFonts w:hint="eastAsia" w:ascii="宋体" w:hAnsi="宋体" w:eastAsia="宋体" w:cs="宋体"/>
          <w:snapToGrid w:val="0"/>
          <w:color w:val="auto"/>
          <w:kern w:val="0"/>
          <w:highlight w:val="none"/>
        </w:rPr>
        <w:t>将合同上传至建设工程交易系统，并发起退还投标保证的申请。韶关市公共资源交易中心在收到申请之日起3个工作日内，将投标保证金退还给中标人和其他中标候选人。</w:t>
      </w:r>
    </w:p>
    <w:p w14:paraId="43C8D710">
      <w:pPr>
        <w:wordWrap w:val="0"/>
        <w:adjustRightInd w:val="0"/>
        <w:snapToGrid w:val="0"/>
        <w:spacing w:line="360" w:lineRule="auto"/>
        <w:ind w:firstLine="482" w:firstLineChars="200"/>
        <w:rPr>
          <w:rFonts w:hint="eastAsia" w:ascii="宋体" w:hAnsi="宋体" w:eastAsia="宋体" w:cs="宋体"/>
          <w:b/>
          <w:bCs/>
          <w:snapToGrid w:val="0"/>
          <w:color w:val="auto"/>
          <w:kern w:val="0"/>
          <w:highlight w:val="none"/>
        </w:rPr>
      </w:pPr>
    </w:p>
    <w:p w14:paraId="4375DFA1">
      <w:pPr>
        <w:pStyle w:val="4"/>
        <w:bidi w:val="0"/>
        <w:spacing w:line="360" w:lineRule="auto"/>
        <w:ind w:firstLine="964"/>
        <w:rPr>
          <w:rFonts w:hint="eastAsia" w:ascii="宋体" w:hAnsi="宋体" w:eastAsia="宋体" w:cs="Times New Roman"/>
          <w:color w:val="auto"/>
          <w:highlight w:val="none"/>
        </w:rPr>
      </w:pPr>
      <w:bookmarkStart w:id="175" w:name="_Toc6695"/>
      <w:r>
        <w:rPr>
          <w:rFonts w:hint="eastAsia" w:ascii="宋体" w:hAnsi="宋体" w:eastAsia="宋体" w:cs="Times New Roman"/>
          <w:color w:val="auto"/>
          <w:highlight w:val="none"/>
        </w:rPr>
        <w:t>5．放弃中标的处理</w:t>
      </w:r>
      <w:bookmarkEnd w:id="175"/>
    </w:p>
    <w:p w14:paraId="729A45A3">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5.1</w:t>
      </w:r>
      <w:r>
        <w:rPr>
          <w:rFonts w:hint="eastAsia" w:ascii="宋体" w:hAnsi="宋体" w:eastAsia="宋体" w:cs="宋体"/>
          <w:snapToGrid w:val="0"/>
          <w:color w:val="auto"/>
          <w:kern w:val="0"/>
          <w:highlight w:val="none"/>
        </w:rPr>
        <w:t xml:space="preserve"> 中标人</w:t>
      </w:r>
      <w:r>
        <w:rPr>
          <w:rFonts w:hint="eastAsia" w:ascii="宋体" w:hAnsi="宋体" w:eastAsia="宋体" w:cs="宋体"/>
          <w:snapToGrid w:val="0"/>
          <w:color w:val="auto"/>
          <w:highlight w:val="none"/>
        </w:rPr>
        <w:t>无正当理由放弃中标的，</w:t>
      </w:r>
      <w:r>
        <w:rPr>
          <w:rFonts w:hint="eastAsia" w:ascii="宋体" w:hAnsi="宋体" w:eastAsia="宋体" w:cs="宋体"/>
          <w:snapToGrid w:val="0"/>
          <w:color w:val="auto"/>
          <w:kern w:val="0"/>
          <w:highlight w:val="none"/>
        </w:rPr>
        <w:t>取消其中标资格，其投标保证不予退还，给招标人造成的损失超过投标保证金额的，弃标人还应当对超过部分予以赔偿。招标人可按照评标委员会提交的中标候选人名单排序依次确定其他中标候选人为中标人，如果招标人认为其他中标候选人的条件明显不利于招标人的，也可以重新招标。</w:t>
      </w:r>
      <w:r>
        <w:rPr>
          <w:rFonts w:hint="eastAsia" w:ascii="宋体" w:hAnsi="宋体" w:eastAsia="宋体" w:cs="宋体"/>
          <w:bCs/>
          <w:snapToGrid w:val="0"/>
          <w:color w:val="auto"/>
          <w:kern w:val="0"/>
          <w:highlight w:val="none"/>
        </w:rPr>
        <w:t>因此种情况造成招标人重新招标的</w:t>
      </w:r>
      <w:r>
        <w:rPr>
          <w:rFonts w:hint="eastAsia" w:ascii="宋体" w:hAnsi="宋体" w:eastAsia="宋体" w:cs="宋体"/>
          <w:snapToGrid w:val="0"/>
          <w:color w:val="auto"/>
          <w:kern w:val="0"/>
          <w:highlight w:val="none"/>
        </w:rPr>
        <w:t>，招标人可不接受该弃标人再次投标。同时，招标人应将该弃标人的失信行为向行政监督部门报告。</w:t>
      </w:r>
    </w:p>
    <w:p w14:paraId="17489473">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5.2</w:t>
      </w:r>
      <w:r>
        <w:rPr>
          <w:rFonts w:hint="eastAsia" w:ascii="宋体" w:hAnsi="宋体" w:eastAsia="宋体" w:cs="宋体"/>
          <w:snapToGrid w:val="0"/>
          <w:color w:val="auto"/>
          <w:kern w:val="0"/>
          <w:highlight w:val="none"/>
        </w:rPr>
        <w:t xml:space="preserve"> 中标人因不可抗力提出不能履行合同的，须在领取中标通知书之日起10天内提供有关证明文件或资料，其投标保证予以退还，招标人可按照评标委员会提出的中标候选人名单排序依次确定其他中标候选人为中标人。如果招标人认为其他中标候选人的条件明显不利于招标人的，也可以重新招标。</w:t>
      </w:r>
    </w:p>
    <w:p w14:paraId="20E97176">
      <w:pPr>
        <w:pStyle w:val="147"/>
        <w:keepNext w:val="0"/>
        <w:keepLines w:val="0"/>
        <w:pageBreakBefore w:val="0"/>
        <w:widowControl/>
        <w:kinsoku/>
        <w:wordWrap/>
        <w:overflowPunct/>
        <w:topLinePunct w:val="0"/>
        <w:autoSpaceDE/>
        <w:autoSpaceDN/>
        <w:bidi w:val="0"/>
        <w:adjustRightInd/>
        <w:spacing w:line="360" w:lineRule="auto"/>
        <w:ind w:firstLine="470" w:firstLineChars="0"/>
        <w:textAlignment w:val="auto"/>
        <w:rPr>
          <w:rFonts w:hint="eastAsia" w:ascii="宋体" w:hAnsi="宋体" w:cs="宋体"/>
          <w:b/>
          <w:bCs/>
          <w:color w:val="auto"/>
          <w:kern w:val="2"/>
          <w:sz w:val="24"/>
          <w:szCs w:val="24"/>
          <w:highlight w:val="none"/>
          <w:shd w:val="clear" w:color="auto" w:fill="FFFFFF"/>
          <w:lang w:val="en-US" w:eastAsia="zh-CN" w:bidi="ar-SA"/>
        </w:rPr>
      </w:pPr>
    </w:p>
    <w:p w14:paraId="3D634CEF">
      <w:pPr>
        <w:pStyle w:val="147"/>
        <w:keepNext w:val="0"/>
        <w:keepLines w:val="0"/>
        <w:pageBreakBefore w:val="0"/>
        <w:widowControl/>
        <w:kinsoku/>
        <w:wordWrap/>
        <w:overflowPunct/>
        <w:topLinePunct w:val="0"/>
        <w:autoSpaceDE/>
        <w:autoSpaceDN/>
        <w:bidi w:val="0"/>
        <w:adjustRightInd/>
        <w:spacing w:line="360" w:lineRule="auto"/>
        <w:ind w:firstLine="470" w:firstLineChars="0"/>
        <w:textAlignment w:val="auto"/>
        <w:rPr>
          <w:rFonts w:hint="default" w:ascii="宋体" w:hAnsi="宋体" w:eastAsia="宋体" w:cs="宋体"/>
          <w:color w:val="auto"/>
          <w:kern w:val="2"/>
          <w:sz w:val="24"/>
          <w:szCs w:val="24"/>
          <w:highlight w:val="none"/>
          <w:shd w:val="clear" w:color="auto" w:fill="FFFFFF"/>
          <w:lang w:val="en-US" w:eastAsia="zh-CN" w:bidi="ar-SA"/>
        </w:rPr>
      </w:pPr>
      <w:r>
        <w:rPr>
          <w:rFonts w:hint="eastAsia" w:ascii="宋体" w:hAnsi="宋体" w:cs="宋体"/>
          <w:b/>
          <w:bCs/>
          <w:color w:val="auto"/>
          <w:kern w:val="2"/>
          <w:sz w:val="24"/>
          <w:szCs w:val="24"/>
          <w:highlight w:val="none"/>
          <w:shd w:val="clear" w:color="auto" w:fill="FFFFFF"/>
          <w:lang w:val="en-US" w:eastAsia="zh-CN" w:bidi="ar-SA"/>
        </w:rPr>
        <w:t>6.</w:t>
      </w:r>
      <w:r>
        <w:rPr>
          <w:rFonts w:hint="eastAsia" w:ascii="宋体" w:hAnsi="宋体" w:cs="宋体"/>
          <w:b w:val="0"/>
          <w:bCs w:val="0"/>
          <w:color w:val="auto"/>
          <w:kern w:val="2"/>
          <w:sz w:val="24"/>
          <w:szCs w:val="24"/>
          <w:highlight w:val="none"/>
          <w:shd w:val="clear" w:color="auto" w:fill="FFFFFF"/>
          <w:lang w:val="en-US" w:eastAsia="zh-CN" w:bidi="ar-SA"/>
        </w:rPr>
        <w:t>招标代理费及评标专家酬劳的支付：本项目的招标代理服务费和评标专家酬劳全部由中标人支付，该费用不再另行报价，由投标人在投标报价时综合考虑在内。招标代理费根据《招标代理服务收费管理暂行办法》（计价格[2002]1980号），以该项目最终中标价为计算基础并下浮25%后计算。</w:t>
      </w:r>
    </w:p>
    <w:p w14:paraId="5A30A767">
      <w:pPr>
        <w:pStyle w:val="147"/>
        <w:keepNext w:val="0"/>
        <w:keepLines w:val="0"/>
        <w:pageBreakBefore w:val="0"/>
        <w:widowControl/>
        <w:kinsoku/>
        <w:wordWrap/>
        <w:overflowPunct/>
        <w:topLinePunct w:val="0"/>
        <w:autoSpaceDE/>
        <w:autoSpaceDN/>
        <w:bidi w:val="0"/>
        <w:adjustRightInd/>
        <w:spacing w:line="360" w:lineRule="auto"/>
        <w:ind w:firstLine="470" w:firstLineChars="0"/>
        <w:textAlignment w:val="auto"/>
        <w:rPr>
          <w:rFonts w:hint="default" w:ascii="宋体" w:hAnsi="宋体" w:eastAsia="宋体" w:cs="宋体"/>
          <w:color w:val="auto"/>
          <w:kern w:val="2"/>
          <w:sz w:val="24"/>
          <w:szCs w:val="24"/>
          <w:highlight w:val="none"/>
          <w:shd w:val="clear" w:color="auto" w:fill="FFFFFF"/>
          <w:lang w:val="en-US" w:eastAsia="zh-CN" w:bidi="ar-SA"/>
        </w:rPr>
      </w:pPr>
    </w:p>
    <w:p w14:paraId="0E39B07B">
      <w:pPr>
        <w:rPr>
          <w:rFonts w:hint="eastAsia" w:ascii="宋体" w:hAnsi="宋体" w:eastAsia="宋体" w:cs="宋体"/>
          <w:b/>
          <w:snapToGrid w:val="0"/>
          <w:color w:val="auto"/>
          <w:sz w:val="24"/>
          <w:highlight w:val="none"/>
          <w:lang w:val="en-US" w:eastAsia="zh-CN"/>
        </w:rPr>
      </w:pPr>
      <w:bookmarkStart w:id="176" w:name="_Toc24436"/>
      <w:r>
        <w:rPr>
          <w:rFonts w:hint="eastAsia" w:ascii="宋体" w:hAnsi="宋体" w:eastAsia="宋体" w:cs="宋体"/>
          <w:b/>
          <w:snapToGrid w:val="0"/>
          <w:color w:val="auto"/>
          <w:sz w:val="24"/>
          <w:highlight w:val="none"/>
          <w:lang w:val="en-US" w:eastAsia="zh-CN"/>
        </w:rPr>
        <w:br w:type="page"/>
      </w:r>
    </w:p>
    <w:p w14:paraId="040426AF">
      <w:pPr>
        <w:pStyle w:val="2"/>
        <w:wordWrap w:val="0"/>
        <w:autoSpaceDE/>
        <w:autoSpaceDN/>
        <w:snapToGrid w:val="0"/>
        <w:spacing w:line="440" w:lineRule="exact"/>
        <w:jc w:val="center"/>
        <w:rPr>
          <w:rFonts w:hint="eastAsia" w:ascii="宋体" w:hAnsi="宋体" w:eastAsia="宋体" w:cs="宋体"/>
          <w:b/>
          <w:snapToGrid w:val="0"/>
          <w:color w:val="auto"/>
          <w:sz w:val="24"/>
          <w:highlight w:val="none"/>
          <w:lang w:val="en-US" w:eastAsia="zh-CN"/>
        </w:rPr>
      </w:pPr>
      <w:r>
        <w:rPr>
          <w:rFonts w:hint="eastAsia" w:ascii="宋体" w:hAnsi="宋体" w:eastAsia="宋体" w:cs="宋体"/>
          <w:b/>
          <w:snapToGrid w:val="0"/>
          <w:color w:val="auto"/>
          <w:sz w:val="24"/>
          <w:highlight w:val="none"/>
          <w:lang w:val="en-US" w:eastAsia="zh-CN"/>
        </w:rPr>
        <w:t>第三章</w:t>
      </w:r>
      <w:bookmarkStart w:id="177" w:name="_Hlt87793831"/>
      <w:bookmarkEnd w:id="177"/>
      <w:r>
        <w:rPr>
          <w:rFonts w:hint="eastAsia" w:ascii="宋体" w:hAnsi="宋体" w:eastAsia="宋体" w:cs="宋体"/>
          <w:b/>
          <w:snapToGrid w:val="0"/>
          <w:color w:val="auto"/>
          <w:sz w:val="24"/>
          <w:highlight w:val="none"/>
          <w:lang w:val="en-US" w:eastAsia="zh-CN"/>
        </w:rPr>
        <w:t xml:space="preserve"> 拟签订合同的主要条款</w:t>
      </w:r>
      <w:bookmarkEnd w:id="166"/>
      <w:bookmarkEnd w:id="167"/>
      <w:bookmarkEnd w:id="176"/>
    </w:p>
    <w:bookmarkEnd w:id="168"/>
    <w:bookmarkEnd w:id="169"/>
    <w:p w14:paraId="311BC8F6">
      <w:pPr>
        <w:pStyle w:val="3"/>
        <w:wordWrap w:val="0"/>
        <w:autoSpaceDE/>
        <w:autoSpaceDN/>
        <w:snapToGrid w:val="0"/>
        <w:spacing w:line="440" w:lineRule="exact"/>
        <w:ind w:firstLine="480"/>
        <w:jc w:val="both"/>
        <w:rPr>
          <w:rFonts w:hint="eastAsia" w:ascii="宋体" w:hAnsi="宋体" w:eastAsia="宋体" w:cs="宋体"/>
          <w:b/>
          <w:snapToGrid w:val="0"/>
          <w:color w:val="auto"/>
          <w:highlight w:val="none"/>
        </w:rPr>
      </w:pPr>
      <w:bookmarkStart w:id="178" w:name="_Toc322793288"/>
      <w:bookmarkStart w:id="179" w:name="_Toc2688"/>
      <w:bookmarkStart w:id="180" w:name="_Toc326916629"/>
    </w:p>
    <w:p w14:paraId="7B3F3A34">
      <w:pPr>
        <w:pStyle w:val="4"/>
        <w:bidi w:val="0"/>
        <w:ind w:firstLine="964"/>
        <w:rPr>
          <w:rFonts w:hint="eastAsia" w:ascii="宋体" w:hAnsi="宋体" w:eastAsia="宋体" w:cs="宋体"/>
          <w:color w:val="auto"/>
          <w:highlight w:val="none"/>
        </w:rPr>
      </w:pPr>
      <w:bookmarkStart w:id="181" w:name="_Toc12150"/>
      <w:bookmarkStart w:id="182" w:name="_Toc17021"/>
      <w:bookmarkStart w:id="183" w:name="_Toc28441"/>
      <w:r>
        <w:rPr>
          <w:rFonts w:hint="eastAsia" w:ascii="宋体" w:hAnsi="宋体" w:eastAsia="宋体" w:cs="宋体"/>
          <w:color w:val="auto"/>
          <w:highlight w:val="none"/>
        </w:rPr>
        <w:t>1．工程承包方式</w:t>
      </w:r>
      <w:bookmarkEnd w:id="178"/>
      <w:bookmarkEnd w:id="179"/>
      <w:bookmarkEnd w:id="180"/>
      <w:bookmarkEnd w:id="181"/>
      <w:bookmarkEnd w:id="182"/>
      <w:bookmarkEnd w:id="183"/>
    </w:p>
    <w:p w14:paraId="207CD343">
      <w:pPr>
        <w:wordWrap w:val="0"/>
        <w:adjustRightInd w:val="0"/>
        <w:snapToGrid w:val="0"/>
        <w:spacing w:line="440" w:lineRule="exact"/>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1.1</w:t>
      </w:r>
      <w:r>
        <w:rPr>
          <w:rFonts w:hint="eastAsia" w:ascii="宋体" w:hAnsi="宋体" w:eastAsia="宋体" w:cs="宋体"/>
          <w:snapToGrid w:val="0"/>
          <w:color w:val="auto"/>
          <w:kern w:val="0"/>
          <w:highlight w:val="none"/>
        </w:rPr>
        <w:t xml:space="preserve"> 承包人以中标价按包工</w:t>
      </w:r>
      <w:bookmarkStart w:id="184" w:name="_Hlt87948212"/>
      <w:bookmarkEnd w:id="184"/>
      <w:r>
        <w:rPr>
          <w:rFonts w:hint="eastAsia" w:ascii="宋体" w:hAnsi="宋体" w:eastAsia="宋体" w:cs="宋体"/>
          <w:snapToGrid w:val="0"/>
          <w:color w:val="auto"/>
          <w:kern w:val="0"/>
          <w:highlight w:val="none"/>
        </w:rPr>
        <w:t>包料、包质量、包安全包文明施工、包工期方式总承包施工，不允许转包和违法分包，如果确需分包须与发包人协商，在得到发包人和监理单位同意后报建设行政主管部门备案。</w:t>
      </w:r>
    </w:p>
    <w:p w14:paraId="07862F77">
      <w:pPr>
        <w:wordWrap w:val="0"/>
        <w:adjustRightInd w:val="0"/>
        <w:snapToGrid w:val="0"/>
        <w:spacing w:line="440" w:lineRule="exact"/>
        <w:ind w:firstLine="56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1.1.1</w:t>
      </w:r>
      <w:r>
        <w:rPr>
          <w:rFonts w:hint="eastAsia" w:ascii="宋体" w:hAnsi="宋体" w:eastAsia="宋体" w:cs="宋体"/>
          <w:snapToGrid w:val="0"/>
          <w:color w:val="auto"/>
          <w:kern w:val="0"/>
          <w:highlight w:val="none"/>
        </w:rPr>
        <w:t xml:space="preserve"> 包工包料：材料符合招标文件要求并报验使用；办理用工保险。</w:t>
      </w:r>
    </w:p>
    <w:p w14:paraId="3BACB0B2">
      <w:pPr>
        <w:wordWrap w:val="0"/>
        <w:adjustRightInd w:val="0"/>
        <w:snapToGrid w:val="0"/>
        <w:spacing w:line="440" w:lineRule="exact"/>
        <w:ind w:firstLine="56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1.1.2</w:t>
      </w:r>
      <w:r>
        <w:rPr>
          <w:rFonts w:hint="eastAsia" w:ascii="宋体" w:hAnsi="宋体" w:eastAsia="宋体" w:cs="宋体"/>
          <w:snapToGrid w:val="0"/>
          <w:color w:val="auto"/>
          <w:kern w:val="0"/>
          <w:highlight w:val="none"/>
        </w:rPr>
        <w:t xml:space="preserve"> 包质量：符合招标文件要求。</w:t>
      </w:r>
    </w:p>
    <w:p w14:paraId="6D745C9D">
      <w:pPr>
        <w:wordWrap w:val="0"/>
        <w:adjustRightInd w:val="0"/>
        <w:snapToGrid w:val="0"/>
        <w:spacing w:line="440" w:lineRule="exact"/>
        <w:ind w:firstLine="56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1.1.3</w:t>
      </w:r>
      <w:r>
        <w:rPr>
          <w:rFonts w:hint="eastAsia" w:ascii="宋体" w:hAnsi="宋体" w:eastAsia="宋体" w:cs="宋体"/>
          <w:snapToGrid w:val="0"/>
          <w:color w:val="auto"/>
          <w:kern w:val="0"/>
          <w:highlight w:val="none"/>
        </w:rPr>
        <w:t xml:space="preserve"> 包安全包文明施工：符合招标文件要求。</w:t>
      </w:r>
    </w:p>
    <w:p w14:paraId="5D39D0D9">
      <w:pPr>
        <w:wordWrap w:val="0"/>
        <w:adjustRightInd w:val="0"/>
        <w:snapToGrid w:val="0"/>
        <w:spacing w:line="440" w:lineRule="exact"/>
        <w:ind w:firstLine="56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 xml:space="preserve">1.1.4 </w:t>
      </w:r>
      <w:r>
        <w:rPr>
          <w:rFonts w:hint="eastAsia" w:ascii="宋体" w:hAnsi="宋体" w:eastAsia="宋体" w:cs="宋体"/>
          <w:snapToGrid w:val="0"/>
          <w:color w:val="auto"/>
          <w:kern w:val="0"/>
          <w:highlight w:val="none"/>
        </w:rPr>
        <w:t>包工期：本招标项目施工必须在招标工期内完成。</w:t>
      </w:r>
    </w:p>
    <w:p w14:paraId="21564866">
      <w:pPr>
        <w:wordWrap w:val="0"/>
        <w:adjustRightInd w:val="0"/>
        <w:snapToGrid w:val="0"/>
        <w:spacing w:line="440" w:lineRule="exact"/>
        <w:ind w:firstLine="560"/>
        <w:rPr>
          <w:rFonts w:hint="eastAsia" w:ascii="宋体" w:hAnsi="宋体" w:eastAsia="宋体" w:cs="宋体"/>
          <w:snapToGrid w:val="0"/>
          <w:color w:val="auto"/>
          <w:kern w:val="0"/>
          <w:highlight w:val="none"/>
        </w:rPr>
      </w:pPr>
    </w:p>
    <w:p w14:paraId="6DB5E88B">
      <w:pPr>
        <w:pStyle w:val="4"/>
        <w:bidi w:val="0"/>
        <w:ind w:firstLine="964"/>
        <w:rPr>
          <w:rFonts w:hint="eastAsia" w:ascii="宋体" w:hAnsi="宋体" w:eastAsia="宋体" w:cs="宋体"/>
          <w:color w:val="auto"/>
          <w:highlight w:val="none"/>
        </w:rPr>
      </w:pPr>
      <w:bookmarkStart w:id="185" w:name="_2、工程结算原则"/>
      <w:bookmarkEnd w:id="185"/>
      <w:bookmarkStart w:id="186" w:name="_Toc3107"/>
      <w:bookmarkStart w:id="187" w:name="_Toc27001"/>
      <w:bookmarkStart w:id="188" w:name="_Toc326916630"/>
      <w:bookmarkStart w:id="189" w:name="_Toc9168"/>
      <w:bookmarkStart w:id="190" w:name="_Toc21894"/>
      <w:bookmarkStart w:id="191" w:name="_Toc322793289"/>
      <w:bookmarkStart w:id="192" w:name="_Hlt87948447"/>
      <w:bookmarkStart w:id="193" w:name="_Hlt87948449"/>
      <w:r>
        <w:rPr>
          <w:rFonts w:hint="eastAsia" w:ascii="宋体" w:hAnsi="宋体" w:eastAsia="宋体" w:cs="宋体"/>
          <w:color w:val="auto"/>
          <w:highlight w:val="none"/>
        </w:rPr>
        <w:t>2．工程结算原则</w:t>
      </w:r>
      <w:bookmarkEnd w:id="186"/>
      <w:bookmarkEnd w:id="187"/>
      <w:bookmarkEnd w:id="188"/>
      <w:bookmarkEnd w:id="189"/>
      <w:bookmarkEnd w:id="190"/>
      <w:bookmarkEnd w:id="191"/>
    </w:p>
    <w:p w14:paraId="3B1C80AA">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bookmarkStart w:id="194" w:name="_Hlt88974053"/>
      <w:bookmarkEnd w:id="194"/>
      <w:r>
        <w:rPr>
          <w:rFonts w:hint="eastAsia" w:ascii="宋体" w:hAnsi="宋体" w:eastAsia="宋体" w:cs="宋体"/>
          <w:b/>
          <w:bCs/>
          <w:snapToGrid w:val="0"/>
          <w:color w:val="auto"/>
          <w:kern w:val="0"/>
          <w:szCs w:val="24"/>
          <w:highlight w:val="none"/>
        </w:rPr>
        <w:t>2.1</w:t>
      </w:r>
      <w:r>
        <w:rPr>
          <w:rFonts w:hint="eastAsia" w:ascii="宋体" w:hAnsi="宋体" w:eastAsia="宋体" w:cs="宋体"/>
          <w:snapToGrid w:val="0"/>
          <w:color w:val="auto"/>
          <w:kern w:val="0"/>
          <w:szCs w:val="24"/>
          <w:highlight w:val="none"/>
        </w:rPr>
        <w:t xml:space="preserve"> </w:t>
      </w:r>
      <w:r>
        <w:rPr>
          <w:rFonts w:hint="eastAsia" w:ascii="宋体" w:hAnsi="宋体" w:eastAsia="宋体" w:cs="宋体"/>
          <w:snapToGrid w:val="0"/>
          <w:color w:val="auto"/>
          <w:kern w:val="0"/>
          <w:highlight w:val="none"/>
        </w:rPr>
        <w:t>承包</w:t>
      </w:r>
      <w:r>
        <w:rPr>
          <w:rFonts w:hint="eastAsia" w:ascii="宋体" w:hAnsi="宋体" w:eastAsia="宋体" w:cs="宋体"/>
          <w:snapToGrid w:val="0"/>
          <w:color w:val="auto"/>
          <w:kern w:val="0"/>
          <w:szCs w:val="24"/>
          <w:highlight w:val="none"/>
        </w:rPr>
        <w:t>人的投标总价为中标价，即为签约合同价。</w:t>
      </w:r>
    </w:p>
    <w:p w14:paraId="0B6A5EF6">
      <w:pPr>
        <w:wordWrap w:val="0"/>
        <w:adjustRightInd w:val="0"/>
        <w:snapToGrid w:val="0"/>
        <w:spacing w:line="440" w:lineRule="exact"/>
        <w:ind w:firstLine="480"/>
        <w:rPr>
          <w:rFonts w:hint="eastAsia" w:ascii="宋体" w:hAnsi="宋体" w:eastAsia="宋体" w:cs="宋体"/>
          <w:color w:val="auto"/>
          <w:highlight w:val="none"/>
        </w:rPr>
      </w:pPr>
      <w:r>
        <w:rPr>
          <w:rFonts w:hint="eastAsia" w:ascii="宋体" w:hAnsi="宋体" w:eastAsia="宋体" w:cs="宋体"/>
          <w:b/>
          <w:bCs/>
          <w:snapToGrid w:val="0"/>
          <w:color w:val="auto"/>
          <w:kern w:val="0"/>
          <w:szCs w:val="24"/>
          <w:highlight w:val="none"/>
        </w:rPr>
        <w:t>2.2</w:t>
      </w:r>
      <w:r>
        <w:rPr>
          <w:rFonts w:hint="eastAsia" w:ascii="宋体" w:hAnsi="宋体" w:eastAsia="宋体" w:cs="宋体"/>
          <w:snapToGrid w:val="0"/>
          <w:color w:val="auto"/>
          <w:kern w:val="0"/>
          <w:szCs w:val="24"/>
          <w:highlight w:val="none"/>
        </w:rPr>
        <w:t xml:space="preserve"> 招标工程量清单标明的工程量是投标人投标报价的共同基础，竣工结算的工程量按</w:t>
      </w:r>
      <w:r>
        <w:rPr>
          <w:rFonts w:hint="eastAsia" w:hAnsi="宋体" w:cs="宋体"/>
          <w:snapToGrid w:val="0"/>
          <w:color w:val="auto"/>
          <w:kern w:val="0"/>
          <w:sz w:val="24"/>
          <w:szCs w:val="24"/>
          <w:highlight w:val="none"/>
          <w:lang w:val="en-US" w:eastAsia="zh-CN"/>
        </w:rPr>
        <w:t>《建设工程工程量清单计价标准》(GB/T50500-2024)</w:t>
      </w:r>
      <w:r>
        <w:rPr>
          <w:rFonts w:hint="eastAsia" w:ascii="宋体" w:hAnsi="宋体" w:eastAsia="宋体" w:cs="宋体"/>
          <w:snapToGrid w:val="0"/>
          <w:color w:val="auto"/>
          <w:kern w:val="0"/>
          <w:szCs w:val="24"/>
          <w:highlight w:val="none"/>
        </w:rPr>
        <w:t>对工程计量的规定进行计量，必须以承包人完成合同工程应予计量的工程量确定。施工中进行工程计量，当发现招标工程量清单中出现缺项、工程量偏差、或因工程变更引起工程量增减时，应按承包人在履行合同义务中完成的工程量计算。因承包人原因造成的超出合同工程范围施工或返工的工程量，发包人不予计量。</w:t>
      </w:r>
    </w:p>
    <w:p w14:paraId="113F0888">
      <w:pPr>
        <w:spacing w:line="240" w:lineRule="auto"/>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w:t>
      </w:r>
      <w:r>
        <w:rPr>
          <w:rFonts w:hint="eastAsia" w:ascii="宋体" w:hAnsi="宋体" w:eastAsia="宋体" w:cs="宋体"/>
          <w:snapToGrid w:val="0"/>
          <w:color w:val="auto"/>
          <w:kern w:val="0"/>
          <w:szCs w:val="24"/>
          <w:highlight w:val="none"/>
        </w:rPr>
        <w:t xml:space="preserve"> 施工合同履行期间，若出现下列情形的，发、承包双方应当按照以下规定调整合同价款：</w:t>
      </w:r>
    </w:p>
    <w:p w14:paraId="3C4CC2D4">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2.3.1</w:t>
      </w:r>
      <w:r>
        <w:rPr>
          <w:rFonts w:hint="eastAsia" w:ascii="宋体" w:hAnsi="宋体" w:eastAsia="宋体" w:cs="宋体"/>
          <w:snapToGrid w:val="0"/>
          <w:color w:val="auto"/>
          <w:kern w:val="0"/>
          <w:szCs w:val="24"/>
          <w:highlight w:val="none"/>
        </w:rPr>
        <w:t xml:space="preserve"> 法律法规变化</w:t>
      </w:r>
    </w:p>
    <w:p w14:paraId="431CEA75">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2.3.1.1</w:t>
      </w:r>
      <w:r>
        <w:rPr>
          <w:rFonts w:hint="eastAsia" w:ascii="宋体" w:hAnsi="宋体" w:eastAsia="宋体" w:cs="宋体"/>
          <w:snapToGrid w:val="0"/>
          <w:color w:val="auto"/>
          <w:kern w:val="0"/>
          <w:szCs w:val="24"/>
          <w:highlight w:val="none"/>
        </w:rPr>
        <w:t xml:space="preserve"> 基准日之后，因国家法律、法规、规章和政策发生变化引起工程造价增减变化时，发、承包双方应按照省级建设主管部门（或省级行业主管部门）或其授权的工程造价管理机构据此发布的最新规定调整合同价款。</w:t>
      </w:r>
    </w:p>
    <w:p w14:paraId="38C06DB2">
      <w:pPr>
        <w:wordWrap w:val="0"/>
        <w:adjustRightInd w:val="0"/>
        <w:snapToGrid w:val="0"/>
        <w:spacing w:line="440" w:lineRule="exact"/>
        <w:ind w:firstLine="480"/>
        <w:rPr>
          <w:rFonts w:hint="eastAsia" w:ascii="宋体" w:hAnsi="宋体" w:eastAsia="宋体" w:cs="宋体"/>
          <w:b/>
          <w:bCs/>
          <w:snapToGrid w:val="0"/>
          <w:color w:val="auto"/>
          <w:kern w:val="0"/>
          <w:highlight w:val="none"/>
          <w:lang w:val="en-US" w:eastAsia="zh-CN"/>
        </w:rPr>
      </w:pPr>
      <w:r>
        <w:rPr>
          <w:rFonts w:hint="eastAsia" w:ascii="宋体" w:hAnsi="宋体" w:eastAsia="宋体" w:cs="宋体"/>
          <w:b/>
          <w:bCs/>
          <w:snapToGrid w:val="0"/>
          <w:color w:val="auto"/>
          <w:kern w:val="0"/>
          <w:highlight w:val="none"/>
        </w:rPr>
        <w:t>注：本招标文件所称“基准日”，均指投标文件递交截止时间（见第一章第二节“重要事项时间地点一览表”）前28天。</w:t>
      </w:r>
    </w:p>
    <w:p w14:paraId="16991919">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2.3.1.2</w:t>
      </w:r>
      <w:r>
        <w:rPr>
          <w:rFonts w:hint="eastAsia" w:ascii="宋体" w:hAnsi="宋体" w:eastAsia="宋体" w:cs="宋体"/>
          <w:snapToGrid w:val="0"/>
          <w:color w:val="auto"/>
          <w:kern w:val="0"/>
          <w:szCs w:val="24"/>
          <w:highlight w:val="none"/>
        </w:rPr>
        <w:t xml:space="preserve"> 因承包人原因导致工程延误，本章第</w:t>
      </w:r>
      <w:r>
        <w:rPr>
          <w:rFonts w:hint="eastAsia" w:ascii="宋体" w:hAnsi="宋体" w:eastAsia="宋体" w:cs="宋体"/>
          <w:b/>
          <w:bCs/>
          <w:snapToGrid w:val="0"/>
          <w:color w:val="auto"/>
          <w:kern w:val="0"/>
          <w:szCs w:val="24"/>
          <w:highlight w:val="none"/>
        </w:rPr>
        <w:t>2.3.1.1</w:t>
      </w:r>
      <w:r>
        <w:rPr>
          <w:rFonts w:hint="eastAsia" w:ascii="宋体" w:hAnsi="宋体" w:eastAsia="宋体" w:cs="宋体"/>
          <w:snapToGrid w:val="0"/>
          <w:color w:val="auto"/>
          <w:kern w:val="0"/>
          <w:szCs w:val="24"/>
          <w:highlight w:val="none"/>
        </w:rPr>
        <w:t>子目中的法定机构根据国家法律法规变化发布新规的时间在合同工程原定竣工时间之后的，合同价款调增的不予调整，合同价款调减的予以调整。</w:t>
      </w:r>
    </w:p>
    <w:p w14:paraId="22AD9081">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2.3.2</w:t>
      </w:r>
      <w:r>
        <w:rPr>
          <w:rFonts w:hint="eastAsia" w:ascii="宋体" w:hAnsi="宋体" w:eastAsia="宋体" w:cs="宋体"/>
          <w:snapToGrid w:val="0"/>
          <w:color w:val="auto"/>
          <w:kern w:val="0"/>
          <w:szCs w:val="24"/>
          <w:highlight w:val="none"/>
        </w:rPr>
        <w:t xml:space="preserve"> 工程量偏差或变化</w:t>
      </w:r>
    </w:p>
    <w:p w14:paraId="12EDF1AC">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2.3.2.1</w:t>
      </w:r>
      <w:r>
        <w:rPr>
          <w:rFonts w:hint="eastAsia" w:ascii="宋体" w:hAnsi="宋体" w:eastAsia="宋体" w:cs="宋体"/>
          <w:snapToGrid w:val="0"/>
          <w:color w:val="auto"/>
          <w:kern w:val="0"/>
          <w:szCs w:val="24"/>
          <w:highlight w:val="none"/>
        </w:rPr>
        <w:t xml:space="preserve"> 合同履行期间，当应予计算的实际工程量与招标工程量清单出现偏差或因工程变更引起已标价工程量清单项目的工程数量发生变化时，工程量偏差或变化在15%以内（含15%）的，其综合单价不予调整；工程量偏差或变化超过15%的，按照以下规定调整：</w:t>
      </w:r>
    </w:p>
    <w:bookmarkEnd w:id="192"/>
    <w:bookmarkEnd w:id="193"/>
    <w:p w14:paraId="39ED405F">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bookmarkStart w:id="195" w:name="_Toc326916631"/>
      <w:bookmarkStart w:id="196" w:name="_Hlt87951777"/>
      <w:bookmarkStart w:id="197" w:name="_Toc14272"/>
      <w:bookmarkStart w:id="198" w:name="_Toc322793290"/>
      <w:r>
        <w:rPr>
          <w:rFonts w:hint="eastAsia" w:ascii="宋体" w:hAnsi="宋体" w:eastAsia="宋体" w:cs="宋体"/>
          <w:snapToGrid w:val="0"/>
          <w:color w:val="auto"/>
          <w:kern w:val="0"/>
          <w:szCs w:val="24"/>
          <w:highlight w:val="none"/>
        </w:rPr>
        <w:t>对于合理报价的清单项目，当工程量增加超过15%时，增加部分的工程量的综合单价以</w:t>
      </w:r>
      <w:r>
        <w:rPr>
          <w:rFonts w:hint="eastAsia" w:ascii="宋体" w:hAnsi="宋体" w:eastAsia="宋体" w:cs="宋体"/>
          <w:b/>
          <w:bCs/>
          <w:snapToGrid w:val="0"/>
          <w:color w:val="auto"/>
          <w:kern w:val="0"/>
          <w:sz w:val="24"/>
          <w:szCs w:val="24"/>
          <w:highlight w:val="none"/>
          <w:u w:val="single"/>
        </w:rPr>
        <w:t>该分部分项工程量清单项目原综合单价</w:t>
      </w:r>
      <w:r>
        <w:rPr>
          <w:rFonts w:hint="eastAsia" w:ascii="宋体" w:hAnsi="宋体" w:eastAsia="宋体" w:cs="宋体"/>
          <w:snapToGrid w:val="0"/>
          <w:color w:val="auto"/>
          <w:kern w:val="0"/>
          <w:szCs w:val="24"/>
          <w:highlight w:val="none"/>
        </w:rPr>
        <w:t>为基价调低</w:t>
      </w:r>
      <w:r>
        <w:rPr>
          <w:rFonts w:hint="eastAsia" w:ascii="宋体" w:hAnsi="宋体" w:eastAsia="宋体" w:cs="宋体"/>
          <w:b/>
          <w:bCs/>
          <w:snapToGrid w:val="0"/>
          <w:color w:val="auto"/>
          <w:kern w:val="0"/>
          <w:sz w:val="24"/>
          <w:szCs w:val="24"/>
          <w:highlight w:val="none"/>
          <w:u w:val="single"/>
        </w:rPr>
        <w:t>该分部分项工程量清单项目原综合单价的3</w:t>
      </w:r>
      <w:r>
        <w:rPr>
          <w:rFonts w:hint="eastAsia" w:ascii="宋体" w:hAnsi="宋体" w:eastAsia="宋体" w:cs="宋体"/>
          <w:snapToGrid w:val="0"/>
          <w:color w:val="auto"/>
          <w:kern w:val="0"/>
          <w:szCs w:val="24"/>
          <w:highlight w:val="none"/>
        </w:rPr>
        <w:t>%；当工程量</w:t>
      </w:r>
      <w:r>
        <w:rPr>
          <w:rFonts w:hint="eastAsia" w:ascii="宋体" w:hAnsi="宋体" w:eastAsia="宋体" w:cs="宋体"/>
          <w:snapToGrid w:val="0"/>
          <w:color w:val="auto"/>
          <w:kern w:val="0"/>
          <w:szCs w:val="24"/>
          <w:highlight w:val="none"/>
          <w:lang w:val="en-US" w:eastAsia="zh-CN"/>
        </w:rPr>
        <w:t>减少</w:t>
      </w:r>
      <w:r>
        <w:rPr>
          <w:rFonts w:hint="eastAsia" w:ascii="宋体" w:hAnsi="宋体" w:eastAsia="宋体" w:cs="宋体"/>
          <w:snapToGrid w:val="0"/>
          <w:color w:val="auto"/>
          <w:kern w:val="0"/>
          <w:szCs w:val="24"/>
          <w:highlight w:val="none"/>
        </w:rPr>
        <w:t>超过15%时，</w:t>
      </w:r>
      <w:r>
        <w:rPr>
          <w:rFonts w:hint="eastAsia" w:ascii="宋体" w:hAnsi="宋体" w:eastAsia="宋体" w:cs="宋体"/>
          <w:snapToGrid w:val="0"/>
          <w:color w:val="auto"/>
          <w:kern w:val="0"/>
          <w:szCs w:val="24"/>
          <w:highlight w:val="none"/>
          <w:lang w:val="en-US" w:eastAsia="zh-CN"/>
        </w:rPr>
        <w:t>减少后剩余</w:t>
      </w:r>
      <w:r>
        <w:rPr>
          <w:rFonts w:hint="eastAsia" w:ascii="宋体" w:hAnsi="宋体" w:eastAsia="宋体" w:cs="宋体"/>
          <w:snapToGrid w:val="0"/>
          <w:color w:val="auto"/>
          <w:kern w:val="0"/>
          <w:szCs w:val="24"/>
          <w:highlight w:val="none"/>
        </w:rPr>
        <w:t>部分的工程量的综合单价以</w:t>
      </w:r>
      <w:r>
        <w:rPr>
          <w:rFonts w:hint="eastAsia" w:ascii="宋体" w:hAnsi="宋体" w:eastAsia="宋体" w:cs="宋体"/>
          <w:b/>
          <w:bCs/>
          <w:snapToGrid w:val="0"/>
          <w:color w:val="auto"/>
          <w:kern w:val="0"/>
          <w:sz w:val="24"/>
          <w:szCs w:val="24"/>
          <w:highlight w:val="none"/>
          <w:u w:val="single"/>
        </w:rPr>
        <w:t>该分部分项工程量清单项目原综合单价</w:t>
      </w:r>
      <w:r>
        <w:rPr>
          <w:rFonts w:hint="eastAsia" w:ascii="宋体" w:hAnsi="宋体" w:eastAsia="宋体" w:cs="宋体"/>
          <w:snapToGrid w:val="0"/>
          <w:color w:val="auto"/>
          <w:kern w:val="0"/>
          <w:sz w:val="24"/>
          <w:szCs w:val="24"/>
          <w:highlight w:val="none"/>
        </w:rPr>
        <w:t>为基价调高</w:t>
      </w:r>
      <w:r>
        <w:rPr>
          <w:rFonts w:hint="eastAsia" w:ascii="宋体" w:hAnsi="宋体" w:eastAsia="宋体" w:cs="宋体"/>
          <w:b/>
          <w:bCs/>
          <w:snapToGrid w:val="0"/>
          <w:color w:val="auto"/>
          <w:kern w:val="0"/>
          <w:sz w:val="24"/>
          <w:szCs w:val="24"/>
          <w:highlight w:val="none"/>
          <w:u w:val="single"/>
        </w:rPr>
        <w:t>该分部分项工程量清单项目原综合单价的3</w:t>
      </w: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Cs w:val="24"/>
          <w:highlight w:val="none"/>
        </w:rPr>
        <w:t>。</w:t>
      </w:r>
    </w:p>
    <w:p w14:paraId="6DE2D3FC">
      <w:pPr>
        <w:wordWrap w:val="0"/>
        <w:adjustRightInd w:val="0"/>
        <w:snapToGrid w:val="0"/>
        <w:spacing w:line="440" w:lineRule="exact"/>
        <w:ind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Cs w:val="24"/>
          <w:highlight w:val="none"/>
        </w:rPr>
        <w:t>对于按照第二章“中标人须知”第4.2条被认定为不平衡报价的清单项目，其综合单价按照以下方法调整：</w:t>
      </w:r>
      <w:r>
        <w:rPr>
          <w:rFonts w:hint="eastAsia" w:ascii="宋体" w:hAnsi="宋体" w:eastAsia="宋体" w:cs="宋体"/>
          <w:snapToGrid w:val="0"/>
          <w:color w:val="auto"/>
          <w:kern w:val="0"/>
          <w:sz w:val="24"/>
          <w:szCs w:val="24"/>
          <w:highlight w:val="none"/>
          <w:u w:val="single"/>
        </w:rPr>
        <w:t>以</w:t>
      </w:r>
      <w:r>
        <w:rPr>
          <w:rFonts w:hint="eastAsia" w:hAnsi="宋体" w:cs="宋体"/>
          <w:snapToGrid w:val="0"/>
          <w:color w:val="auto"/>
          <w:kern w:val="0"/>
          <w:sz w:val="24"/>
          <w:szCs w:val="24"/>
          <w:highlight w:val="none"/>
          <w:u w:val="single"/>
          <w:lang w:eastAsia="zh-CN"/>
        </w:rPr>
        <w:t>最高投标限价</w:t>
      </w:r>
      <w:r>
        <w:rPr>
          <w:rFonts w:hint="eastAsia" w:ascii="宋体" w:hAnsi="宋体" w:eastAsia="宋体" w:cs="宋体"/>
          <w:snapToGrid w:val="0"/>
          <w:color w:val="auto"/>
          <w:kern w:val="0"/>
          <w:sz w:val="24"/>
          <w:szCs w:val="24"/>
          <w:highlight w:val="none"/>
          <w:u w:val="single"/>
        </w:rPr>
        <w:t>中的《分部分项工程和单价措施项目清单与计价表》子目相对应综合单价×（1-中标下浮率）</w:t>
      </w:r>
      <w:r>
        <w:rPr>
          <w:rFonts w:hint="eastAsia" w:ascii="宋体" w:hAnsi="宋体" w:eastAsia="宋体" w:cs="宋体"/>
          <w:snapToGrid w:val="0"/>
          <w:color w:val="auto"/>
          <w:kern w:val="0"/>
          <w:sz w:val="24"/>
          <w:szCs w:val="24"/>
          <w:highlight w:val="none"/>
        </w:rPr>
        <w:t>。</w:t>
      </w:r>
    </w:p>
    <w:p w14:paraId="6324771E">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2.3.2.2</w:t>
      </w:r>
      <w:r>
        <w:rPr>
          <w:rFonts w:hint="eastAsia" w:ascii="宋体" w:hAnsi="宋体" w:eastAsia="宋体" w:cs="宋体"/>
          <w:snapToGrid w:val="0"/>
          <w:color w:val="auto"/>
          <w:kern w:val="0"/>
          <w:szCs w:val="24"/>
          <w:highlight w:val="none"/>
        </w:rPr>
        <w:t xml:space="preserve"> 如果工程量出现本章第</w:t>
      </w:r>
      <w:r>
        <w:rPr>
          <w:rFonts w:hint="eastAsia" w:ascii="宋体" w:hAnsi="宋体" w:eastAsia="宋体" w:cs="宋体"/>
          <w:b/>
          <w:bCs/>
          <w:snapToGrid w:val="0"/>
          <w:color w:val="auto"/>
          <w:kern w:val="0"/>
          <w:szCs w:val="24"/>
          <w:highlight w:val="none"/>
        </w:rPr>
        <w:t>2.3.2.1</w:t>
      </w:r>
      <w:r>
        <w:rPr>
          <w:rFonts w:hint="eastAsia" w:ascii="宋体" w:hAnsi="宋体" w:eastAsia="宋体" w:cs="宋体"/>
          <w:snapToGrid w:val="0"/>
          <w:color w:val="auto"/>
          <w:kern w:val="0"/>
          <w:szCs w:val="24"/>
          <w:highlight w:val="none"/>
        </w:rPr>
        <w:t>子目的变化，且该变化引起相关措施项目相应发生变化时，按系数或单一总价方式计价的，工程量增加的措施项目费调增，工程量减少的措施项目费调减。</w:t>
      </w:r>
    </w:p>
    <w:p w14:paraId="6E9A72CD">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2.3.3</w:t>
      </w:r>
      <w:r>
        <w:rPr>
          <w:rFonts w:hint="eastAsia" w:ascii="宋体" w:hAnsi="宋体" w:eastAsia="宋体" w:cs="宋体"/>
          <w:snapToGrid w:val="0"/>
          <w:color w:val="auto"/>
          <w:kern w:val="0"/>
          <w:szCs w:val="24"/>
          <w:highlight w:val="none"/>
        </w:rPr>
        <w:t xml:space="preserve"> 工程变更</w:t>
      </w:r>
    </w:p>
    <w:p w14:paraId="3A2BE1E5">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2.3.3.1</w:t>
      </w:r>
      <w:r>
        <w:rPr>
          <w:rFonts w:hint="eastAsia" w:ascii="宋体" w:hAnsi="宋体" w:eastAsia="宋体" w:cs="宋体"/>
          <w:snapToGrid w:val="0"/>
          <w:color w:val="auto"/>
          <w:kern w:val="0"/>
          <w:szCs w:val="24"/>
          <w:highlight w:val="none"/>
        </w:rPr>
        <w:t xml:space="preserve"> 合同履行期间，因工程变更引起已标价工程量清单项目发生变化时，按照以下规定调整：</w:t>
      </w:r>
    </w:p>
    <w:p w14:paraId="5A919CA4">
      <w:pPr>
        <w:wordWrap w:val="0"/>
        <w:adjustRightInd w:val="0"/>
        <w:snapToGrid w:val="0"/>
        <w:spacing w:line="440" w:lineRule="exact"/>
        <w:ind w:firstLine="480" w:firstLineChars="2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（1）已标价工程量清单中有适用于变更工程项目的，采用该项目的单价。</w:t>
      </w:r>
      <w:r>
        <w:rPr>
          <w:rFonts w:hint="eastAsia" w:ascii="宋体" w:hAnsi="宋体" w:eastAsia="宋体" w:cs="宋体"/>
          <w:b/>
          <w:bCs/>
          <w:snapToGrid w:val="0"/>
          <w:color w:val="auto"/>
          <w:kern w:val="0"/>
          <w:szCs w:val="24"/>
          <w:highlight w:val="none"/>
        </w:rPr>
        <w:t>但如果被采用的项目属于按照第二章“中标人须知”第4.2条被认定为不平衡报价的清单项目，变更工程项目的单价按照以下方法调整：</w:t>
      </w:r>
      <w:r>
        <w:rPr>
          <w:rFonts w:hint="eastAsia" w:ascii="宋体" w:hAnsi="宋体" w:eastAsia="宋体" w:cs="宋体"/>
          <w:snapToGrid w:val="0"/>
          <w:color w:val="auto"/>
          <w:kern w:val="0"/>
          <w:sz w:val="24"/>
          <w:szCs w:val="24"/>
          <w:highlight w:val="none"/>
          <w:u w:val="single"/>
        </w:rPr>
        <w:t>以</w:t>
      </w:r>
      <w:r>
        <w:rPr>
          <w:rFonts w:hint="eastAsia" w:hAnsi="宋体" w:cs="宋体"/>
          <w:snapToGrid w:val="0"/>
          <w:color w:val="auto"/>
          <w:kern w:val="0"/>
          <w:sz w:val="24"/>
          <w:szCs w:val="20"/>
          <w:highlight w:val="none"/>
          <w:u w:val="single"/>
          <w:lang w:eastAsia="zh-CN"/>
        </w:rPr>
        <w:t>最高投标限价</w:t>
      </w:r>
      <w:r>
        <w:rPr>
          <w:rFonts w:hint="eastAsia" w:ascii="宋体" w:hAnsi="宋体" w:eastAsia="宋体" w:cs="宋体"/>
          <w:snapToGrid w:val="0"/>
          <w:color w:val="auto"/>
          <w:kern w:val="0"/>
          <w:sz w:val="24"/>
          <w:szCs w:val="20"/>
          <w:highlight w:val="none"/>
          <w:u w:val="single"/>
        </w:rPr>
        <w:t>中的《分部分项工程和单价措施项目清单与计价表》子目相对应综合单价</w:t>
      </w:r>
      <w:r>
        <w:rPr>
          <w:rFonts w:hint="eastAsia" w:ascii="宋体" w:hAnsi="宋体" w:eastAsia="宋体" w:cs="宋体"/>
          <w:snapToGrid w:val="0"/>
          <w:color w:val="auto"/>
          <w:kern w:val="0"/>
          <w:sz w:val="24"/>
          <w:szCs w:val="24"/>
          <w:highlight w:val="none"/>
          <w:u w:val="single"/>
        </w:rPr>
        <w:t>×（1-中标下浮率）</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w:t>
      </w:r>
    </w:p>
    <w:p w14:paraId="173EFF19">
      <w:pPr>
        <w:wordWrap w:val="0"/>
        <w:adjustRightInd w:val="0"/>
        <w:snapToGrid w:val="0"/>
        <w:spacing w:line="440" w:lineRule="exact"/>
        <w:ind w:firstLine="480" w:firstLineChars="2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（2）已标价工程量清单中没有适用但有类似于变更工程项目的，可在合理范围内参照类似项目的单价。</w:t>
      </w:r>
      <w:r>
        <w:rPr>
          <w:rFonts w:hint="eastAsia" w:ascii="宋体" w:hAnsi="宋体" w:eastAsia="宋体" w:cs="宋体"/>
          <w:b/>
          <w:bCs/>
          <w:snapToGrid w:val="0"/>
          <w:color w:val="auto"/>
          <w:kern w:val="0"/>
          <w:szCs w:val="24"/>
          <w:highlight w:val="none"/>
        </w:rPr>
        <w:t>但如果被参考的类似项目属于按照第二章“中标人须知”第4.2条被认定为不平衡报价的清单项目，变更工程项目的单价按照以下方法调整：</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 w:val="24"/>
          <w:szCs w:val="24"/>
          <w:highlight w:val="none"/>
          <w:u w:val="single"/>
        </w:rPr>
        <w:t>以</w:t>
      </w:r>
      <w:r>
        <w:rPr>
          <w:rFonts w:hint="eastAsia" w:hAnsi="宋体" w:cs="宋体"/>
          <w:snapToGrid w:val="0"/>
          <w:color w:val="auto"/>
          <w:kern w:val="0"/>
          <w:sz w:val="24"/>
          <w:szCs w:val="20"/>
          <w:highlight w:val="none"/>
          <w:u w:val="single"/>
          <w:lang w:eastAsia="zh-CN"/>
        </w:rPr>
        <w:t>最高投标限价</w:t>
      </w:r>
      <w:r>
        <w:rPr>
          <w:rFonts w:hint="eastAsia" w:ascii="宋体" w:hAnsi="宋体" w:eastAsia="宋体" w:cs="宋体"/>
          <w:snapToGrid w:val="0"/>
          <w:color w:val="auto"/>
          <w:kern w:val="0"/>
          <w:sz w:val="24"/>
          <w:szCs w:val="20"/>
          <w:highlight w:val="none"/>
          <w:u w:val="single"/>
        </w:rPr>
        <w:t>中的《分部分项工程和单价措施项目清单与计价表》子目相对应综合单价</w:t>
      </w:r>
      <w:r>
        <w:rPr>
          <w:rFonts w:hint="eastAsia" w:ascii="宋体" w:hAnsi="宋体" w:eastAsia="宋体" w:cs="宋体"/>
          <w:snapToGrid w:val="0"/>
          <w:color w:val="auto"/>
          <w:kern w:val="0"/>
          <w:sz w:val="24"/>
          <w:szCs w:val="24"/>
          <w:highlight w:val="none"/>
          <w:u w:val="single"/>
        </w:rPr>
        <w:t>×（1-中标下浮率）</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w:t>
      </w:r>
    </w:p>
    <w:p w14:paraId="2FFED022">
      <w:pPr>
        <w:wordWrap w:val="0"/>
        <w:adjustRightInd w:val="0"/>
        <w:snapToGrid w:val="0"/>
        <w:spacing w:line="440" w:lineRule="exact"/>
        <w:ind w:firstLine="480" w:firstLineChars="2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3）已标价工程量清单中没有适用也没有类似于变更工程项目的，由承包人根据变更工程资料、计量规则、计价办法、施工当月项目所在地工程造价管理机构发布的价格信息和中标下浮率提出变更工程项目的单价，报发包人确认后调整。中标下浮率的计算公式如下：</w:t>
      </w:r>
    </w:p>
    <w:p w14:paraId="4AB93DD4">
      <w:pPr>
        <w:wordWrap w:val="0"/>
        <w:adjustRightInd w:val="0"/>
        <w:snapToGrid w:val="0"/>
        <w:spacing w:line="440" w:lineRule="exact"/>
        <w:jc w:val="center"/>
        <w:rPr>
          <w:rFonts w:hint="eastAsia" w:ascii="宋体" w:hAnsi="宋体" w:eastAsia="宋体" w:cs="宋体"/>
          <w:snapToGrid w:val="0"/>
          <w:color w:val="auto"/>
          <w:kern w:val="0"/>
          <w:szCs w:val="24"/>
          <w:highlight w:val="none"/>
          <w:u w:val="wave"/>
        </w:rPr>
      </w:pPr>
      <w:r>
        <w:rPr>
          <w:rFonts w:hint="eastAsia" w:ascii="宋体" w:hAnsi="宋体" w:eastAsia="宋体" w:cs="宋体"/>
          <w:snapToGrid w:val="0"/>
          <w:color w:val="auto"/>
          <w:kern w:val="0"/>
          <w:szCs w:val="24"/>
          <w:highlight w:val="none"/>
        </w:rPr>
        <w:t>中标下浮率＝（1－中标价÷</w:t>
      </w:r>
      <w:r>
        <w:rPr>
          <w:rFonts w:hint="eastAsia" w:hAnsi="宋体" w:cs="宋体"/>
          <w:snapToGrid w:val="0"/>
          <w:color w:val="auto"/>
          <w:kern w:val="0"/>
          <w:szCs w:val="24"/>
          <w:highlight w:val="none"/>
          <w:lang w:eastAsia="zh-CN"/>
        </w:rPr>
        <w:t>最高投标限价</w:t>
      </w:r>
      <w:r>
        <w:rPr>
          <w:rFonts w:hint="eastAsia" w:ascii="宋体" w:hAnsi="宋体" w:eastAsia="宋体" w:cs="宋体"/>
          <w:snapToGrid w:val="0"/>
          <w:color w:val="auto"/>
          <w:kern w:val="0"/>
          <w:szCs w:val="24"/>
          <w:highlight w:val="none"/>
        </w:rPr>
        <w:t>）×100%</w:t>
      </w:r>
    </w:p>
    <w:p w14:paraId="52F2A33B">
      <w:pPr>
        <w:wordWrap w:val="0"/>
        <w:adjustRightInd w:val="0"/>
        <w:snapToGrid w:val="0"/>
        <w:spacing w:line="440" w:lineRule="exact"/>
        <w:ind w:firstLine="480" w:firstLineChars="2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4）已标价工程量清单中没有适用也没有类似于变更工程项目，且施工当月项目所在地工程造价管理机构发布的价格信息缺项的，由承包人根据变更工程资料、计量规则、计价办法和通过市场调查等取得有合法依据的市场价格提出变更工程项目的单价，报发包人确认后调整。</w:t>
      </w:r>
    </w:p>
    <w:p w14:paraId="5485B758">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2.3.3.2</w:t>
      </w:r>
      <w:r>
        <w:rPr>
          <w:rFonts w:hint="eastAsia" w:ascii="宋体" w:hAnsi="宋体" w:eastAsia="宋体" w:cs="宋体"/>
          <w:snapToGrid w:val="0"/>
          <w:color w:val="auto"/>
          <w:kern w:val="0"/>
          <w:szCs w:val="24"/>
          <w:highlight w:val="none"/>
        </w:rPr>
        <w:t xml:space="preserve"> 工程变更引起施工方案改变并使措施项目发生变化时，承包人提出调整措施项目费的，应事先将拟实施的方案提交发包人确认，并应详细说明与原方案措施项目相比的变化情况。拟实施的方案经发、承包双方确认后执行，并按照本章下列规定调整措施项目费：</w:t>
      </w:r>
    </w:p>
    <w:p w14:paraId="7ACDFC8B">
      <w:pPr>
        <w:wordWrap w:val="0"/>
        <w:adjustRightInd w:val="0"/>
        <w:snapToGrid w:val="0"/>
        <w:spacing w:line="440" w:lineRule="exact"/>
        <w:ind w:firstLine="480" w:firstLineChars="2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（1）</w:t>
      </w:r>
      <w:r>
        <w:rPr>
          <w:rFonts w:hint="eastAsia" w:hAnsi="宋体" w:cs="宋体"/>
          <w:snapToGrid w:val="0"/>
          <w:color w:val="auto"/>
          <w:kern w:val="0"/>
          <w:szCs w:val="24"/>
          <w:highlight w:val="none"/>
          <w:lang w:eastAsia="zh-CN"/>
        </w:rPr>
        <w:t>安全生产措施费</w:t>
      </w:r>
      <w:r>
        <w:rPr>
          <w:rFonts w:hint="eastAsia" w:ascii="宋体" w:hAnsi="宋体" w:eastAsia="宋体" w:cs="宋体"/>
          <w:snapToGrid w:val="0"/>
          <w:color w:val="auto"/>
          <w:kern w:val="0"/>
          <w:szCs w:val="24"/>
          <w:highlight w:val="none"/>
        </w:rPr>
        <w:t>应按照实际发生变化的措施项目计算。</w:t>
      </w:r>
    </w:p>
    <w:p w14:paraId="45005664">
      <w:pPr>
        <w:wordWrap w:val="0"/>
        <w:adjustRightInd w:val="0"/>
        <w:snapToGrid w:val="0"/>
        <w:spacing w:line="440" w:lineRule="exact"/>
        <w:ind w:firstLine="480" w:firstLineChars="2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（2）采用单价计算的措施项目费，应按照实际发生变化的措施项目，按本章第</w:t>
      </w:r>
      <w:r>
        <w:rPr>
          <w:rFonts w:hint="eastAsia" w:ascii="宋体" w:hAnsi="宋体" w:eastAsia="宋体" w:cs="宋体"/>
          <w:b/>
          <w:bCs/>
          <w:snapToGrid w:val="0"/>
          <w:color w:val="auto"/>
          <w:kern w:val="0"/>
          <w:szCs w:val="24"/>
          <w:highlight w:val="none"/>
        </w:rPr>
        <w:t>2.3.3.1</w:t>
      </w:r>
      <w:r>
        <w:rPr>
          <w:rFonts w:hint="eastAsia" w:ascii="宋体" w:hAnsi="宋体" w:eastAsia="宋体" w:cs="宋体"/>
          <w:snapToGrid w:val="0"/>
          <w:color w:val="auto"/>
          <w:kern w:val="0"/>
          <w:szCs w:val="24"/>
          <w:highlight w:val="none"/>
        </w:rPr>
        <w:t>子目的规定确定单价。</w:t>
      </w:r>
    </w:p>
    <w:p w14:paraId="71DB5569">
      <w:pPr>
        <w:wordWrap w:val="0"/>
        <w:adjustRightInd w:val="0"/>
        <w:snapToGrid w:val="0"/>
        <w:spacing w:line="440" w:lineRule="exact"/>
        <w:ind w:firstLine="480" w:firstLineChars="2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（3）按总价或系数计算的措施项目费，应按照实际发生变化的措施项目费调整并考虑中标下浮率因素，即调整金额</w:t>
      </w:r>
      <w:r>
        <w:rPr>
          <w:rFonts w:hint="eastAsia" w:ascii="宋体" w:hAnsi="宋体" w:eastAsia="宋体" w:cs="宋体"/>
          <w:bCs/>
          <w:snapToGrid w:val="0"/>
          <w:color w:val="auto"/>
          <w:kern w:val="0"/>
          <w:szCs w:val="28"/>
          <w:highlight w:val="none"/>
        </w:rPr>
        <w:t>＝按照实际变化调整</w:t>
      </w:r>
      <w:r>
        <w:rPr>
          <w:rFonts w:hint="eastAsia" w:ascii="宋体" w:hAnsi="宋体" w:eastAsia="宋体" w:cs="宋体"/>
          <w:snapToGrid w:val="0"/>
          <w:color w:val="auto"/>
          <w:kern w:val="0"/>
          <w:szCs w:val="24"/>
          <w:highlight w:val="none"/>
        </w:rPr>
        <w:t>后的金额</w:t>
      </w:r>
      <w:r>
        <w:rPr>
          <w:rFonts w:hint="eastAsia" w:ascii="宋体" w:hAnsi="宋体" w:eastAsia="宋体" w:cs="宋体"/>
          <w:bCs/>
          <w:snapToGrid w:val="0"/>
          <w:color w:val="auto"/>
          <w:kern w:val="0"/>
          <w:szCs w:val="28"/>
          <w:highlight w:val="none"/>
        </w:rPr>
        <w:t>×（1-</w:t>
      </w:r>
      <w:r>
        <w:rPr>
          <w:rFonts w:hint="eastAsia" w:ascii="宋体" w:hAnsi="宋体" w:eastAsia="宋体" w:cs="宋体"/>
          <w:snapToGrid w:val="0"/>
          <w:color w:val="auto"/>
          <w:kern w:val="0"/>
          <w:szCs w:val="24"/>
          <w:highlight w:val="none"/>
        </w:rPr>
        <w:t>中标下浮率）。</w:t>
      </w:r>
    </w:p>
    <w:p w14:paraId="1603DD59">
      <w:pPr>
        <w:wordWrap w:val="0"/>
        <w:adjustRightInd w:val="0"/>
        <w:snapToGrid w:val="0"/>
        <w:spacing w:line="440" w:lineRule="exact"/>
        <w:ind w:firstLine="480" w:firstLineChars="2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如果承包人未事先将拟实施的方案提交发包人确认，视为工程变更不引起措施项目费的调整或承包人放弃调整措施项目费的权利。</w:t>
      </w:r>
    </w:p>
    <w:p w14:paraId="7DBC08AD">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2.3.3.3</w:t>
      </w:r>
      <w:r>
        <w:rPr>
          <w:rFonts w:hint="eastAsia" w:ascii="宋体" w:hAnsi="宋体" w:eastAsia="宋体" w:cs="宋体"/>
          <w:snapToGrid w:val="0"/>
          <w:color w:val="auto"/>
          <w:kern w:val="0"/>
          <w:szCs w:val="24"/>
          <w:highlight w:val="none"/>
        </w:rPr>
        <w:t xml:space="preserve"> 当因非承包人原因，发包人提出的工程变更删减了合同中的某项原定工作或工程，致使承包人发生的费用或（和）得到的收益不能被包括在其他已支付或应支付的项目中，也未被包含在任何替代的工作或工程中时，承包人有权提出并应得到合理的费用及利润补偿。</w:t>
      </w:r>
    </w:p>
    <w:p w14:paraId="26E95ED0">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2.3.4</w:t>
      </w:r>
      <w:r>
        <w:rPr>
          <w:rFonts w:hint="eastAsia" w:ascii="宋体" w:hAnsi="宋体" w:eastAsia="宋体" w:cs="宋体"/>
          <w:snapToGrid w:val="0"/>
          <w:color w:val="auto"/>
          <w:kern w:val="0"/>
          <w:szCs w:val="24"/>
          <w:highlight w:val="none"/>
        </w:rPr>
        <w:t xml:space="preserve"> 项目特征不符</w:t>
      </w:r>
    </w:p>
    <w:p w14:paraId="1F5FF32B">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承包人应按照发包人提供的设计图纸实施合同工程，若在合同履行期间出现设计图纸（含设计变更）与招标工程量清单任一项目的特征描述不符，且该变化引起该项目工程造价增减变化的，应按照实际施工的项目特征，并按本章第</w:t>
      </w:r>
      <w:r>
        <w:rPr>
          <w:rFonts w:hint="eastAsia" w:ascii="宋体" w:hAnsi="宋体" w:eastAsia="宋体" w:cs="宋体"/>
          <w:b/>
          <w:bCs/>
          <w:snapToGrid w:val="0"/>
          <w:color w:val="auto"/>
          <w:kern w:val="0"/>
          <w:szCs w:val="24"/>
          <w:highlight w:val="none"/>
        </w:rPr>
        <w:t>2.3.3</w:t>
      </w:r>
      <w:r>
        <w:rPr>
          <w:rFonts w:hint="eastAsia" w:ascii="宋体" w:hAnsi="宋体" w:eastAsia="宋体" w:cs="宋体"/>
          <w:snapToGrid w:val="0"/>
          <w:color w:val="auto"/>
          <w:kern w:val="0"/>
          <w:szCs w:val="24"/>
          <w:highlight w:val="none"/>
        </w:rPr>
        <w:t>目相关条款的规定重新确定相应工程量清单项目的综合单价，并调整合同价款。</w:t>
      </w:r>
    </w:p>
    <w:p w14:paraId="3A4BA281">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2.3.5</w:t>
      </w:r>
      <w:r>
        <w:rPr>
          <w:rFonts w:hint="eastAsia" w:ascii="宋体" w:hAnsi="宋体" w:eastAsia="宋体" w:cs="宋体"/>
          <w:snapToGrid w:val="0"/>
          <w:color w:val="auto"/>
          <w:kern w:val="0"/>
          <w:szCs w:val="24"/>
          <w:highlight w:val="none"/>
        </w:rPr>
        <w:t xml:space="preserve"> 招标工程量清单缺项</w:t>
      </w:r>
    </w:p>
    <w:p w14:paraId="37735E4B">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2.3.5.1</w:t>
      </w:r>
      <w:r>
        <w:rPr>
          <w:rFonts w:hint="eastAsia" w:ascii="宋体" w:hAnsi="宋体" w:eastAsia="宋体" w:cs="宋体"/>
          <w:snapToGrid w:val="0"/>
          <w:color w:val="auto"/>
          <w:kern w:val="0"/>
          <w:szCs w:val="24"/>
          <w:highlight w:val="none"/>
        </w:rPr>
        <w:t xml:space="preserve"> 合同履行期间，由于招标工程量清单中缺项，新增分部分项工程清单项目，应按照本章第</w:t>
      </w:r>
      <w:r>
        <w:rPr>
          <w:rFonts w:hint="eastAsia" w:ascii="宋体" w:hAnsi="宋体" w:eastAsia="宋体" w:cs="宋体"/>
          <w:b/>
          <w:bCs/>
          <w:snapToGrid w:val="0"/>
          <w:color w:val="auto"/>
          <w:kern w:val="0"/>
          <w:szCs w:val="24"/>
          <w:highlight w:val="none"/>
        </w:rPr>
        <w:t>2.3.3.1</w:t>
      </w:r>
      <w:r>
        <w:rPr>
          <w:rFonts w:hint="eastAsia" w:ascii="宋体" w:hAnsi="宋体" w:eastAsia="宋体" w:cs="宋体"/>
          <w:snapToGrid w:val="0"/>
          <w:color w:val="auto"/>
          <w:kern w:val="0"/>
          <w:szCs w:val="24"/>
          <w:highlight w:val="none"/>
        </w:rPr>
        <w:t>子目的规定确定单价，并调整合同价款。</w:t>
      </w:r>
    </w:p>
    <w:p w14:paraId="6FE66576">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2.3.5.2</w:t>
      </w:r>
      <w:r>
        <w:rPr>
          <w:rFonts w:hint="eastAsia" w:ascii="宋体" w:hAnsi="宋体" w:eastAsia="宋体" w:cs="宋体"/>
          <w:snapToGrid w:val="0"/>
          <w:color w:val="auto"/>
          <w:kern w:val="0"/>
          <w:szCs w:val="24"/>
          <w:highlight w:val="none"/>
        </w:rPr>
        <w:t xml:space="preserve"> 新增分部分项工程清单项目后，引起措施项目发生变化的，应按照本章第</w:t>
      </w:r>
      <w:r>
        <w:rPr>
          <w:rFonts w:hint="eastAsia" w:ascii="宋体" w:hAnsi="宋体" w:eastAsia="宋体" w:cs="宋体"/>
          <w:b/>
          <w:bCs/>
          <w:snapToGrid w:val="0"/>
          <w:color w:val="auto"/>
          <w:kern w:val="0"/>
          <w:szCs w:val="24"/>
          <w:highlight w:val="none"/>
        </w:rPr>
        <w:t>2.3.3.2</w:t>
      </w:r>
      <w:r>
        <w:rPr>
          <w:rFonts w:hint="eastAsia" w:ascii="宋体" w:hAnsi="宋体" w:eastAsia="宋体" w:cs="宋体"/>
          <w:snapToGrid w:val="0"/>
          <w:color w:val="auto"/>
          <w:kern w:val="0"/>
          <w:szCs w:val="24"/>
          <w:highlight w:val="none"/>
        </w:rPr>
        <w:t>子目的规定，在承包人提交的实施方案被发包人批准后调整合同价款。</w:t>
      </w:r>
    </w:p>
    <w:p w14:paraId="1839F275">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2.3.5.3</w:t>
      </w:r>
      <w:r>
        <w:rPr>
          <w:rFonts w:hint="eastAsia" w:ascii="宋体" w:hAnsi="宋体" w:eastAsia="宋体" w:cs="宋体"/>
          <w:snapToGrid w:val="0"/>
          <w:color w:val="auto"/>
          <w:kern w:val="0"/>
          <w:szCs w:val="24"/>
          <w:highlight w:val="none"/>
        </w:rPr>
        <w:t xml:space="preserve"> 由于招标工程量清单中措施项目缺项，承包人应将新增措施项目实施方案提交发包人批准后，按照本章第</w:t>
      </w:r>
      <w:r>
        <w:rPr>
          <w:rFonts w:hint="eastAsia" w:ascii="宋体" w:hAnsi="宋体" w:eastAsia="宋体" w:cs="宋体"/>
          <w:b/>
          <w:bCs/>
          <w:snapToGrid w:val="0"/>
          <w:color w:val="auto"/>
          <w:kern w:val="0"/>
          <w:szCs w:val="24"/>
          <w:highlight w:val="none"/>
        </w:rPr>
        <w:t>2.3.3.1</w:t>
      </w:r>
      <w:r>
        <w:rPr>
          <w:rFonts w:hint="eastAsia" w:ascii="宋体" w:hAnsi="宋体" w:eastAsia="宋体" w:cs="宋体"/>
          <w:snapToGrid w:val="0"/>
          <w:color w:val="auto"/>
          <w:kern w:val="0"/>
          <w:szCs w:val="24"/>
          <w:highlight w:val="none"/>
        </w:rPr>
        <w:t>子目、第</w:t>
      </w:r>
      <w:r>
        <w:rPr>
          <w:rFonts w:hint="eastAsia" w:ascii="宋体" w:hAnsi="宋体" w:eastAsia="宋体" w:cs="宋体"/>
          <w:b/>
          <w:bCs/>
          <w:snapToGrid w:val="0"/>
          <w:color w:val="auto"/>
          <w:kern w:val="0"/>
          <w:szCs w:val="24"/>
          <w:highlight w:val="none"/>
        </w:rPr>
        <w:t>2.3.3.2</w:t>
      </w:r>
      <w:r>
        <w:rPr>
          <w:rFonts w:hint="eastAsia" w:ascii="宋体" w:hAnsi="宋体" w:eastAsia="宋体" w:cs="宋体"/>
          <w:snapToGrid w:val="0"/>
          <w:color w:val="auto"/>
          <w:kern w:val="0"/>
          <w:szCs w:val="24"/>
          <w:highlight w:val="none"/>
        </w:rPr>
        <w:t>子目的规定调整合同价款。</w:t>
      </w:r>
    </w:p>
    <w:p w14:paraId="628ACDEB">
      <w:pPr>
        <w:wordWrap w:val="0"/>
        <w:adjustRightInd w:val="0"/>
        <w:snapToGrid w:val="0"/>
        <w:spacing w:line="440" w:lineRule="exact"/>
        <w:ind w:firstLine="482" w:firstLineChars="200"/>
        <w:rPr>
          <w:rFonts w:hint="eastAsia" w:ascii="宋体" w:hAnsi="宋体" w:eastAsia="宋体" w:cs="宋体"/>
          <w:bCs/>
          <w:snapToGrid w:val="0"/>
          <w:color w:val="auto"/>
          <w:kern w:val="0"/>
          <w:szCs w:val="28"/>
          <w:highlight w:val="none"/>
        </w:rPr>
      </w:pPr>
      <w:r>
        <w:rPr>
          <w:rFonts w:hint="eastAsia" w:ascii="宋体" w:hAnsi="宋体" w:eastAsia="宋体" w:cs="宋体"/>
          <w:b/>
          <w:snapToGrid w:val="0"/>
          <w:color w:val="auto"/>
          <w:kern w:val="0"/>
          <w:szCs w:val="28"/>
          <w:highlight w:val="none"/>
        </w:rPr>
        <w:t>2.3.6</w:t>
      </w:r>
      <w:r>
        <w:rPr>
          <w:rFonts w:hint="eastAsia" w:ascii="宋体" w:hAnsi="宋体" w:eastAsia="宋体" w:cs="宋体"/>
          <w:bCs/>
          <w:snapToGrid w:val="0"/>
          <w:color w:val="auto"/>
          <w:kern w:val="0"/>
          <w:szCs w:val="28"/>
          <w:highlight w:val="none"/>
        </w:rPr>
        <w:t xml:space="preserve"> 物价变化</w:t>
      </w:r>
    </w:p>
    <w:p w14:paraId="08F2B5DA">
      <w:pPr>
        <w:wordWrap w:val="0"/>
        <w:adjustRightInd w:val="0"/>
        <w:snapToGrid w:val="0"/>
        <w:spacing w:line="440" w:lineRule="exact"/>
        <w:ind w:firstLine="482" w:firstLineChars="200"/>
        <w:rPr>
          <w:rFonts w:hint="eastAsia" w:ascii="宋体" w:hAnsi="宋体" w:eastAsia="宋体" w:cs="宋体"/>
          <w:bCs/>
          <w:snapToGrid w:val="0"/>
          <w:color w:val="auto"/>
          <w:kern w:val="0"/>
          <w:szCs w:val="28"/>
          <w:highlight w:val="none"/>
        </w:rPr>
      </w:pPr>
      <w:r>
        <w:rPr>
          <w:rFonts w:hint="eastAsia" w:ascii="宋体" w:hAnsi="宋体" w:eastAsia="宋体" w:cs="宋体"/>
          <w:b/>
          <w:snapToGrid w:val="0"/>
          <w:color w:val="auto"/>
          <w:kern w:val="0"/>
          <w:szCs w:val="28"/>
          <w:highlight w:val="none"/>
        </w:rPr>
        <w:t>2.3.6.1</w:t>
      </w:r>
      <w:r>
        <w:rPr>
          <w:rFonts w:hint="eastAsia" w:ascii="宋体" w:hAnsi="宋体" w:eastAsia="宋体" w:cs="宋体"/>
          <w:bCs/>
          <w:snapToGrid w:val="0"/>
          <w:color w:val="auto"/>
          <w:kern w:val="0"/>
          <w:szCs w:val="28"/>
          <w:highlight w:val="none"/>
        </w:rPr>
        <w:t xml:space="preserve"> 合同履行期间，项目所在地工程造价管理机构发布的动态人工调整系数发生变化时，如果承包人投标报价中人工费（</w:t>
      </w:r>
      <w:r>
        <w:rPr>
          <w:rFonts w:hint="eastAsia" w:ascii="宋体" w:hAnsi="宋体" w:eastAsia="宋体" w:cs="宋体"/>
          <w:snapToGrid w:val="0"/>
          <w:color w:val="auto"/>
          <w:kern w:val="0"/>
          <w:szCs w:val="24"/>
          <w:highlight w:val="none"/>
        </w:rPr>
        <w:t>以下简称“中标人工费”</w:t>
      </w:r>
      <w:r>
        <w:rPr>
          <w:rFonts w:hint="eastAsia" w:ascii="宋体" w:hAnsi="宋体" w:eastAsia="宋体" w:cs="宋体"/>
          <w:bCs/>
          <w:snapToGrid w:val="0"/>
          <w:color w:val="auto"/>
          <w:kern w:val="0"/>
          <w:szCs w:val="28"/>
          <w:highlight w:val="none"/>
        </w:rPr>
        <w:t>）等于或超过施工当月经动态调整后的定额人工费，该清单项目中标人工费不予调整；如果中标人工费低于施工当月经动态调整后的定额人工费，该清单项目中标人工费可以调整，相关费用按有关规定进行相应调整。结算人工费调整公式为：</w:t>
      </w:r>
    </w:p>
    <w:p w14:paraId="5E36086D">
      <w:pPr>
        <w:wordWrap w:val="0"/>
        <w:adjustRightInd w:val="0"/>
        <w:snapToGrid w:val="0"/>
        <w:spacing w:line="440" w:lineRule="exact"/>
        <w:ind w:firstLine="480" w:firstLineChars="200"/>
        <w:rPr>
          <w:rFonts w:hint="eastAsia" w:ascii="宋体" w:hAnsi="宋体" w:eastAsia="宋体" w:cs="宋体"/>
          <w:bCs/>
          <w:snapToGrid w:val="0"/>
          <w:color w:val="auto"/>
          <w:kern w:val="0"/>
          <w:szCs w:val="28"/>
          <w:highlight w:val="none"/>
        </w:rPr>
      </w:pPr>
      <w:r>
        <w:rPr>
          <w:rFonts w:hint="eastAsia" w:ascii="宋体" w:hAnsi="宋体" w:eastAsia="宋体" w:cs="宋体"/>
          <w:bCs/>
          <w:snapToGrid w:val="0"/>
          <w:color w:val="auto"/>
          <w:kern w:val="0"/>
          <w:szCs w:val="28"/>
          <w:highlight w:val="none"/>
        </w:rPr>
        <w:t>结算人工费＝中标人工费×F</w:t>
      </w:r>
      <w:r>
        <w:rPr>
          <w:rFonts w:hint="eastAsia" w:ascii="宋体" w:hAnsi="宋体" w:eastAsia="宋体" w:cs="宋体"/>
          <w:bCs/>
          <w:snapToGrid w:val="0"/>
          <w:color w:val="auto"/>
          <w:kern w:val="0"/>
          <w:szCs w:val="28"/>
          <w:highlight w:val="none"/>
          <w:vertAlign w:val="subscript"/>
        </w:rPr>
        <w:t>1</w:t>
      </w:r>
    </w:p>
    <w:p w14:paraId="597C08FA">
      <w:pPr>
        <w:wordWrap w:val="0"/>
        <w:adjustRightInd w:val="0"/>
        <w:snapToGrid w:val="0"/>
        <w:spacing w:line="440" w:lineRule="exact"/>
        <w:ind w:firstLine="480" w:firstLineChars="200"/>
        <w:rPr>
          <w:rFonts w:hint="eastAsia" w:ascii="宋体" w:hAnsi="宋体" w:eastAsia="宋体" w:cs="宋体"/>
          <w:snapToGrid w:val="0"/>
          <w:color w:val="auto"/>
          <w:kern w:val="0"/>
          <w:szCs w:val="24"/>
          <w:highlight w:val="none"/>
        </w:rPr>
      </w:pPr>
      <w:r>
        <w:rPr>
          <w:rFonts w:hint="eastAsia" w:ascii="宋体" w:hAnsi="宋体" w:eastAsia="宋体" w:cs="宋体"/>
          <w:bCs/>
          <w:snapToGrid w:val="0"/>
          <w:color w:val="auto"/>
          <w:kern w:val="0"/>
          <w:szCs w:val="28"/>
          <w:highlight w:val="none"/>
        </w:rPr>
        <w:t>式中，F</w:t>
      </w:r>
      <w:r>
        <w:rPr>
          <w:rFonts w:hint="eastAsia" w:ascii="宋体" w:hAnsi="宋体" w:eastAsia="宋体" w:cs="宋体"/>
          <w:bCs/>
          <w:snapToGrid w:val="0"/>
          <w:color w:val="auto"/>
          <w:kern w:val="0"/>
          <w:szCs w:val="28"/>
          <w:highlight w:val="none"/>
          <w:vertAlign w:val="subscript"/>
        </w:rPr>
        <w:t>1</w:t>
      </w:r>
      <w:r>
        <w:rPr>
          <w:rFonts w:hint="eastAsia" w:ascii="宋体" w:hAnsi="宋体" w:eastAsia="宋体" w:cs="宋体"/>
          <w:bCs/>
          <w:snapToGrid w:val="0"/>
          <w:color w:val="auto"/>
          <w:kern w:val="0"/>
          <w:szCs w:val="28"/>
          <w:highlight w:val="none"/>
        </w:rPr>
        <w:t>为施工当月项目所在地工程造价管理机构发布的动态人工调整系数。</w:t>
      </w:r>
    </w:p>
    <w:p w14:paraId="50097BA6">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2.3.6.2</w:t>
      </w:r>
      <w:r>
        <w:rPr>
          <w:rFonts w:hint="eastAsia" w:ascii="宋体" w:hAnsi="宋体" w:eastAsia="宋体" w:cs="宋体"/>
          <w:snapToGrid w:val="0"/>
          <w:color w:val="auto"/>
          <w:kern w:val="0"/>
          <w:szCs w:val="24"/>
          <w:highlight w:val="none"/>
        </w:rPr>
        <w:t xml:space="preserve"> 本招标项目约定，材料、工程设备单价涨跌风险幅度值A为</w:t>
      </w:r>
      <w:r>
        <w:rPr>
          <w:rFonts w:hint="eastAsia" w:ascii="宋体" w:hAnsi="宋体" w:eastAsia="宋体" w:cs="宋体"/>
          <w:snapToGrid w:val="0"/>
          <w:color w:val="auto"/>
          <w:kern w:val="0"/>
          <w:szCs w:val="24"/>
          <w:highlight w:val="none"/>
          <w:u w:val="single"/>
        </w:rPr>
        <w:t xml:space="preserve"> 5% </w:t>
      </w:r>
      <w:r>
        <w:rPr>
          <w:rFonts w:hint="eastAsia" w:ascii="宋体" w:hAnsi="宋体" w:eastAsia="宋体" w:cs="宋体"/>
          <w:snapToGrid w:val="0"/>
          <w:color w:val="auto"/>
          <w:kern w:val="0"/>
          <w:szCs w:val="24"/>
          <w:highlight w:val="none"/>
        </w:rPr>
        <w:t>。合同履行期间，当《承包人提供主要材料和工程设备一览表》（详见招标工程量清单）中的材料、工程设备单价涨跌幅度等于或低于A值时，该材料、工程设备单价不予调整；超过A值时，其超过部分可以调整。相关费用按有关规定进行相应调整。</w:t>
      </w:r>
    </w:p>
    <w:p w14:paraId="3598D257">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a</w:t>
      </w:r>
      <w:r>
        <w:rPr>
          <w:rFonts w:hint="eastAsia" w:ascii="宋体" w:hAnsi="宋体" w:eastAsia="宋体" w:cs="宋体"/>
          <w:snapToGrid w:val="0"/>
          <w:color w:val="auto"/>
          <w:kern w:val="0"/>
          <w:szCs w:val="24"/>
          <w:highlight w:val="none"/>
        </w:rPr>
        <w:t>．如果承包人投标报价中材料、工程设备单价（以下简称“中标单价”）低于基准日当月项目所在地工程造价管理机构发布的对应材料、工程设备单价（以下简称“基准单价”），该材料、工程设备的结算单价调整公式为：</w:t>
      </w:r>
    </w:p>
    <w:p w14:paraId="4BCFCB77">
      <w:pPr>
        <w:spacing w:line="418" w:lineRule="exact"/>
        <w:ind w:left="120"/>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62336" behindDoc="1" locked="0" layoutInCell="1" allowOverlap="1">
                <wp:simplePos x="0" y="0"/>
                <wp:positionH relativeFrom="page">
                  <wp:posOffset>3107055</wp:posOffset>
                </wp:positionH>
                <wp:positionV relativeFrom="paragraph">
                  <wp:posOffset>259715</wp:posOffset>
                </wp:positionV>
                <wp:extent cx="403860" cy="1270"/>
                <wp:effectExtent l="0" t="0" r="0" b="0"/>
                <wp:wrapNone/>
                <wp:docPr id="38" name="组合 38"/>
                <wp:cNvGraphicFramePr/>
                <a:graphic xmlns:a="http://schemas.openxmlformats.org/drawingml/2006/main">
                  <a:graphicData uri="http://schemas.microsoft.com/office/word/2010/wordprocessingGroup">
                    <wpg:wgp>
                      <wpg:cNvGrpSpPr/>
                      <wpg:grpSpPr>
                        <a:xfrm>
                          <a:off x="0" y="0"/>
                          <a:ext cx="403860" cy="1270"/>
                          <a:chOff x="4894" y="410"/>
                          <a:chExt cx="636" cy="2"/>
                        </a:xfrm>
                        <a:effectLst/>
                      </wpg:grpSpPr>
                      <wps:wsp>
                        <wps:cNvPr id="1" name="任意多边形 24"/>
                        <wps:cNvSpPr/>
                        <wps:spPr>
                          <a:xfrm>
                            <a:off x="4894" y="410"/>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44.65pt;margin-top:20.45pt;height:0.1pt;width:31.8pt;mso-position-horizontal-relative:page;z-index:-251654144;mso-width-relative:page;mso-height-relative:page;" coordorigin="4894,410" coordsize="636,2" o:gfxdata="UEsDBAoAAAAAAIdO4kAAAAAAAAAAAAAAAAAEAAAAZHJzL1BLAwQUAAAACACHTuJAUT1lkNkAAAAJ&#10;AQAADwAAAGRycy9kb3ducmV2LnhtbE2PQW/CMAyF75P2HyIj7TbSwDpBaYomtO2EJgGTpt1CY9qK&#10;xqma0MK/n3fabs9+T8+f8/XVtWLAPjSeNKhpAgKp9LahSsPn4e1xASJEQ9a0nlDDDQOsi/u73GTW&#10;j7TDYR8rwSUUMqOhjrHLpAxljc6Eqe+Q2Dv53pnIY19J25uRy10rZ0nyLJ1piC/UpsNNjeV5f3Ea&#10;3kczvszV67A9nza370P68bVVqPXDRCUrEBGv8S8Mv/iMDgUzHf2FbBCthqfFcs5RFskSBAfSdMbi&#10;yAulQBa5/P9B8QNQSwMEFAAAAAgAh07iQMLJck6YAgAA1gUAAA4AAABkcnMvZTJvRG9jLnhtbKVU&#10;zW4TMRC+I/EOlu9k80cIq256IG0vCCq1PIDr9e5a8h+2k03uPXCDM0fUl0ARPA0FHoOx9yclBamC&#10;HDbj+fN834zn6HgjBVoz67hWGR4NhhgxRXXOVZnhN5enT+YYOU9UToRWLMNb5vDx4vGjo9qkbKwr&#10;LXJmESRRLq1NhivvTZokjlZMEjfQhikwFtpK4uFoyyS3pIbsUiTj4XCW1NrmxmrKnAPtsjHiNqN9&#10;SEJdFJyypaYryZRvslomiAdIruLG4UWstigY9a+LwjGPRIYBqY9fuATkq/BNFkckLS0xFadtCeQh&#10;JRxgkoQruLRPtSSeoJXl91JJTq12uvADqmXSAImMAIrR8ICbM6tXJmIp07o0PenQqAPW/zktfbU+&#10;t4jnGZ5A3xWR0PEfu+vbD+8QKICd2pQpOJ1Zc2HObasom1MAvCmsDP8ABW0ir9ueV7bxiIJyOpzM&#10;Z8A4BdNo/KxlnVbQmhAznT+fYgS26ag3nbShs8msiRuHYpL9fSw296XzQR2K7GuqDQym27Pl/o+t&#10;i4oYFpvgAhEtW6OOrG+73ffr97c3H39+/Xz75RMaTxvWonNPmUsdsPcHvu5j70j7K3K6cv6M6cg6&#10;WTcMwODlnUSqTqIb1YmG+KAOFQQR1RkOF4Sz1Gt2qaPFH7QQ+N5bhbrrFcvrWg1+jRWEkD52qr8S&#10;lHdrVvqUCwFtC0FNIU/DcBBYJgU8YhClgYF0qoz1OS14HkJChLPl1Qth0ZqEBx1/7WD85mas80vi&#10;qsYvmoIbSStG8hOVI781MOkKNhwOJUiWYyQYLMQgRU9PuHiIZ8QeUh9MZNfyMI5XOt/C4NSwZwDX&#10;2xWxcO3KWF5WsJFGEUE7tu00w3OPJLarKeyTu+fotV/Hi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RPWWQ2QAAAAkBAAAPAAAAAAAAAAEAIAAAACIAAABkcnMvZG93bnJldi54bWxQSwECFAAUAAAA&#10;CACHTuJAwslyTpgCAADWBQAADgAAAAAAAAABACAAAAAoAQAAZHJzL2Uyb0RvYy54bWxQSwUGAAAA&#10;AAYABgBZAQAAMgYAAAAA&#10;">
                <o:lock v:ext="edit" aspectratio="f"/>
                <v:shape id="任意多边形 24" o:spid="_x0000_s1026" o:spt="100" style="position:absolute;left:4894;top:410;height:2;width:636;" filled="f" stroked="t" coordsize="636,1" o:gfxdata="UEsDBAoAAAAAAIdO4kAAAAAAAAAAAAAAAAAEAAAAZHJzL1BLAwQUAAAACACHTuJAphBWD7kAAADa&#10;AAAADwAAAGRycy9kb3ducmV2LnhtbEVPS4vCMBC+L/gfwix4W1M9iFSjh8KuDzys1R8wNLNtaTOp&#10;SayPX78RBE/Dx/ecxepmWtGT87VlBeNRAoK4sLrmUsHp+P01A+EDssbWMim4k4fVcvCxwFTbKx+o&#10;z0MpYgj7FBVUIXSplL6oyKAf2Y44cn/WGQwRulJqh9cYblo5SZKpNFhzbKiwo6yioskvRsEPts22&#10;z357emz369DlU7d7nJUafo6TOYhAt/AWv9wbHefD85Xnlc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YQVg+5AAAA2gAA&#10;AA8AAAAAAAAAAQAgAAAAIgAAAGRycy9kb3ducmV2LnhtbFBLAQIUABQAAAAIAIdO4kAzLwWeOwAA&#10;ADkAAAAQAAAAAAAAAAEAIAAAAAgBAABkcnMvc2hhcGV4bWwueG1sUEsFBgAAAAAGAAYAWwEAALID&#10;AAAAAA==&#10;" path="m0,0l636,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a</w:t>
      </w:r>
      <w:r>
        <w:rPr>
          <w:rFonts w:hint="eastAsia" w:ascii="宋体" w:hAnsi="宋体" w:eastAsia="宋体" w:cs="宋体"/>
          <w:color w:val="auto"/>
          <w:spacing w:val="-2"/>
          <w:sz w:val="21"/>
          <w:szCs w:val="21"/>
          <w:highlight w:val="none"/>
        </w:rPr>
        <w:t>.</w:t>
      </w:r>
      <w:r>
        <w:rPr>
          <w:rFonts w:hint="eastAsia" w:ascii="宋体" w:hAnsi="宋体" w:eastAsia="宋体" w:cs="宋体"/>
          <w:color w:val="auto"/>
          <w:spacing w:val="-1"/>
          <w:sz w:val="21"/>
          <w:szCs w:val="21"/>
          <w:highlight w:val="none"/>
        </w:rPr>
        <w:t>涨</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4"/>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 w:val="28"/>
          <w:szCs w:val="28"/>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 w:val="28"/>
          <w:szCs w:val="28"/>
          <w:highlight w:val="none"/>
        </w:rPr>
        <w:t>F</w:t>
      </w:r>
      <w:r>
        <w:rPr>
          <w:rFonts w:hint="eastAsia" w:ascii="宋体" w:hAnsi="宋体" w:eastAsia="宋体" w:cs="宋体"/>
          <w:color w:val="auto"/>
          <w:spacing w:val="15"/>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100"/>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26"/>
          <w:position w:val="15"/>
          <w:szCs w:val="24"/>
          <w:highlight w:val="none"/>
        </w:rPr>
        <w:t>F</w:t>
      </w:r>
      <w:r>
        <w:rPr>
          <w:rFonts w:hint="eastAsia" w:ascii="宋体" w:hAnsi="宋体" w:eastAsia="宋体" w:cs="宋体"/>
          <w:color w:val="auto"/>
          <w:position w:val="9"/>
          <w:sz w:val="14"/>
          <w:szCs w:val="14"/>
          <w:highlight w:val="none"/>
        </w:rPr>
        <w:t>0</w:t>
      </w:r>
      <w:r>
        <w:rPr>
          <w:rFonts w:hint="eastAsia" w:ascii="宋体" w:hAnsi="宋体" w:eastAsia="宋体" w:cs="宋体"/>
          <w:color w:val="auto"/>
          <w:spacing w:val="2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hAnsi="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A</w:t>
      </w:r>
      <w:r>
        <w:rPr>
          <w:rFonts w:hint="eastAsia" w:ascii="宋体" w:hAnsi="宋体" w:eastAsia="宋体" w:cs="宋体"/>
          <w:color w:val="auto"/>
          <w:szCs w:val="24"/>
          <w:highlight w:val="none"/>
        </w:rPr>
        <w:t>）</w:t>
      </w:r>
    </w:p>
    <w:p w14:paraId="76B2F387">
      <w:pPr>
        <w:pStyle w:val="11"/>
        <w:tabs>
          <w:tab w:val="left" w:pos="2817"/>
        </w:tabs>
        <w:spacing w:after="0" w:line="200" w:lineRule="exact"/>
        <w:ind w:left="2426"/>
        <w:jc w:val="left"/>
        <w:rPr>
          <w:rFonts w:hint="eastAsia" w:ascii="宋体" w:hAnsi="宋体" w:eastAsia="宋体" w:cs="宋体"/>
          <w:color w:val="auto"/>
          <w:sz w:val="15"/>
          <w:szCs w:val="15"/>
          <w:highlight w:val="none"/>
        </w:rPr>
      </w:pPr>
      <w:r>
        <w:rPr>
          <w:rFonts w:hint="eastAsia" w:ascii="宋体" w:hAnsi="宋体" w:eastAsia="宋体" w:cs="宋体"/>
          <w:color w:val="auto"/>
          <w:sz w:val="15"/>
          <w:szCs w:val="15"/>
          <w:highlight w:val="none"/>
        </w:rPr>
        <mc:AlternateContent>
          <mc:Choice Requires="wps">
            <w:drawing>
              <wp:anchor distT="0" distB="0" distL="114300" distR="114300" simplePos="0" relativeHeight="251663360" behindDoc="1" locked="0" layoutInCell="1" allowOverlap="1">
                <wp:simplePos x="0" y="0"/>
                <wp:positionH relativeFrom="page">
                  <wp:posOffset>3246755</wp:posOffset>
                </wp:positionH>
                <wp:positionV relativeFrom="paragraph">
                  <wp:posOffset>29845</wp:posOffset>
                </wp:positionV>
                <wp:extent cx="220980" cy="246380"/>
                <wp:effectExtent l="0" t="0" r="0" b="0"/>
                <wp:wrapNone/>
                <wp:docPr id="3" name="文本框 3"/>
                <wp:cNvGraphicFramePr/>
                <a:graphic xmlns:a="http://schemas.openxmlformats.org/drawingml/2006/main">
                  <a:graphicData uri="http://schemas.microsoft.com/office/word/2010/wordprocessingShape">
                    <wps:wsp>
                      <wps:cNvSpPr txBox="1"/>
                      <wps:spPr>
                        <a:xfrm>
                          <a:off x="0" y="0"/>
                          <a:ext cx="220980" cy="246380"/>
                        </a:xfrm>
                        <a:prstGeom prst="rect">
                          <a:avLst/>
                        </a:prstGeom>
                        <a:noFill/>
                        <a:ln>
                          <a:noFill/>
                        </a:ln>
                        <a:effectLst/>
                      </wps:spPr>
                      <wps:txbx>
                        <w:txbxContent>
                          <w:p w14:paraId="77B7CB44">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_x0000_s1026" o:spid="_x0000_s1026" o:spt="202" type="#_x0000_t202" style="position:absolute;left:0pt;margin-left:255.65pt;margin-top:2.35pt;height:19.4pt;width:17.4pt;mso-position-horizontal-relative:page;z-index:-251653120;mso-width-relative:page;mso-height-relative:page;" filled="f" stroked="f" coordsize="21600,21600" o:gfxdata="UEsDBAoAAAAAAIdO4kAAAAAAAAAAAAAAAAAEAAAAZHJzL1BLAwQUAAAACACHTuJAVbHiCdcAAAAI&#10;AQAADwAAAGRycy9kb3ducmV2LnhtbE2PzU7DMBCE70i8g7VI3Kht2gQIcSqE4ISEmoYDRyfeJlbj&#10;dYjdH94ec4LjaEYz35TrsxvZEedgPSmQCwEMqfPGUq/go3m9uQcWoiajR0+o4BsDrKvLi1IXxp+o&#10;xuM29iyVUCi0giHGqeA8dAM6HRZ+Qkrezs9OxyTnnptZn1K5G/mtEDl32lJaGPSEzwN2++3BKXj6&#10;pPrFfr23m3pX26Z5EPSW75W6vpLiEVjEc/wLwy9+QocqMbX+QCawUUEm5TJFFazugCU/W+USWJv0&#10;MgNelfz/geoHUEsDBBQAAAAIAIdO4kA6NrkbxwEAAI0DAAAOAAAAZHJzL2Uyb0RvYy54bWytU0tu&#10;2zAQ3RfIHQjuaylyEaSC5QCFkaBA0RZIewCaoiwC/HWGtuQLtDfoqpvuey6fo0N93Hw2WXRDPc6Q&#10;j/PejFY3vTXsoAC1dxW/XOScKSd9rd2u4l+/3L6+5gyjcLUw3qmKHxXym/XFq1UXSlX41ptaASMS&#10;h2UXKt7GGMosQ9kqK3Dhg3KUbDxYEWkLu6wG0RG7NVmR51dZ56EO4KVCpOhmTPKJEV5C6JtGS7Xx&#10;cm+ViyMrKCMiScJWB+TrodqmUTJ+ahpUkZmKk9I4rPQI4W1as/VKlDsQodVyKkG8pIQnmqzQjh49&#10;U21EFGwP+hmV1RI8+iYupLfZKGRwhFRc5k+8uW9FUIMWshrD2XT8f7Ty4+EzMF1XfMmZE5Yafvr5&#10;4/Trz+n3d7ZM9nQBSzp1H+hc7N/5noZmjiMFk+q+AZu+pIdRnsw9ns1VfWSSgkWRv72mjKRU8eZq&#10;SZjYs3+XA2C8U96yBCoO1LvBUnH4gHE8Oh9Jbzl/q40Z+mfcowBxjhE1DMB0O+kY600o9tt+Erf1&#10;9ZG0dTQEFcdvewGKM/PekctpYmYAM9jOYB9A71oqdfAjS7TUpUHTNFFpDB7uCT/8i9Z/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FWx4gnXAAAACAEAAA8AAAAAAAAAAQAgAAAAIgAAAGRycy9kb3du&#10;cmV2LnhtbFBLAQIUABQAAAAIAIdO4kA6NrkbxwEAAI0DAAAOAAAAAAAAAAEAIAAAACYBAABkcnMv&#10;ZTJvRG9jLnhtbFBLBQYAAAAABgAGAFkBAABfBQAAAAA=&#10;">
                <v:fill on="f" focussize="0,0"/>
                <v:stroke on="f"/>
                <v:imagedata o:title=""/>
                <o:lock v:ext="edit" aspectratio="f"/>
                <v:textbox inset="0mm,0mm,0mm,0mm">
                  <w:txbxContent>
                    <w:p w14:paraId="77B7CB44">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rFonts w:hint="eastAsia" w:ascii="宋体" w:hAnsi="宋体" w:eastAsia="宋体" w:cs="宋体"/>
          <w:color w:val="auto"/>
          <w:sz w:val="15"/>
          <w:szCs w:val="15"/>
          <w:highlight w:val="none"/>
        </w:rPr>
        <w:t>1</w:t>
      </w:r>
      <w:r>
        <w:rPr>
          <w:rFonts w:hint="eastAsia" w:ascii="宋体" w:hAnsi="宋体" w:eastAsia="宋体" w:cs="宋体"/>
          <w:color w:val="auto"/>
          <w:sz w:val="15"/>
          <w:szCs w:val="15"/>
          <w:highlight w:val="none"/>
        </w:rPr>
        <w:tab/>
      </w:r>
      <w:r>
        <w:rPr>
          <w:rFonts w:hint="eastAsia" w:ascii="宋体" w:hAnsi="宋体" w:eastAsia="宋体" w:cs="宋体"/>
          <w:color w:val="auto"/>
          <w:sz w:val="15"/>
          <w:szCs w:val="15"/>
          <w:highlight w:val="none"/>
        </w:rPr>
        <w:t>0</w:t>
      </w:r>
    </w:p>
    <w:p w14:paraId="54466567">
      <w:pPr>
        <w:pStyle w:val="11"/>
        <w:spacing w:after="0" w:line="240" w:lineRule="exact"/>
        <w:ind w:left="3454" w:right="4848"/>
        <w:jc w:val="center"/>
        <w:rPr>
          <w:rFonts w:hint="eastAsia" w:ascii="宋体" w:hAnsi="宋体" w:eastAsia="宋体" w:cs="宋体"/>
          <w:color w:val="auto"/>
          <w:sz w:val="15"/>
          <w:szCs w:val="15"/>
          <w:highlight w:val="none"/>
        </w:rPr>
      </w:pPr>
    </w:p>
    <w:p w14:paraId="4B345399">
      <w:pPr>
        <w:spacing w:before="4" w:line="170" w:lineRule="exact"/>
        <w:rPr>
          <w:rFonts w:hint="eastAsia" w:ascii="宋体" w:hAnsi="宋体" w:eastAsia="宋体" w:cs="宋体"/>
          <w:color w:val="auto"/>
          <w:sz w:val="17"/>
          <w:szCs w:val="17"/>
          <w:highlight w:val="none"/>
        </w:rPr>
      </w:pPr>
    </w:p>
    <w:p w14:paraId="52F454C7">
      <w:pPr>
        <w:spacing w:line="404" w:lineRule="exact"/>
        <w:ind w:left="328"/>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64384" behindDoc="1" locked="0" layoutInCell="1" allowOverlap="1">
                <wp:simplePos x="0" y="0"/>
                <wp:positionH relativeFrom="page">
                  <wp:posOffset>3134360</wp:posOffset>
                </wp:positionH>
                <wp:positionV relativeFrom="paragraph">
                  <wp:posOffset>250825</wp:posOffset>
                </wp:positionV>
                <wp:extent cx="388620" cy="1270"/>
                <wp:effectExtent l="0" t="0" r="0" b="0"/>
                <wp:wrapNone/>
                <wp:docPr id="39" name="组合 39"/>
                <wp:cNvGraphicFramePr/>
                <a:graphic xmlns:a="http://schemas.openxmlformats.org/drawingml/2006/main">
                  <a:graphicData uri="http://schemas.microsoft.com/office/word/2010/wordprocessingGroup">
                    <wpg:wgp>
                      <wpg:cNvGrpSpPr/>
                      <wpg:grpSpPr>
                        <a:xfrm>
                          <a:off x="0" y="0"/>
                          <a:ext cx="388620" cy="1270"/>
                          <a:chOff x="4937" y="395"/>
                          <a:chExt cx="612" cy="2"/>
                        </a:xfrm>
                        <a:effectLst/>
                      </wpg:grpSpPr>
                      <wps:wsp>
                        <wps:cNvPr id="4" name="任意多边形 27"/>
                        <wps:cNvSpPr/>
                        <wps:spPr>
                          <a:xfrm>
                            <a:off x="4937" y="395"/>
                            <a:ext cx="612" cy="2"/>
                          </a:xfrm>
                          <a:custGeom>
                            <a:avLst/>
                            <a:gdLst/>
                            <a:ahLst/>
                            <a:cxnLst/>
                            <a:pathLst>
                              <a:path w="612">
                                <a:moveTo>
                                  <a:pt x="0" y="0"/>
                                </a:moveTo>
                                <a:lnTo>
                                  <a:pt x="612"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46.8pt;margin-top:19.75pt;height:0.1pt;width:30.6pt;mso-position-horizontal-relative:page;z-index:-251652096;mso-width-relative:page;mso-height-relative:page;" coordorigin="4937,395" coordsize="612,2" o:gfxdata="UEsDBAoAAAAAAIdO4kAAAAAAAAAAAAAAAAAEAAAAZHJzL1BLAwQUAAAACACHTuJAVJix7dkAAAAJ&#10;AQAADwAAAGRycy9kb3ducmV2LnhtbE2PwU7CQBCG7ya+w2ZMvMm2liLUbokh6omQCCbE29Ad2obu&#10;btNdWnh7h5MeZ+bLP9+fLy+mFQP1vnFWQTyJQJAtnW5speB79/E0B+EDWo2ts6TgSh6Wxf1djpl2&#10;o/2iYRsqwSHWZ6igDqHLpPRlTQb9xHVk+XZ0vcHAY19J3ePI4aaVz1E0kwYbyx9q7GhVU3nano2C&#10;zxHHtyR+H9an4+r6s0s3+3VMSj0+xNEriECX8AfDTZ/VoWCngztb7UWrYLpIZowqSBYpCAbSdMpd&#10;DrfFC8gil/8bFL9QSwMEFAAAAAgAh07iQFzZX+OcAgAA1gUAAA4AAABkcnMvZTJvRG9jLnhtbKVU&#10;zY7TMBC+I/EOlu80bbq/UdM90N29IFhplwdwHSex5D9st2nve+AGZ46Il0AreBoWeAzGTtKWLkgr&#10;6CEdz5+/+WY8k7OVFGjJrONa5Xg0GGLEFNUFV1WOX99cPDvByHmiCiK0YjleM4fPpk+fTBqTsVTX&#10;WhTMIkiiXNaYHNfemyxJHK2ZJG6gDVNgLLWVxMPRVklhSQPZpUjS4fAoabQtjNWUOQfaWWvEXUb7&#10;mIS6LDllM00XkinfZrVMEA8luZobh6cRbVky6l+VpWMeiRxDpT5+4RKQ5+GbTCckqywxNacdBPIY&#10;CHs1ScIVXLpJNSOeoIXlD1JJTq12uvQDqmXSFhIZgSpGwz1uLq1emFhLlTWV2ZAOjdpj/Z/T0pfL&#10;K4t4kePxKUaKSOj4j7vb+/dvESiAncZUGThdWnNtrmynqNpTKHhVWhn+oRS0iryuN7yylUcUlOOT&#10;k6MUGKdgGqXHHeu0htaEmIPT8TFGYBufHrYNofV5F3o0Stu4NFiS7X0sNveF80EdQG4wNQYG023Z&#10;cv/H1nVNDItNcIGIjq2Dnqxvd3ffb9/df/rw8+vn+y8fUXrcshadN5S5zAF7f+DrYe09aX+tnC6c&#10;v2Q6sk6WLQMweEUvkbqX6Er1oiE+qAOCIKImx+GCcJZ6yW50tPi9FgLfW6tQu14RXt9q8GutIIT0&#10;sVObK0G5i1npCy4EtC0ERSDjwzAcBJZJCY8YRGlgIJ2qIj6nBS9CSIhwtpo/FxYtSXjQ8dcNxm9u&#10;xjo/I65u/aKpnayakeJcFcivDUy6gg2HAwTJCowEg4UYpIjNEy4e4xlrD9D2JrJveRjHuS7WMDgN&#10;7Bmo682CWLh2YSyvathIo1hBN7bdNMNzjyR2qynsk91z9Nqu4+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VJix7dkAAAAJAQAADwAAAAAAAAABACAAAAAiAAAAZHJzL2Rvd25yZXYueG1sUEsBAhQA&#10;FAAAAAgAh07iQFzZX+OcAgAA1gUAAA4AAAAAAAAAAQAgAAAAKAEAAGRycy9lMm9Eb2MueG1sUEsF&#10;BgAAAAAGAAYAWQEAADYGAAAAAA==&#10;">
                <o:lock v:ext="edit" aspectratio="f"/>
                <v:shape id="任意多边形 27" o:spid="_x0000_s1026" o:spt="100" style="position:absolute;left:4937;top:395;height:2;width:612;" filled="f" stroked="t" coordsize="612,1" o:gfxdata="UEsDBAoAAAAAAIdO4kAAAAAAAAAAAAAAAAAEAAAAZHJzL1BLAwQUAAAACACHTuJA4rO5kL4AAADa&#10;AAAADwAAAGRycy9kb3ducmV2LnhtbEWPX0vDQBDE3wv9DscWfGsvqSIl9lragn9eKlpF8G3Jrblg&#10;bjfkzqTtp+8Jgo/DzPyGWa6PvlE9daEWNpDPMlDEpdiaKwPvb/fTBagQkS02wmTgRAHWq/FoiYWV&#10;gV+pP8RKJQiHAg24GNtC61A68hhm0hIn70s6jzHJrtK2wyHBfaPnWXarPdacFhy2tHNUfh9+vIH9&#10;9eKcP28fh417qD/b/kXkIxdjriZ5dgcq0jH+h//aT9bADfxeSTdAry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rO5kL4A&#10;AADaAAAADwAAAAAAAAABACAAAAAiAAAAZHJzL2Rvd25yZXYueG1sUEsBAhQAFAAAAAgAh07iQDMv&#10;BZ47AAAAOQAAABAAAAAAAAAAAQAgAAAADQEAAGRycy9zaGFwZXhtbC54bWxQSwUGAAAAAAYABgBb&#10;AQAAtwMAAAAA&#10;" path="m0,0l612,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跌</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3"/>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 w:val="30"/>
          <w:szCs w:val="30"/>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 w:val="32"/>
          <w:szCs w:val="32"/>
          <w:highlight w:val="none"/>
        </w:rPr>
        <w:t>F</w:t>
      </w:r>
      <w:r>
        <w:rPr>
          <w:rFonts w:hint="eastAsia" w:ascii="宋体" w:hAnsi="宋体" w:eastAsia="宋体" w:cs="宋体"/>
          <w:color w:val="auto"/>
          <w:spacing w:val="-6"/>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101"/>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39"/>
          <w:position w:val="15"/>
          <w:szCs w:val="24"/>
          <w:highlight w:val="none"/>
        </w:rPr>
        <w:t>F</w:t>
      </w:r>
      <w:r>
        <w:rPr>
          <w:rFonts w:hint="eastAsia" w:ascii="宋体" w:hAnsi="宋体" w:eastAsia="宋体" w:cs="宋体"/>
          <w:color w:val="auto"/>
          <w:position w:val="9"/>
          <w:sz w:val="14"/>
          <w:szCs w:val="14"/>
          <w:highlight w:val="none"/>
        </w:rPr>
        <w:t>1</w:t>
      </w:r>
      <w:r>
        <w:rPr>
          <w:rFonts w:hint="eastAsia" w:ascii="宋体" w:hAnsi="宋体" w:eastAsia="宋体" w:cs="宋体"/>
          <w:color w:val="auto"/>
          <w:spacing w:val="1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hAnsi="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A</w:t>
      </w:r>
      <w:r>
        <w:rPr>
          <w:rFonts w:hint="eastAsia" w:ascii="宋体" w:hAnsi="宋体" w:eastAsia="宋体" w:cs="宋体"/>
          <w:color w:val="auto"/>
          <w:szCs w:val="24"/>
          <w:highlight w:val="none"/>
        </w:rPr>
        <w:t>）</w:t>
      </w:r>
    </w:p>
    <w:p w14:paraId="14CA9F9E">
      <w:pPr>
        <w:pStyle w:val="11"/>
        <w:tabs>
          <w:tab w:val="left" w:pos="2870"/>
        </w:tabs>
        <w:spacing w:line="142" w:lineRule="exact"/>
        <w:ind w:left="2490"/>
        <w:jc w:val="left"/>
        <w:rPr>
          <w:rFonts w:hint="eastAsia" w:ascii="宋体" w:hAnsi="宋体" w:eastAsia="宋体" w:cs="宋体"/>
          <w:color w:val="auto"/>
          <w:sz w:val="14"/>
          <w:szCs w:val="14"/>
          <w:highlight w:val="none"/>
        </w:rPr>
      </w:pPr>
      <w:r>
        <w:rPr>
          <w:rFonts w:hint="eastAsia" w:ascii="宋体" w:hAnsi="宋体" w:eastAsia="宋体" w:cs="宋体"/>
          <w:color w:val="auto"/>
          <w:sz w:val="14"/>
          <w:szCs w:val="14"/>
          <w:highlight w:val="none"/>
        </w:rPr>
        <mc:AlternateContent>
          <mc:Choice Requires="wps">
            <w:drawing>
              <wp:anchor distT="0" distB="0" distL="114300" distR="114300" simplePos="0" relativeHeight="251665408" behindDoc="1" locked="0" layoutInCell="1" allowOverlap="1">
                <wp:simplePos x="0" y="0"/>
                <wp:positionH relativeFrom="page">
                  <wp:posOffset>3274060</wp:posOffset>
                </wp:positionH>
                <wp:positionV relativeFrom="paragraph">
                  <wp:posOffset>29845</wp:posOffset>
                </wp:positionV>
                <wp:extent cx="231140" cy="198755"/>
                <wp:effectExtent l="0" t="0" r="0" b="0"/>
                <wp:wrapNone/>
                <wp:docPr id="6" name="文本框 6"/>
                <wp:cNvGraphicFramePr/>
                <a:graphic xmlns:a="http://schemas.openxmlformats.org/drawingml/2006/main">
                  <a:graphicData uri="http://schemas.microsoft.com/office/word/2010/wordprocessingShape">
                    <wps:wsp>
                      <wps:cNvSpPr txBox="1"/>
                      <wps:spPr>
                        <a:xfrm>
                          <a:off x="0" y="0"/>
                          <a:ext cx="231140" cy="198755"/>
                        </a:xfrm>
                        <a:prstGeom prst="rect">
                          <a:avLst/>
                        </a:prstGeom>
                        <a:noFill/>
                        <a:ln>
                          <a:noFill/>
                        </a:ln>
                        <a:effectLst/>
                      </wps:spPr>
                      <wps:txbx>
                        <w:txbxContent>
                          <w:p w14:paraId="285C5D92">
                            <w:r>
                              <w:rPr>
                                <w:rFonts w:ascii="Times New Roman" w:eastAsia="Times New Roman"/>
                                <w:spacing w:val="-39"/>
                                <w:position w:val="15"/>
                                <w:szCs w:val="24"/>
                              </w:rPr>
                              <w:t>F</w:t>
                            </w:r>
                            <w:r>
                              <w:rPr>
                                <w:rFonts w:ascii="Times New Roman" w:eastAsia="Times New Roman"/>
                                <w:position w:val="9"/>
                                <w:sz w:val="14"/>
                                <w:szCs w:val="14"/>
                              </w:rPr>
                              <w:t>1</w:t>
                            </w:r>
                          </w:p>
                        </w:txbxContent>
                      </wps:txbx>
                      <wps:bodyPr wrap="square" lIns="0" tIns="0" rIns="0" bIns="0" upright="1"/>
                    </wps:wsp>
                  </a:graphicData>
                </a:graphic>
              </wp:anchor>
            </w:drawing>
          </mc:Choice>
          <mc:Fallback>
            <w:pict>
              <v:shape id="_x0000_s1026" o:spid="_x0000_s1026" o:spt="202" type="#_x0000_t202" style="position:absolute;left:0pt;margin-left:257.8pt;margin-top:2.35pt;height:15.65pt;width:18.2pt;mso-position-horizontal-relative:page;z-index:-251651072;mso-width-relative:page;mso-height-relative:page;" filled="f" stroked="f" coordsize="21600,21600" o:gfxdata="UEsDBAoAAAAAAIdO4kAAAAAAAAAAAAAAAAAEAAAAZHJzL1BLAwQUAAAACACHTuJAZ5bUVtcAAAAI&#10;AQAADwAAAGRycy9kb3ducmV2LnhtbE2PzU7DMBCE70i8g7VI3KidQkIJ2VQIwQkJkYZDj07sJlHj&#10;dYjdH96e5QTH0YxmvinWZzeKo53D4AkhWSgQllpvBuoQPuvXmxWIEDUZPXqyCN82wLq8vCh0bvyJ&#10;KnvcxE5wCYVcI/QxTrmUoe2t02HhJ0vs7fzsdGQ5d9LM+sTlbpRLpTLp9EC80OvJPve23W8ODuFp&#10;S9XL8PXefFS7aqjrB0Vv2R7x+ipRjyCiPce/MPziMzqUzNT4A5kgRoQ0STOOItzdg2A/TZf8rUG4&#10;zRTIspD/D5Q/UEsDBBQAAAAIAIdO4kBsio3PyAEAAI0DAAAOAAAAZHJzL2Uyb0RvYy54bWytU82O&#10;0zAQviPtO1i+b9OU3bJETVdC1SIkBEgLD+A6k8aS/9bjNukLwBtw4sKd5+pzMM5PWZbLHrg445nx&#10;N/N9M1nddkazAwRUzpY8n805Aytdpeyu5F8+313ecIZR2EpoZ6HkR0B+u754sWp9AQvXOF1BYARi&#10;sWh9yZsYfZFlKBswAmfOg6Vg7YIRka5hl1VBtIRudLaYz5dZ60Llg5OASN7NEOQjYngOoKtrJWHj&#10;5N6AjQNqAC0iUcJGeeTrvtu6Bhk/1jVCZLrkxDT2JxUhe5vObL0SxS4I3yg5tiCe08ITTkYoS0XP&#10;UBsRBdsH9Q+UUTI4dHWcSWeygUivCLHI50+0uW+Eh54LSY3+LDr+P1j54fApMFWVfMmZFYYGfvr+&#10;7fTj1+nnV7ZM8rQeC8q695QXuzeuo6WZ/EjOxLqrg0lf4sMoTuIez+JCF5kk5+Jlnl9RRFIof33z&#10;6vo6oWR/HvuA8S04w5JR8kCz6yUVh/cYh9QpJdWy7k5p3c9P278chDl4oF+A8XXiMfSbrNhtu5Hc&#10;1lVH4tbSEpQcH/YiAGf6nSWV08ZMRpiM7WTsfVC7hlrt9cgSLE2p5zRuVFqDx3eyH/9F6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nltRW1wAAAAgBAAAPAAAAAAAAAAEAIAAAACIAAABkcnMvZG93&#10;bnJldi54bWxQSwECFAAUAAAACACHTuJAbIqNz8gBAACNAwAADgAAAAAAAAABACAAAAAmAQAAZHJz&#10;L2Uyb0RvYy54bWxQSwUGAAAAAAYABgBZAQAAYAUAAAAA&#10;">
                <v:fill on="f" focussize="0,0"/>
                <v:stroke on="f"/>
                <v:imagedata o:title=""/>
                <o:lock v:ext="edit" aspectratio="f"/>
                <v:textbox inset="0mm,0mm,0mm,0mm">
                  <w:txbxContent>
                    <w:p w14:paraId="285C5D92">
                      <w:r>
                        <w:rPr>
                          <w:rFonts w:ascii="Times New Roman" w:eastAsia="Times New Roman"/>
                          <w:spacing w:val="-39"/>
                          <w:position w:val="15"/>
                          <w:szCs w:val="24"/>
                        </w:rPr>
                        <w:t>F</w:t>
                      </w:r>
                      <w:r>
                        <w:rPr>
                          <w:rFonts w:ascii="Times New Roman" w:eastAsia="Times New Roman"/>
                          <w:position w:val="9"/>
                          <w:sz w:val="14"/>
                          <w:szCs w:val="14"/>
                        </w:rPr>
                        <w:t>1</w:t>
                      </w:r>
                    </w:p>
                  </w:txbxContent>
                </v:textbox>
              </v:shape>
            </w:pict>
          </mc:Fallback>
        </mc:AlternateContent>
      </w:r>
      <w:r>
        <w:rPr>
          <w:rFonts w:hint="eastAsia" w:ascii="宋体" w:hAnsi="宋体" w:eastAsia="宋体" w:cs="宋体"/>
          <w:color w:val="auto"/>
          <w:sz w:val="14"/>
          <w:szCs w:val="14"/>
          <w:highlight w:val="none"/>
        </w:rPr>
        <w:t>1</w:t>
      </w:r>
      <w:r>
        <w:rPr>
          <w:rFonts w:hint="eastAsia" w:ascii="宋体" w:hAnsi="宋体" w:eastAsia="宋体" w:cs="宋体"/>
          <w:color w:val="auto"/>
          <w:sz w:val="14"/>
          <w:szCs w:val="14"/>
          <w:highlight w:val="none"/>
        </w:rPr>
        <w:tab/>
      </w:r>
      <w:r>
        <w:rPr>
          <w:rFonts w:hint="eastAsia" w:ascii="宋体" w:hAnsi="宋体" w:eastAsia="宋体" w:cs="宋体"/>
          <w:color w:val="auto"/>
          <w:sz w:val="14"/>
          <w:szCs w:val="14"/>
          <w:highlight w:val="none"/>
        </w:rPr>
        <w:t xml:space="preserve"> 1</w:t>
      </w:r>
    </w:p>
    <w:p w14:paraId="379C0B38">
      <w:pPr>
        <w:pStyle w:val="11"/>
        <w:spacing w:before="26"/>
        <w:ind w:left="3496" w:right="4830"/>
        <w:jc w:val="center"/>
        <w:rPr>
          <w:rFonts w:hint="eastAsia" w:ascii="宋体" w:hAnsi="宋体" w:eastAsia="宋体" w:cs="宋体"/>
          <w:color w:val="auto"/>
          <w:highlight w:val="none"/>
        </w:rPr>
      </w:pPr>
    </w:p>
    <w:p w14:paraId="6FCAB2E1">
      <w:pPr>
        <w:spacing w:before="6" w:line="170" w:lineRule="exact"/>
        <w:rPr>
          <w:rFonts w:hint="eastAsia" w:ascii="宋体" w:hAnsi="宋体" w:eastAsia="宋体" w:cs="宋体"/>
          <w:color w:val="auto"/>
          <w:sz w:val="17"/>
          <w:szCs w:val="17"/>
          <w:highlight w:val="none"/>
        </w:rPr>
      </w:pPr>
    </w:p>
    <w:p w14:paraId="27A4034D">
      <w:pPr>
        <w:spacing w:line="404" w:lineRule="exact"/>
        <w:ind w:left="120"/>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66432" behindDoc="1" locked="0" layoutInCell="1" allowOverlap="1">
                <wp:simplePos x="0" y="0"/>
                <wp:positionH relativeFrom="page">
                  <wp:posOffset>3099435</wp:posOffset>
                </wp:positionH>
                <wp:positionV relativeFrom="paragraph">
                  <wp:posOffset>250825</wp:posOffset>
                </wp:positionV>
                <wp:extent cx="388620" cy="1270"/>
                <wp:effectExtent l="0" t="0" r="0" b="0"/>
                <wp:wrapNone/>
                <wp:docPr id="36" name="组合 36"/>
                <wp:cNvGraphicFramePr/>
                <a:graphic xmlns:a="http://schemas.openxmlformats.org/drawingml/2006/main">
                  <a:graphicData uri="http://schemas.microsoft.com/office/word/2010/wordprocessingGroup">
                    <wpg:wgp>
                      <wpg:cNvGrpSpPr/>
                      <wpg:grpSpPr>
                        <a:xfrm>
                          <a:off x="0" y="0"/>
                          <a:ext cx="388620" cy="1270"/>
                          <a:chOff x="4882" y="395"/>
                          <a:chExt cx="612" cy="2"/>
                        </a:xfrm>
                        <a:effectLst/>
                      </wpg:grpSpPr>
                      <wps:wsp>
                        <wps:cNvPr id="7" name="任意多边形 30"/>
                        <wps:cNvSpPr/>
                        <wps:spPr>
                          <a:xfrm>
                            <a:off x="4882" y="395"/>
                            <a:ext cx="612" cy="2"/>
                          </a:xfrm>
                          <a:custGeom>
                            <a:avLst/>
                            <a:gdLst/>
                            <a:ahLst/>
                            <a:cxnLst/>
                            <a:pathLst>
                              <a:path w="612">
                                <a:moveTo>
                                  <a:pt x="0" y="0"/>
                                </a:moveTo>
                                <a:lnTo>
                                  <a:pt x="612"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44.05pt;margin-top:19.75pt;height:0.1pt;width:30.6pt;mso-position-horizontal-relative:page;z-index:-251650048;mso-width-relative:page;mso-height-relative:page;" coordorigin="4882,395" coordsize="612,2" o:gfxdata="UEsDBAoAAAAAAIdO4kAAAAAAAAAAAAAAAAAEAAAAZHJzL1BLAwQUAAAACACHTuJAN0ZRf9oAAAAJ&#10;AQAADwAAAGRycy9kb3ducmV2LnhtbE2PwU7DMAyG70i8Q2QkbiwNXaErTSc0AadpEhsS4ua1Xlut&#10;caoma7e3JzvB0fan39+fL8+mEyMNrrWsQc0iEMSlrVquNXzt3h9SEM4jV9hZJg0XcrAsbm9yzCo7&#10;8SeNW1+LEMIuQw2N930mpSsbMuhmticOt4MdDPowDrWsBpxCuOnkYxQ9SYMthw8N9rRqqDxuT0bD&#10;x4TTa6zexvXxsLr87JLN91qR1vd3KnoB4ens/2C46gd1KILT3p64cqLTME9TFVAN8SIBEYBkvohB&#10;7K+LZ5BFLv83KH4BUEsDBBQAAAAIAIdO4kD5RoxBnwIAANYFAAAOAAAAZHJzL2Uyb0RvYy54bWyl&#10;VM1uEzEQviPxDpbvdPND07DqpgfS9oKgUssDuF7vriWvbWwnm9x74AZnjoiXQBE8DQUegxnvblJS&#10;kCrIYTP2jMff9814jk9WtSJL4bw0OqPDgwElQnOTS11m9PXV2ZMpJT4wnTNltMjoWnh6Mnv86Lix&#10;qRiZyqhcOAJJtE8bm9EqBJsmieeVqJk/MFZocBbG1SzA0pVJ7lgD2WuVjAaDSdIYl1tnuPAeduet&#10;k3YZ3UMSmqKQXMwNX9RChzarE4oFoOQraT2dRbRFIXh4VRReBKIyCkxD/MIlYF/jN5kds7R0zFaS&#10;dxDYQyDscaqZ1HDpNtWcBUYWTt5LVUvujDdFOOCmTloiURFgMRzsaXPuzMJGLmXalHYrOhRqT/V/&#10;TstfLi8ckXlGxxNKNKuh4j82N7fv3xLYAHUaW6YQdO7spb1w3UbZrpDwqnA1/gMVsoq6rre6ilUg&#10;HDbH0+lkBIpzcA1HR53qvILS4Jmn0+mIEvCNnx22BeHVaXd0MgQXnhuhJ9ndJ2JxX/iA2whyi6mx&#10;0Jh+p5b/P7UuK2ZFLIJHITq1jnqxvm0232/e3X768PPr59svH8k4skMMELyVzKce1PuDXve596L9&#10;lTlf+HAuTFSdLVsFoPHy3mJVb/GV7k3LAm4jAjRJk1G8ANe1WYorEz1hr4Sg986r9N2oCK8vNcS1&#10;XjAwfazU9krYvItZmzOpFJQND0Ug40NsDgbDpIBHDGZtoSG9LiM+b5TM8Qie8K68fq4cWTJ80PHX&#10;NcZvYdb5MGe+auOiq+2sSrD8VOckrC10uoYJRxFCLXJKlICBiFbEFphUD4mM3BHaXkf2JcdWuDb5&#10;GhqngTkDvN4smINrF9bJsoKJNIwMurbtuhmeexSxG004T+6uY9RuHM9+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DdGUX/aAAAACQEAAA8AAAAAAAAAAQAgAAAAIgAAAGRycy9kb3ducmV2LnhtbFBL&#10;AQIUABQAAAAIAIdO4kD5RoxBnwIAANYFAAAOAAAAAAAAAAEAIAAAACkBAABkcnMvZTJvRG9jLnht&#10;bFBLBQYAAAAABgAGAFkBAAA6BgAAAAA=&#10;">
                <o:lock v:ext="edit" aspectratio="f"/>
                <v:shape id="任意多边形 30" o:spid="_x0000_s1026" o:spt="100" style="position:absolute;left:4882;top:395;height:2;width:612;" filled="f" stroked="t" coordsize="612,1" o:gfxdata="UEsDBAoAAAAAAIdO4kAAAAAAAAAAAAAAAAAEAAAAZHJzL1BLAwQUAAAACACHTuJAEmEn574AAADa&#10;AAAADwAAAGRycy9kb3ducmV2LnhtbEWPX0vDQBDE3wv9DscWfGsvqaAl9lragn9eKlpF8G3Jrblg&#10;bjfkzqTtp+8Jgo/DzPyGWa6PvlE9daEWNpDPMlDEpdiaKwPvb/fTBagQkS02wmTgRAHWq/FoiYWV&#10;gV+pP8RKJQiHAg24GNtC61A68hhm0hIn70s6jzHJrtK2wyHBfaPnWXajPdacFhy2tHNUfh9+vIH9&#10;9eKcP28fh417qD/b/kXkIxdjriZ5dgcq0jH+h//aT9bALfxeSTdAry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mEn574A&#10;AADaAAAADwAAAAAAAAABACAAAAAiAAAAZHJzL2Rvd25yZXYueG1sUEsBAhQAFAAAAAgAh07iQDMv&#10;BZ47AAAAOQAAABAAAAAAAAAAAQAgAAAADQEAAGRycy9zaGFwZXhtbC54bWxQSwUGAAAAAAYABgBb&#10;AQAAtwMAAAAA&#10;" path="m0,0l612,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b</w:t>
      </w:r>
      <w:r>
        <w:rPr>
          <w:rFonts w:hint="eastAsia" w:ascii="宋体" w:hAnsi="宋体" w:eastAsia="宋体" w:cs="宋体"/>
          <w:color w:val="auto"/>
          <w:spacing w:val="-2"/>
          <w:sz w:val="21"/>
          <w:szCs w:val="21"/>
          <w:highlight w:val="none"/>
        </w:rPr>
        <w:t>.</w:t>
      </w:r>
      <w:r>
        <w:rPr>
          <w:rFonts w:hint="eastAsia" w:ascii="宋体" w:hAnsi="宋体" w:eastAsia="宋体" w:cs="宋体"/>
          <w:color w:val="auto"/>
          <w:spacing w:val="-1"/>
          <w:sz w:val="21"/>
          <w:szCs w:val="21"/>
          <w:highlight w:val="none"/>
        </w:rPr>
        <w:t>涨</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5"/>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 w:val="32"/>
          <w:szCs w:val="32"/>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 w:val="32"/>
          <w:szCs w:val="32"/>
          <w:highlight w:val="none"/>
        </w:rPr>
        <w:t>F</w:t>
      </w:r>
      <w:r>
        <w:rPr>
          <w:rFonts w:hint="eastAsia" w:ascii="宋体" w:hAnsi="宋体" w:eastAsia="宋体" w:cs="宋体"/>
          <w:color w:val="auto"/>
          <w:spacing w:val="-7"/>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39"/>
          <w:position w:val="15"/>
          <w:szCs w:val="24"/>
          <w:highlight w:val="none"/>
        </w:rPr>
        <w:t>F</w:t>
      </w:r>
      <w:r>
        <w:rPr>
          <w:rFonts w:hint="eastAsia" w:ascii="宋体" w:hAnsi="宋体" w:eastAsia="宋体" w:cs="宋体"/>
          <w:color w:val="auto"/>
          <w:position w:val="9"/>
          <w:sz w:val="14"/>
          <w:szCs w:val="14"/>
          <w:highlight w:val="none"/>
        </w:rPr>
        <w:t>1</w:t>
      </w:r>
      <w:r>
        <w:rPr>
          <w:rFonts w:hint="eastAsia" w:ascii="宋体" w:hAnsi="宋体" w:eastAsia="宋体" w:cs="宋体"/>
          <w:color w:val="auto"/>
          <w:spacing w:val="1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hAnsi="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A</w:t>
      </w:r>
      <w:r>
        <w:rPr>
          <w:rFonts w:hint="eastAsia" w:ascii="宋体" w:hAnsi="宋体" w:eastAsia="宋体" w:cs="宋体"/>
          <w:color w:val="auto"/>
          <w:szCs w:val="24"/>
          <w:highlight w:val="none"/>
        </w:rPr>
        <w:t>）</w:t>
      </w:r>
    </w:p>
    <w:p w14:paraId="3EC0EC69">
      <w:pPr>
        <w:pStyle w:val="11"/>
        <w:tabs>
          <w:tab w:val="left" w:pos="2815"/>
        </w:tabs>
        <w:spacing w:line="142" w:lineRule="exact"/>
        <w:ind w:firstLine="2520" w:firstLineChars="1800"/>
        <w:jc w:val="left"/>
        <w:rPr>
          <w:rFonts w:hint="eastAsia" w:ascii="宋体" w:hAnsi="宋体" w:eastAsia="宋体" w:cs="宋体"/>
          <w:color w:val="auto"/>
          <w:sz w:val="14"/>
          <w:szCs w:val="14"/>
          <w:highlight w:val="none"/>
        </w:rPr>
      </w:pPr>
      <w:r>
        <w:rPr>
          <w:rFonts w:hint="eastAsia" w:ascii="宋体" w:hAnsi="宋体" w:eastAsia="宋体" w:cs="宋体"/>
          <w:color w:val="auto"/>
          <w:sz w:val="14"/>
          <w:szCs w:val="14"/>
          <w:highlight w:val="none"/>
        </w:rPr>
        <mc:AlternateContent>
          <mc:Choice Requires="wps">
            <w:drawing>
              <wp:anchor distT="0" distB="0" distL="114300" distR="114300" simplePos="0" relativeHeight="251667456" behindDoc="1" locked="0" layoutInCell="1" allowOverlap="1">
                <wp:simplePos x="0" y="0"/>
                <wp:positionH relativeFrom="page">
                  <wp:posOffset>3239135</wp:posOffset>
                </wp:positionH>
                <wp:positionV relativeFrom="paragraph">
                  <wp:posOffset>29845</wp:posOffset>
                </wp:positionV>
                <wp:extent cx="288290" cy="255270"/>
                <wp:effectExtent l="0" t="0" r="0" b="0"/>
                <wp:wrapNone/>
                <wp:docPr id="9" name="文本框 9"/>
                <wp:cNvGraphicFramePr/>
                <a:graphic xmlns:a="http://schemas.openxmlformats.org/drawingml/2006/main">
                  <a:graphicData uri="http://schemas.microsoft.com/office/word/2010/wordprocessingShape">
                    <wps:wsp>
                      <wps:cNvSpPr txBox="1"/>
                      <wps:spPr>
                        <a:xfrm>
                          <a:off x="0" y="0"/>
                          <a:ext cx="288290" cy="255270"/>
                        </a:xfrm>
                        <a:prstGeom prst="rect">
                          <a:avLst/>
                        </a:prstGeom>
                        <a:noFill/>
                        <a:ln>
                          <a:noFill/>
                        </a:ln>
                        <a:effectLst/>
                      </wps:spPr>
                      <wps:txbx>
                        <w:txbxContent>
                          <w:p w14:paraId="24F8BD4A">
                            <w:r>
                              <w:rPr>
                                <w:rFonts w:ascii="Times New Roman" w:eastAsia="Times New Roman"/>
                                <w:spacing w:val="-39"/>
                                <w:position w:val="15"/>
                                <w:szCs w:val="24"/>
                              </w:rPr>
                              <w:t>F</w:t>
                            </w:r>
                            <w:r>
                              <w:rPr>
                                <w:rFonts w:ascii="Times New Roman" w:eastAsia="Times New Roman"/>
                                <w:position w:val="9"/>
                                <w:sz w:val="14"/>
                                <w:szCs w:val="14"/>
                              </w:rPr>
                              <w:t>1</w:t>
                            </w:r>
                          </w:p>
                          <w:p w14:paraId="0CFF0AC4"/>
                        </w:txbxContent>
                      </wps:txbx>
                      <wps:bodyPr wrap="square" lIns="0" tIns="0" rIns="0" bIns="0" upright="1"/>
                    </wps:wsp>
                  </a:graphicData>
                </a:graphic>
              </wp:anchor>
            </w:drawing>
          </mc:Choice>
          <mc:Fallback>
            <w:pict>
              <v:shape id="_x0000_s1026" o:spid="_x0000_s1026" o:spt="202" type="#_x0000_t202" style="position:absolute;left:0pt;margin-left:255.05pt;margin-top:2.35pt;height:20.1pt;width:22.7pt;mso-position-horizontal-relative:page;z-index:-251649024;mso-width-relative:page;mso-height-relative:page;" filled="f" stroked="f" coordsize="21600,21600" o:gfxdata="UEsDBAoAAAAAAIdO4kAAAAAAAAAAAAAAAAAEAAAAZHJzL1BLAwQUAAAACACHTuJAc2f4rNYAAAAI&#10;AQAADwAAAGRycy9kb3ducmV2LnhtbE2PzU7DMBCE70i8g7VI3Kgd1BaaxqkQghMSIg2HHp14m1iN&#10;1yF2f3h7lhPsbTSj2W+KzcUP4oRTdIE0ZDMFAqkN1lGn4bN+vXsEEZMha4ZAqOEbI2zK66vC5Dac&#10;qcLTNnWCSyjmRkOf0phLGdsevYmzMCKxtw+TN4nl1Ek7mTOX+0HeK7WU3jjiD70Z8bnH9rA9eg1P&#10;O6pe3Nd781HtK1fXK0Vvy4PWtzeZWoNIeEl/YfjFZ3QomakJR7JRDBoWmco4qmH+AIL9BR+IhvV8&#10;BbIs5P8B5Q9QSwMEFAAAAAgAh07iQMzgHF3IAQAAjQMAAA4AAABkcnMvZTJvRG9jLnhtbK1TzY7T&#10;MBC+I/EOlu803UgLbdR0pVW1CAkB0sIDuM6kseQ/xm6TvgC8AScu3HmuPgdjpynLctnDXpzxzPib&#10;+b6ZrG4Go9kBMChna341m3MGVrpG2V3Nv3y+e7XgLERhG6GdhZofIfCb9csXq95XULrO6QaQEYgN&#10;Ve9r3sXoq6IIsgMjwsx5sBRsHRoR6Yq7okHRE7rRRTmfvy56h41HJyEE8m7GID8j4lMAXdsqCRsn&#10;9wZsHFERtIhEKXTKB77O3bYtyPixbQNEpmtOTGM+qQjZ23QW65Wodih8p+S5BfGUFh5xMkJZKnqB&#10;2ogo2B7Vf1BGSXTBtXEmnSlGIlkRYnE1f6TNfSc8ZC4kdfAX0cPzwcoPh0/IVFPzJWdWGBr46cf3&#10;08/fp1/f2DLJ0/tQUda9p7w43LqBlmbyB3Im1kOLJn2JD6M4iXu8iAtDZJKc5WJRLikiKVReX5dv&#10;svjF38ceQ3wLzrBk1BxpdllScXgfIjVCqVNKqmXdndI6z0/bfxyUOHogL8D5deIx9pusOGyHM7mt&#10;a47EraclqHn4uhcInOl3llROGzMZOBnbydh7VLuOWs16FAmWppQbPW9UWoOHd7If/kXr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HNn+KzWAAAACAEAAA8AAAAAAAAAAQAgAAAAIgAAAGRycy9kb3du&#10;cmV2LnhtbFBLAQIUABQAAAAIAIdO4kDM4BxdyAEAAI0DAAAOAAAAAAAAAAEAIAAAACUBAABkcnMv&#10;ZTJvRG9jLnhtbFBLBQYAAAAABgAGAFkBAABfBQAAAAA=&#10;">
                <v:fill on="f" focussize="0,0"/>
                <v:stroke on="f"/>
                <v:imagedata o:title=""/>
                <o:lock v:ext="edit" aspectratio="f"/>
                <v:textbox inset="0mm,0mm,0mm,0mm">
                  <w:txbxContent>
                    <w:p w14:paraId="24F8BD4A">
                      <w:r>
                        <w:rPr>
                          <w:rFonts w:ascii="Times New Roman" w:eastAsia="Times New Roman"/>
                          <w:spacing w:val="-39"/>
                          <w:position w:val="15"/>
                          <w:szCs w:val="24"/>
                        </w:rPr>
                        <w:t>F</w:t>
                      </w:r>
                      <w:r>
                        <w:rPr>
                          <w:rFonts w:ascii="Times New Roman" w:eastAsia="Times New Roman"/>
                          <w:position w:val="9"/>
                          <w:sz w:val="14"/>
                          <w:szCs w:val="14"/>
                        </w:rPr>
                        <w:t>1</w:t>
                      </w:r>
                    </w:p>
                    <w:p w14:paraId="0CFF0AC4"/>
                  </w:txbxContent>
                </v:textbox>
              </v:shape>
            </w:pict>
          </mc:Fallback>
        </mc:AlternateContent>
      </w:r>
      <w:r>
        <w:rPr>
          <w:rFonts w:hint="eastAsia" w:ascii="宋体" w:hAnsi="宋体" w:eastAsia="宋体" w:cs="宋体"/>
          <w:color w:val="auto"/>
          <w:sz w:val="14"/>
          <w:szCs w:val="14"/>
          <w:highlight w:val="none"/>
        </w:rPr>
        <w:t>1</w:t>
      </w:r>
      <w:r>
        <w:rPr>
          <w:rFonts w:hint="eastAsia" w:ascii="宋体" w:hAnsi="宋体" w:eastAsia="宋体" w:cs="宋体"/>
          <w:color w:val="auto"/>
          <w:sz w:val="14"/>
          <w:szCs w:val="14"/>
          <w:highlight w:val="none"/>
        </w:rPr>
        <w:tab/>
      </w:r>
      <w:r>
        <w:rPr>
          <w:rFonts w:hint="eastAsia" w:ascii="宋体" w:hAnsi="宋体" w:eastAsia="宋体" w:cs="宋体"/>
          <w:color w:val="auto"/>
          <w:sz w:val="14"/>
          <w:szCs w:val="14"/>
          <w:highlight w:val="none"/>
        </w:rPr>
        <w:t xml:space="preserve">  1</w:t>
      </w:r>
    </w:p>
    <w:p w14:paraId="262F68FE">
      <w:pPr>
        <w:pStyle w:val="11"/>
        <w:spacing w:before="26"/>
        <w:ind w:left="3441" w:right="4885"/>
        <w:jc w:val="center"/>
        <w:rPr>
          <w:rFonts w:hint="eastAsia" w:ascii="宋体" w:hAnsi="宋体" w:eastAsia="宋体" w:cs="宋体"/>
          <w:color w:val="auto"/>
          <w:highlight w:val="none"/>
        </w:rPr>
      </w:pPr>
    </w:p>
    <w:p w14:paraId="34E0FB22">
      <w:pPr>
        <w:spacing w:before="3" w:line="170" w:lineRule="exact"/>
        <w:rPr>
          <w:rFonts w:hint="eastAsia" w:ascii="宋体" w:hAnsi="宋体" w:eastAsia="宋体" w:cs="宋体"/>
          <w:color w:val="auto"/>
          <w:sz w:val="17"/>
          <w:szCs w:val="17"/>
          <w:highlight w:val="none"/>
        </w:rPr>
      </w:pPr>
    </w:p>
    <w:p w14:paraId="3EC31376">
      <w:pPr>
        <w:spacing w:line="404" w:lineRule="exact"/>
        <w:ind w:left="328"/>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68480" behindDoc="1" locked="0" layoutInCell="1" allowOverlap="1">
                <wp:simplePos x="0" y="0"/>
                <wp:positionH relativeFrom="page">
                  <wp:posOffset>3150235</wp:posOffset>
                </wp:positionH>
                <wp:positionV relativeFrom="paragraph">
                  <wp:posOffset>250825</wp:posOffset>
                </wp:positionV>
                <wp:extent cx="403860" cy="1270"/>
                <wp:effectExtent l="0" t="0" r="0" b="0"/>
                <wp:wrapNone/>
                <wp:docPr id="43" name="组合 43"/>
                <wp:cNvGraphicFramePr/>
                <a:graphic xmlns:a="http://schemas.openxmlformats.org/drawingml/2006/main">
                  <a:graphicData uri="http://schemas.microsoft.com/office/word/2010/wordprocessingGroup">
                    <wpg:wgp>
                      <wpg:cNvGrpSpPr/>
                      <wpg:grpSpPr>
                        <a:xfrm>
                          <a:off x="0" y="0"/>
                          <a:ext cx="403860" cy="1270"/>
                          <a:chOff x="4961" y="396"/>
                          <a:chExt cx="636" cy="2"/>
                        </a:xfrm>
                        <a:effectLst/>
                      </wpg:grpSpPr>
                      <wps:wsp>
                        <wps:cNvPr id="10" name="任意多边形 33"/>
                        <wps:cNvSpPr/>
                        <wps:spPr>
                          <a:xfrm>
                            <a:off x="4961" y="396"/>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48.05pt;margin-top:19.75pt;height:0.1pt;width:31.8pt;mso-position-horizontal-relative:page;z-index:-251648000;mso-width-relative:page;mso-height-relative:page;" coordorigin="4961,396" coordsize="636,2" o:gfxdata="UEsDBAoAAAAAAIdO4kAAAAAAAAAAAAAAAAAEAAAAZHJzL1BLAwQUAAAACACHTuJASMOuYdoAAAAJ&#10;AQAADwAAAGRycy9kb3ducmV2LnhtbE2PwU7CQBCG7ya+w2ZMvMl2xQKt3RJD1BMhEUwMt6Ed2obu&#10;bNNdWnh7l5MeZ+bLP9+fLS+mFQP1rrGsQU0iEMSFLRuuNHzvPp4WIJxHLrG1TBqu5GCZ399lmJZ2&#10;5C8atr4SIYRdihpq77tUSlfUZNBNbEccbkfbG/Rh7CtZ9jiGcNPK5yiaSYMNhw81drSqqThtz0bD&#10;54jj21S9D+vTcXXd7+LNz1qR1o8PKnoF4eni/2C46Qd1yIPTwZ65dKLV8JLMVEA1TJMYRADiOJmD&#10;ONwWc5B5Jv83yH8BUEsDBBQAAAAIAIdO4kCT8dwNnAIAANcFAAAOAAAAZHJzL2Uyb0RvYy54bWyl&#10;VEuOEzEQ3SNxB8t70vkRZlrpzILMZINgpBkO4Ljd3Zb8w3bSyX4W7GDNEnEJFMFpCHAMyu7OhwxI&#10;I8iiU66f670q1/hiJQVaMuu4VhnudboYMUV1zlWZ4de3V0/OMHKeqJwIrViG18zhi8njR+PapKyv&#10;Ky1yZhEkUS6tTYYr702aJI5WTBLX0YYpMBbaSuLhaMskt6SG7FIk/W53lNTa5sZqypwD7bQx4jaj&#10;fUhCXRScsqmmC8mUb7JaJogHSK7ixuFJrLYoGPWvisIxj0SGAamPX7gE5Hn4JpMxSUtLTMVpWwJ5&#10;SAknmCThCi7dp5oST9DC8nupJKdWO134DtUyaYBERgBFr3vCzczqhYlYyrQuzZ50aNQJ6/+clr5c&#10;XlvE8wwPBxgpIqHjPzZ32/dvESiAndqUKTjNrLkx17ZVlM0pAF4VVoZ/gIJWkdf1nle28oiCctgd&#10;nI2AcQqmXv9ZyzqtoDUhZng+6mEEtsH5qGkIrS7b0NFg1MT1gyU53Mdic184H9ShyH1NtYHBdAe2&#10;3P+xdVMRw2ITXCCiZasHcBq2vm023+/ebT99+Pn18/bLRzRoaYvee85c6oC+PxB2H/yOtb9Cpwvn&#10;Z0xH2smyoQAmL99JpNpJdKV2oiE+qEMFQUR1hsMF4Sz1kt3qaPEnPQTCD1ahjr1iebteg19jBSGk&#10;j63aXwnK45qVvuJCQN9CUFPI0zAdBLZJAa8YRGlgIp0qY31OC56HkBDhbDl/LixakvCi46+djN/c&#10;jHV+SlzV+EVTM1oVI/mlypFfGxh1BSsOhxIkyzESDDZikGJtnnDxEM+IPZR2MpK7lod5nOt8DZNT&#10;w6IBXG8WxMK1C2N5WcFK6kUE7dy24wzvPZLY7qawUI7P0euwjy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EjDrmHaAAAACQEAAA8AAAAAAAAAAQAgAAAAIgAAAGRycy9kb3ducmV2LnhtbFBLAQIU&#10;ABQAAAAIAIdO4kCT8dwNnAIAANcFAAAOAAAAAAAAAAEAIAAAACkBAABkcnMvZTJvRG9jLnhtbFBL&#10;BQYAAAAABgAGAFkBAAA3BgAAAAA=&#10;">
                <o:lock v:ext="edit" aspectratio="f"/>
                <v:shape id="任意多边形 33" o:spid="_x0000_s1026" o:spt="100" style="position:absolute;left:4961;top:396;height:2;width:636;" filled="f" stroked="t" coordsize="636,1" o:gfxdata="UEsDBAoAAAAAAIdO4kAAAAAAAAAAAAAAAAAEAAAAZHJzL1BLAwQUAAAACACHTuJAfsiBvb4AAADb&#10;AAAADwAAAGRycy9kb3ducmV2LnhtbEWPzW7CQAyE70i8w8pIvZENPaAqZeGAVH4qDjT0Aaysm0Rk&#10;vWF3G36eHh8q9WZrxjOfF6ub69RAIbaeDcyyHBRx5W3LtYHv08f0DVRMyBY7z2TgThFWy/FogYX1&#10;V/6ioUy1khCOBRpoUuoLrWPVkMOY+Z5YtB8fHCZZQ61twKuEu06/5vlcO2xZGhrsad1QdS5/nYEN&#10;duf9sD4O9Ngftqkv5+HzcTHmZTLL30EluqV/89/1zgq+0MsvMoBe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siBvb4A&#10;AADbAAAADwAAAAAAAAABACAAAAAiAAAAZHJzL2Rvd25yZXYueG1sUEsBAhQAFAAAAAgAh07iQDMv&#10;BZ47AAAAOQAAABAAAAAAAAAAAQAgAAAADQEAAGRycy9zaGFwZXhtbC54bWxQSwUGAAAAAAYABgBb&#10;AQAAtwMAAAAA&#10;" path="m0,0l636,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跌</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2"/>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Cs w:val="24"/>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Cs w:val="24"/>
          <w:highlight w:val="none"/>
        </w:rPr>
        <w:t>F</w:t>
      </w:r>
      <w:r>
        <w:rPr>
          <w:rFonts w:hint="eastAsia" w:ascii="宋体" w:hAnsi="宋体" w:eastAsia="宋体" w:cs="宋体"/>
          <w:color w:val="auto"/>
          <w:spacing w:val="16"/>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100"/>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26"/>
          <w:position w:val="15"/>
          <w:szCs w:val="24"/>
          <w:highlight w:val="none"/>
        </w:rPr>
        <w:t>F</w:t>
      </w:r>
      <w:r>
        <w:rPr>
          <w:rFonts w:hint="eastAsia" w:ascii="宋体" w:hAnsi="宋体" w:eastAsia="宋体" w:cs="宋体"/>
          <w:color w:val="auto"/>
          <w:position w:val="9"/>
          <w:sz w:val="14"/>
          <w:szCs w:val="14"/>
          <w:highlight w:val="none"/>
        </w:rPr>
        <w:t>0</w:t>
      </w:r>
      <w:r>
        <w:rPr>
          <w:rFonts w:hint="eastAsia" w:ascii="宋体" w:hAnsi="宋体" w:eastAsia="宋体" w:cs="宋体"/>
          <w:color w:val="auto"/>
          <w:spacing w:val="2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hAnsi="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A</w:t>
      </w:r>
      <w:r>
        <w:rPr>
          <w:rFonts w:hint="eastAsia" w:ascii="宋体" w:hAnsi="宋体" w:eastAsia="宋体" w:cs="宋体"/>
          <w:color w:val="auto"/>
          <w:szCs w:val="24"/>
          <w:highlight w:val="none"/>
        </w:rPr>
        <w:t>）</w:t>
      </w:r>
    </w:p>
    <w:p w14:paraId="2BF32FD6">
      <w:pPr>
        <w:pStyle w:val="11"/>
        <w:tabs>
          <w:tab w:val="left" w:pos="2884"/>
        </w:tabs>
        <w:spacing w:line="142" w:lineRule="exact"/>
        <w:ind w:firstLine="2520" w:firstLineChars="1800"/>
        <w:jc w:val="left"/>
        <w:rPr>
          <w:rFonts w:hint="eastAsia" w:ascii="宋体" w:hAnsi="宋体" w:eastAsia="宋体" w:cs="宋体"/>
          <w:color w:val="auto"/>
          <w:highlight w:val="none"/>
        </w:rPr>
      </w:pPr>
      <w:r>
        <w:rPr>
          <w:rFonts w:hint="eastAsia" w:ascii="宋体" w:hAnsi="宋体" w:eastAsia="宋体" w:cs="宋体"/>
          <w:color w:val="auto"/>
          <w:sz w:val="14"/>
          <w:szCs w:val="14"/>
          <w:highlight w:val="none"/>
        </w:rPr>
        <mc:AlternateContent>
          <mc:Choice Requires="wps">
            <w:drawing>
              <wp:anchor distT="0" distB="0" distL="114300" distR="114300" simplePos="0" relativeHeight="251669504" behindDoc="1" locked="0" layoutInCell="1" allowOverlap="1">
                <wp:simplePos x="0" y="0"/>
                <wp:positionH relativeFrom="page">
                  <wp:posOffset>3289300</wp:posOffset>
                </wp:positionH>
                <wp:positionV relativeFrom="paragraph">
                  <wp:posOffset>29845</wp:posOffset>
                </wp:positionV>
                <wp:extent cx="220980" cy="29337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220980" cy="293370"/>
                        </a:xfrm>
                        <a:prstGeom prst="rect">
                          <a:avLst/>
                        </a:prstGeom>
                        <a:noFill/>
                        <a:ln>
                          <a:noFill/>
                        </a:ln>
                        <a:effectLst/>
                      </wps:spPr>
                      <wps:txbx>
                        <w:txbxContent>
                          <w:p w14:paraId="362051E1">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_x0000_s1026" o:spid="_x0000_s1026" o:spt="202" type="#_x0000_t202" style="position:absolute;left:0pt;margin-left:259pt;margin-top:2.35pt;height:23.1pt;width:17.4pt;mso-position-horizontal-relative:page;z-index:-251646976;mso-width-relative:page;mso-height-relative:page;" filled="f" stroked="f" coordsize="21600,21600" o:gfxdata="UEsDBAoAAAAAAIdO4kAAAAAAAAAAAAAAAAAEAAAAZHJzL1BLAwQUAAAACACHTuJAw2mqedgAAAAI&#10;AQAADwAAAGRycy9kb3ducmV2LnhtbE2PTU/DMAyG70j7D5EncWNJJzq20nRCCE5IiK4cOKaN11Zr&#10;nNJkH/x7zIndbL3W6+fJtxc3iBNOofekIVkoEEiNtz21Gj6r17s1iBANWTN4Qg0/GGBbzG5yk1l/&#10;phJPu9gKLqGQGQ1djGMmZWg6dCYs/IjE2d5PzkRep1bayZy53A1yqdRKOtMTf+jMiM8dNofd0Wl4&#10;+qLypf9+rz/KfdlX1UbR2+qg9e08UY8gIl7i/zH84TM6FMxU+yPZIAYNabJml6jh/gEE52m6ZJWa&#10;B7UBWeTyWqD4BVBLAwQUAAAACACHTuJAfkBkgMkBAACPAwAADgAAAGRycy9lMm9Eb2MueG1srVPN&#10;jtMwEL4j8Q6W7zTdrAS7UdOVVtUiJARICw/gOk5jyX/MuE36AvAGnLhw57n6HIydpCzLZQ97ccYz&#10;42/m+2ayuhmsYQcFqL2r+cViyZly0jfa7Wr+5fPdqyvOMArXCOOdqvlRIb9Zv3yx6kOlSt950yhg&#10;BOKw6kPNuxhDVRQoO2UFLnxQjoKtBysiXWFXNCB6QremKJfL10XvoQngpUIk72YM8gkRngLo21ZL&#10;tfFyb5WLIyooIyJRwk4H5OvcbdsqGT+2LarITM2JacwnFSF7m85ivRLVDkTotJxaEE9p4REnK7Sj&#10;omeojYiC7UH/B2W1BI++jQvpbTESyYoQi4vlI23uOxFU5kJSYziLjs8HKz8cPgHTDW1CyZkTliZ+&#10;+vH99PP36dc3Rj4SqA9YUd59oMw43PqBkmc/kjPxHlqw6UuMGMVJ3uNZXjVEJslZlsvrK4pICpXX&#10;l5dvsvzF38cBML5V3rJk1BxoellUcXiPkRqh1Dkl1XL+ThuTJ2jcPw5KHD0qr8D0OvEY+01WHLbD&#10;RG7rmyNx62kNao5f9wIUZ+adI53TzswGzMZ2NvYB9K6jVrMeRYKlOeVGp51Ki/DwTvbD/2j9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NpqnnYAAAACAEAAA8AAAAAAAAAAQAgAAAAIgAAAGRycy9k&#10;b3ducmV2LnhtbFBLAQIUABQAAAAIAIdO4kB+QGSAyQEAAI8DAAAOAAAAAAAAAAEAIAAAACcBAABk&#10;cnMvZTJvRG9jLnhtbFBLBQYAAAAABgAGAFkBAABiBQAAAAA=&#10;">
                <v:fill on="f" focussize="0,0"/>
                <v:stroke on="f"/>
                <v:imagedata o:title=""/>
                <o:lock v:ext="edit" aspectratio="f"/>
                <v:textbox inset="0mm,0mm,0mm,0mm">
                  <w:txbxContent>
                    <w:p w14:paraId="362051E1">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rFonts w:hint="eastAsia" w:ascii="宋体" w:hAnsi="宋体" w:eastAsia="宋体" w:cs="宋体"/>
          <w:color w:val="auto"/>
          <w:sz w:val="14"/>
          <w:szCs w:val="14"/>
          <w:highlight w:val="none"/>
        </w:rPr>
        <w:t>1    0</w:t>
      </w:r>
    </w:p>
    <w:p w14:paraId="3D3FFEFC">
      <w:pPr>
        <w:spacing w:before="4" w:line="110" w:lineRule="exact"/>
        <w:rPr>
          <w:rFonts w:hint="eastAsia" w:ascii="宋体" w:hAnsi="宋体" w:eastAsia="宋体" w:cs="宋体"/>
          <w:color w:val="auto"/>
          <w:sz w:val="11"/>
          <w:szCs w:val="11"/>
          <w:highlight w:val="none"/>
        </w:rPr>
      </w:pPr>
    </w:p>
    <w:p w14:paraId="43E961A6">
      <w:pPr>
        <w:spacing w:line="200" w:lineRule="exact"/>
        <w:rPr>
          <w:rFonts w:hint="eastAsia" w:ascii="宋体" w:hAnsi="宋体" w:eastAsia="宋体" w:cs="宋体"/>
          <w:color w:val="auto"/>
          <w:sz w:val="20"/>
          <w:highlight w:val="none"/>
        </w:rPr>
      </w:pPr>
    </w:p>
    <w:p w14:paraId="37D54CFC">
      <w:pPr>
        <w:spacing w:line="200" w:lineRule="exact"/>
        <w:rPr>
          <w:rFonts w:hint="eastAsia" w:ascii="宋体" w:hAnsi="宋体" w:eastAsia="宋体" w:cs="宋体"/>
          <w:color w:val="auto"/>
          <w:sz w:val="20"/>
          <w:highlight w:val="none"/>
        </w:rPr>
      </w:pPr>
    </w:p>
    <w:p w14:paraId="1402F437">
      <w:pPr>
        <w:spacing w:line="404" w:lineRule="exact"/>
        <w:ind w:left="120"/>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70528" behindDoc="1" locked="0" layoutInCell="1" allowOverlap="1">
                <wp:simplePos x="0" y="0"/>
                <wp:positionH relativeFrom="page">
                  <wp:posOffset>3107055</wp:posOffset>
                </wp:positionH>
                <wp:positionV relativeFrom="paragraph">
                  <wp:posOffset>250825</wp:posOffset>
                </wp:positionV>
                <wp:extent cx="403860" cy="1270"/>
                <wp:effectExtent l="0" t="0" r="0" b="0"/>
                <wp:wrapNone/>
                <wp:docPr id="44" name="组合 44"/>
                <wp:cNvGraphicFramePr/>
                <a:graphic xmlns:a="http://schemas.openxmlformats.org/drawingml/2006/main">
                  <a:graphicData uri="http://schemas.microsoft.com/office/word/2010/wordprocessingGroup">
                    <wpg:wgp>
                      <wpg:cNvGrpSpPr/>
                      <wpg:grpSpPr>
                        <a:xfrm>
                          <a:off x="0" y="0"/>
                          <a:ext cx="403860" cy="1270"/>
                          <a:chOff x="4894" y="396"/>
                          <a:chExt cx="636" cy="2"/>
                        </a:xfrm>
                        <a:effectLst/>
                      </wpg:grpSpPr>
                      <wps:wsp>
                        <wps:cNvPr id="13" name="任意多边形 36"/>
                        <wps:cNvSpPr/>
                        <wps:spPr>
                          <a:xfrm>
                            <a:off x="4894" y="396"/>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44.65pt;margin-top:19.75pt;height:0.1pt;width:31.8pt;mso-position-horizontal-relative:page;z-index:-251645952;mso-width-relative:page;mso-height-relative:page;" coordorigin="4894,396" coordsize="636,2" o:gfxdata="UEsDBAoAAAAAAIdO4kAAAAAAAAAAAAAAAAAEAAAAZHJzL1BLAwQUAAAACACHTuJAXMh7+9oAAAAJ&#10;AQAADwAAAGRycy9kb3ducmV2LnhtbE2PwU7DMAyG70i8Q2QkbiztSmEtTSc0AadpEhsS4uY1Xlut&#10;caoma7e3JzvB0fan399fLM+mEyMNrrWsIJ5FIIgrq1uuFXzt3h8WIJxH1thZJgUXcrAsb28KzLWd&#10;+JPGra9FCGGXo4LG+z6X0lUNGXQz2xOH28EOBn0Yh1rqAacQbjo5j6InabDl8KHBnlYNVcftySj4&#10;mHB6TeK3cX08rC4/u3TzvY5Jqfu7OHoB4ens/2C46gd1KIPT3p5YO9EpeFxkSUAVJFkKIgBpOs9A&#10;7K+LZ5BlIf83KH8BUEsDBBQAAAAIAIdO4kBH4jrmnAIAANcFAAAOAAAAZHJzL2Uyb0RvYy54bWyl&#10;VM1uEzEQviPxDpbvdPNHSFfd9EDaXBBUankA1+vdteQ/bCeb3HvgBmeOiJdAETwNAR6DsXc3KSlI&#10;EeSwGc+MZ775Zjxn5ysp0JJZx7XKcP+khxFTVOdclRl+fXP5ZIKR80TlRGjFMrxmDp9PHz86q03K&#10;BrrSImcWQRDl0tpkuPLepEniaMUkcSfaMAXGQltJPBxtmeSW1BBdimTQ642TWtvcWE2Zc6CdNUbc&#10;RrTHBNRFwSmbabqQTPkmqmWCeCjJVdw4PI1oi4JR/6ooHPNIZBgq9fELSUC+Dd9kekbS0hJTcdpC&#10;IMdAOKhJEq4g6S7UjHiCFpY/CCU5tdrpwp9QLZOmkMgIVNHvHXAzt3phYi1lWpdmRzo06oD1fw5L&#10;Xy6vLOJ5hkcjjBSR0PEfm7vt+7cIFMBObcoUnObWXJsr2yrK5hQKXhVWhn8oBa0ir+sdr2zlEQXl&#10;qDecjIFxCqb+4FnLOq2gNeHOaHIKucE2PB03DaHVRXt1PBw39wbBkuzzsdjcF84HdQC5w1QbGEy3&#10;Z8v9H1vXFTEsNsEFIlq2+sOOrW+bzfe7d9tPH35+/bz98hEB4MhS9N5x5lIH9P2BsIfFd6z9tXS6&#10;cH7OdKSdLBsKYPLyTiJVJ9GV6kRDfFAHBEFEdYZDgnCWesludLT4gx4C4XurUPe9Iryu1+DXWEEI&#10;4WOrdilBeR+z0pdcCCApXGqAPA3TQWCbFPCKQZQGJtKpMuJzWvA8XAk3nC1vnwuLliS86PhrJ+M3&#10;N2OdnxFXNX7R1IxWxUh+oXLk1wZGXcGKwwGCZDlGgsFGDFLE5gkXx3jG2gO0g5HsWh7m8Vbna5ic&#10;GhYN1PVmQSykXRjLywpWUj9W0M5tO87w3iOJ7W4KC+X+OXrt9/H0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FzIe/vaAAAACQEAAA8AAAAAAAAAAQAgAAAAIgAAAGRycy9kb3ducmV2LnhtbFBLAQIU&#10;ABQAAAAIAIdO4kBH4jrmnAIAANcFAAAOAAAAAAAAAAEAIAAAACkBAABkcnMvZTJvRG9jLnhtbFBL&#10;BQYAAAAABgAGAFkBAAA3BgAAAAA=&#10;">
                <o:lock v:ext="edit" aspectratio="f"/>
                <v:shape id="任意多边形 36" o:spid="_x0000_s1026" o:spt="100" style="position:absolute;left:4894;top:396;height:2;width:636;" filled="f" stroked="t" coordsize="636,1" o:gfxdata="UEsDBAoAAAAAAIdO4kAAAAAAAAAAAAAAAAAEAAAAZHJzL1BLAwQUAAAACACHTuJAjhofyroAAADb&#10;AAAADwAAAGRycy9kb3ducmV2LnhtbEVPzYrCMBC+C75DGMGbTV1Blmr0IOiq7GG3+gBDM7bFZlKT&#10;WH+efrMgeJuP73fmy7tpREfO15YVjJMUBHFhdc2lguNhPfoE4QOyxsYyKXiQh+Wi35tjpu2Nf6nL&#10;QyliCPsMFVQhtJmUvqjIoE9sSxy5k3UGQ4SulNrhLYabRn6k6VQarDk2VNjSqqLinF+Ngg025123&#10;+unoufv+Cm0+dfvnRanhYJzOQAS6h7f45d7qOH8C/7/EA+Ti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Gh/KugAAANsA&#10;AAAPAAAAAAAAAAEAIAAAACIAAABkcnMvZG93bnJldi54bWxQSwECFAAUAAAACACHTuJAMy8FnjsA&#10;AAA5AAAAEAAAAAAAAAABACAAAAAJAQAAZHJzL3NoYXBleG1sLnhtbFBLBQYAAAAABgAGAFsBAACz&#10;AwAAAAA=&#10;" path="m0,0l636,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c</w:t>
      </w:r>
      <w:r>
        <w:rPr>
          <w:rFonts w:hint="eastAsia" w:ascii="宋体" w:hAnsi="宋体" w:eastAsia="宋体" w:cs="宋体"/>
          <w:color w:val="auto"/>
          <w:spacing w:val="-2"/>
          <w:sz w:val="21"/>
          <w:szCs w:val="21"/>
          <w:highlight w:val="none"/>
        </w:rPr>
        <w:t>.</w:t>
      </w:r>
      <w:r>
        <w:rPr>
          <w:rFonts w:hint="eastAsia" w:ascii="宋体" w:hAnsi="宋体" w:eastAsia="宋体" w:cs="宋体"/>
          <w:color w:val="auto"/>
          <w:spacing w:val="-1"/>
          <w:sz w:val="21"/>
          <w:szCs w:val="21"/>
          <w:highlight w:val="none"/>
        </w:rPr>
        <w:t>涨</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4"/>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Cs w:val="24"/>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Cs w:val="24"/>
          <w:highlight w:val="none"/>
        </w:rPr>
        <w:t>F</w:t>
      </w:r>
      <w:r>
        <w:rPr>
          <w:rFonts w:hint="eastAsia" w:ascii="宋体" w:hAnsi="宋体" w:eastAsia="宋体" w:cs="宋体"/>
          <w:color w:val="auto"/>
          <w:spacing w:val="15"/>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100"/>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26"/>
          <w:position w:val="15"/>
          <w:szCs w:val="24"/>
          <w:highlight w:val="none"/>
        </w:rPr>
        <w:t>F</w:t>
      </w:r>
      <w:r>
        <w:rPr>
          <w:rFonts w:hint="eastAsia" w:ascii="宋体" w:hAnsi="宋体" w:eastAsia="宋体" w:cs="宋体"/>
          <w:color w:val="auto"/>
          <w:position w:val="9"/>
          <w:sz w:val="14"/>
          <w:szCs w:val="14"/>
          <w:highlight w:val="none"/>
        </w:rPr>
        <w:t>0</w:t>
      </w:r>
      <w:r>
        <w:rPr>
          <w:rFonts w:hint="eastAsia" w:ascii="宋体" w:hAnsi="宋体" w:eastAsia="宋体" w:cs="宋体"/>
          <w:color w:val="auto"/>
          <w:spacing w:val="2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hAnsi="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A</w:t>
      </w:r>
      <w:r>
        <w:rPr>
          <w:rFonts w:hint="eastAsia" w:ascii="宋体" w:hAnsi="宋体" w:eastAsia="宋体" w:cs="宋体"/>
          <w:color w:val="auto"/>
          <w:szCs w:val="24"/>
          <w:highlight w:val="none"/>
        </w:rPr>
        <w:t>）</w:t>
      </w:r>
    </w:p>
    <w:p w14:paraId="70BA9A76">
      <w:pPr>
        <w:pStyle w:val="11"/>
        <w:tabs>
          <w:tab w:val="left" w:pos="2817"/>
        </w:tabs>
        <w:spacing w:line="142" w:lineRule="exact"/>
        <w:ind w:left="2424"/>
        <w:jc w:val="left"/>
        <w:rPr>
          <w:rFonts w:hint="eastAsia" w:ascii="宋体" w:hAnsi="宋体" w:eastAsia="宋体" w:cs="宋体"/>
          <w:color w:val="auto"/>
          <w:sz w:val="14"/>
          <w:szCs w:val="14"/>
          <w:highlight w:val="none"/>
        </w:rPr>
      </w:pPr>
      <w:r>
        <w:rPr>
          <w:rFonts w:hint="eastAsia" w:ascii="宋体" w:hAnsi="宋体" w:eastAsia="宋体" w:cs="宋体"/>
          <w:color w:val="auto"/>
          <w:sz w:val="14"/>
          <w:szCs w:val="14"/>
          <w:highlight w:val="none"/>
        </w:rPr>
        <mc:AlternateContent>
          <mc:Choice Requires="wps">
            <w:drawing>
              <wp:anchor distT="0" distB="0" distL="114300" distR="114300" simplePos="0" relativeHeight="251671552" behindDoc="1" locked="0" layoutInCell="1" allowOverlap="1">
                <wp:simplePos x="0" y="0"/>
                <wp:positionH relativeFrom="page">
                  <wp:posOffset>3246755</wp:posOffset>
                </wp:positionH>
                <wp:positionV relativeFrom="paragraph">
                  <wp:posOffset>29845</wp:posOffset>
                </wp:positionV>
                <wp:extent cx="163195" cy="20828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63195" cy="208280"/>
                        </a:xfrm>
                        <a:prstGeom prst="rect">
                          <a:avLst/>
                        </a:prstGeom>
                        <a:noFill/>
                        <a:ln>
                          <a:noFill/>
                        </a:ln>
                        <a:effectLst/>
                      </wps:spPr>
                      <wps:txbx>
                        <w:txbxContent>
                          <w:p w14:paraId="63B3E82E">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_x0000_s1026" o:spid="_x0000_s1026" o:spt="202" type="#_x0000_t202" style="position:absolute;left:0pt;margin-left:255.65pt;margin-top:2.35pt;height:16.4pt;width:12.85pt;mso-position-horizontal-relative:page;z-index:-251644928;mso-width-relative:page;mso-height-relative:page;" filled="f" stroked="f" coordsize="21600,21600" o:gfxdata="UEsDBAoAAAAAAIdO4kAAAAAAAAAAAAAAAAAEAAAAZHJzL1BLAwQUAAAACACHTuJAtTO3s9gAAAAI&#10;AQAADwAAAGRycy9kb3ducmV2LnhtbE2PzU7DMBCE70i8g7VI3KgdQpo2ZFMhBCckRBoOHJ3YTazG&#10;6xC7P7w95lSOoxnNfFNuznZkRz174wghWQhgmjqnDPUIn83r3QqYD5KUHB1phB/tYVNdX5WyUO5E&#10;tT5uQ89iCflCIgwhTAXnvhu0lX7hJk3R27nZyhDl3HM1y1MstyO/F2LJrTQUFwY56edBd/vtwSI8&#10;fVH9Yr7f2496V5umWQt6W+4Rb28S8Qgs6HO4hOEPP6JDFZladyDl2YiQJUkaowgPObDoZ2kev7UI&#10;aZ4Br0r+/0D1C1BLAwQUAAAACACHTuJABwV0s8kBAACPAwAADgAAAGRycy9lMm9Eb2MueG1srVPN&#10;jtMwEL4j8Q6W7zRtEasSNV0JVYuQECAt+wCu4zSW/MeM26QvAG/AiQt3nqvPwdhJyrJ72cNenPHM&#10;+Jv5vpmsr3tr2FEBau8qvpjNOVNO+lq7fcXvvt68WnGGUbhaGO9UxU8K+fXm5Yt1F0q19K03tQJG&#10;IA7LLlS8jTGURYGyVVbgzAflKNh4sCLSFfZFDaIjdGuK5Xx+VXQe6gBeKkTybocgHxHhKYC+abRU&#10;Wy8PVrk4oIIyIhIlbHVAvsndNo2S8XPToIrMVJyYxnxSEbJ36Sw2a1HuQYRWy7EF8ZQWHnCyQjsq&#10;eoHaiijYAfQjKKslePRNnElvi4FIVoRYLOYPtLltRVCZC0mN4SI6Ph+s/HT8AkzXtAlvOHPC0sTP&#10;P3+cf/05//7OyEcCdQFLyrsNlBn7d76n5MmP5Ey8+wZs+hIjRnGS93SRV/WRyfTo6vXiLVWRFFrO&#10;V8tVlr/49zgAxvfKW5aMigNNL4sqjh8xUiOUOqWkWs7faGPyBI37z0GJg0flFRhfJx5Dv8mK/a4f&#10;ye18fSJuHa1BxfHbQYDizHxwpHPamcmAydhNxiGA3rfUatajSLA0p9zouFNpEe7fyb7/H23+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Uzt7PYAAAACAEAAA8AAAAAAAAAAQAgAAAAIgAAAGRycy9k&#10;b3ducmV2LnhtbFBLAQIUABQAAAAIAIdO4kAHBXSzyQEAAI8DAAAOAAAAAAAAAAEAIAAAACcBAABk&#10;cnMvZTJvRG9jLnhtbFBLBQYAAAAABgAGAFkBAABiBQAAAAA=&#10;">
                <v:fill on="f" focussize="0,0"/>
                <v:stroke on="f"/>
                <v:imagedata o:title=""/>
                <o:lock v:ext="edit" aspectratio="f"/>
                <v:textbox inset="0mm,0mm,0mm,0mm">
                  <w:txbxContent>
                    <w:p w14:paraId="63B3E82E">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rFonts w:hint="eastAsia" w:ascii="宋体" w:hAnsi="宋体" w:eastAsia="宋体" w:cs="宋体"/>
          <w:color w:val="auto"/>
          <w:sz w:val="14"/>
          <w:szCs w:val="14"/>
          <w:highlight w:val="none"/>
        </w:rPr>
        <w:t>1</w:t>
      </w:r>
      <w:r>
        <w:rPr>
          <w:rFonts w:hint="eastAsia" w:ascii="宋体" w:hAnsi="宋体" w:eastAsia="宋体" w:cs="宋体"/>
          <w:color w:val="auto"/>
          <w:sz w:val="14"/>
          <w:szCs w:val="14"/>
          <w:highlight w:val="none"/>
        </w:rPr>
        <w:tab/>
      </w:r>
      <w:r>
        <w:rPr>
          <w:rFonts w:hint="eastAsia" w:ascii="宋体" w:hAnsi="宋体" w:eastAsia="宋体" w:cs="宋体"/>
          <w:color w:val="auto"/>
          <w:sz w:val="14"/>
          <w:szCs w:val="14"/>
          <w:highlight w:val="none"/>
        </w:rPr>
        <w:t>0</w:t>
      </w:r>
    </w:p>
    <w:p w14:paraId="373761D9">
      <w:pPr>
        <w:pStyle w:val="11"/>
        <w:spacing w:before="26"/>
        <w:ind w:left="3454" w:right="4848"/>
        <w:jc w:val="center"/>
        <w:rPr>
          <w:rFonts w:hint="eastAsia" w:ascii="宋体" w:hAnsi="宋体" w:eastAsia="宋体" w:cs="宋体"/>
          <w:color w:val="auto"/>
          <w:sz w:val="14"/>
          <w:szCs w:val="14"/>
          <w:highlight w:val="none"/>
        </w:rPr>
      </w:pPr>
    </w:p>
    <w:p w14:paraId="617CC1C8">
      <w:pPr>
        <w:spacing w:before="4" w:line="170" w:lineRule="exact"/>
        <w:rPr>
          <w:rFonts w:hint="eastAsia" w:ascii="宋体" w:hAnsi="宋体" w:eastAsia="宋体" w:cs="宋体"/>
          <w:color w:val="auto"/>
          <w:sz w:val="17"/>
          <w:szCs w:val="17"/>
          <w:highlight w:val="none"/>
        </w:rPr>
      </w:pPr>
    </w:p>
    <w:p w14:paraId="77536381">
      <w:pPr>
        <w:spacing w:line="405" w:lineRule="exact"/>
        <w:ind w:left="328"/>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72576" behindDoc="1" locked="0" layoutInCell="1" allowOverlap="1">
                <wp:simplePos x="0" y="0"/>
                <wp:positionH relativeFrom="page">
                  <wp:posOffset>3150235</wp:posOffset>
                </wp:positionH>
                <wp:positionV relativeFrom="paragraph">
                  <wp:posOffset>250825</wp:posOffset>
                </wp:positionV>
                <wp:extent cx="403860" cy="1270"/>
                <wp:effectExtent l="0" t="0" r="0" b="0"/>
                <wp:wrapNone/>
                <wp:docPr id="40" name="组合 40"/>
                <wp:cNvGraphicFramePr/>
                <a:graphic xmlns:a="http://schemas.openxmlformats.org/drawingml/2006/main">
                  <a:graphicData uri="http://schemas.microsoft.com/office/word/2010/wordprocessingGroup">
                    <wpg:wgp>
                      <wpg:cNvGrpSpPr/>
                      <wpg:grpSpPr>
                        <a:xfrm>
                          <a:off x="0" y="0"/>
                          <a:ext cx="403860" cy="1270"/>
                          <a:chOff x="4961" y="396"/>
                          <a:chExt cx="636" cy="2"/>
                        </a:xfrm>
                        <a:effectLst/>
                      </wpg:grpSpPr>
                      <wps:wsp>
                        <wps:cNvPr id="16" name="任意多边形 39"/>
                        <wps:cNvSpPr/>
                        <wps:spPr>
                          <a:xfrm>
                            <a:off x="4961" y="396"/>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48.05pt;margin-top:19.75pt;height:0.1pt;width:31.8pt;mso-position-horizontal-relative:page;z-index:-251643904;mso-width-relative:page;mso-height-relative:page;" coordorigin="4961,396" coordsize="636,2" o:gfxdata="UEsDBAoAAAAAAIdO4kAAAAAAAAAAAAAAAAAEAAAAZHJzL1BLAwQUAAAACACHTuJASMOuYdoAAAAJ&#10;AQAADwAAAGRycy9kb3ducmV2LnhtbE2PwU7CQBCG7ya+w2ZMvMl2xQKt3RJD1BMhEUwMt6Ed2obu&#10;bNNdWnh7l5MeZ+bLP9+fLS+mFQP1rrGsQU0iEMSFLRuuNHzvPp4WIJxHLrG1TBqu5GCZ399lmJZ2&#10;5C8atr4SIYRdihpq77tUSlfUZNBNbEccbkfbG/Rh7CtZ9jiGcNPK5yiaSYMNhw81drSqqThtz0bD&#10;54jj21S9D+vTcXXd7+LNz1qR1o8PKnoF4eni/2C46Qd1yIPTwZ65dKLV8JLMVEA1TJMYRADiOJmD&#10;ONwWc5B5Jv83yH8BUEsDBBQAAAAIAIdO4kByO27HnAIAANcFAAAOAAAAZHJzL2Uyb0RvYy54bWyl&#10;VM1uEzEQviPxDpbvdPNTQrPqpgfS5oKgUssDOF7vriX/YTvZ5N4DNzhzRLwEquBpKPAYjO1NUlKQ&#10;IshhM54/f/PNeE7PVlKgJbOOa1Xg/lEPI6aoLrmqC/z6+uLJCUbOE1USoRUr8Jo5fDZ5/Oi0NTkb&#10;6EaLklkESZTLW1PgxnuTZ5mjDZPEHWnDFBgrbSXxcLR1VlrSQnYpskGvN8pabUtjNWXOgXaajLjL&#10;aA9JqKuKUzbVdCGZ8imrZYJ4KMk13Dg8iWirilH/qqoc80gUGCr18QuXgDwP32xySvLaEtNw2kEg&#10;h0DYq0kSruDSbaop8QQtLH+QSnJqtdOVP6JaZqmQyAhU0e/tcTOzemFiLXXe1mZLOjRqj/V/Tktf&#10;Li8t4mWBj4ESRSR0/Mftzd37twgUwE5r6hycZtZcmUvbKep0CgWvKivDP5SCVpHX9ZZXtvKIgvK4&#10;NzwZQXoKpv7gWcc6baA1IeZ4POpjBLbheJQaQpvzLnQ0HKW4QbBku/tYbO4L54M6gNxiag0Mptux&#10;5f6PrauGGBab4AIRHVt9gJXY+nZ7+/3m3d2nDz+/fr778hENx4m26L3lzOUO6PsDYQ+L37D219Lp&#10;wvkZ05F2skwUwOSVG4k0G4mu1EY0xAd1QBBE1BY4XBDOUi/ZtY4Wv9dDIHxnFeq+V4S36TX4JSsI&#10;IX1s1fZKUN7HrPQFFwL6FoISkKdhOghskwpeMYjSwEQ6VUd8TgtehpAQ4Ww9fy4sWpLwouOvm4zf&#10;3Ix1fkpck/yiKY1Ww0h5rkrk1wZGXcGKwwGCZCVGgsFGDFLE5gkXh3jG2gO0vZHctDzM41yXa5ic&#10;FhYN1PVmQSxcuzCW1w2spH6soJvbbpzhvUcSu90UFsr9c/Ta7ePJ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EjDrmHaAAAACQEAAA8AAAAAAAAAAQAgAAAAIgAAAGRycy9kb3ducmV2LnhtbFBLAQIU&#10;ABQAAAAIAIdO4kByO27HnAIAANcFAAAOAAAAAAAAAAEAIAAAACkBAABkcnMvZTJvRG9jLnhtbFBL&#10;BQYAAAAABgAGAFkBAAA3BgAAAAA=&#10;">
                <o:lock v:ext="edit" aspectratio="f"/>
                <v:shape id="任意多边形 39" o:spid="_x0000_s1026" o:spt="100" style="position:absolute;left:4961;top:396;height:2;width:636;" filled="f" stroked="t" coordsize="636,1" o:gfxdata="UEsDBAoAAAAAAIdO4kAAAAAAAAAAAAAAAAAEAAAAZHJzL1BLAwQUAAAACACHTuJAnm28UrkAAADb&#10;AAAADwAAAGRycy9kb3ducmV2LnhtbEVPS4vCMBC+L/gfwgje1lQPRarRg+ATD271BwzN2BabSU1i&#10;ffx6s7Cwt/n4njNbPE0jOnK+tqxgNExAEBdW11wqOJ9W3xMQPiBrbCyTghd5WMx7XzPMtH3wD3V5&#10;KEUMYZ+hgiqENpPSFxUZ9EPbEkfuYp3BEKErpXb4iOGmkeMkSaXBmmNDhS0tKyqu+d0oWGNz3XXL&#10;Y0fv3WET2jx1+/dNqUF/lExBBHqGf/Gfe6vj/BR+f4kHyP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5tvFK5AAAA2wAA&#10;AA8AAAAAAAAAAQAgAAAAIgAAAGRycy9kb3ducmV2LnhtbFBLAQIUABQAAAAIAIdO4kAzLwWeOwAA&#10;ADkAAAAQAAAAAAAAAAEAIAAAAAgBAABkcnMvc2hhcGV4bWwueG1sUEsFBgAAAAAGAAYAWwEAALID&#10;AAAAAA==&#10;" path="m0,0l636,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跌</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2"/>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Cs w:val="24"/>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Cs w:val="24"/>
          <w:highlight w:val="none"/>
        </w:rPr>
        <w:t>F</w:t>
      </w:r>
      <w:r>
        <w:rPr>
          <w:rFonts w:hint="eastAsia" w:ascii="宋体" w:hAnsi="宋体" w:eastAsia="宋体" w:cs="宋体"/>
          <w:color w:val="auto"/>
          <w:spacing w:val="16"/>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100"/>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26"/>
          <w:position w:val="15"/>
          <w:szCs w:val="24"/>
          <w:highlight w:val="none"/>
        </w:rPr>
        <w:t>F</w:t>
      </w:r>
      <w:r>
        <w:rPr>
          <w:rFonts w:hint="eastAsia" w:ascii="宋体" w:hAnsi="宋体" w:eastAsia="宋体" w:cs="宋体"/>
          <w:color w:val="auto"/>
          <w:position w:val="9"/>
          <w:sz w:val="14"/>
          <w:szCs w:val="14"/>
          <w:highlight w:val="none"/>
        </w:rPr>
        <w:t>0</w:t>
      </w:r>
      <w:r>
        <w:rPr>
          <w:rFonts w:hint="eastAsia" w:ascii="宋体" w:hAnsi="宋体" w:eastAsia="宋体" w:cs="宋体"/>
          <w:color w:val="auto"/>
          <w:spacing w:val="2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hAnsi="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A</w:t>
      </w:r>
      <w:r>
        <w:rPr>
          <w:rFonts w:hint="eastAsia" w:ascii="宋体" w:hAnsi="宋体" w:eastAsia="宋体" w:cs="宋体"/>
          <w:color w:val="auto"/>
          <w:szCs w:val="24"/>
          <w:highlight w:val="none"/>
        </w:rPr>
        <w:t>）</w:t>
      </w:r>
    </w:p>
    <w:p w14:paraId="2ACABD42">
      <w:pPr>
        <w:pStyle w:val="11"/>
        <w:tabs>
          <w:tab w:val="left" w:pos="2884"/>
        </w:tabs>
        <w:spacing w:line="142" w:lineRule="exact"/>
        <w:ind w:firstLine="2520" w:firstLineChars="1800"/>
        <w:jc w:val="left"/>
        <w:rPr>
          <w:rFonts w:hint="eastAsia" w:ascii="宋体" w:hAnsi="宋体" w:eastAsia="宋体" w:cs="宋体"/>
          <w:color w:val="auto"/>
          <w:sz w:val="14"/>
          <w:szCs w:val="14"/>
          <w:highlight w:val="none"/>
        </w:rPr>
      </w:pPr>
      <w:r>
        <w:rPr>
          <w:rFonts w:hint="eastAsia" w:ascii="宋体" w:hAnsi="宋体" w:eastAsia="宋体" w:cs="宋体"/>
          <w:color w:val="auto"/>
          <w:sz w:val="14"/>
          <w:szCs w:val="14"/>
          <w:highlight w:val="none"/>
        </w:rPr>
        <mc:AlternateContent>
          <mc:Choice Requires="wps">
            <w:drawing>
              <wp:anchor distT="0" distB="0" distL="114300" distR="114300" simplePos="0" relativeHeight="251673600" behindDoc="1" locked="0" layoutInCell="1" allowOverlap="1">
                <wp:simplePos x="0" y="0"/>
                <wp:positionH relativeFrom="page">
                  <wp:posOffset>3289300</wp:posOffset>
                </wp:positionH>
                <wp:positionV relativeFrom="paragraph">
                  <wp:posOffset>29845</wp:posOffset>
                </wp:positionV>
                <wp:extent cx="296545" cy="24638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296545" cy="246380"/>
                        </a:xfrm>
                        <a:prstGeom prst="rect">
                          <a:avLst/>
                        </a:prstGeom>
                        <a:noFill/>
                        <a:ln>
                          <a:noFill/>
                        </a:ln>
                        <a:effectLst/>
                      </wps:spPr>
                      <wps:txbx>
                        <w:txbxContent>
                          <w:p w14:paraId="47875231">
                            <w:r>
                              <w:rPr>
                                <w:rFonts w:ascii="Times New Roman" w:eastAsia="Times New Roman"/>
                                <w:spacing w:val="-26"/>
                                <w:position w:val="15"/>
                                <w:szCs w:val="24"/>
                              </w:rPr>
                              <w:t>F</w:t>
                            </w:r>
                            <w:r>
                              <w:rPr>
                                <w:rFonts w:ascii="Times New Roman" w:eastAsia="Times New Roman"/>
                                <w:position w:val="9"/>
                                <w:sz w:val="14"/>
                                <w:szCs w:val="14"/>
                              </w:rPr>
                              <w:t>0</w:t>
                            </w:r>
                          </w:p>
                        </w:txbxContent>
                      </wps:txbx>
                      <wps:bodyPr wrap="square" lIns="0" tIns="0" rIns="0" bIns="0" upright="1"/>
                    </wps:wsp>
                  </a:graphicData>
                </a:graphic>
              </wp:anchor>
            </w:drawing>
          </mc:Choice>
          <mc:Fallback>
            <w:pict>
              <v:shape id="_x0000_s1026" o:spid="_x0000_s1026" o:spt="202" type="#_x0000_t202" style="position:absolute;left:0pt;margin-left:259pt;margin-top:2.35pt;height:19.4pt;width:23.35pt;mso-position-horizontal-relative:page;z-index:-251642880;mso-width-relative:page;mso-height-relative:page;" filled="f" stroked="f" coordsize="21600,21600" o:gfxdata="UEsDBAoAAAAAAIdO4kAAAAAAAAAAAAAAAAAEAAAAZHJzL1BLAwQUAAAACACHTuJA3kLzGdcAAAAI&#10;AQAADwAAAGRycy9kb3ducmV2LnhtbE2PzU7DMBCE70i8g7VI3KgdIKGEOBVCcEJCTcOBoxNvk6jx&#10;OsTuD2/P9gS3Hc1o9ptidXKjOOAcBk8akoUCgdR6O1Cn4bN+u1mCCNGQNaMn1PCDAVbl5UVhcuuP&#10;VOFhEzvBJRRyo6GPccqlDG2PzoSFn5DY2/rZmchy7qSdzZHL3ShvlcqkMwPxh95M+NJju9vsnYbn&#10;L6peh++PZl1tq6GuHxW9Zzutr68S9QQi4in+heGMz+hQMlPj92SDGDWkyZK3RA33DyDYT7Pz0bC+&#10;S0GWhfw/oPwFUEsDBBQAAAAIAIdO4kC7W5FxygEAAI8DAAAOAAAAZHJzL2Uyb0RvYy54bWytU82O&#10;0zAQviPxDpbvNN2yWy1R05VQtQgJAdLCA7iO01jyHzNuk74AvAEnLtx5rj4HYycpy+5lD3txxjPj&#10;b+b7ZrK66a1hBwWovav4xWzOmXLS19rtKv71y+2ra84wClcL452q+FEhv1m/fLHqQqkWvvWmVsAI&#10;xGHZhYq3MYayKFC2ygqc+aAcBRsPVkS6wq6oQXSEbk2xmM+XReehDuClQiTvZgjyERGeAuibRku1&#10;8XJvlYsDKigjIlHCVgfk69xt0ygZPzUNqshMxYlpzCcVIXubzmK9EuUORGi1HFsQT2nhAScrtKOi&#10;Z6iNiILtQT+CslqCR9/EmfS2GIhkRYjFxfyBNnetCCpzIakxnEXH54OVHw+fgemaNoHm7oSliZ9+&#10;/jj9+nP6/Z2RjwTqApaUdxcoM/ZvfU/Jkx/JmXj3Ddj0JUaM4iTv8Syv6iOT5Fy8WV5dXnEmKbS4&#10;XL6+zvIX/x4HwPhOecuSUXGg6WVRxeEDRmqEUqeUVMv5W21MnqBx/zkocfCovALj68Rj6DdZsd/2&#10;I7mtr4/EraM1qDh+2wtQnJn3jnROOzMZMBnbydgH0LuWWs16FAmW5pQbHXcqLcL9O9n3/6P1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N5C8xnXAAAACAEAAA8AAAAAAAAAAQAgAAAAIgAAAGRycy9k&#10;b3ducmV2LnhtbFBLAQIUABQAAAAIAIdO4kC7W5FxygEAAI8DAAAOAAAAAAAAAAEAIAAAACYBAABk&#10;cnMvZTJvRG9jLnhtbFBLBQYAAAAABgAGAFkBAABiBQAAAAA=&#10;">
                <v:fill on="f" focussize="0,0"/>
                <v:stroke on="f"/>
                <v:imagedata o:title=""/>
                <o:lock v:ext="edit" aspectratio="f"/>
                <v:textbox inset="0mm,0mm,0mm,0mm">
                  <w:txbxContent>
                    <w:p w14:paraId="47875231">
                      <w:r>
                        <w:rPr>
                          <w:rFonts w:ascii="Times New Roman" w:eastAsia="Times New Roman"/>
                          <w:spacing w:val="-26"/>
                          <w:position w:val="15"/>
                          <w:szCs w:val="24"/>
                        </w:rPr>
                        <w:t>F</w:t>
                      </w:r>
                      <w:r>
                        <w:rPr>
                          <w:rFonts w:ascii="Times New Roman" w:eastAsia="Times New Roman"/>
                          <w:position w:val="9"/>
                          <w:sz w:val="14"/>
                          <w:szCs w:val="14"/>
                        </w:rPr>
                        <w:t>0</w:t>
                      </w:r>
                    </w:p>
                  </w:txbxContent>
                </v:textbox>
              </v:shape>
            </w:pict>
          </mc:Fallback>
        </mc:AlternateContent>
      </w:r>
      <w:r>
        <w:rPr>
          <w:rFonts w:hint="eastAsia" w:ascii="宋体" w:hAnsi="宋体" w:eastAsia="宋体" w:cs="宋体"/>
          <w:color w:val="auto"/>
          <w:sz w:val="14"/>
          <w:szCs w:val="14"/>
          <w:highlight w:val="none"/>
        </w:rPr>
        <w:t>1    0</w:t>
      </w:r>
    </w:p>
    <w:p w14:paraId="1213BFF2">
      <w:pPr>
        <w:pStyle w:val="11"/>
        <w:spacing w:before="26"/>
        <w:ind w:left="3521" w:right="4781"/>
        <w:jc w:val="center"/>
        <w:rPr>
          <w:rFonts w:hint="eastAsia" w:ascii="宋体" w:hAnsi="宋体" w:eastAsia="宋体" w:cs="宋体"/>
          <w:color w:val="auto"/>
          <w:sz w:val="14"/>
          <w:szCs w:val="14"/>
          <w:highlight w:val="none"/>
        </w:rPr>
      </w:pPr>
    </w:p>
    <w:p w14:paraId="4038BD76">
      <w:pPr>
        <w:spacing w:before="3" w:line="120" w:lineRule="exact"/>
        <w:rPr>
          <w:rFonts w:hint="eastAsia" w:ascii="宋体" w:hAnsi="宋体" w:eastAsia="宋体" w:cs="宋体"/>
          <w:color w:val="auto"/>
          <w:sz w:val="12"/>
          <w:szCs w:val="12"/>
          <w:highlight w:val="none"/>
        </w:rPr>
      </w:pPr>
    </w:p>
    <w:p w14:paraId="37950967">
      <w:pPr>
        <w:wordWrap w:val="0"/>
        <w:adjustRightInd w:val="0"/>
        <w:snapToGrid w:val="0"/>
        <w:spacing w:line="440" w:lineRule="exact"/>
        <w:ind w:firstLine="480" w:firstLineChars="200"/>
        <w:rPr>
          <w:rFonts w:hint="eastAsia" w:ascii="宋体" w:hAnsi="宋体" w:eastAsia="宋体" w:cs="宋体"/>
          <w:bCs/>
          <w:snapToGrid w:val="0"/>
          <w:color w:val="auto"/>
          <w:kern w:val="0"/>
          <w:szCs w:val="28"/>
          <w:highlight w:val="none"/>
        </w:rPr>
      </w:pPr>
      <w:r>
        <w:rPr>
          <w:rFonts w:hint="eastAsia" w:ascii="宋体" w:hAnsi="宋体" w:eastAsia="宋体" w:cs="宋体"/>
          <w:snapToGrid w:val="0"/>
          <w:color w:val="auto"/>
          <w:kern w:val="0"/>
          <w:szCs w:val="24"/>
          <w:highlight w:val="none"/>
        </w:rPr>
        <w:t>以上公式中，</w:t>
      </w:r>
      <w:r>
        <w:rPr>
          <w:rFonts w:hint="eastAsia" w:ascii="宋体" w:hAnsi="宋体" w:eastAsia="宋体" w:cs="宋体"/>
          <w:bCs/>
          <w:snapToGrid w:val="0"/>
          <w:color w:val="auto"/>
          <w:kern w:val="0"/>
          <w:szCs w:val="28"/>
          <w:highlight w:val="none"/>
        </w:rPr>
        <w:t>F</w:t>
      </w:r>
      <w:r>
        <w:rPr>
          <w:rFonts w:hint="eastAsia" w:ascii="宋体" w:hAnsi="宋体" w:eastAsia="宋体" w:cs="宋体"/>
          <w:bCs/>
          <w:snapToGrid w:val="0"/>
          <w:color w:val="auto"/>
          <w:kern w:val="0"/>
          <w:szCs w:val="28"/>
          <w:highlight w:val="none"/>
          <w:vertAlign w:val="subscript"/>
        </w:rPr>
        <w:t>1</w:t>
      </w:r>
      <w:r>
        <w:rPr>
          <w:rFonts w:hint="eastAsia" w:ascii="宋体" w:hAnsi="宋体" w:eastAsia="宋体" w:cs="宋体"/>
          <w:bCs/>
          <w:snapToGrid w:val="0"/>
          <w:color w:val="auto"/>
          <w:kern w:val="0"/>
          <w:szCs w:val="28"/>
          <w:highlight w:val="none"/>
        </w:rPr>
        <w:t>为中标单价；F</w:t>
      </w:r>
      <w:r>
        <w:rPr>
          <w:rFonts w:hint="eastAsia" w:ascii="宋体" w:hAnsi="宋体" w:eastAsia="宋体" w:cs="宋体"/>
          <w:bCs/>
          <w:snapToGrid w:val="0"/>
          <w:color w:val="auto"/>
          <w:kern w:val="0"/>
          <w:szCs w:val="28"/>
          <w:highlight w:val="none"/>
          <w:vertAlign w:val="subscript"/>
        </w:rPr>
        <w:t>0</w:t>
      </w:r>
      <w:r>
        <w:rPr>
          <w:rFonts w:hint="eastAsia" w:ascii="宋体" w:hAnsi="宋体" w:eastAsia="宋体" w:cs="宋体"/>
          <w:bCs/>
          <w:snapToGrid w:val="0"/>
          <w:color w:val="auto"/>
          <w:kern w:val="0"/>
          <w:szCs w:val="28"/>
          <w:highlight w:val="none"/>
        </w:rPr>
        <w:t>为基准单价；F</w:t>
      </w:r>
      <w:r>
        <w:rPr>
          <w:rFonts w:hint="eastAsia" w:ascii="宋体" w:hAnsi="宋体" w:eastAsia="宋体" w:cs="宋体"/>
          <w:bCs/>
          <w:snapToGrid w:val="0"/>
          <w:color w:val="auto"/>
          <w:kern w:val="0"/>
          <w:szCs w:val="28"/>
          <w:highlight w:val="none"/>
          <w:vertAlign w:val="subscript"/>
        </w:rPr>
        <w:t>2</w:t>
      </w:r>
      <w:r>
        <w:rPr>
          <w:rFonts w:hint="eastAsia" w:ascii="宋体" w:hAnsi="宋体" w:eastAsia="宋体" w:cs="宋体"/>
          <w:bCs/>
          <w:snapToGrid w:val="0"/>
          <w:color w:val="auto"/>
          <w:kern w:val="0"/>
          <w:szCs w:val="28"/>
          <w:highlight w:val="none"/>
        </w:rPr>
        <w:t>为施工当月项目所在地工程造价管理机构发布的材料、工程设备单价；A为合同约定的材料、工程设备单价涨跌风险幅度值。</w:t>
      </w:r>
    </w:p>
    <w:p w14:paraId="73CB7F79">
      <w:pPr>
        <w:wordWrap w:val="0"/>
        <w:adjustRightInd w:val="0"/>
        <w:snapToGrid w:val="0"/>
        <w:spacing w:line="440" w:lineRule="exact"/>
        <w:ind w:firstLine="482" w:firstLineChars="200"/>
        <w:rPr>
          <w:rFonts w:hint="eastAsia" w:ascii="宋体" w:hAnsi="宋体" w:eastAsia="宋体" w:cs="宋体"/>
          <w:bCs/>
          <w:snapToGrid w:val="0"/>
          <w:color w:val="auto"/>
          <w:kern w:val="0"/>
          <w:szCs w:val="28"/>
          <w:highlight w:val="none"/>
        </w:rPr>
      </w:pPr>
      <w:r>
        <w:rPr>
          <w:rFonts w:hint="eastAsia" w:ascii="宋体" w:hAnsi="宋体" w:eastAsia="宋体" w:cs="宋体"/>
          <w:b/>
          <w:bCs/>
          <w:snapToGrid w:val="0"/>
          <w:color w:val="auto"/>
          <w:kern w:val="0"/>
          <w:szCs w:val="24"/>
          <w:highlight w:val="none"/>
        </w:rPr>
        <w:t>2.3.6.3</w:t>
      </w:r>
      <w:r>
        <w:rPr>
          <w:rFonts w:hint="eastAsia" w:ascii="宋体" w:hAnsi="宋体" w:eastAsia="宋体" w:cs="宋体"/>
          <w:snapToGrid w:val="0"/>
          <w:color w:val="auto"/>
          <w:kern w:val="0"/>
          <w:szCs w:val="24"/>
          <w:highlight w:val="none"/>
        </w:rPr>
        <w:t xml:space="preserve"> 合同履行期间，当《发包人提供材料和工程设备一览表》（详见招标工程量清单）中的材料、工程设备单价发生变化时，由发包人按照实际变化调整，并列入合同价款。</w:t>
      </w:r>
    </w:p>
    <w:p w14:paraId="1647916E">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2.3.6.4</w:t>
      </w:r>
      <w:r>
        <w:rPr>
          <w:rFonts w:hint="eastAsia" w:ascii="宋体" w:hAnsi="宋体" w:eastAsia="宋体" w:cs="宋体"/>
          <w:snapToGrid w:val="0"/>
          <w:color w:val="auto"/>
          <w:kern w:val="0"/>
          <w:szCs w:val="24"/>
          <w:highlight w:val="none"/>
        </w:rPr>
        <w:t xml:space="preserve"> 本招标项目约定，施工机具台班单价涨跌风险幅度值B为</w:t>
      </w:r>
      <w:r>
        <w:rPr>
          <w:rFonts w:hint="eastAsia" w:ascii="宋体" w:hAnsi="宋体" w:eastAsia="宋体" w:cs="宋体"/>
          <w:snapToGrid w:val="0"/>
          <w:color w:val="auto"/>
          <w:kern w:val="0"/>
          <w:szCs w:val="24"/>
          <w:highlight w:val="none"/>
          <w:u w:val="single"/>
        </w:rPr>
        <w:t xml:space="preserve"> 10% </w:t>
      </w:r>
      <w:r>
        <w:rPr>
          <w:rFonts w:hint="eastAsia" w:ascii="宋体" w:hAnsi="宋体" w:eastAsia="宋体" w:cs="宋体"/>
          <w:snapToGrid w:val="0"/>
          <w:color w:val="auto"/>
          <w:kern w:val="0"/>
          <w:szCs w:val="24"/>
          <w:highlight w:val="none"/>
        </w:rPr>
        <w:t>。合同履行期间，当施工机具台班单价涨跌幅度等于或低于B值时，该施工机具台班单价不予调整；超过B值时，其超过部分可以调整。相关费用按有关规定进行相应调整。</w:t>
      </w:r>
    </w:p>
    <w:p w14:paraId="1AD9618F">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a</w:t>
      </w:r>
      <w:r>
        <w:rPr>
          <w:rFonts w:hint="eastAsia" w:ascii="宋体" w:hAnsi="宋体" w:eastAsia="宋体" w:cs="宋体"/>
          <w:snapToGrid w:val="0"/>
          <w:color w:val="auto"/>
          <w:kern w:val="0"/>
          <w:szCs w:val="24"/>
          <w:highlight w:val="none"/>
        </w:rPr>
        <w:t>．如果承包人投标报价中施工机具台班单价（以下简称“中标单价”）低于基准日当月项目所在地工程造价管理机构发布的对应施工机具台班单价（以下简称“基准单价”），该施工机具台班的结算单价调整公式为：</w:t>
      </w:r>
    </w:p>
    <w:p w14:paraId="0B210D0E">
      <w:pPr>
        <w:spacing w:line="418" w:lineRule="exact"/>
        <w:ind w:left="120" w:firstLine="241" w:firstLineChars="100"/>
        <w:jc w:val="left"/>
        <w:rPr>
          <w:rFonts w:hint="eastAsia" w:ascii="宋体" w:hAnsi="宋体" w:eastAsia="宋体" w:cs="宋体"/>
          <w:color w:val="auto"/>
          <w:szCs w:val="24"/>
          <w:highlight w:val="none"/>
        </w:rPr>
      </w:pPr>
      <w:r>
        <w:rPr>
          <w:rFonts w:hint="eastAsia" w:ascii="宋体" w:hAnsi="宋体" w:eastAsia="宋体" w:cs="宋体"/>
          <w:b/>
          <w:bCs/>
          <w:color w:val="auto"/>
          <w:highlight w:val="none"/>
        </w:rPr>
        <mc:AlternateContent>
          <mc:Choice Requires="wpg">
            <w:drawing>
              <wp:anchor distT="0" distB="0" distL="114300" distR="114300" simplePos="0" relativeHeight="251674624" behindDoc="0" locked="0" layoutInCell="1" allowOverlap="1">
                <wp:simplePos x="0" y="0"/>
                <wp:positionH relativeFrom="page">
                  <wp:posOffset>3107055</wp:posOffset>
                </wp:positionH>
                <wp:positionV relativeFrom="paragraph">
                  <wp:posOffset>259715</wp:posOffset>
                </wp:positionV>
                <wp:extent cx="403860" cy="1270"/>
                <wp:effectExtent l="0" t="0" r="0" b="0"/>
                <wp:wrapNone/>
                <wp:docPr id="41" name="组合 41"/>
                <wp:cNvGraphicFramePr/>
                <a:graphic xmlns:a="http://schemas.openxmlformats.org/drawingml/2006/main">
                  <a:graphicData uri="http://schemas.microsoft.com/office/word/2010/wordprocessingGroup">
                    <wpg:wgp>
                      <wpg:cNvGrpSpPr/>
                      <wpg:grpSpPr>
                        <a:xfrm>
                          <a:off x="0" y="0"/>
                          <a:ext cx="403860" cy="1270"/>
                          <a:chOff x="4894" y="410"/>
                          <a:chExt cx="636" cy="2"/>
                        </a:xfrm>
                        <a:effectLst/>
                      </wpg:grpSpPr>
                      <wps:wsp>
                        <wps:cNvPr id="21" name="任意多边形 42"/>
                        <wps:cNvSpPr/>
                        <wps:spPr>
                          <a:xfrm>
                            <a:off x="4894" y="410"/>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44.65pt;margin-top:20.45pt;height:0.1pt;width:31.8pt;mso-position-horizontal-relative:page;z-index:251674624;mso-width-relative:page;mso-height-relative:page;" coordorigin="4894,410" coordsize="636,2" o:gfxdata="UEsDBAoAAAAAAIdO4kAAAAAAAAAAAAAAAAAEAAAAZHJzL1BLAwQUAAAACACHTuJAUT1lkNkAAAAJ&#10;AQAADwAAAGRycy9kb3ducmV2LnhtbE2PQW/CMAyF75P2HyIj7TbSwDpBaYomtO2EJgGTpt1CY9qK&#10;xqma0MK/n3fabs9+T8+f8/XVtWLAPjSeNKhpAgKp9LahSsPn4e1xASJEQ9a0nlDDDQOsi/u73GTW&#10;j7TDYR8rwSUUMqOhjrHLpAxljc6Eqe+Q2Dv53pnIY19J25uRy10rZ0nyLJ1piC/UpsNNjeV5f3Ea&#10;3kczvszV67A9nza370P68bVVqPXDRCUrEBGv8S8Mv/iMDgUzHf2FbBCthqfFcs5RFskSBAfSdMbi&#10;yAulQBa5/P9B8QNQSwMEFAAAAAgAh07iQG7mfNWcAgAA1wUAAA4AAABkcnMvZTJvRG9jLnhtbKVU&#10;zW4TMRC+I/EOlu90kzSEssqmB9L2gqBSywO4Xu+uJa9tbCeb3HvgBmeOqC+BKngaCjwGM97NJqQg&#10;VZDDZjx//uab8UyPV7UiS+G8NDqjw4MBJUJzk0tdZvTN5emTI0p8YDpnymiR0bXw9Hj2+NG0sakY&#10;mcqoXDgCSbRPG5vRKgSbJonnlaiZPzBWaDAWxtUswNGVSe5YA9lrlYwGg0nSGJdbZ7jwHrTz1ki7&#10;jO4hCU1RSC7mhi9qoUOb1QnFApTkK2k9nUW0RSF4eF0UXgSiMgqVhviFS0C+wm8ym7K0dMxWkncQ&#10;2EMg7NVUM6nh0j7VnAVGFk7eS1VL7ow3RTjgpk7aQiIjUMVwsMfNmTMLG2sp06a0PenQqD3W/zkt&#10;f7U8d0TmGR0PKdGsho7/uL2++/COgALYaWyZgtOZsxf23HWKsj1hwavC1fgPpZBV5HXd8ypWgXBQ&#10;jgeHRxNgnINpOHrWsc4raA3GjI+ejykB23jYm0660MnhpI0bIZhke5+IzX3pA6oRZI+psTCYfsuW&#10;/z+2LipmRWyCRyI6tkY9W99ub79fv7+7+fjz6+e7L5/IOCJFEODdc+ZTD/T9gbD7xW9Y+2vpfOHD&#10;mTCRdrZsKYDJyzcSqzYSX+mNaFlANSJAkTQZxQvwXJuluDTREvZ6CIRvrUrvekV4m16DX2sFAdPH&#10;VvVXgnIXszanUinoGwa1QJ7idDDYJgW8YhBrCxPpdRnxeaNkjiEY4V159UI5smT4ouOvm4zf3Kzz&#10;Yc581fpFE7qxtBIsP9E5CWsLo65hxVGEUIucEiVgI6IUPQOT6iGesXZMvTeSm5bjKFyZfA2T08Ci&#10;gbreLpiDaxfWybKClRQfGgxxnNtunOG9RxK73YQLZfccvbb7ePY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UT1lkNkAAAAJAQAADwAAAAAAAAABACAAAAAiAAAAZHJzL2Rvd25yZXYueG1sUEsBAhQA&#10;FAAAAAgAh07iQG7mfNWcAgAA1wUAAA4AAAAAAAAAAQAgAAAAKAEAAGRycy9lMm9Eb2MueG1sUEsF&#10;BgAAAAAGAAYAWQEAADYGAAAAAA==&#10;">
                <o:lock v:ext="edit" aspectratio="f"/>
                <v:shape id="任意多边形 42" o:spid="_x0000_s1026" o:spt="100" style="position:absolute;left:4894;top:410;height:2;width:636;" filled="f" stroked="t" coordsize="636,1" o:gfxdata="UEsDBAoAAAAAAIdO4kAAAAAAAAAAAAAAAAAEAAAAZHJzL1BLAwQUAAAACACHTuJA3+jum7sAAADb&#10;AAAADwAAAGRycy9kb3ducmV2LnhtbEWPQYvCMBSE74L/ITxhb5rWgyzV6EHQXcXDWv0Bj+bZFpuX&#10;msTq+uuNIHgcZuYbZra4m0Z05HxtWUE6SkAQF1bXXCo4HlbDbxA+IGtsLJOCf/KwmPd7M8y0vfGe&#10;ujyUIkLYZ6igCqHNpPRFRQb9yLbE0TtZZzBE6UqpHd4i3DRynCQTabDmuFBhS8uKinN+NQrW2Jw3&#10;3fKvo8dm9xPafOK2j4tSX4M0mYIIdA+f8Lv9qxWMU3h9iT9Az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jum7sAAADb&#10;AAAADwAAAAAAAAABACAAAAAiAAAAZHJzL2Rvd25yZXYueG1sUEsBAhQAFAAAAAgAh07iQDMvBZ47&#10;AAAAOQAAABAAAAAAAAAAAQAgAAAACgEAAGRycy9zaGFwZXhtbC54bWxQSwUGAAAAAAYABgBbAQAA&#10;tAMAAAAA&#10;" path="m0,0l636,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涨</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4"/>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 w:val="28"/>
          <w:szCs w:val="28"/>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 w:val="28"/>
          <w:szCs w:val="28"/>
          <w:highlight w:val="none"/>
        </w:rPr>
        <w:t>F</w:t>
      </w:r>
      <w:r>
        <w:rPr>
          <w:rFonts w:hint="eastAsia" w:ascii="宋体" w:hAnsi="宋体" w:eastAsia="宋体" w:cs="宋体"/>
          <w:color w:val="auto"/>
          <w:spacing w:val="15"/>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100"/>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26"/>
          <w:position w:val="15"/>
          <w:szCs w:val="24"/>
          <w:highlight w:val="none"/>
        </w:rPr>
        <w:t>F</w:t>
      </w:r>
      <w:r>
        <w:rPr>
          <w:rFonts w:hint="eastAsia" w:ascii="宋体" w:hAnsi="宋体" w:eastAsia="宋体" w:cs="宋体"/>
          <w:color w:val="auto"/>
          <w:position w:val="9"/>
          <w:sz w:val="14"/>
          <w:szCs w:val="14"/>
          <w:highlight w:val="none"/>
        </w:rPr>
        <w:t>0</w:t>
      </w:r>
      <w:r>
        <w:rPr>
          <w:rFonts w:hint="eastAsia" w:ascii="宋体" w:hAnsi="宋体" w:eastAsia="宋体" w:cs="宋体"/>
          <w:color w:val="auto"/>
          <w:spacing w:val="2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hAnsi="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B</w:t>
      </w:r>
      <w:r>
        <w:rPr>
          <w:rFonts w:hint="eastAsia" w:ascii="宋体" w:hAnsi="宋体" w:eastAsia="宋体" w:cs="宋体"/>
          <w:color w:val="auto"/>
          <w:szCs w:val="24"/>
          <w:highlight w:val="none"/>
        </w:rPr>
        <w:t>）</w:t>
      </w:r>
    </w:p>
    <w:p w14:paraId="456E3453">
      <w:pPr>
        <w:pStyle w:val="11"/>
        <w:tabs>
          <w:tab w:val="left" w:pos="2817"/>
        </w:tabs>
        <w:spacing w:after="0" w:line="200" w:lineRule="exact"/>
        <w:ind w:left="2426"/>
        <w:jc w:val="left"/>
        <w:rPr>
          <w:rFonts w:hint="eastAsia" w:ascii="宋体" w:hAnsi="宋体" w:eastAsia="宋体" w:cs="宋体"/>
          <w:color w:val="auto"/>
          <w:sz w:val="15"/>
          <w:szCs w:val="15"/>
          <w:highlight w:val="none"/>
        </w:rPr>
      </w:pPr>
      <w:r>
        <w:rPr>
          <w:rFonts w:hint="eastAsia" w:ascii="宋体" w:hAnsi="宋体" w:eastAsia="宋体" w:cs="宋体"/>
          <w:color w:val="auto"/>
          <w:sz w:val="15"/>
          <w:szCs w:val="15"/>
          <w:highlight w:val="none"/>
        </w:rPr>
        <mc:AlternateContent>
          <mc:Choice Requires="wps">
            <w:drawing>
              <wp:anchor distT="0" distB="0" distL="114300" distR="114300" simplePos="0" relativeHeight="251675648" behindDoc="0" locked="0" layoutInCell="1" allowOverlap="1">
                <wp:simplePos x="0" y="0"/>
                <wp:positionH relativeFrom="page">
                  <wp:posOffset>3246755</wp:posOffset>
                </wp:positionH>
                <wp:positionV relativeFrom="paragraph">
                  <wp:posOffset>29845</wp:posOffset>
                </wp:positionV>
                <wp:extent cx="220980" cy="24638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220980" cy="246380"/>
                        </a:xfrm>
                        <a:prstGeom prst="rect">
                          <a:avLst/>
                        </a:prstGeom>
                        <a:noFill/>
                        <a:ln>
                          <a:noFill/>
                        </a:ln>
                        <a:effectLst/>
                      </wps:spPr>
                      <wps:txbx>
                        <w:txbxContent>
                          <w:p w14:paraId="206D93FF">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_x0000_s1026" o:spid="_x0000_s1026" o:spt="202" type="#_x0000_t202" style="position:absolute;left:0pt;margin-left:255.65pt;margin-top:2.35pt;height:19.4pt;width:17.4pt;mso-position-horizontal-relative:page;z-index:251675648;mso-width-relative:page;mso-height-relative:page;" filled="f" stroked="f" coordsize="21600,21600" o:gfxdata="UEsDBAoAAAAAAIdO4kAAAAAAAAAAAAAAAAAEAAAAZHJzL1BLAwQUAAAACACHTuJAVbHiCdcAAAAI&#10;AQAADwAAAGRycy9kb3ducmV2LnhtbE2PzU7DMBCE70i8g7VI3Kht2gQIcSqE4ISEmoYDRyfeJlbj&#10;dYjdH94ec4LjaEYz35TrsxvZEedgPSmQCwEMqfPGUq/go3m9uQcWoiajR0+o4BsDrKvLi1IXxp+o&#10;xuM29iyVUCi0giHGqeA8dAM6HRZ+Qkrezs9OxyTnnptZn1K5G/mtEDl32lJaGPSEzwN2++3BKXj6&#10;pPrFfr23m3pX26Z5EPSW75W6vpLiEVjEc/wLwy9+QocqMbX+QCawUUEm5TJFFazugCU/W+USWJv0&#10;MgNelfz/geoHUEsDBBQAAAAIAIdO4kAbqaZByAEAAI8DAAAOAAAAZHJzL2Uyb0RvYy54bWytU0tu&#10;2zAQ3RfIHQjuaylKEaSC5QCBkaBA0RZIewCaGlkE+OuQtuQLJDfoqpvuey6fo0N93DTdZJEN9ThD&#10;Ps57M1pe90azPWBQzlb8fJFzBla6Wtltxb99vX17xVmIwtZCOwsVP0Dg16uzN8vOl1C41ukakBGJ&#10;DWXnK97G6MssC7IFI8LCebCUbBwaEWmL26xG0RG70VmR55dZ57D26CSEQNH1mOQTI76E0DWNkrB2&#10;cmfAxpEVQYtIkkKrfOCrodqmARk/N02AyHTFSWkcVnqE8Cat2Wopyi0K3yo5lSBeUsIzTUYoS4+e&#10;qNYiCrZD9R+VURJdcE1cSGeyUcjgCKk4z595c98KD4MWsjr4k+nh9Wjlp/0XZKqueHHBmRWGOn78&#10;8Xj8+fv464FRjAzqfCjp3L2nk7G/cT2NzRwPFEy6+wZN+pIiRnmy93CyF/rIJAWLIn9/RRlJqeLd&#10;5QVhYs/+XvYY4h04wxKoOFL3BlPF/mOI49H5SHrLulul9dBBbf8JEOcYgWEEpttJx1hvQrHf9JO4&#10;jasPpK2jMah4+L4TCJzpD5Z8TjMzA5zBZgY7j2rbUqmDH1mipT4NmqaZSoPwdE/46X+0+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VseIJ1wAAAAgBAAAPAAAAAAAAAAEAIAAAACIAAABkcnMvZG93&#10;bnJldi54bWxQSwECFAAUAAAACACHTuJAG6mmQcgBAACPAwAADgAAAAAAAAABACAAAAAmAQAAZHJz&#10;L2Uyb0RvYy54bWxQSwUGAAAAAAYABgBZAQAAYAUAAAAA&#10;">
                <v:fill on="f" focussize="0,0"/>
                <v:stroke on="f"/>
                <v:imagedata o:title=""/>
                <o:lock v:ext="edit" aspectratio="f"/>
                <v:textbox inset="0mm,0mm,0mm,0mm">
                  <w:txbxContent>
                    <w:p w14:paraId="206D93FF">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rFonts w:hint="eastAsia" w:ascii="宋体" w:hAnsi="宋体" w:eastAsia="宋体" w:cs="宋体"/>
          <w:color w:val="auto"/>
          <w:sz w:val="15"/>
          <w:szCs w:val="15"/>
          <w:highlight w:val="none"/>
        </w:rPr>
        <w:t>1</w:t>
      </w:r>
      <w:r>
        <w:rPr>
          <w:rFonts w:hint="eastAsia" w:ascii="宋体" w:hAnsi="宋体" w:eastAsia="宋体" w:cs="宋体"/>
          <w:color w:val="auto"/>
          <w:sz w:val="15"/>
          <w:szCs w:val="15"/>
          <w:highlight w:val="none"/>
        </w:rPr>
        <w:tab/>
      </w:r>
      <w:r>
        <w:rPr>
          <w:rFonts w:hint="eastAsia" w:ascii="宋体" w:hAnsi="宋体" w:eastAsia="宋体" w:cs="宋体"/>
          <w:color w:val="auto"/>
          <w:sz w:val="15"/>
          <w:szCs w:val="15"/>
          <w:highlight w:val="none"/>
        </w:rPr>
        <w:t>0</w:t>
      </w:r>
    </w:p>
    <w:p w14:paraId="5F906F7C">
      <w:pPr>
        <w:pStyle w:val="11"/>
        <w:spacing w:after="0" w:line="240" w:lineRule="exact"/>
        <w:ind w:left="3454" w:right="4848"/>
        <w:jc w:val="center"/>
        <w:rPr>
          <w:rFonts w:hint="eastAsia" w:ascii="宋体" w:hAnsi="宋体" w:eastAsia="宋体" w:cs="宋体"/>
          <w:color w:val="auto"/>
          <w:sz w:val="15"/>
          <w:szCs w:val="15"/>
          <w:highlight w:val="none"/>
        </w:rPr>
      </w:pPr>
    </w:p>
    <w:p w14:paraId="538C9BB6">
      <w:pPr>
        <w:spacing w:before="4" w:line="170" w:lineRule="exact"/>
        <w:rPr>
          <w:rFonts w:hint="eastAsia" w:ascii="宋体" w:hAnsi="宋体" w:eastAsia="宋体" w:cs="宋体"/>
          <w:color w:val="auto"/>
          <w:sz w:val="17"/>
          <w:szCs w:val="17"/>
          <w:highlight w:val="none"/>
        </w:rPr>
      </w:pPr>
    </w:p>
    <w:p w14:paraId="2B55985B">
      <w:pPr>
        <w:spacing w:line="404" w:lineRule="exact"/>
        <w:ind w:left="328"/>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76672" behindDoc="0" locked="0" layoutInCell="1" allowOverlap="1">
                <wp:simplePos x="0" y="0"/>
                <wp:positionH relativeFrom="page">
                  <wp:posOffset>3048635</wp:posOffset>
                </wp:positionH>
                <wp:positionV relativeFrom="paragraph">
                  <wp:posOffset>222250</wp:posOffset>
                </wp:positionV>
                <wp:extent cx="388620" cy="1270"/>
                <wp:effectExtent l="0" t="0" r="0" b="0"/>
                <wp:wrapNone/>
                <wp:docPr id="42" name="组合 42"/>
                <wp:cNvGraphicFramePr/>
                <a:graphic xmlns:a="http://schemas.openxmlformats.org/drawingml/2006/main">
                  <a:graphicData uri="http://schemas.microsoft.com/office/word/2010/wordprocessingGroup">
                    <wpg:wgp>
                      <wpg:cNvGrpSpPr/>
                      <wpg:grpSpPr>
                        <a:xfrm>
                          <a:off x="0" y="0"/>
                          <a:ext cx="388620" cy="1270"/>
                          <a:chOff x="4937" y="395"/>
                          <a:chExt cx="612" cy="2"/>
                        </a:xfrm>
                        <a:effectLst/>
                      </wpg:grpSpPr>
                      <wps:wsp>
                        <wps:cNvPr id="24" name="任意多边形 45"/>
                        <wps:cNvSpPr/>
                        <wps:spPr>
                          <a:xfrm>
                            <a:off x="4937" y="395"/>
                            <a:ext cx="612" cy="2"/>
                          </a:xfrm>
                          <a:custGeom>
                            <a:avLst/>
                            <a:gdLst/>
                            <a:ahLst/>
                            <a:cxnLst/>
                            <a:pathLst>
                              <a:path w="612">
                                <a:moveTo>
                                  <a:pt x="0" y="0"/>
                                </a:moveTo>
                                <a:lnTo>
                                  <a:pt x="612"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40.05pt;margin-top:17.5pt;height:0.1pt;width:30.6pt;mso-position-horizontal-relative:page;z-index:251676672;mso-width-relative:page;mso-height-relative:page;" coordorigin="4937,395" coordsize="612,2" o:gfxdata="UEsDBAoAAAAAAIdO4kAAAAAAAAAAAAAAAAAEAAAAZHJzL1BLAwQUAAAACACHTuJA6jhxnNkAAAAJ&#10;AQAADwAAAGRycy9kb3ducmV2LnhtbE2PwWrDMAyG74O9g9Fgt9Vx04ySxSmjbDuVwdrB2M2N1SQ0&#10;lkPsJu3bTz2tR0kfv76/WJ1dJ0YcQutJg5olIJAqb1uqNXzv3p+WIEI0ZE3nCTVcMMCqvL8rTG79&#10;RF84bmMtOIRCbjQ0Mfa5lKFq0Jkw8z0S3w5+cCbyONTSDmbicNfJeZI8S2da4g+N6XHdYHXcnpyG&#10;j8lMr6l6GzfHw/ryu8s+fzYKtX58UMkLiIjn+A/DVZ/VoWSnvT+RDaLTsFgmilENacadGMgWKgWx&#10;vy7mIMtC3jYo/wBQSwMEFAAAAAgAh07iQK19r0CkAgAA1wUAAA4AAABkcnMvZTJvRG9jLnhtbKVU&#10;zW4TMRC+I/EOlu9089c2XXXTA2lzQVCp5QFcr3fXkv+wnWxy74EbnDkiXgJF8DQEeAzG3t2kpCBF&#10;kMNm1jOe+b5vZuf8YikFWjDruFYZ7h/1MGKK6pyrMsOvb6+ejTFynqicCK1YhlfM4YvJ0yfntUnZ&#10;QFda5MwiSKJcWpsMV96bNEkcrZgk7kgbpsBZaCuJh1dbJrklNWSXIhn0eidJrW1urKbMOTidNk7c&#10;ZrSHJNRFwSmbajqXTPkmq2WCeKDkKm4cnkS0RcGof1UUjnkkMgxMfXxCEbDvwjOZnJO0tMRUnLYQ&#10;yCEQ9jhJwhUU3aaaEk/Q3PJHqSSnVjtd+COqZdIQiYoAi35vT5uZ1XMTuZRpXZqt6NCoPdX/OS19&#10;ubi2iOcZHg0wUkRCx3+s7zfv3yI4AHVqU6YQNLPmxlzb9qBs3gLhZWFl+AcqaBl1XW11ZUuPKBwO&#10;x+OTAShOwdUfnLaq0wpaE+6MzoanGIFveHbcNIRWl+3Vkz7ACvcimGRXj8XmvnAeICUB5BZTbWAw&#10;3U4t939q3VTEsNgEF4Ro1RqMOrW+rdff799tPn34+fXz5stHNIocAgiI3mrmUgfy/UGwx+Q71f5K&#10;nc6dnzEdZSeLRgKYvLyzSNVZdKk60xAfjgOCYKI6w6FAeJd6wW519Pi9HoLgO69QD6MivK7XENd4&#10;wQjpoSeNEUuC/RCz0ldcCOhbuBSBDI/DdBDYJgV8xWBKAxPpVBnxOS14Hq6EG86Wd8+FRQsSvuj4&#10;CzMDJX4LM9b5KXFVExddzWhVjOSXKkd+ZWDUFaw4HCBIlmMkGGzEYEVsnnBxSCSUFipA2xvJruVh&#10;FO50voLJqWHRAK83c2Kh7NxYXlawkvqRQTu37TjD9x5ZtbspLJSH7zFqt48n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DqOHGc2QAAAAkBAAAPAAAAAAAAAAEAIAAAACIAAABkcnMvZG93bnJldi54&#10;bWxQSwECFAAUAAAACACHTuJArX2vQKQCAADXBQAADgAAAAAAAAABACAAAAAoAQAAZHJzL2Uyb0Rv&#10;Yy54bWxQSwUGAAAAAAYABgBZAQAAPgYAAAAA&#10;">
                <o:lock v:ext="edit" aspectratio="f"/>
                <v:shape id="任意多边形 45" o:spid="_x0000_s1026" o:spt="100" style="position:absolute;left:4937;top:395;height:2;width:612;" filled="f" stroked="t" coordsize="612,1" o:gfxdata="UEsDBAoAAAAAAIdO4kAAAAAAAAAAAAAAAAAEAAAAZHJzL1BLAwQUAAAACACHTuJA9kZMb78AAADb&#10;AAAADwAAAGRycy9kb3ducmV2LnhtbEWPX0vDQBDE34V+h2MLvtlLqkhJey1V8M+LUttS6NuS2+ZC&#10;c7shdybVT+8Jgo/DzPyGWawuvlE9daEWNpBPMlDEpdiaKwP73dPNDFSIyBYbYTLwRQFWy9HVAgsr&#10;A39Qv42VShAOBRpwMbaF1qF05DFMpCVO3kk6jzHJrtK2wyHBfaOnWXavPdacFhy29OioPG8/vYG3&#10;29l3/v7wMqzdc31s+43IIRdjrsd5NgcV6RL/w3/tV2tgege/X9IP0M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ZGTG+/&#10;AAAA2wAAAA8AAAAAAAAAAQAgAAAAIgAAAGRycy9kb3ducmV2LnhtbFBLAQIUABQAAAAIAIdO4kAz&#10;LwWeOwAAADkAAAAQAAAAAAAAAAEAIAAAAA4BAABkcnMvc2hhcGV4bWwueG1sUEsFBgAAAAAGAAYA&#10;WwEAALgDAAAAAA==&#10;" path="m0,0l612,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跌</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3"/>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 w:val="30"/>
          <w:szCs w:val="30"/>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 w:val="32"/>
          <w:szCs w:val="32"/>
          <w:highlight w:val="none"/>
        </w:rPr>
        <w:t>F</w:t>
      </w:r>
      <w:r>
        <w:rPr>
          <w:rFonts w:hint="eastAsia" w:ascii="宋体" w:hAnsi="宋体" w:eastAsia="宋体" w:cs="宋体"/>
          <w:color w:val="auto"/>
          <w:spacing w:val="-6"/>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101"/>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39"/>
          <w:position w:val="15"/>
          <w:szCs w:val="24"/>
          <w:highlight w:val="none"/>
        </w:rPr>
        <w:t>F</w:t>
      </w:r>
      <w:r>
        <w:rPr>
          <w:rFonts w:hint="eastAsia" w:ascii="宋体" w:hAnsi="宋体" w:eastAsia="宋体" w:cs="宋体"/>
          <w:color w:val="auto"/>
          <w:position w:val="9"/>
          <w:sz w:val="14"/>
          <w:szCs w:val="14"/>
          <w:highlight w:val="none"/>
        </w:rPr>
        <w:t>1</w:t>
      </w:r>
      <w:r>
        <w:rPr>
          <w:rFonts w:hint="eastAsia" w:ascii="宋体" w:hAnsi="宋体" w:eastAsia="宋体" w:cs="宋体"/>
          <w:color w:val="auto"/>
          <w:spacing w:val="1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hAnsi="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B</w:t>
      </w:r>
      <w:r>
        <w:rPr>
          <w:rFonts w:hint="eastAsia" w:ascii="宋体" w:hAnsi="宋体" w:eastAsia="宋体" w:cs="宋体"/>
          <w:color w:val="auto"/>
          <w:szCs w:val="24"/>
          <w:highlight w:val="none"/>
        </w:rPr>
        <w:t>）</w:t>
      </w:r>
    </w:p>
    <w:p w14:paraId="59B7EC88">
      <w:pPr>
        <w:pStyle w:val="11"/>
        <w:tabs>
          <w:tab w:val="left" w:pos="2870"/>
        </w:tabs>
        <w:spacing w:line="142" w:lineRule="exact"/>
        <w:ind w:left="2490"/>
        <w:jc w:val="left"/>
        <w:rPr>
          <w:rFonts w:hint="eastAsia" w:ascii="宋体" w:hAnsi="宋体" w:eastAsia="宋体" w:cs="宋体"/>
          <w:color w:val="auto"/>
          <w:highlight w:val="none"/>
        </w:rPr>
      </w:pPr>
      <w:r>
        <w:rPr>
          <w:rFonts w:hint="eastAsia" w:ascii="宋体" w:hAnsi="宋体" w:eastAsia="宋体" w:cs="宋体"/>
          <w:color w:val="auto"/>
          <w:sz w:val="14"/>
          <w:szCs w:val="14"/>
          <w:highlight w:val="none"/>
        </w:rPr>
        <mc:AlternateContent>
          <mc:Choice Requires="wps">
            <w:drawing>
              <wp:anchor distT="0" distB="0" distL="114300" distR="114300" simplePos="0" relativeHeight="251677696" behindDoc="0" locked="0" layoutInCell="1" allowOverlap="1">
                <wp:simplePos x="0" y="0"/>
                <wp:positionH relativeFrom="page">
                  <wp:posOffset>3274060</wp:posOffset>
                </wp:positionH>
                <wp:positionV relativeFrom="paragraph">
                  <wp:posOffset>29845</wp:posOffset>
                </wp:positionV>
                <wp:extent cx="231140" cy="198755"/>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231140" cy="198755"/>
                        </a:xfrm>
                        <a:prstGeom prst="rect">
                          <a:avLst/>
                        </a:prstGeom>
                        <a:noFill/>
                        <a:ln>
                          <a:noFill/>
                        </a:ln>
                        <a:effectLst/>
                      </wps:spPr>
                      <wps:txbx>
                        <w:txbxContent>
                          <w:p w14:paraId="65AC1867">
                            <w:r>
                              <w:rPr>
                                <w:rFonts w:ascii="Times New Roman" w:eastAsia="Times New Roman"/>
                                <w:spacing w:val="-39"/>
                                <w:position w:val="15"/>
                                <w:szCs w:val="24"/>
                              </w:rPr>
                              <w:t>F</w:t>
                            </w:r>
                            <w:r>
                              <w:rPr>
                                <w:rFonts w:ascii="Times New Roman" w:eastAsia="Times New Roman"/>
                                <w:position w:val="9"/>
                                <w:sz w:val="14"/>
                                <w:szCs w:val="14"/>
                              </w:rPr>
                              <w:t>1</w:t>
                            </w:r>
                          </w:p>
                        </w:txbxContent>
                      </wps:txbx>
                      <wps:bodyPr wrap="square" lIns="0" tIns="0" rIns="0" bIns="0" upright="1"/>
                    </wps:wsp>
                  </a:graphicData>
                </a:graphic>
              </wp:anchor>
            </w:drawing>
          </mc:Choice>
          <mc:Fallback>
            <w:pict>
              <v:shape id="_x0000_s1026" o:spid="_x0000_s1026" o:spt="202" type="#_x0000_t202" style="position:absolute;left:0pt;margin-left:257.8pt;margin-top:2.35pt;height:15.65pt;width:18.2pt;mso-position-horizontal-relative:page;z-index:251677696;mso-width-relative:page;mso-height-relative:page;" filled="f" stroked="f" coordsize="21600,21600" o:gfxdata="UEsDBAoAAAAAAIdO4kAAAAAAAAAAAAAAAAAEAAAAZHJzL1BLAwQUAAAACACHTuJAZ5bUVtcAAAAI&#10;AQAADwAAAGRycy9kb3ducmV2LnhtbE2PzU7DMBCE70i8g7VI3KidQkIJ2VQIwQkJkYZDj07sJlHj&#10;dYjdH96e5QTH0YxmvinWZzeKo53D4AkhWSgQllpvBuoQPuvXmxWIEDUZPXqyCN82wLq8vCh0bvyJ&#10;KnvcxE5wCYVcI/QxTrmUoe2t02HhJ0vs7fzsdGQ5d9LM+sTlbpRLpTLp9EC80OvJPve23W8ODuFp&#10;S9XL8PXefFS7aqjrB0Vv2R7x+ipRjyCiPce/MPziMzqUzNT4A5kgRoQ0STOOItzdg2A/TZf8rUG4&#10;zRTIspD/D5Q/UEsDBBQAAAAIAIdO4kD4rfATygEAAI8DAAAOAAAAZHJzL2Uyb0RvYy54bWytU0tu&#10;2zAQ3RfoHQjua1lukiaC5QCFkaJA0RZIcwCaGlkE+AuHtuQLtDfoqpvuey6fo0N9nE83WXRDDWeG&#10;b+a9GS2vO6PZHgIqZ0uez+acgZWuUnZb8rtvN28uOcMobCW0s1DyAyC/Xr1+tWx9AQvXOF1BYARi&#10;sWh9yZsYfZFlKBswAmfOg6Vg7YIRka5hm1VBtIRudLaYzy+y1oXKBycBkbzrIchHxPASQFfXSsLa&#10;yZ0BGwfUAFpEooSN8shXfbd1DTJ+qWuEyHTJiWnsTypC9iad2Wopim0QvlFybEG8pIVnnIxQloqe&#10;oNYiCrYL6h8oo2Rw6Oo4k85kA5FeEWKRz59pc9sIDz0Xkhr9SXT8f7Dy8/5rYKoq+eKCMysMTfz4&#10;88fx15/j7++MfCRQ67GgvFtPmbF77zpam8mP5Ey8uzqY9CVGjOIk7+EkL3SRSXIu3ub5GUUkhfKr&#10;y3fn5wkle3jsA8YP4AxLRskDTa8XVew/YRxSp5RUy7obpXU/QW2fOAhz8EC/AuPrxGPoN1mx23Qj&#10;uY2rDsStpTUoOd7vRADO9EdLOqedmYwwGZvJ2Pmgtg212uuRJViaU89p3Km0CI/vZD/+j1Z/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eW1FbXAAAACAEAAA8AAAAAAAAAAQAgAAAAIgAAAGRycy9k&#10;b3ducmV2LnhtbFBLAQIUABQAAAAIAIdO4kD4rfATygEAAI8DAAAOAAAAAAAAAAEAIAAAACYBAABk&#10;cnMvZTJvRG9jLnhtbFBLBQYAAAAABgAGAFkBAABiBQAAAAA=&#10;">
                <v:fill on="f" focussize="0,0"/>
                <v:stroke on="f"/>
                <v:imagedata o:title=""/>
                <o:lock v:ext="edit" aspectratio="f"/>
                <v:textbox inset="0mm,0mm,0mm,0mm">
                  <w:txbxContent>
                    <w:p w14:paraId="65AC1867">
                      <w:r>
                        <w:rPr>
                          <w:rFonts w:ascii="Times New Roman" w:eastAsia="Times New Roman"/>
                          <w:spacing w:val="-39"/>
                          <w:position w:val="15"/>
                          <w:szCs w:val="24"/>
                        </w:rPr>
                        <w:t>F</w:t>
                      </w:r>
                      <w:r>
                        <w:rPr>
                          <w:rFonts w:ascii="Times New Roman" w:eastAsia="Times New Roman"/>
                          <w:position w:val="9"/>
                          <w:sz w:val="14"/>
                          <w:szCs w:val="14"/>
                        </w:rPr>
                        <w:t>1</w:t>
                      </w:r>
                    </w:p>
                  </w:txbxContent>
                </v:textbox>
              </v:shape>
            </w:pict>
          </mc:Fallback>
        </mc:AlternateContent>
      </w:r>
      <w:r>
        <w:rPr>
          <w:rFonts w:hint="eastAsia" w:ascii="宋体" w:hAnsi="宋体" w:eastAsia="宋体" w:cs="宋体"/>
          <w:color w:val="auto"/>
          <w:sz w:val="14"/>
          <w:szCs w:val="14"/>
          <w:highlight w:val="none"/>
        </w:rPr>
        <w:t>1</w:t>
      </w:r>
      <w:r>
        <w:rPr>
          <w:rFonts w:hint="eastAsia" w:ascii="宋体" w:hAnsi="宋体" w:eastAsia="宋体" w:cs="宋体"/>
          <w:color w:val="auto"/>
          <w:sz w:val="14"/>
          <w:szCs w:val="14"/>
          <w:highlight w:val="none"/>
        </w:rPr>
        <w:tab/>
      </w:r>
      <w:r>
        <w:rPr>
          <w:rFonts w:hint="eastAsia" w:ascii="宋体" w:hAnsi="宋体" w:eastAsia="宋体" w:cs="宋体"/>
          <w:color w:val="auto"/>
          <w:sz w:val="14"/>
          <w:szCs w:val="14"/>
          <w:highlight w:val="none"/>
        </w:rPr>
        <w:t xml:space="preserve"> 1</w:t>
      </w:r>
    </w:p>
    <w:p w14:paraId="34675FDF">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b</w:t>
      </w:r>
      <w:r>
        <w:rPr>
          <w:rFonts w:hint="eastAsia" w:ascii="宋体" w:hAnsi="宋体" w:eastAsia="宋体" w:cs="宋体"/>
          <w:snapToGrid w:val="0"/>
          <w:color w:val="auto"/>
          <w:kern w:val="0"/>
          <w:szCs w:val="24"/>
          <w:highlight w:val="none"/>
        </w:rPr>
        <w:t>．如果中标单价高于基准单价，该施工机具台班的结算单价调整公式为：</w:t>
      </w:r>
    </w:p>
    <w:p w14:paraId="587FCCFA">
      <w:pPr>
        <w:spacing w:line="404" w:lineRule="exact"/>
        <w:ind w:left="120" w:firstLine="240" w:firstLineChars="100"/>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84864" behindDoc="0" locked="0" layoutInCell="1" allowOverlap="1">
                <wp:simplePos x="0" y="0"/>
                <wp:positionH relativeFrom="page">
                  <wp:posOffset>2962910</wp:posOffset>
                </wp:positionH>
                <wp:positionV relativeFrom="paragraph">
                  <wp:posOffset>234315</wp:posOffset>
                </wp:positionV>
                <wp:extent cx="388620" cy="1270"/>
                <wp:effectExtent l="0" t="0" r="0" b="0"/>
                <wp:wrapNone/>
                <wp:docPr id="5" name="组合 5"/>
                <wp:cNvGraphicFramePr/>
                <a:graphic xmlns:a="http://schemas.openxmlformats.org/drawingml/2006/main">
                  <a:graphicData uri="http://schemas.microsoft.com/office/word/2010/wordprocessingGroup">
                    <wpg:wgp>
                      <wpg:cNvGrpSpPr/>
                      <wpg:grpSpPr>
                        <a:xfrm>
                          <a:off x="0" y="0"/>
                          <a:ext cx="388620" cy="1270"/>
                          <a:chOff x="4937" y="395"/>
                          <a:chExt cx="612" cy="2"/>
                        </a:xfrm>
                        <a:effectLst/>
                      </wpg:grpSpPr>
                      <wps:wsp>
                        <wps:cNvPr id="8" name="任意多边形 45"/>
                        <wps:cNvSpPr/>
                        <wps:spPr>
                          <a:xfrm>
                            <a:off x="4937" y="395"/>
                            <a:ext cx="612" cy="2"/>
                          </a:xfrm>
                          <a:custGeom>
                            <a:avLst/>
                            <a:gdLst/>
                            <a:ahLst/>
                            <a:cxnLst/>
                            <a:pathLst>
                              <a:path w="612">
                                <a:moveTo>
                                  <a:pt x="0" y="0"/>
                                </a:moveTo>
                                <a:lnTo>
                                  <a:pt x="612"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33.3pt;margin-top:18.45pt;height:0.1pt;width:30.6pt;mso-position-horizontal-relative:page;z-index:251684864;mso-width-relative:page;mso-height-relative:page;" coordorigin="4937,395" coordsize="612,2" o:gfxdata="UEsDBAoAAAAAAIdO4kAAAAAAAAAAAAAAAAAEAAAAZHJzL1BLAwQUAAAACACHTuJAv2y3ldoAAAAJ&#10;AQAADwAAAGRycy9kb3ducmV2LnhtbE2PwU7DMAyG70i8Q2QkbizNxrpRmk5oAk4TEhvSxM1rvLZa&#10;k1RN1m5vjznB0fan39+fry62FQP1ofFOg5okIMiV3jSu0vC1e3tYgggRncHWO9JwpQCr4vYmx8z4&#10;0X3SsI2V4BAXMtRQx9hlUoayJoth4jtyfDv63mLksa+k6XHkcNvKaZKk0mLj+EONHa1rKk/bs9Xw&#10;PuL4MlOvw+Z0XF+/d/OP/UaR1vd3KnkGEekS/2D41Wd1KNjp4M/OBNFqeEzTlFENs/QJBAPz6YK7&#10;HHixUCCLXP5vUPwAUEsDBBQAAAAIAIdO4kDpMWI5mwIAANQFAAAOAAAAZHJzL2Uyb0RvYy54bWyl&#10;VM1uEzEQviPxDpbvdPPT31U3PZC2FwSVWh7A9Xp3LfkP28km9x64wZkj4iVQBU9DgcdgxrtJSgpS&#10;BTlsxp7f75vxHJ8stCJz4YO0pqDDnQElwnBbSlMX9PXV2bNDSkJkpmTKGlHQpQj0ZPL0yXHrcjGy&#10;jVWl8ASCmJC3rqBNjC7PssAboVnYsU4YUFbWaxbh6Ous9KyF6Fplo8FgP2utL523XIQAt9NOSfuI&#10;/jEBbVVJLqaWz7QwsYvqhWIRIIVGukAnqdqqEjy+qqogIlEFBaQxfSEJyNf4zSbHLK89c43kfQns&#10;MSVsYdJMGki6DjVlkZGZlw9Cacm9DbaKO9zqrAOSGAEUw8EWN+fezlzCUudt7dakQ6O2WP/nsPzl&#10;/MITWRZ0jxLDNDT8x+3N3fu3ZA+5aV2dg8m5d5fuwvcXdXdCuIvKa/wHIGSRWF2uWRWLSDhcjg8P&#10;90fANwfVcHTQc84baAz67B6NDygB3fgopWQ5b0571/3hqPMbYTHZJp9IrX0RIl5jkeuaWgdjGTZc&#10;hf/j6rJhTqQWBCSi5wqeSMfVt9vb7zfv7j59+Pn1892Xj2S3Zy0ZrykLeQD2/sDXQ+wr0v6KnM9C&#10;PBc2sc7mHQMwduVKYs1K4guzEh2LeI0VoEjagmICPGs7F1c2aeJWC4HvjVaZ+1apvFWrwa7TgoDh&#10;U6fWKeHyfs3GnkmloG3olAoZ7+FwMFglFTxhELWDcQymTvUFq2SJLugRfH39XHkyZ/ic068fjN/M&#10;nA9xykLT2SUVmrG8Eaw8NSWJSweDbmC/USxBi5ISJWAdopQsI5PqMZYJO4bemshVy3Ecr225hMFp&#10;YcsArjcz5iHtzHlZN7CPhglBP7b9NMNjTyT2iwm3yf1zstos48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v2y3ldoAAAAJAQAADwAAAAAAAAABACAAAAAiAAAAZHJzL2Rvd25yZXYueG1sUEsBAhQA&#10;FAAAAAgAh07iQOkxYjmbAgAA1AUAAA4AAAAAAAAAAQAgAAAAKQEAAGRycy9lMm9Eb2MueG1sUEsF&#10;BgAAAAAGAAYAWQEAADYGAAAAAA==&#10;">
                <o:lock v:ext="edit" aspectratio="f"/>
                <v:shape id="任意多边形 45" o:spid="_x0000_s1026" o:spt="100" style="position:absolute;left:4937;top:395;height:2;width:612;" filled="f" stroked="t" coordsize="612,1" o:gfxdata="UEsDBAoAAAAAAIdO4kAAAAAAAAAAAAAAAAAEAAAAZHJzL1BLAwQUAAAACACHTuJAY/6zlbsAAADa&#10;AAAADwAAAGRycy9kb3ducmV2LnhtbEVPTWvCQBC9F/wPyxR6q5soiERXaQVrL0pri9DbkJ1mQ7Mz&#10;IbtN1F/vHgo9Pt73cn32jeqpC7WwgXycgSIuxdZcGfj82D7OQYWIbLERJgMXCrBeje6WWFgZ+J36&#10;Y6xUCuFQoAEXY1toHUpHHsNYWuLEfUvnMSbYVdp2OKRw3+hJls20x5pTg8OWNo7Kn+OvN7Cfzq/5&#10;4Xk3PLmX+qvt30ROuRjzcJ9nC1CRzvFf/Od+tQbS1nQl3QC9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6zlbsAAADa&#10;AAAADwAAAAAAAAABACAAAAAiAAAAZHJzL2Rvd25yZXYueG1sUEsBAhQAFAAAAAgAh07iQDMvBZ47&#10;AAAAOQAAABAAAAAAAAAAAQAgAAAACgEAAGRycy9zaGFwZXhtbC54bWxQSwUGAAAAAAYABgBbAQAA&#10;tAMAAAAA&#10;" path="m0,0l612,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涨</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5"/>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 w:val="32"/>
          <w:szCs w:val="32"/>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 w:val="32"/>
          <w:szCs w:val="32"/>
          <w:highlight w:val="none"/>
        </w:rPr>
        <w:t>F</w:t>
      </w:r>
      <w:r>
        <w:rPr>
          <w:rFonts w:hint="eastAsia" w:ascii="宋体" w:hAnsi="宋体" w:eastAsia="宋体" w:cs="宋体"/>
          <w:color w:val="auto"/>
          <w:spacing w:val="-7"/>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39"/>
          <w:position w:val="15"/>
          <w:szCs w:val="24"/>
          <w:highlight w:val="none"/>
        </w:rPr>
        <w:t>F</w:t>
      </w:r>
      <w:r>
        <w:rPr>
          <w:rFonts w:hint="eastAsia" w:ascii="宋体" w:hAnsi="宋体" w:eastAsia="宋体" w:cs="宋体"/>
          <w:color w:val="auto"/>
          <w:position w:val="9"/>
          <w:sz w:val="14"/>
          <w:szCs w:val="14"/>
          <w:highlight w:val="none"/>
        </w:rPr>
        <w:t>1</w:t>
      </w:r>
      <w:r>
        <w:rPr>
          <w:rFonts w:hint="eastAsia" w:ascii="宋体" w:hAnsi="宋体" w:eastAsia="宋体" w:cs="宋体"/>
          <w:color w:val="auto"/>
          <w:spacing w:val="1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hAnsi="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B</w:t>
      </w:r>
      <w:r>
        <w:rPr>
          <w:rFonts w:hint="eastAsia" w:ascii="宋体" w:hAnsi="宋体" w:eastAsia="宋体" w:cs="宋体"/>
          <w:color w:val="auto"/>
          <w:szCs w:val="24"/>
          <w:highlight w:val="none"/>
        </w:rPr>
        <w:t>）</w:t>
      </w:r>
    </w:p>
    <w:p w14:paraId="761074CB">
      <w:pPr>
        <w:pStyle w:val="11"/>
        <w:tabs>
          <w:tab w:val="left" w:pos="2815"/>
        </w:tabs>
        <w:spacing w:line="142" w:lineRule="exact"/>
        <w:ind w:firstLine="2520" w:firstLineChars="1800"/>
        <w:jc w:val="left"/>
        <w:rPr>
          <w:rFonts w:hint="eastAsia" w:ascii="宋体" w:hAnsi="宋体" w:eastAsia="宋体" w:cs="宋体"/>
          <w:color w:val="auto"/>
          <w:sz w:val="14"/>
          <w:szCs w:val="14"/>
          <w:highlight w:val="none"/>
        </w:rPr>
      </w:pPr>
      <w:r>
        <w:rPr>
          <w:rFonts w:hint="eastAsia" w:ascii="宋体" w:hAnsi="宋体" w:eastAsia="宋体" w:cs="宋体"/>
          <w:color w:val="auto"/>
          <w:sz w:val="14"/>
          <w:szCs w:val="14"/>
          <w:highlight w:val="none"/>
        </w:rPr>
        <mc:AlternateContent>
          <mc:Choice Requires="wps">
            <w:drawing>
              <wp:anchor distT="0" distB="0" distL="114300" distR="114300" simplePos="0" relativeHeight="251678720" behindDoc="0" locked="0" layoutInCell="1" allowOverlap="1">
                <wp:simplePos x="0" y="0"/>
                <wp:positionH relativeFrom="page">
                  <wp:posOffset>3239135</wp:posOffset>
                </wp:positionH>
                <wp:positionV relativeFrom="paragraph">
                  <wp:posOffset>29845</wp:posOffset>
                </wp:positionV>
                <wp:extent cx="288290" cy="25527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288290" cy="255270"/>
                        </a:xfrm>
                        <a:prstGeom prst="rect">
                          <a:avLst/>
                        </a:prstGeom>
                        <a:noFill/>
                        <a:ln>
                          <a:noFill/>
                        </a:ln>
                        <a:effectLst/>
                      </wps:spPr>
                      <wps:txbx>
                        <w:txbxContent>
                          <w:p w14:paraId="65A89792">
                            <w:r>
                              <w:rPr>
                                <w:rFonts w:ascii="Times New Roman" w:eastAsia="Times New Roman"/>
                                <w:spacing w:val="-39"/>
                                <w:position w:val="15"/>
                                <w:szCs w:val="24"/>
                              </w:rPr>
                              <w:t>F</w:t>
                            </w:r>
                            <w:r>
                              <w:rPr>
                                <w:rFonts w:ascii="Times New Roman" w:eastAsia="Times New Roman"/>
                                <w:position w:val="9"/>
                                <w:sz w:val="14"/>
                                <w:szCs w:val="14"/>
                              </w:rPr>
                              <w:t>1</w:t>
                            </w:r>
                          </w:p>
                          <w:p w14:paraId="1977BB49"/>
                        </w:txbxContent>
                      </wps:txbx>
                      <wps:bodyPr wrap="square" lIns="0" tIns="0" rIns="0" bIns="0" upright="1"/>
                    </wps:wsp>
                  </a:graphicData>
                </a:graphic>
              </wp:anchor>
            </w:drawing>
          </mc:Choice>
          <mc:Fallback>
            <w:pict>
              <v:shape id="_x0000_s1026" o:spid="_x0000_s1026" o:spt="202" type="#_x0000_t202" style="position:absolute;left:0pt;margin-left:255.05pt;margin-top:2.35pt;height:20.1pt;width:22.7pt;mso-position-horizontal-relative:page;z-index:251678720;mso-width-relative:page;mso-height-relative:page;" filled="f" stroked="f" coordsize="21600,21600" o:gfxdata="UEsDBAoAAAAAAIdO4kAAAAAAAAAAAAAAAAAEAAAAZHJzL1BLAwQUAAAACACHTuJAc2f4rNYAAAAI&#10;AQAADwAAAGRycy9kb3ducmV2LnhtbE2PzU7DMBCE70i8g7VI3Kgd1BaaxqkQghMSIg2HHp14m1iN&#10;1yF2f3h7lhPsbTSj2W+KzcUP4oRTdIE0ZDMFAqkN1lGn4bN+vXsEEZMha4ZAqOEbI2zK66vC5Dac&#10;qcLTNnWCSyjmRkOf0phLGdsevYmzMCKxtw+TN4nl1Ek7mTOX+0HeK7WU3jjiD70Z8bnH9rA9eg1P&#10;O6pe3Nd781HtK1fXK0Vvy4PWtzeZWoNIeEl/YfjFZ3QomakJR7JRDBoWmco4qmH+AIL9BR+IhvV8&#10;BbIs5P8B5Q9QSwMEFAAAAAgAh07iQAeSs0vJAQAAjwMAAA4AAABkcnMvZTJvRG9jLnhtbK1TzY7T&#10;MBC+I/EOlu803UjLlqjpSqhahIQAaeEBXGfSWPIfY7dJXwDegBMX7jxXn4Oxk5RlueyBizOeGX8z&#10;3zeT9e1gNDsCBuVsza8WS87AStcou6/55093L1achShsI7SzUPMTBH67ef5s3fsKStc53QAyArGh&#10;6n3Nuxh9VRRBdmBEWDgPloKtQyMiXXFfNCh6Qje6KJfLl0XvsPHoJIRA3u0Y5BMiPgXQta2SsHXy&#10;YMDGERVBi0iUQqd84JvcbduCjB/aNkBkuubENOaTipC9S2exWYtqj8J3Sk4tiKe08IiTEcpS0QvU&#10;VkTBDqj+gTJKoguujQvpTDESyYoQi6vlI23uO+EhcyGpg7+IHv4frHx//IhMNTUvbzizwtDEz9+/&#10;nX/8Ov/8yshHAvU+VJR37ykzDq/dQGsz+wM5E++hRZO+xIhRnOQ9XeSFITJJznK1Kl9RRFKovL4u&#10;b7L8xZ/HHkN8A86wZNQcaXpZVHF8FyI1QqlzSqpl3Z3SOk9Q278clDh6IK/A9DrxGPtNVhx2w0Ru&#10;55oTcetpDWoevhwEAmf6rSWd087MBs7GbjYOHtW+o1azHkWCpTnlRqedSovw8E72w/9o8x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zZ/is1gAAAAgBAAAPAAAAAAAAAAEAIAAAACIAAABkcnMvZG93&#10;bnJldi54bWxQSwECFAAUAAAACACHTuJAB5KzS8kBAACPAwAADgAAAAAAAAABACAAAAAlAQAAZHJz&#10;L2Uyb0RvYy54bWxQSwUGAAAAAAYABgBZAQAAYAUAAAAA&#10;">
                <v:fill on="f" focussize="0,0"/>
                <v:stroke on="f"/>
                <v:imagedata o:title=""/>
                <o:lock v:ext="edit" aspectratio="f"/>
                <v:textbox inset="0mm,0mm,0mm,0mm">
                  <w:txbxContent>
                    <w:p w14:paraId="65A89792">
                      <w:r>
                        <w:rPr>
                          <w:rFonts w:ascii="Times New Roman" w:eastAsia="Times New Roman"/>
                          <w:spacing w:val="-39"/>
                          <w:position w:val="15"/>
                          <w:szCs w:val="24"/>
                        </w:rPr>
                        <w:t>F</w:t>
                      </w:r>
                      <w:r>
                        <w:rPr>
                          <w:rFonts w:ascii="Times New Roman" w:eastAsia="Times New Roman"/>
                          <w:position w:val="9"/>
                          <w:sz w:val="14"/>
                          <w:szCs w:val="14"/>
                        </w:rPr>
                        <w:t>1</w:t>
                      </w:r>
                    </w:p>
                    <w:p w14:paraId="1977BB49"/>
                  </w:txbxContent>
                </v:textbox>
              </v:shape>
            </w:pict>
          </mc:Fallback>
        </mc:AlternateContent>
      </w:r>
      <w:r>
        <w:rPr>
          <w:rFonts w:hint="eastAsia" w:ascii="宋体" w:hAnsi="宋体" w:eastAsia="宋体" w:cs="宋体"/>
          <w:color w:val="auto"/>
          <w:sz w:val="14"/>
          <w:szCs w:val="14"/>
          <w:highlight w:val="none"/>
        </w:rPr>
        <w:t>1</w:t>
      </w:r>
      <w:r>
        <w:rPr>
          <w:rFonts w:hint="eastAsia" w:ascii="宋体" w:hAnsi="宋体" w:eastAsia="宋体" w:cs="宋体"/>
          <w:color w:val="auto"/>
          <w:sz w:val="14"/>
          <w:szCs w:val="14"/>
          <w:highlight w:val="none"/>
        </w:rPr>
        <w:tab/>
      </w:r>
      <w:r>
        <w:rPr>
          <w:rFonts w:hint="eastAsia" w:ascii="宋体" w:hAnsi="宋体" w:eastAsia="宋体" w:cs="宋体"/>
          <w:color w:val="auto"/>
          <w:sz w:val="14"/>
          <w:szCs w:val="14"/>
          <w:highlight w:val="none"/>
        </w:rPr>
        <w:t xml:space="preserve">  1</w:t>
      </w:r>
    </w:p>
    <w:p w14:paraId="74E4985A">
      <w:pPr>
        <w:pStyle w:val="11"/>
        <w:spacing w:before="26"/>
        <w:ind w:left="3441" w:right="4885"/>
        <w:jc w:val="center"/>
        <w:rPr>
          <w:rFonts w:hint="eastAsia" w:ascii="宋体" w:hAnsi="宋体" w:eastAsia="宋体" w:cs="宋体"/>
          <w:color w:val="auto"/>
          <w:sz w:val="20"/>
          <w:highlight w:val="none"/>
        </w:rPr>
      </w:pPr>
    </w:p>
    <w:p w14:paraId="69C30807">
      <w:pPr>
        <w:spacing w:before="3" w:line="170" w:lineRule="exact"/>
        <w:rPr>
          <w:rFonts w:hint="eastAsia" w:ascii="宋体" w:hAnsi="宋体" w:eastAsia="宋体" w:cs="宋体"/>
          <w:color w:val="auto"/>
          <w:sz w:val="17"/>
          <w:szCs w:val="17"/>
          <w:highlight w:val="none"/>
        </w:rPr>
      </w:pPr>
    </w:p>
    <w:p w14:paraId="269888D8">
      <w:pPr>
        <w:spacing w:line="404" w:lineRule="exact"/>
        <w:ind w:left="328"/>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79744" behindDoc="0" locked="0" layoutInCell="1" allowOverlap="1">
                <wp:simplePos x="0" y="0"/>
                <wp:positionH relativeFrom="page">
                  <wp:posOffset>3150235</wp:posOffset>
                </wp:positionH>
                <wp:positionV relativeFrom="paragraph">
                  <wp:posOffset>250825</wp:posOffset>
                </wp:positionV>
                <wp:extent cx="403860" cy="1270"/>
                <wp:effectExtent l="0" t="0" r="0" b="0"/>
                <wp:wrapNone/>
                <wp:docPr id="45" name="组合 45"/>
                <wp:cNvGraphicFramePr/>
                <a:graphic xmlns:a="http://schemas.openxmlformats.org/drawingml/2006/main">
                  <a:graphicData uri="http://schemas.microsoft.com/office/word/2010/wordprocessingGroup">
                    <wpg:wgp>
                      <wpg:cNvGrpSpPr/>
                      <wpg:grpSpPr>
                        <a:xfrm>
                          <a:off x="0" y="0"/>
                          <a:ext cx="403860" cy="1270"/>
                          <a:chOff x="4961" y="396"/>
                          <a:chExt cx="636" cy="2"/>
                        </a:xfrm>
                        <a:effectLst/>
                      </wpg:grpSpPr>
                      <wps:wsp>
                        <wps:cNvPr id="28" name="任意多边形 49"/>
                        <wps:cNvSpPr/>
                        <wps:spPr>
                          <a:xfrm>
                            <a:off x="4961" y="396"/>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48.05pt;margin-top:19.75pt;height:0.1pt;width:31.8pt;mso-position-horizontal-relative:page;z-index:251679744;mso-width-relative:page;mso-height-relative:page;" coordorigin="4961,396" coordsize="636,2" o:gfxdata="UEsDBAoAAAAAAIdO4kAAAAAAAAAAAAAAAAAEAAAAZHJzL1BLAwQUAAAACACHTuJASMOuYdoAAAAJ&#10;AQAADwAAAGRycy9kb3ducmV2LnhtbE2PwU7CQBCG7ya+w2ZMvMl2xQKt3RJD1BMhEUwMt6Ed2obu&#10;bNNdWnh7l5MeZ+bLP9+fLS+mFQP1rrGsQU0iEMSFLRuuNHzvPp4WIJxHLrG1TBqu5GCZ399lmJZ2&#10;5C8atr4SIYRdihpq77tUSlfUZNBNbEccbkfbG/Rh7CtZ9jiGcNPK5yiaSYMNhw81drSqqThtz0bD&#10;54jj21S9D+vTcXXd7+LNz1qR1o8PKnoF4eni/2C46Qd1yIPTwZ65dKLV8JLMVEA1TJMYRADiOJmD&#10;ONwWc5B5Jv83yH8BUEsDBBQAAAAIAIdO4kD7jrm3ngIAANcFAAAOAAAAZHJzL2Uyb0RvYy54bWyl&#10;VM1uEzEQviPxDpbvdJM0De0qmx5I2wuCSi0P4Hq9u5b8h+1kk3sP3ODMEfUlUARPQ4HHYGxvfkhB&#10;qiCHzXj+/M034xmfLqRAc2Yd16rA/YMeRkxRXXJVF/jN9fmzY4ycJ6okQitW4CVz+HTy9Mm4NTkb&#10;6EaLklkESZTLW1PgxnuTZ5mjDZPEHWjDFBgrbSXxcLR1VlrSQnYpskGvN8pabUtjNWXOgXaajLjL&#10;aB+TUFcVp2yq6Uwy5VNWywTxUJJruHF4EtFWFaP+dVU55pEoMFTq4xcuAfkmfLPJmOS1JabhtINA&#10;HgNhryZJuIJLN6mmxBM0s/xBKsmp1U5X/oBqmaVCIiNQRb+3x82F1TMTa6nztjYb0qFRe6z/c1r6&#10;an5pES8LPDzCSBEJHf+xur3/8A6BAthpTZ2D04U1V+bSdoo6nULBi8rK8A+loEXkdbnhlS08oqAc&#10;9g6PR8A4BVN/8LxjnTbQmhAzPBn1MQLb4ckoNYQ2Z13o6HCU4gbBkm3vY7G5L50P6gByg6k1MJhu&#10;y5b7P7auGmJYbIILRHRsDeCVJLa+rVbfb9/f3338+fXz/ZdPaHiSaIveG85c7oC+PxD2sPg1a38t&#10;nc6cv2A60k7miQKYvHItkWYt0YVai4b4oA4IgojaAocLwlnqObvW0eL3egiEb61C7XpFeOteg1+y&#10;ghDSx1ZtrgTlLmalz7kQ0LcQlIAchekgsE0qeMUgSgMT6VQd8TkteBlCQoSz9c0LYdGchBcdf91k&#10;/OZmrPNT4prkF01ptBpGyjNVIr80MOoKVhwOECQrMRIMNmKQIjZPuHiMZ6w9QNsbyXXLwzze6HIJ&#10;k9PCooG63s6IhWtnxvK6gZXUjxV0c9uNM7z3SGK3m8JC2T1Hr+0+nvw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SMOuYdoAAAAJAQAADwAAAAAAAAABACAAAAAiAAAAZHJzL2Rvd25yZXYueG1sUEsB&#10;AhQAFAAAAAgAh07iQPuOubeeAgAA1wUAAA4AAAAAAAAAAQAgAAAAKQEAAGRycy9lMm9Eb2MueG1s&#10;UEsFBgAAAAAGAAYAWQEAADkGAAAAAA==&#10;">
                <o:lock v:ext="edit" aspectratio="f"/>
                <v:shape id="任意多边形 49" o:spid="_x0000_s1026" o:spt="100" style="position:absolute;left:4961;top:396;height:2;width:636;" filled="f" stroked="t" coordsize="636,1" o:gfxdata="UEsDBAoAAAAAAIdO4kAAAAAAAAAAAAAAAAAEAAAAZHJzL1BLAwQUAAAACACHTuJATtJHBrkAAADb&#10;AAAADwAAAGRycy9kb3ducmV2LnhtbEVPy4rCMBTdD/gP4QruxlQXItXYhaCO4mKsfsClubalzU1N&#10;MvXx9ZOF4PJw3svsYVrRk/O1ZQWTcQKCuLC65lLB5bz5noPwAVlja5kUPMlDthp8LTHV9s4n6vNQ&#10;ihjCPkUFVQhdKqUvKjLox7YjjtzVOoMhQldK7fAew00rp0kykwZrjg0VdrSuqGjyP6Ngi22z79e/&#10;Pb32x13o8pk7vG5KjYaTZAEi0CN8xG/3j1YwjWPjl/gD5O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7SRwa5AAAA2wAA&#10;AA8AAAAAAAAAAQAgAAAAIgAAAGRycy9kb3ducmV2LnhtbFBLAQIUABQAAAAIAIdO4kAzLwWeOwAA&#10;ADkAAAAQAAAAAAAAAAEAIAAAAAgBAABkcnMvc2hhcGV4bWwueG1sUEsFBgAAAAAGAAYAWwEAALID&#10;AAAAAA==&#10;" path="m0,0l636,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跌</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2"/>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Cs w:val="24"/>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Cs w:val="24"/>
          <w:highlight w:val="none"/>
        </w:rPr>
        <w:t>F</w:t>
      </w:r>
      <w:r>
        <w:rPr>
          <w:rFonts w:hint="eastAsia" w:ascii="宋体" w:hAnsi="宋体" w:eastAsia="宋体" w:cs="宋体"/>
          <w:color w:val="auto"/>
          <w:spacing w:val="16"/>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100"/>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26"/>
          <w:position w:val="15"/>
          <w:szCs w:val="24"/>
          <w:highlight w:val="none"/>
        </w:rPr>
        <w:t>F</w:t>
      </w:r>
      <w:r>
        <w:rPr>
          <w:rFonts w:hint="eastAsia" w:ascii="宋体" w:hAnsi="宋体" w:eastAsia="宋体" w:cs="宋体"/>
          <w:color w:val="auto"/>
          <w:position w:val="9"/>
          <w:sz w:val="14"/>
          <w:szCs w:val="14"/>
          <w:highlight w:val="none"/>
        </w:rPr>
        <w:t>0</w:t>
      </w:r>
      <w:r>
        <w:rPr>
          <w:rFonts w:hint="eastAsia" w:ascii="宋体" w:hAnsi="宋体" w:eastAsia="宋体" w:cs="宋体"/>
          <w:color w:val="auto"/>
          <w:spacing w:val="2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hAnsi="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B</w:t>
      </w:r>
      <w:r>
        <w:rPr>
          <w:rFonts w:hint="eastAsia" w:ascii="宋体" w:hAnsi="宋体" w:eastAsia="宋体" w:cs="宋体"/>
          <w:color w:val="auto"/>
          <w:szCs w:val="24"/>
          <w:highlight w:val="none"/>
        </w:rPr>
        <w:t>）</w:t>
      </w:r>
    </w:p>
    <w:p w14:paraId="23C51162">
      <w:pPr>
        <w:pStyle w:val="11"/>
        <w:tabs>
          <w:tab w:val="left" w:pos="2884"/>
        </w:tabs>
        <w:spacing w:line="142" w:lineRule="exact"/>
        <w:ind w:firstLine="2520" w:firstLineChars="1800"/>
        <w:jc w:val="left"/>
        <w:rPr>
          <w:rFonts w:hint="eastAsia" w:ascii="宋体" w:hAnsi="宋体" w:eastAsia="宋体" w:cs="宋体"/>
          <w:color w:val="auto"/>
          <w:highlight w:val="none"/>
        </w:rPr>
      </w:pPr>
      <w:r>
        <w:rPr>
          <w:rFonts w:hint="eastAsia" w:ascii="宋体" w:hAnsi="宋体" w:eastAsia="宋体" w:cs="宋体"/>
          <w:color w:val="auto"/>
          <w:sz w:val="14"/>
          <w:szCs w:val="14"/>
          <w:highlight w:val="none"/>
        </w:rPr>
        <mc:AlternateContent>
          <mc:Choice Requires="wps">
            <w:drawing>
              <wp:anchor distT="0" distB="0" distL="114300" distR="114300" simplePos="0" relativeHeight="251680768" behindDoc="0" locked="0" layoutInCell="1" allowOverlap="1">
                <wp:simplePos x="0" y="0"/>
                <wp:positionH relativeFrom="page">
                  <wp:posOffset>3289300</wp:posOffset>
                </wp:positionH>
                <wp:positionV relativeFrom="paragraph">
                  <wp:posOffset>29845</wp:posOffset>
                </wp:positionV>
                <wp:extent cx="220980" cy="29337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220980" cy="293370"/>
                        </a:xfrm>
                        <a:prstGeom prst="rect">
                          <a:avLst/>
                        </a:prstGeom>
                        <a:noFill/>
                        <a:ln>
                          <a:noFill/>
                        </a:ln>
                        <a:effectLst/>
                      </wps:spPr>
                      <wps:txbx>
                        <w:txbxContent>
                          <w:p w14:paraId="013FCA09">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_x0000_s1026" o:spid="_x0000_s1026" o:spt="202" type="#_x0000_t202" style="position:absolute;left:0pt;margin-left:259pt;margin-top:2.35pt;height:23.1pt;width:17.4pt;mso-position-horizontal-relative:page;z-index:251680768;mso-width-relative:page;mso-height-relative:page;" filled="f" stroked="f" coordsize="21600,21600" o:gfxdata="UEsDBAoAAAAAAIdO4kAAAAAAAAAAAAAAAAAEAAAAZHJzL1BLAwQUAAAACACHTuJAw2mqedgAAAAI&#10;AQAADwAAAGRycy9kb3ducmV2LnhtbE2PTU/DMAyG70j7D5EncWNJJzq20nRCCE5IiK4cOKaN11Zr&#10;nNJkH/x7zIndbL3W6+fJtxc3iBNOofekIVkoEEiNtz21Gj6r17s1iBANWTN4Qg0/GGBbzG5yk1l/&#10;phJPu9gKLqGQGQ1djGMmZWg6dCYs/IjE2d5PzkRep1bayZy53A1yqdRKOtMTf+jMiM8dNofd0Wl4&#10;+qLypf9+rz/KfdlX1UbR2+qg9e08UY8gIl7i/zH84TM6FMxU+yPZIAYNabJml6jh/gEE52m6ZJWa&#10;B7UBWeTyWqD4BVBLAwQUAAAACACHTuJALOFwXskBAACPAwAADgAAAGRycy9lMm9Eb2MueG1srVNL&#10;btswEN0XyB0I7mspMtAmguUAhZGgQNEWSHsAmhpZBPgrh7bkC7Q36Kqb7nsun6MjSnLz2WTRDTWc&#10;GT6+9zha3fRGswMEVM5W/HKRcwZWulrZXcW/frl9fcUZRmFroZ2Fih8B+c364tWq8yUUrnW6hsAI&#10;xGLZ+Yq3Mfoyy1C2YAQunAdLxcYFIyJtwy6rg+gI3eisyPM3WedC7YOTgEjZzVjkE2J4CaBrGiVh&#10;4+TegI0jagAtIknCVnnk68S2aUDGT02DEJmuOCmNaaVLKN4Oa7ZeiXIXhG+VnCiIl1B4oskIZenS&#10;M9RGRMH2QT2DMkoGh66JC+lMNgpJjpCKy/yJN/et8JC0kNXoz6bj/4OVHw+fA1N1xZdkiRWGXvz0&#10;88fp15/T7++McmRQ57GkvntPnbF/53oamzmPlBx0900ww5cUMaoT1vFsL/SRSUoWRX59RRVJpeJ6&#10;uXyb0LN/h33AeAfOsCGoeKDXS6aKwweMRIRa55bhLutuldbpBbV9lKDGMQNpBKbTg46R7xDFfttP&#10;4rauPpK2jsag4vhtLwJwpt9b8pnoxjkIc7Cdg70PatcS1eRHNsDSOyWi00wNg/BwT/HD/2j9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NpqnnYAAAACAEAAA8AAAAAAAAAAQAgAAAAIgAAAGRycy9k&#10;b3ducmV2LnhtbFBLAQIUABQAAAAIAIdO4kAs4XBeyQEAAI8DAAAOAAAAAAAAAAEAIAAAACcBAABk&#10;cnMvZTJvRG9jLnhtbFBLBQYAAAAABgAGAFkBAABiBQAAAAA=&#10;">
                <v:fill on="f" focussize="0,0"/>
                <v:stroke on="f"/>
                <v:imagedata o:title=""/>
                <o:lock v:ext="edit" aspectratio="f"/>
                <v:textbox inset="0mm,0mm,0mm,0mm">
                  <w:txbxContent>
                    <w:p w14:paraId="013FCA09">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rFonts w:hint="eastAsia" w:ascii="宋体" w:hAnsi="宋体" w:eastAsia="宋体" w:cs="宋体"/>
          <w:color w:val="auto"/>
          <w:sz w:val="14"/>
          <w:szCs w:val="14"/>
          <w:highlight w:val="none"/>
        </w:rPr>
        <w:t>1    0</w:t>
      </w:r>
    </w:p>
    <w:p w14:paraId="0C5B91B8">
      <w:pPr>
        <w:spacing w:line="200" w:lineRule="exact"/>
        <w:rPr>
          <w:rFonts w:hint="eastAsia" w:ascii="宋体" w:hAnsi="宋体" w:eastAsia="宋体" w:cs="宋体"/>
          <w:color w:val="auto"/>
          <w:sz w:val="20"/>
          <w:highlight w:val="none"/>
        </w:rPr>
      </w:pPr>
    </w:p>
    <w:p w14:paraId="5E5E77F3">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c</w:t>
      </w:r>
      <w:r>
        <w:rPr>
          <w:rFonts w:hint="eastAsia" w:ascii="宋体" w:hAnsi="宋体" w:eastAsia="宋体" w:cs="宋体"/>
          <w:snapToGrid w:val="0"/>
          <w:color w:val="auto"/>
          <w:kern w:val="0"/>
          <w:szCs w:val="24"/>
          <w:highlight w:val="none"/>
        </w:rPr>
        <w:t>．如果中标单价等于基准单价，该施工机具台班的结算单价调整公式为：</w:t>
      </w:r>
    </w:p>
    <w:p w14:paraId="4D24D13B">
      <w:pPr>
        <w:spacing w:line="404" w:lineRule="exact"/>
        <w:ind w:left="120" w:firstLine="240" w:firstLineChars="100"/>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85888" behindDoc="0" locked="0" layoutInCell="1" allowOverlap="1">
                <wp:simplePos x="0" y="0"/>
                <wp:positionH relativeFrom="page">
                  <wp:posOffset>2848610</wp:posOffset>
                </wp:positionH>
                <wp:positionV relativeFrom="paragraph">
                  <wp:posOffset>217805</wp:posOffset>
                </wp:positionV>
                <wp:extent cx="388620" cy="1270"/>
                <wp:effectExtent l="0" t="0" r="0" b="0"/>
                <wp:wrapNone/>
                <wp:docPr id="11" name="组合 11"/>
                <wp:cNvGraphicFramePr/>
                <a:graphic xmlns:a="http://schemas.openxmlformats.org/drawingml/2006/main">
                  <a:graphicData uri="http://schemas.microsoft.com/office/word/2010/wordprocessingGroup">
                    <wpg:wgp>
                      <wpg:cNvGrpSpPr/>
                      <wpg:grpSpPr>
                        <a:xfrm>
                          <a:off x="0" y="0"/>
                          <a:ext cx="388620" cy="1270"/>
                          <a:chOff x="4937" y="395"/>
                          <a:chExt cx="612" cy="2"/>
                        </a:xfrm>
                        <a:effectLst/>
                      </wpg:grpSpPr>
                      <wps:wsp>
                        <wps:cNvPr id="14" name="任意多边形 45"/>
                        <wps:cNvSpPr/>
                        <wps:spPr>
                          <a:xfrm>
                            <a:off x="4937" y="395"/>
                            <a:ext cx="612" cy="2"/>
                          </a:xfrm>
                          <a:custGeom>
                            <a:avLst/>
                            <a:gdLst/>
                            <a:ahLst/>
                            <a:cxnLst/>
                            <a:pathLst>
                              <a:path w="612">
                                <a:moveTo>
                                  <a:pt x="0" y="0"/>
                                </a:moveTo>
                                <a:lnTo>
                                  <a:pt x="612"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24.3pt;margin-top:17.15pt;height:0.1pt;width:30.6pt;mso-position-horizontal-relative:page;z-index:251685888;mso-width-relative:page;mso-height-relative:page;" coordorigin="4937,395" coordsize="612,2" o:gfxdata="UEsDBAoAAAAAAIdO4kAAAAAAAAAAAAAAAAAEAAAAZHJzL1BLAwQUAAAACACHTuJA6NUo2tkAAAAJ&#10;AQAADwAAAGRycy9kb3ducmV2LnhtbE2PwUrDQBCG74LvsIzgze7GJKWN2RQp6qkItoL0tk2mSWh2&#10;NmS3Sfv2Tk96nJmPf74/X11sJ0YcfOtIQzRTIJBKV7VUa/jevT8tQPhgqDKdI9RwRQ+r4v4uN1nl&#10;JvrCcRtqwSHkM6OhCaHPpPRlg9b4meuR+HZ0gzWBx6GW1WAmDredfFZqLq1piT80psd1g+Vpe7Ya&#10;PiYzvcbR27g5HdfX/S79/NlEqPXjQ6ReQAS8hD8YbvqsDgU7HdyZKi86DUmymDOqIU5iEAykasld&#10;DrdFCrLI5f8GxS9QSwMEFAAAAAgAh07iQGiPK3mfAgAA1wUAAA4AAABkcnMvZTJvRG9jLnhtbKVU&#10;zW4TMRC+I/EOlu9089PfVZMeSNsLgkotD+B6vbuW/IftZJN7D9zgzBHxEqiCp6HAYzDj3U1KClIF&#10;OWzGnvH4m28+z/HJUiuyED5IayZ0uDOgRBhuC2mqCX19dfbskJIQmSmYskZM6EoEejJ9+uS4cbkY&#10;2dqqQngCSUzIGzehdYwuz7LAa6FZ2LFOGHCW1msWYemrrPCsgexaZaPBYD9rrC+ct1yEALuz1km7&#10;jP4xCW1ZSi5mls+1MLHN6oViEUoKtXSBThPashQ8virLICJREwqVxvSFS8C+xm82PWZ55ZmrJe8g&#10;sMdA2KpJM2ng0nWqGYuMzL18kEpL7m2wZdzhVmdtIYkRqGI42OLm3Nu5S7VUeVO5NenQqC3W/zkt&#10;f7m48EQWoIQhJYZp6PiP25u7928JbAA7jatyCDr37tJd+G6jaldY8LL0Gv+hFLJMvK7WvIplJBw2&#10;x4eH+yNgnINrODroWOc1tAbP7B6NDygB3/hor20Ir0+7o/vDUXtuhJ5sc59IzX0RIm4jyDWmxoEw&#10;w4at8H9sXdbMidSEgET0bO32bH27vf1+8+7u04efXz/ffflIdlMNCAKi15yFPAB9fyDsYfE9a38t&#10;nc9DPBc20c4WLQWgvKK3WN1bfGl607GI24gATdJMKF6Aa20X4somT9zqIRC+8SpzPyrB63sNca0X&#10;DEyfWrW+EjbvYzb2TCoFfcNDCch4D9XBYJqU8IrB1A4UGUyV8AWrZIFH8ETw1fVz5cmC4YtOv04Z&#10;v4U5H+KMhbqNS65WWrVgxakpSFw5kLqBEUcRghYFJUrAREQrYYtMqsdEptoR2pYk+5ajFK5tsQLl&#10;NDBooK43c+bh2rnzsqphJKWHBiJOuu3kDO89kdjNJhwo99cpajOPp7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6NUo2tkAAAAJAQAADwAAAAAAAAABACAAAAAiAAAAZHJzL2Rvd25yZXYueG1sUEsB&#10;AhQAFAAAAAgAh07iQGiPK3mfAgAA1wUAAA4AAAAAAAAAAQAgAAAAKAEAAGRycy9lMm9Eb2MueG1s&#10;UEsFBgAAAAAGAAYAWQEAADkGAAAAAA==&#10;">
                <o:lock v:ext="edit" aspectratio="f"/>
                <v:shape id="任意多边形 45" o:spid="_x0000_s1026" o:spt="100" style="position:absolute;left:4937;top:395;height:2;width:612;" filled="f" stroked="t" coordsize="612,1" o:gfxdata="UEsDBAoAAAAAAIdO4kAAAAAAAAAAAAAAAAAEAAAAZHJzL1BLAwQUAAAACACHTuJAOCqG0r0AAADb&#10;AAAADwAAAGRycy9kb3ducmV2LnhtbEVPS0vDQBC+F/oflil4azepIiV2W9qCj0tFqwjehuyYDWZn&#10;QnZN2v76riB4m4/vOcv10Teqpy7UwgbyWQaKuBRbc2Xg/e1+ugAVIrLFRpgMnCjAejUeLbGwMvAr&#10;9YdYqRTCoUADLsa20DqUjjyGmbTEifuSzmNMsKu07XBI4b7R8yy71R5rTg0OW9o5Kr8PP97A/npx&#10;zp+3j8PGPdSfbf8i8pGLMVeTPLsDFekY/8V/7ieb5t/A7y/pAL2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KobSvQAA&#10;ANsAAAAPAAAAAAAAAAEAIAAAACIAAABkcnMvZG93bnJldi54bWxQSwECFAAUAAAACACHTuJAMy8F&#10;njsAAAA5AAAAEAAAAAAAAAABACAAAAAMAQAAZHJzL3NoYXBleG1sLnhtbFBLBQYAAAAABgAGAFsB&#10;AAC2AwAAAAA=&#10;" path="m0,0l612,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涨</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4"/>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Cs w:val="24"/>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Cs w:val="24"/>
          <w:highlight w:val="none"/>
        </w:rPr>
        <w:t>F</w:t>
      </w:r>
      <w:r>
        <w:rPr>
          <w:rFonts w:hint="eastAsia" w:ascii="宋体" w:hAnsi="宋体" w:eastAsia="宋体" w:cs="宋体"/>
          <w:color w:val="auto"/>
          <w:spacing w:val="15"/>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100"/>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26"/>
          <w:position w:val="15"/>
          <w:szCs w:val="24"/>
          <w:highlight w:val="none"/>
        </w:rPr>
        <w:t>F</w:t>
      </w:r>
      <w:r>
        <w:rPr>
          <w:rFonts w:hint="eastAsia" w:ascii="宋体" w:hAnsi="宋体" w:eastAsia="宋体" w:cs="宋体"/>
          <w:color w:val="auto"/>
          <w:position w:val="9"/>
          <w:sz w:val="14"/>
          <w:szCs w:val="14"/>
          <w:highlight w:val="none"/>
        </w:rPr>
        <w:t>0</w:t>
      </w:r>
      <w:r>
        <w:rPr>
          <w:rFonts w:hint="eastAsia" w:ascii="宋体" w:hAnsi="宋体" w:eastAsia="宋体" w:cs="宋体"/>
          <w:color w:val="auto"/>
          <w:spacing w:val="2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hAnsi="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B</w:t>
      </w:r>
      <w:r>
        <w:rPr>
          <w:rFonts w:hint="eastAsia" w:ascii="宋体" w:hAnsi="宋体" w:eastAsia="宋体" w:cs="宋体"/>
          <w:color w:val="auto"/>
          <w:szCs w:val="24"/>
          <w:highlight w:val="none"/>
        </w:rPr>
        <w:t>）</w:t>
      </w:r>
    </w:p>
    <w:p w14:paraId="19DB5E1F">
      <w:pPr>
        <w:pStyle w:val="11"/>
        <w:tabs>
          <w:tab w:val="left" w:pos="2817"/>
        </w:tabs>
        <w:spacing w:line="142" w:lineRule="exact"/>
        <w:ind w:left="2424"/>
        <w:jc w:val="left"/>
        <w:rPr>
          <w:rFonts w:hint="eastAsia" w:ascii="宋体" w:hAnsi="宋体" w:eastAsia="宋体" w:cs="宋体"/>
          <w:color w:val="auto"/>
          <w:sz w:val="14"/>
          <w:szCs w:val="14"/>
          <w:highlight w:val="none"/>
        </w:rPr>
      </w:pPr>
      <w:r>
        <w:rPr>
          <w:rFonts w:hint="eastAsia" w:ascii="宋体" w:hAnsi="宋体" w:eastAsia="宋体" w:cs="宋体"/>
          <w:color w:val="auto"/>
          <w:sz w:val="14"/>
          <w:szCs w:val="14"/>
          <w:highlight w:val="none"/>
        </w:rPr>
        <mc:AlternateContent>
          <mc:Choice Requires="wps">
            <w:drawing>
              <wp:anchor distT="0" distB="0" distL="114300" distR="114300" simplePos="0" relativeHeight="251681792" behindDoc="0" locked="0" layoutInCell="1" allowOverlap="1">
                <wp:simplePos x="0" y="0"/>
                <wp:positionH relativeFrom="page">
                  <wp:posOffset>3246755</wp:posOffset>
                </wp:positionH>
                <wp:positionV relativeFrom="paragraph">
                  <wp:posOffset>29845</wp:posOffset>
                </wp:positionV>
                <wp:extent cx="163195" cy="20828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63195" cy="208280"/>
                        </a:xfrm>
                        <a:prstGeom prst="rect">
                          <a:avLst/>
                        </a:prstGeom>
                        <a:noFill/>
                        <a:ln>
                          <a:noFill/>
                        </a:ln>
                        <a:effectLst/>
                      </wps:spPr>
                      <wps:txbx>
                        <w:txbxContent>
                          <w:p w14:paraId="47599A6A">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_x0000_s1026" o:spid="_x0000_s1026" o:spt="202" type="#_x0000_t202" style="position:absolute;left:0pt;margin-left:255.65pt;margin-top:2.35pt;height:16.4pt;width:12.85pt;mso-position-horizontal-relative:page;z-index:251681792;mso-width-relative:page;mso-height-relative:page;" filled="f" stroked="f" coordsize="21600,21600" o:gfxdata="UEsDBAoAAAAAAIdO4kAAAAAAAAAAAAAAAAAEAAAAZHJzL1BLAwQUAAAACACHTuJAtTO3s9gAAAAI&#10;AQAADwAAAGRycy9kb3ducmV2LnhtbE2PzU7DMBCE70i8g7VI3KgdQpo2ZFMhBCckRBoOHJ3YTazG&#10;6xC7P7w95lSOoxnNfFNuznZkRz174wghWQhgmjqnDPUIn83r3QqYD5KUHB1phB/tYVNdX5WyUO5E&#10;tT5uQ89iCflCIgwhTAXnvhu0lX7hJk3R27nZyhDl3HM1y1MstyO/F2LJrTQUFwY56edBd/vtwSI8&#10;fVH9Yr7f2496V5umWQt6W+4Rb28S8Qgs6HO4hOEPP6JDFZladyDl2YiQJUkaowgPObDoZ2kev7UI&#10;aZ4Br0r+/0D1C1BLAwQUAAAACACHTuJAzkQvs8oBAACPAwAADgAAAGRycy9lMm9Eb2MueG1srVPN&#10;jtMwEL4j8Q6W7zRtV6xK1HSlVbUICQHSwgO4zqSx5D/GbpO+ALwBJy7cea4+B2MnKcty2cNenPH8&#10;fJ7vm8n6pjeaHQGDcrbii9mcM7DS1cruK/7l892rFWchClsL7SxU/ASB32xevlh3voSla52uARmB&#10;2FB2vuJtjL4siiBbMCLMnAdLwcahEZGuuC9qFB2hG10s5/PronNYe3QSQiDvdgjyERGfAuiaRknY&#10;OnkwYOOAiqBFJEqhVT7wTe62aUDGj00TIDJdcWIa80mPkL1LZ7FZi3KPwrdKji2Ip7TwiJMRytKj&#10;F6itiIIdUP0HZZREF1wTZ9KZYiCSFSEWi/kjbe5b4SFzIamDv4geng9Wfjh+Qqbqil8tOLPC0MTP&#10;P76ff/4+//rGyEcCdT6UlHfvKTP2t66ntZn8gZyJd9+gSV9ixChO8p4u8kIfmUxF11eLN685kxRa&#10;zlfLVZa/+FvsMcS34AxLRsWRppdFFcf3IVIjlDqlpLesu1Na5wlq+4+DEgcP5BUYqxOPod9kxX7X&#10;j+R2rj4Rt47WoOLh60EgcKbfWdI57cxk4GTsJuPgUe1bajXrUSRYmlNudNyptAgP72Q//I8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1M7ez2AAAAAgBAAAPAAAAAAAAAAEAIAAAACIAAABkcnMv&#10;ZG93bnJldi54bWxQSwECFAAUAAAACACHTuJAzkQvs8oBAACPAwAADgAAAAAAAAABACAAAAAnAQAA&#10;ZHJzL2Uyb0RvYy54bWxQSwUGAAAAAAYABgBZAQAAYwUAAAAA&#10;">
                <v:fill on="f" focussize="0,0"/>
                <v:stroke on="f"/>
                <v:imagedata o:title=""/>
                <o:lock v:ext="edit" aspectratio="f"/>
                <v:textbox inset="0mm,0mm,0mm,0mm">
                  <w:txbxContent>
                    <w:p w14:paraId="47599A6A">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rFonts w:hint="eastAsia" w:ascii="宋体" w:hAnsi="宋体" w:eastAsia="宋体" w:cs="宋体"/>
          <w:color w:val="auto"/>
          <w:sz w:val="14"/>
          <w:szCs w:val="14"/>
          <w:highlight w:val="none"/>
        </w:rPr>
        <w:t>1</w:t>
      </w:r>
      <w:r>
        <w:rPr>
          <w:rFonts w:hint="eastAsia" w:ascii="宋体" w:hAnsi="宋体" w:eastAsia="宋体" w:cs="宋体"/>
          <w:color w:val="auto"/>
          <w:sz w:val="14"/>
          <w:szCs w:val="14"/>
          <w:highlight w:val="none"/>
        </w:rPr>
        <w:tab/>
      </w:r>
      <w:r>
        <w:rPr>
          <w:rFonts w:hint="eastAsia" w:ascii="宋体" w:hAnsi="宋体" w:eastAsia="宋体" w:cs="宋体"/>
          <w:color w:val="auto"/>
          <w:sz w:val="14"/>
          <w:szCs w:val="14"/>
          <w:highlight w:val="none"/>
        </w:rPr>
        <w:t>0</w:t>
      </w:r>
    </w:p>
    <w:p w14:paraId="4A73E462">
      <w:pPr>
        <w:pStyle w:val="11"/>
        <w:spacing w:before="26"/>
        <w:ind w:left="3454" w:right="4848"/>
        <w:jc w:val="center"/>
        <w:rPr>
          <w:rFonts w:hint="eastAsia" w:ascii="宋体" w:hAnsi="宋体" w:eastAsia="宋体" w:cs="宋体"/>
          <w:color w:val="auto"/>
          <w:sz w:val="14"/>
          <w:szCs w:val="14"/>
          <w:highlight w:val="none"/>
          <w:lang w:val="en-US" w:eastAsia="zh-CN"/>
        </w:rPr>
      </w:pPr>
      <w:r>
        <w:rPr>
          <w:rFonts w:hint="eastAsia" w:hAnsi="宋体" w:cs="宋体"/>
          <w:color w:val="auto"/>
          <w:sz w:val="14"/>
          <w:szCs w:val="14"/>
          <w:highlight w:val="none"/>
          <w:lang w:val="en-US" w:eastAsia="zh-CN"/>
        </w:rPr>
        <w:t>x</w:t>
      </w:r>
    </w:p>
    <w:p w14:paraId="3DE7F123">
      <w:pPr>
        <w:spacing w:before="4" w:line="170" w:lineRule="exact"/>
        <w:rPr>
          <w:rFonts w:hint="eastAsia" w:ascii="宋体" w:hAnsi="宋体" w:eastAsia="宋体" w:cs="宋体"/>
          <w:color w:val="auto"/>
          <w:sz w:val="17"/>
          <w:szCs w:val="17"/>
          <w:highlight w:val="none"/>
        </w:rPr>
      </w:pPr>
    </w:p>
    <w:p w14:paraId="7A2F0507">
      <w:pPr>
        <w:spacing w:line="405" w:lineRule="exact"/>
        <w:ind w:left="328"/>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82816" behindDoc="0" locked="0" layoutInCell="1" allowOverlap="1">
                <wp:simplePos x="0" y="0"/>
                <wp:positionH relativeFrom="page">
                  <wp:posOffset>3150235</wp:posOffset>
                </wp:positionH>
                <wp:positionV relativeFrom="paragraph">
                  <wp:posOffset>250825</wp:posOffset>
                </wp:positionV>
                <wp:extent cx="403860" cy="1270"/>
                <wp:effectExtent l="0" t="0" r="0" b="0"/>
                <wp:wrapNone/>
                <wp:docPr id="46" name="组合 46"/>
                <wp:cNvGraphicFramePr/>
                <a:graphic xmlns:a="http://schemas.openxmlformats.org/drawingml/2006/main">
                  <a:graphicData uri="http://schemas.microsoft.com/office/word/2010/wordprocessingGroup">
                    <wpg:wgp>
                      <wpg:cNvGrpSpPr/>
                      <wpg:grpSpPr>
                        <a:xfrm>
                          <a:off x="0" y="0"/>
                          <a:ext cx="403860" cy="1270"/>
                          <a:chOff x="4961" y="396"/>
                          <a:chExt cx="636" cy="2"/>
                        </a:xfrm>
                        <a:effectLst/>
                      </wpg:grpSpPr>
                      <wps:wsp>
                        <wps:cNvPr id="32" name="任意多边形 53"/>
                        <wps:cNvSpPr/>
                        <wps:spPr>
                          <a:xfrm>
                            <a:off x="4961" y="396"/>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48.05pt;margin-top:19.75pt;height:0.1pt;width:31.8pt;mso-position-horizontal-relative:page;z-index:251682816;mso-width-relative:page;mso-height-relative:page;" coordorigin="4961,396" coordsize="636,2" o:gfxdata="UEsDBAoAAAAAAIdO4kAAAAAAAAAAAAAAAAAEAAAAZHJzL1BLAwQUAAAACACHTuJASMOuYdoAAAAJ&#10;AQAADwAAAGRycy9kb3ducmV2LnhtbE2PwU7CQBCG7ya+w2ZMvMl2xQKt3RJD1BMhEUwMt6Ed2obu&#10;bNNdWnh7l5MeZ+bLP9+fLS+mFQP1rrGsQU0iEMSFLRuuNHzvPp4WIJxHLrG1TBqu5GCZ399lmJZ2&#10;5C8atr4SIYRdihpq77tUSlfUZNBNbEccbkfbG/Rh7CtZ9jiGcNPK5yiaSYMNhw81drSqqThtz0bD&#10;54jj21S9D+vTcXXd7+LNz1qR1o8PKnoF4eni/2C46Qd1yIPTwZ65dKLV8JLMVEA1TJMYRADiOJmD&#10;ONwWc5B5Jv83yH8BUEsDBBQAAAAIAIdO4kDa1paDoAIAANcFAAAOAAAAZHJzL2Uyb0RvYy54bWyl&#10;VM1uEzEQviPxDpbvdPPThnbVTQ+k7QVBpZYHcL3eXUte29hONrn3wA3OHFFfAkXwNBR4DGa8u0lJ&#10;Qaogh814ZjzzzTfjOT5Z1ooshPPS6IwO9waUCM1NLnWZ0TdXZ88OKfGB6Zwpo0VGV8LTk+nTJ8eN&#10;TcXIVEblwhEIon3a2IxWIdg0STyvRM38nrFCg7EwrmYBjq5McscaiF6rZDQYTJLGuNw6w4X3oJ21&#10;RtpFdI8JaIpCcjEzfF4LHdqoTigWoCRfSevpNKItCsHD66LwIhCVUag0xC8kAfkav8n0mKWlY7aS&#10;vIPAHgNhp6aaSQ1JN6FmLDAyd/JBqFpyZ7wpwh43ddIWEhmBKoaDHW7OnZnbWEuZNqXdkA6N2mH9&#10;n8PyV4sLR2Se0f0JJZrV0PEf65u7D+8IKICdxpYpOJ07e2kvXKco2xMWvCxcjf9QCllGXlcbXsUy&#10;EA7K/cH4cAKMczANR8871nkFrcE7+0eTISVgGx/FlCzl1Wl3dTIGWHhvhGCSbT4Rm/vSB1QjyA2m&#10;xsJg+i1b/v/YuqyYFbEJHono2BqPera+rdffb97f3X78+fXz3ZdP5GDc0ha9N5z51AN9fyDsYfE9&#10;a38tnc99OBcm0s4WLQUweXkvsaqX+FL3omUB1YgARdJkFBPguTYLcWWiJez0EAjfWpW+7xXh9b0G&#10;v9YKAoaPrdqkBOV9zNqcSaWgb3ipBXKA08FgmxTwikGsLUyk12XE542SOV7BG96V1y+UIwuGLzr+&#10;usn4zc06H2bMV61fNKEbSyvB8lOdk7CyMOoaVhxFCLXIKVECNiJK0TMwqR7jGWvH0Dsj2bcc5/Ha&#10;5CuYnAYWDdT1ds4cpJ1bJ8sKVtIwVtDNbTfO8N4jid1uwoVy/xy9tvt4+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BIw65h2gAAAAkBAAAPAAAAAAAAAAEAIAAAACIAAABkcnMvZG93bnJldi54bWxQ&#10;SwECFAAUAAAACACHTuJA2taWg6ACAADXBQAADgAAAAAAAAABACAAAAApAQAAZHJzL2Uyb0RvYy54&#10;bWxQSwUGAAAAAAYABgBZAQAAOwYAAAAA&#10;">
                <o:lock v:ext="edit" aspectratio="f"/>
                <v:shape id="任意多边形 53" o:spid="_x0000_s1026" o:spt="100" style="position:absolute;left:4961;top:396;height:2;width:636;" filled="f" stroked="t" coordsize="636,1" o:gfxdata="UEsDBAoAAAAAAIdO4kAAAAAAAAAAAAAAAAAEAAAAZHJzL1BLAwQUAAAACACHTuJAquPmMbwAAADb&#10;AAAADwAAAGRycy9kb3ducmV2LnhtbEWP3YrCMBSE7xd8h3AE79ZUBVmq0QvBX7xwu/sAh+bYFpuT&#10;msT68/RGELwcZuYbZjq/mVq05HxlWcGgn4Agzq2uuFDw/7f8/gHhA7LG2jIpuJOH+azzNcVU2yv/&#10;UpuFQkQI+xQVlCE0qZQ+L8mg79uGOHpH6wyGKF0htcNrhJtaDpNkLA1WHBdKbGhRUn7KLkbBCuvT&#10;tl0cWnps9+vQZGO3e5yV6nUHyQREoFv4hN/tjVYwGsLrS/wB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rj5jG8AAAA&#10;2wAAAA8AAAAAAAAAAQAgAAAAIgAAAGRycy9kb3ducmV2LnhtbFBLAQIUABQAAAAIAIdO4kAzLwWe&#10;OwAAADkAAAAQAAAAAAAAAAEAIAAAAAsBAABkcnMvc2hhcGV4bWwueG1sUEsFBgAAAAAGAAYAWwEA&#10;ALUDAAAAAA==&#10;" path="m0,0l636,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跌</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2"/>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Cs w:val="24"/>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Cs w:val="24"/>
          <w:highlight w:val="none"/>
        </w:rPr>
        <w:t>F</w:t>
      </w:r>
      <w:r>
        <w:rPr>
          <w:rFonts w:hint="eastAsia" w:ascii="宋体" w:hAnsi="宋体" w:eastAsia="宋体" w:cs="宋体"/>
          <w:color w:val="auto"/>
          <w:spacing w:val="16"/>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100"/>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26"/>
          <w:position w:val="15"/>
          <w:szCs w:val="24"/>
          <w:highlight w:val="none"/>
        </w:rPr>
        <w:t>F</w:t>
      </w:r>
      <w:r>
        <w:rPr>
          <w:rFonts w:hint="eastAsia" w:ascii="宋体" w:hAnsi="宋体" w:eastAsia="宋体" w:cs="宋体"/>
          <w:color w:val="auto"/>
          <w:position w:val="9"/>
          <w:sz w:val="14"/>
          <w:szCs w:val="14"/>
          <w:highlight w:val="none"/>
        </w:rPr>
        <w:t>0</w:t>
      </w:r>
      <w:r>
        <w:rPr>
          <w:rFonts w:hint="eastAsia" w:ascii="宋体" w:hAnsi="宋体" w:eastAsia="宋体" w:cs="宋体"/>
          <w:color w:val="auto"/>
          <w:spacing w:val="2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hAnsi="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B</w:t>
      </w:r>
      <w:r>
        <w:rPr>
          <w:rFonts w:hint="eastAsia" w:ascii="宋体" w:hAnsi="宋体" w:eastAsia="宋体" w:cs="宋体"/>
          <w:color w:val="auto"/>
          <w:szCs w:val="24"/>
          <w:highlight w:val="none"/>
        </w:rPr>
        <w:t>）</w:t>
      </w:r>
    </w:p>
    <w:p w14:paraId="1FF45CF6">
      <w:pPr>
        <w:pStyle w:val="11"/>
        <w:tabs>
          <w:tab w:val="left" w:pos="2884"/>
        </w:tabs>
        <w:spacing w:line="142" w:lineRule="exact"/>
        <w:ind w:firstLine="2520" w:firstLineChars="1800"/>
        <w:jc w:val="left"/>
        <w:rPr>
          <w:rFonts w:hint="eastAsia" w:ascii="宋体" w:hAnsi="宋体" w:eastAsia="宋体" w:cs="宋体"/>
          <w:color w:val="auto"/>
          <w:sz w:val="14"/>
          <w:szCs w:val="14"/>
          <w:highlight w:val="none"/>
        </w:rPr>
      </w:pPr>
      <w:r>
        <w:rPr>
          <w:rFonts w:hint="eastAsia" w:ascii="宋体" w:hAnsi="宋体" w:eastAsia="宋体" w:cs="宋体"/>
          <w:color w:val="auto"/>
          <w:sz w:val="14"/>
          <w:szCs w:val="14"/>
          <w:highlight w:val="none"/>
        </w:rPr>
        <mc:AlternateContent>
          <mc:Choice Requires="wps">
            <w:drawing>
              <wp:anchor distT="0" distB="0" distL="114300" distR="114300" simplePos="0" relativeHeight="251683840" behindDoc="0" locked="0" layoutInCell="1" allowOverlap="1">
                <wp:simplePos x="0" y="0"/>
                <wp:positionH relativeFrom="page">
                  <wp:posOffset>3289300</wp:posOffset>
                </wp:positionH>
                <wp:positionV relativeFrom="paragraph">
                  <wp:posOffset>29845</wp:posOffset>
                </wp:positionV>
                <wp:extent cx="296545" cy="24638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296545" cy="246380"/>
                        </a:xfrm>
                        <a:prstGeom prst="rect">
                          <a:avLst/>
                        </a:prstGeom>
                        <a:noFill/>
                        <a:ln>
                          <a:noFill/>
                        </a:ln>
                        <a:effectLst/>
                      </wps:spPr>
                      <wps:txbx>
                        <w:txbxContent>
                          <w:p w14:paraId="52AC9BE9">
                            <w:r>
                              <w:rPr>
                                <w:rFonts w:ascii="Times New Roman" w:eastAsia="Times New Roman"/>
                                <w:spacing w:val="-26"/>
                                <w:position w:val="15"/>
                                <w:szCs w:val="24"/>
                              </w:rPr>
                              <w:t>F</w:t>
                            </w:r>
                            <w:r>
                              <w:rPr>
                                <w:rFonts w:ascii="Times New Roman" w:eastAsia="Times New Roman"/>
                                <w:position w:val="9"/>
                                <w:sz w:val="14"/>
                                <w:szCs w:val="14"/>
                              </w:rPr>
                              <w:t>0</w:t>
                            </w:r>
                          </w:p>
                        </w:txbxContent>
                      </wps:txbx>
                      <wps:bodyPr wrap="square" lIns="0" tIns="0" rIns="0" bIns="0" upright="1"/>
                    </wps:wsp>
                  </a:graphicData>
                </a:graphic>
              </wp:anchor>
            </w:drawing>
          </mc:Choice>
          <mc:Fallback>
            <w:pict>
              <v:shape id="_x0000_s1026" o:spid="_x0000_s1026" o:spt="202" type="#_x0000_t202" style="position:absolute;left:0pt;margin-left:259pt;margin-top:2.35pt;height:19.4pt;width:23.35pt;mso-position-horizontal-relative:page;z-index:251683840;mso-width-relative:page;mso-height-relative:page;" filled="f" stroked="f" coordsize="21600,21600" o:gfxdata="UEsDBAoAAAAAAIdO4kAAAAAAAAAAAAAAAAAEAAAAZHJzL1BLAwQUAAAACACHTuJA3kLzGdcAAAAI&#10;AQAADwAAAGRycy9kb3ducmV2LnhtbE2PzU7DMBCE70i8g7VI3KgdIKGEOBVCcEJCTcOBoxNvk6jx&#10;OsTuD2/P9gS3Hc1o9ptidXKjOOAcBk8akoUCgdR6O1Cn4bN+u1mCCNGQNaMn1PCDAVbl5UVhcuuP&#10;VOFhEzvBJRRyo6GPccqlDG2PzoSFn5DY2/rZmchy7qSdzZHL3ShvlcqkMwPxh95M+NJju9vsnYbn&#10;L6peh++PZl1tq6GuHxW9Zzutr68S9QQi4in+heGMz+hQMlPj92SDGDWkyZK3RA33DyDYT7Pz0bC+&#10;S0GWhfw/oPwFUEsDBBQAAAAIAIdO4kAoYIE0ywEAAI8DAAAOAAAAZHJzL2Uyb0RvYy54bWytU0uO&#10;2zAM3RfoHQTtG2cymWAaxBmgCKYoULQFpj2AItOxAP0qKrFzgfYGXXXTfc+Vcwwl2+l8NrPoRqZI&#10;6pHvkV7ddEazAwRUzpb8YjLlDKx0lbK7kn/7evvmmjOMwlZCOwslPwLym/XrV6vWL2HmGqcrCIxA&#10;LC5bX/ImRr8sCpQNGIET58FSsHbBiEjXsCuqIFpCN7qYTaeLonWh8sFJQCTvpg/yATG8BNDVtZKw&#10;cXJvwMYeNYAWkShhozzyde62rkHGz3WNEJkuOTGN+aQiZG/TWaxXYrkLwjdKDi2Il7TwhJMRylLR&#10;M9RGRMH2QT2DMkoGh66OE+lM0RPJihCLi+kTbe4a4SFzIanRn0XH/wcrPx2+BKaqkl/OObPC0MRP&#10;v36efv89/fnByEcCtR6XlHfnKTN271xHazP6kZyJd1cHk77EiFGc5D2e5YUuMknO2dvF1fyKM0mh&#10;2XxxeZ3lL/499gHje3CGJaPkgaaXRRWHjxipEUodU1It626V1nmC2j5yUGLvgbwCw+vEo+83WbHb&#10;dgO5rauOxK2lNSg5ft+LAJzpD5Z0TjszGmE0tqOx90HtGmo161EkWJpTbnTYqbQID+9kP/yP1v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eQvMZ1wAAAAgBAAAPAAAAAAAAAAEAIAAAACIAAABkcnMv&#10;ZG93bnJldi54bWxQSwECFAAUAAAACACHTuJAKGCBNMsBAACPAwAADgAAAAAAAAABACAAAAAmAQAA&#10;ZHJzL2Uyb0RvYy54bWxQSwUGAAAAAAYABgBZAQAAYwUAAAAA&#10;">
                <v:fill on="f" focussize="0,0"/>
                <v:stroke on="f"/>
                <v:imagedata o:title=""/>
                <o:lock v:ext="edit" aspectratio="f"/>
                <v:textbox inset="0mm,0mm,0mm,0mm">
                  <w:txbxContent>
                    <w:p w14:paraId="52AC9BE9">
                      <w:r>
                        <w:rPr>
                          <w:rFonts w:ascii="Times New Roman" w:eastAsia="Times New Roman"/>
                          <w:spacing w:val="-26"/>
                          <w:position w:val="15"/>
                          <w:szCs w:val="24"/>
                        </w:rPr>
                        <w:t>F</w:t>
                      </w:r>
                      <w:r>
                        <w:rPr>
                          <w:rFonts w:ascii="Times New Roman" w:eastAsia="Times New Roman"/>
                          <w:position w:val="9"/>
                          <w:sz w:val="14"/>
                          <w:szCs w:val="14"/>
                        </w:rPr>
                        <w:t>0</w:t>
                      </w:r>
                    </w:p>
                  </w:txbxContent>
                </v:textbox>
              </v:shape>
            </w:pict>
          </mc:Fallback>
        </mc:AlternateContent>
      </w:r>
      <w:r>
        <w:rPr>
          <w:rFonts w:hint="eastAsia" w:ascii="宋体" w:hAnsi="宋体" w:eastAsia="宋体" w:cs="宋体"/>
          <w:color w:val="auto"/>
          <w:sz w:val="14"/>
          <w:szCs w:val="14"/>
          <w:highlight w:val="none"/>
        </w:rPr>
        <w:t>1    0</w:t>
      </w:r>
    </w:p>
    <w:p w14:paraId="7D1EF219">
      <w:pPr>
        <w:pStyle w:val="11"/>
        <w:spacing w:before="26"/>
        <w:ind w:left="3521" w:right="4781"/>
        <w:jc w:val="center"/>
        <w:rPr>
          <w:rFonts w:hint="eastAsia" w:ascii="宋体" w:hAnsi="宋体" w:eastAsia="宋体" w:cs="宋体"/>
          <w:color w:val="auto"/>
          <w:sz w:val="14"/>
          <w:szCs w:val="14"/>
          <w:highlight w:val="none"/>
        </w:rPr>
      </w:pPr>
    </w:p>
    <w:p w14:paraId="38470333">
      <w:pPr>
        <w:wordWrap w:val="0"/>
        <w:adjustRightInd w:val="0"/>
        <w:snapToGrid w:val="0"/>
        <w:spacing w:line="440" w:lineRule="exact"/>
        <w:ind w:firstLine="480" w:firstLineChars="200"/>
        <w:rPr>
          <w:rFonts w:hint="eastAsia" w:ascii="宋体" w:hAnsi="宋体" w:eastAsia="宋体" w:cs="宋体"/>
          <w:bCs/>
          <w:snapToGrid w:val="0"/>
          <w:color w:val="auto"/>
          <w:kern w:val="0"/>
          <w:szCs w:val="28"/>
          <w:highlight w:val="none"/>
        </w:rPr>
      </w:pPr>
      <w:r>
        <w:rPr>
          <w:rFonts w:hint="eastAsia" w:ascii="宋体" w:hAnsi="宋体" w:eastAsia="宋体" w:cs="宋体"/>
          <w:snapToGrid w:val="0"/>
          <w:color w:val="auto"/>
          <w:kern w:val="0"/>
          <w:szCs w:val="24"/>
          <w:highlight w:val="none"/>
        </w:rPr>
        <w:t>以上公式中，</w:t>
      </w:r>
      <w:r>
        <w:rPr>
          <w:rFonts w:hint="eastAsia" w:ascii="宋体" w:hAnsi="宋体" w:eastAsia="宋体" w:cs="宋体"/>
          <w:bCs/>
          <w:snapToGrid w:val="0"/>
          <w:color w:val="auto"/>
          <w:kern w:val="0"/>
          <w:szCs w:val="28"/>
          <w:highlight w:val="none"/>
        </w:rPr>
        <w:t>F</w:t>
      </w:r>
      <w:r>
        <w:rPr>
          <w:rFonts w:hint="eastAsia" w:ascii="宋体" w:hAnsi="宋体" w:eastAsia="宋体" w:cs="宋体"/>
          <w:bCs/>
          <w:snapToGrid w:val="0"/>
          <w:color w:val="auto"/>
          <w:kern w:val="0"/>
          <w:szCs w:val="28"/>
          <w:highlight w:val="none"/>
          <w:vertAlign w:val="subscript"/>
        </w:rPr>
        <w:t>1</w:t>
      </w:r>
      <w:r>
        <w:rPr>
          <w:rFonts w:hint="eastAsia" w:ascii="宋体" w:hAnsi="宋体" w:eastAsia="宋体" w:cs="宋体"/>
          <w:bCs/>
          <w:snapToGrid w:val="0"/>
          <w:color w:val="auto"/>
          <w:kern w:val="0"/>
          <w:szCs w:val="28"/>
          <w:highlight w:val="none"/>
        </w:rPr>
        <w:t>为中标单价；F</w:t>
      </w:r>
      <w:r>
        <w:rPr>
          <w:rFonts w:hint="eastAsia" w:ascii="宋体" w:hAnsi="宋体" w:eastAsia="宋体" w:cs="宋体"/>
          <w:bCs/>
          <w:snapToGrid w:val="0"/>
          <w:color w:val="auto"/>
          <w:kern w:val="0"/>
          <w:szCs w:val="28"/>
          <w:highlight w:val="none"/>
          <w:vertAlign w:val="subscript"/>
        </w:rPr>
        <w:t>0</w:t>
      </w:r>
      <w:r>
        <w:rPr>
          <w:rFonts w:hint="eastAsia" w:ascii="宋体" w:hAnsi="宋体" w:eastAsia="宋体" w:cs="宋体"/>
          <w:bCs/>
          <w:snapToGrid w:val="0"/>
          <w:color w:val="auto"/>
          <w:kern w:val="0"/>
          <w:szCs w:val="28"/>
          <w:highlight w:val="none"/>
        </w:rPr>
        <w:t>为基准单价；F</w:t>
      </w:r>
      <w:r>
        <w:rPr>
          <w:rFonts w:hint="eastAsia" w:ascii="宋体" w:hAnsi="宋体" w:eastAsia="宋体" w:cs="宋体"/>
          <w:bCs/>
          <w:snapToGrid w:val="0"/>
          <w:color w:val="auto"/>
          <w:kern w:val="0"/>
          <w:szCs w:val="28"/>
          <w:highlight w:val="none"/>
          <w:vertAlign w:val="subscript"/>
        </w:rPr>
        <w:t>2</w:t>
      </w:r>
      <w:r>
        <w:rPr>
          <w:rFonts w:hint="eastAsia" w:ascii="宋体" w:hAnsi="宋体" w:eastAsia="宋体" w:cs="宋体"/>
          <w:bCs/>
          <w:snapToGrid w:val="0"/>
          <w:color w:val="auto"/>
          <w:kern w:val="0"/>
          <w:szCs w:val="28"/>
          <w:highlight w:val="none"/>
        </w:rPr>
        <w:t>为施工当月项目所在地工程造价管理机构发布的施工机具台班单价；B为合同约定的施工机具台班单价涨跌风险幅度值。</w:t>
      </w:r>
    </w:p>
    <w:p w14:paraId="3D37E4A1">
      <w:pPr>
        <w:wordWrap w:val="0"/>
        <w:adjustRightInd w:val="0"/>
        <w:snapToGrid w:val="0"/>
        <w:spacing w:line="440" w:lineRule="exact"/>
        <w:ind w:firstLine="482" w:firstLineChars="200"/>
        <w:rPr>
          <w:rFonts w:hint="eastAsia" w:ascii="宋体" w:hAnsi="宋体" w:eastAsia="宋体" w:cs="宋体"/>
          <w:bCs/>
          <w:snapToGrid w:val="0"/>
          <w:color w:val="auto"/>
          <w:kern w:val="0"/>
          <w:szCs w:val="28"/>
          <w:highlight w:val="none"/>
        </w:rPr>
      </w:pPr>
      <w:r>
        <w:rPr>
          <w:rFonts w:hint="eastAsia" w:ascii="宋体" w:hAnsi="宋体" w:eastAsia="宋体" w:cs="宋体"/>
          <w:b/>
          <w:snapToGrid w:val="0"/>
          <w:color w:val="auto"/>
          <w:kern w:val="0"/>
          <w:szCs w:val="28"/>
          <w:highlight w:val="none"/>
        </w:rPr>
        <w:t>2.3.7</w:t>
      </w:r>
      <w:r>
        <w:rPr>
          <w:rFonts w:hint="eastAsia" w:ascii="宋体" w:hAnsi="宋体" w:eastAsia="宋体" w:cs="宋体"/>
          <w:bCs/>
          <w:snapToGrid w:val="0"/>
          <w:color w:val="auto"/>
          <w:kern w:val="0"/>
          <w:szCs w:val="28"/>
          <w:highlight w:val="none"/>
        </w:rPr>
        <w:t xml:space="preserve"> 暂估价和暂列金额</w:t>
      </w:r>
    </w:p>
    <w:p w14:paraId="1E367EB2">
      <w:pPr>
        <w:wordWrap w:val="0"/>
        <w:adjustRightInd w:val="0"/>
        <w:snapToGrid w:val="0"/>
        <w:spacing w:line="440" w:lineRule="exact"/>
        <w:ind w:firstLine="482" w:firstLineChars="200"/>
        <w:rPr>
          <w:rFonts w:hint="eastAsia" w:ascii="宋体" w:hAnsi="宋体" w:eastAsia="宋体" w:cs="宋体"/>
          <w:bCs/>
          <w:snapToGrid w:val="0"/>
          <w:color w:val="auto"/>
          <w:kern w:val="0"/>
          <w:szCs w:val="28"/>
          <w:highlight w:val="none"/>
        </w:rPr>
      </w:pPr>
      <w:r>
        <w:rPr>
          <w:rFonts w:hint="eastAsia" w:ascii="宋体" w:hAnsi="宋体" w:eastAsia="宋体" w:cs="宋体"/>
          <w:b/>
          <w:snapToGrid w:val="0"/>
          <w:color w:val="auto"/>
          <w:kern w:val="0"/>
          <w:szCs w:val="28"/>
          <w:highlight w:val="none"/>
        </w:rPr>
        <w:t>2.3.7.1</w:t>
      </w:r>
      <w:r>
        <w:rPr>
          <w:rFonts w:hint="eastAsia" w:ascii="宋体" w:hAnsi="宋体" w:eastAsia="宋体" w:cs="宋体"/>
          <w:bCs/>
          <w:snapToGrid w:val="0"/>
          <w:color w:val="auto"/>
          <w:kern w:val="0"/>
          <w:szCs w:val="28"/>
          <w:highlight w:val="none"/>
        </w:rPr>
        <w:t xml:space="preserve"> 暂估价项目按第一章第三节“投标人须知正文”第</w:t>
      </w:r>
      <w:r>
        <w:rPr>
          <w:rFonts w:hint="eastAsia" w:ascii="宋体" w:hAnsi="宋体" w:eastAsia="宋体" w:cs="宋体"/>
          <w:b/>
          <w:bCs/>
          <w:snapToGrid w:val="0"/>
          <w:color w:val="auto"/>
          <w:kern w:val="0"/>
          <w:highlight w:val="none"/>
        </w:rPr>
        <w:t>8.5</w:t>
      </w:r>
      <w:r>
        <w:rPr>
          <w:rFonts w:hint="eastAsia" w:ascii="宋体" w:hAnsi="宋体" w:eastAsia="宋体" w:cs="宋体"/>
          <w:bCs/>
          <w:snapToGrid w:val="0"/>
          <w:color w:val="auto"/>
          <w:kern w:val="0"/>
          <w:szCs w:val="28"/>
          <w:highlight w:val="none"/>
        </w:rPr>
        <w:t>条的规定确定专业工程承包人（或材料供应商、工程设备供应商）后，将专业工程合同价款（或材料单价、工程设备单价）取代相应暂估价，并调整合同价款。</w:t>
      </w:r>
    </w:p>
    <w:p w14:paraId="48D92A89">
      <w:pPr>
        <w:wordWrap w:val="0"/>
        <w:adjustRightInd w:val="0"/>
        <w:snapToGrid w:val="0"/>
        <w:spacing w:line="440" w:lineRule="exact"/>
        <w:ind w:firstLine="482" w:firstLineChars="200"/>
        <w:rPr>
          <w:rFonts w:hint="eastAsia" w:ascii="宋体" w:hAnsi="宋体" w:eastAsia="宋体" w:cs="宋体"/>
          <w:bCs/>
          <w:snapToGrid w:val="0"/>
          <w:color w:val="auto"/>
          <w:kern w:val="0"/>
          <w:szCs w:val="28"/>
          <w:highlight w:val="none"/>
        </w:rPr>
      </w:pPr>
      <w:r>
        <w:rPr>
          <w:rFonts w:hint="eastAsia" w:ascii="宋体" w:hAnsi="宋体" w:eastAsia="宋体" w:cs="宋体"/>
          <w:b/>
          <w:snapToGrid w:val="0"/>
          <w:color w:val="auto"/>
          <w:kern w:val="0"/>
          <w:szCs w:val="28"/>
          <w:highlight w:val="none"/>
        </w:rPr>
        <w:t>2.3.7.2</w:t>
      </w:r>
      <w:r>
        <w:rPr>
          <w:rFonts w:hint="eastAsia" w:ascii="宋体" w:hAnsi="宋体" w:eastAsia="宋体" w:cs="宋体"/>
          <w:bCs/>
          <w:snapToGrid w:val="0"/>
          <w:color w:val="auto"/>
          <w:kern w:val="0"/>
          <w:szCs w:val="28"/>
          <w:highlight w:val="none"/>
        </w:rPr>
        <w:t xml:space="preserve"> 暂列金额由发包人掌握和使用。暂列金额项目若有发生，按第一章第三节“投标人须知正文”第</w:t>
      </w:r>
      <w:r>
        <w:rPr>
          <w:rFonts w:hint="eastAsia" w:ascii="宋体" w:hAnsi="宋体" w:eastAsia="宋体" w:cs="宋体"/>
          <w:b/>
          <w:snapToGrid w:val="0"/>
          <w:color w:val="auto"/>
          <w:kern w:val="0"/>
          <w:szCs w:val="28"/>
          <w:highlight w:val="none"/>
        </w:rPr>
        <w:t>8.6</w:t>
      </w:r>
      <w:r>
        <w:rPr>
          <w:rFonts w:hint="eastAsia" w:ascii="宋体" w:hAnsi="宋体" w:eastAsia="宋体" w:cs="宋体"/>
          <w:bCs/>
          <w:snapToGrid w:val="0"/>
          <w:color w:val="auto"/>
          <w:kern w:val="0"/>
          <w:szCs w:val="28"/>
          <w:highlight w:val="none"/>
        </w:rPr>
        <w:t>条的规定确定材料供应商（或工程设备供应商、服务供应商）后，材料（或工程设备、服务）的合同价款从暂列金额中支付。暂列金额扣除已发生的暂列金额项目合同价款、已发生的合同约定调整因素出现时的调整价款、已发生的索赔以及现场签证确认等的费用后，余额（若有）归发包人所有。</w:t>
      </w:r>
    </w:p>
    <w:p w14:paraId="16AA41AC">
      <w:pPr>
        <w:wordWrap w:val="0"/>
        <w:adjustRightInd w:val="0"/>
        <w:snapToGrid w:val="0"/>
        <w:spacing w:line="440" w:lineRule="exact"/>
        <w:ind w:firstLine="482" w:firstLineChars="200"/>
        <w:rPr>
          <w:rFonts w:hint="eastAsia" w:ascii="宋体" w:hAnsi="宋体" w:eastAsia="宋体" w:cs="宋体"/>
          <w:bCs/>
          <w:snapToGrid w:val="0"/>
          <w:color w:val="auto"/>
          <w:kern w:val="0"/>
          <w:szCs w:val="28"/>
          <w:highlight w:val="none"/>
        </w:rPr>
      </w:pPr>
      <w:r>
        <w:rPr>
          <w:rFonts w:hint="eastAsia" w:ascii="宋体" w:hAnsi="宋体" w:eastAsia="宋体" w:cs="宋体"/>
          <w:b/>
          <w:snapToGrid w:val="0"/>
          <w:color w:val="auto"/>
          <w:kern w:val="0"/>
          <w:szCs w:val="28"/>
          <w:highlight w:val="none"/>
        </w:rPr>
        <w:t>2.3.8</w:t>
      </w:r>
      <w:r>
        <w:rPr>
          <w:rFonts w:hint="eastAsia" w:ascii="宋体" w:hAnsi="宋体" w:eastAsia="宋体" w:cs="宋体"/>
          <w:bCs/>
          <w:snapToGrid w:val="0"/>
          <w:color w:val="auto"/>
          <w:kern w:val="0"/>
          <w:szCs w:val="28"/>
          <w:highlight w:val="none"/>
        </w:rPr>
        <w:t xml:space="preserve"> 预算包干费按照广东省建设工程计价依据（2018)有关规定执行。本招标项目的预算包干内容包括：</w:t>
      </w:r>
      <w:r>
        <w:rPr>
          <w:rFonts w:hint="eastAsia" w:ascii="宋体" w:hAnsi="宋体" w:eastAsia="宋体" w:cs="宋体"/>
          <w:bCs/>
          <w:snapToGrid w:val="0"/>
          <w:color w:val="auto"/>
          <w:kern w:val="0"/>
          <w:szCs w:val="28"/>
          <w:highlight w:val="none"/>
          <w:u w:val="single"/>
        </w:rPr>
        <w:t xml:space="preserve">施工雨水污水的排除；因地形（场地）影响造成的场内料具二次运输；工程用水加压措施；施工场地材料场地的整理；工程成品的保护；施工中的临时停水停电；基础埋深2米以内挖土方的塌方；日间照明施工增加费；完工后的场地清理等  </w:t>
      </w:r>
      <w:r>
        <w:rPr>
          <w:rFonts w:hint="eastAsia" w:ascii="宋体" w:hAnsi="宋体" w:eastAsia="宋体" w:cs="宋体"/>
          <w:bCs/>
          <w:snapToGrid w:val="0"/>
          <w:color w:val="auto"/>
          <w:kern w:val="0"/>
          <w:szCs w:val="28"/>
          <w:highlight w:val="none"/>
        </w:rPr>
        <w:t>。对于以上预算包干内容，承包人不得提出额外付款或延长工期等要求。</w:t>
      </w:r>
      <w:r>
        <w:rPr>
          <w:rFonts w:hint="eastAsia" w:ascii="宋体" w:hAnsi="宋体" w:eastAsia="宋体" w:cs="宋体"/>
          <w:snapToGrid w:val="0"/>
          <w:color w:val="auto"/>
          <w:kern w:val="0"/>
          <w:szCs w:val="24"/>
          <w:highlight w:val="none"/>
        </w:rPr>
        <w:t>对此类要求，发包人不作任何考虑及答复</w:t>
      </w:r>
      <w:r>
        <w:rPr>
          <w:rFonts w:hint="eastAsia" w:ascii="宋体" w:hAnsi="宋体" w:eastAsia="宋体" w:cs="宋体"/>
          <w:bCs/>
          <w:snapToGrid w:val="0"/>
          <w:color w:val="auto"/>
          <w:kern w:val="0"/>
          <w:szCs w:val="28"/>
          <w:highlight w:val="none"/>
        </w:rPr>
        <w:t>。</w:t>
      </w:r>
    </w:p>
    <w:p w14:paraId="1E79C503">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snapToGrid w:val="0"/>
          <w:color w:val="auto"/>
          <w:kern w:val="0"/>
          <w:szCs w:val="28"/>
          <w:highlight w:val="none"/>
        </w:rPr>
        <w:t>2.3.9</w:t>
      </w:r>
      <w:r>
        <w:rPr>
          <w:rFonts w:hint="eastAsia" w:ascii="宋体" w:hAnsi="宋体" w:eastAsia="宋体" w:cs="宋体"/>
          <w:bCs/>
          <w:snapToGrid w:val="0"/>
          <w:color w:val="auto"/>
          <w:kern w:val="0"/>
          <w:szCs w:val="28"/>
          <w:highlight w:val="none"/>
        </w:rPr>
        <w:t xml:space="preserve"> 其余事项（如不可抗力、索赔、现场签证等）的调整原则按照</w:t>
      </w:r>
      <w:r>
        <w:rPr>
          <w:rFonts w:hint="eastAsia" w:hAnsi="宋体" w:cs="宋体"/>
          <w:snapToGrid w:val="0"/>
          <w:color w:val="auto"/>
          <w:kern w:val="0"/>
          <w:sz w:val="24"/>
          <w:szCs w:val="24"/>
          <w:highlight w:val="none"/>
          <w:lang w:val="en-US" w:eastAsia="zh-CN"/>
        </w:rPr>
        <w:t>《建设工程工程量清单计价标准》(GB/T50500-2024)</w:t>
      </w:r>
      <w:r>
        <w:rPr>
          <w:rFonts w:hint="eastAsia" w:ascii="宋体" w:hAnsi="宋体" w:eastAsia="宋体" w:cs="宋体"/>
          <w:bCs/>
          <w:snapToGrid w:val="0"/>
          <w:color w:val="auto"/>
          <w:kern w:val="0"/>
          <w:szCs w:val="28"/>
          <w:highlight w:val="none"/>
        </w:rPr>
        <w:t xml:space="preserve">有关规定执行。 </w:t>
      </w:r>
    </w:p>
    <w:p w14:paraId="7E0477F6">
      <w:pPr>
        <w:wordWrap w:val="0"/>
        <w:adjustRightInd w:val="0"/>
        <w:snapToGrid w:val="0"/>
        <w:spacing w:line="440" w:lineRule="exact"/>
        <w:ind w:firstLine="560"/>
        <w:rPr>
          <w:rFonts w:hint="eastAsia" w:ascii="宋体" w:hAnsi="宋体" w:eastAsia="宋体" w:cs="宋体"/>
          <w:b/>
          <w:snapToGrid w:val="0"/>
          <w:color w:val="auto"/>
          <w:kern w:val="0"/>
          <w:szCs w:val="28"/>
          <w:highlight w:val="none"/>
        </w:rPr>
      </w:pPr>
      <w:r>
        <w:rPr>
          <w:rFonts w:hint="eastAsia" w:ascii="宋体" w:hAnsi="宋体" w:eastAsia="宋体" w:cs="宋体"/>
          <w:b/>
          <w:bCs/>
          <w:snapToGrid w:val="0"/>
          <w:color w:val="auto"/>
          <w:kern w:val="0"/>
          <w:szCs w:val="24"/>
          <w:highlight w:val="none"/>
        </w:rPr>
        <w:t>2.4</w:t>
      </w:r>
      <w:r>
        <w:rPr>
          <w:rFonts w:hint="eastAsia" w:ascii="宋体" w:hAnsi="宋体" w:eastAsia="宋体" w:cs="宋体"/>
          <w:snapToGrid w:val="0"/>
          <w:color w:val="auto"/>
          <w:kern w:val="0"/>
          <w:szCs w:val="24"/>
          <w:highlight w:val="none"/>
        </w:rPr>
        <w:t xml:space="preserve"> 凡将引起合同价款调增的事项，承包人必须于拟实施14天前，将详细的报价书（含拟实施项目名称、变更部位、理由、预计造价等）报监理单位审核和发包人批准后方可实施。</w:t>
      </w:r>
      <w:bookmarkStart w:id="199" w:name="_Hlt112206782"/>
      <w:bookmarkEnd w:id="199"/>
    </w:p>
    <w:p w14:paraId="75A31870">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2.5</w:t>
      </w:r>
      <w:r>
        <w:rPr>
          <w:rFonts w:hint="eastAsia" w:ascii="宋体" w:hAnsi="宋体" w:eastAsia="宋体" w:cs="宋体"/>
          <w:snapToGrid w:val="0"/>
          <w:color w:val="auto"/>
          <w:kern w:val="0"/>
          <w:szCs w:val="24"/>
          <w:highlight w:val="none"/>
        </w:rPr>
        <w:t xml:space="preserve"> </w:t>
      </w:r>
      <w:r>
        <w:rPr>
          <w:rFonts w:hint="eastAsia" w:ascii="宋体" w:hAnsi="宋体" w:eastAsia="宋体" w:cs="宋体"/>
          <w:snapToGrid w:val="0"/>
          <w:color w:val="auto"/>
          <w:kern w:val="0"/>
          <w:highlight w:val="none"/>
        </w:rPr>
        <w:t>承包</w:t>
      </w:r>
      <w:r>
        <w:rPr>
          <w:rFonts w:hint="eastAsia" w:ascii="宋体" w:hAnsi="宋体" w:eastAsia="宋体" w:cs="宋体"/>
          <w:snapToGrid w:val="0"/>
          <w:color w:val="auto"/>
          <w:kern w:val="0"/>
          <w:szCs w:val="24"/>
          <w:highlight w:val="none"/>
        </w:rPr>
        <w:t>人不得以不完全了解现场情况为理由，提出额外付款或延长工期等要求。对此类要求，发包人不作任何考虑及答复。</w:t>
      </w:r>
    </w:p>
    <w:p w14:paraId="58708FC4">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2.6</w:t>
      </w:r>
      <w:r>
        <w:rPr>
          <w:rFonts w:hint="eastAsia" w:ascii="宋体" w:hAnsi="宋体" w:eastAsia="宋体" w:cs="宋体"/>
          <w:snapToGrid w:val="0"/>
          <w:color w:val="auto"/>
          <w:kern w:val="0"/>
          <w:szCs w:val="24"/>
          <w:highlight w:val="none"/>
        </w:rPr>
        <w:t xml:space="preserve"> </w:t>
      </w:r>
      <w:r>
        <w:rPr>
          <w:rFonts w:hint="eastAsia" w:ascii="宋体" w:hAnsi="宋体" w:eastAsia="宋体" w:cs="宋体"/>
          <w:snapToGrid w:val="0"/>
          <w:color w:val="auto"/>
          <w:kern w:val="0"/>
          <w:highlight w:val="none"/>
        </w:rPr>
        <w:t>承包</w:t>
      </w:r>
      <w:r>
        <w:rPr>
          <w:rFonts w:hint="eastAsia" w:ascii="宋体" w:hAnsi="宋体" w:eastAsia="宋体" w:cs="宋体"/>
          <w:snapToGrid w:val="0"/>
          <w:color w:val="auto"/>
          <w:kern w:val="0"/>
          <w:szCs w:val="24"/>
          <w:highlight w:val="none"/>
        </w:rPr>
        <w:t>人已标价工程量清单中漏报、错报或少报的清单项目，其价格均视为已经包含在其它清单项目中，竣工结算时不得重新组价和调整。</w:t>
      </w:r>
    </w:p>
    <w:p w14:paraId="01F2C212">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2.7</w:t>
      </w:r>
      <w:r>
        <w:rPr>
          <w:rFonts w:hint="eastAsia" w:ascii="宋体" w:hAnsi="宋体" w:eastAsia="宋体" w:cs="宋体"/>
          <w:snapToGrid w:val="0"/>
          <w:color w:val="auto"/>
          <w:kern w:val="0"/>
          <w:szCs w:val="24"/>
          <w:highlight w:val="none"/>
        </w:rPr>
        <w:t xml:space="preserve"> 项目完工后，发、承包双方和受其委托具备相应资质的工程造价咨询单位必须按照</w:t>
      </w:r>
      <w:r>
        <w:rPr>
          <w:rFonts w:hint="eastAsia" w:hAnsi="宋体" w:cs="宋体"/>
          <w:snapToGrid w:val="0"/>
          <w:color w:val="auto"/>
          <w:kern w:val="0"/>
          <w:sz w:val="24"/>
          <w:szCs w:val="24"/>
          <w:highlight w:val="none"/>
          <w:lang w:val="en-US" w:eastAsia="zh-CN"/>
        </w:rPr>
        <w:t>《建设工程工程量清单计价标准》(GB/T50500-2024)</w:t>
      </w:r>
      <w:r>
        <w:rPr>
          <w:rFonts w:hint="eastAsia" w:ascii="宋体" w:hAnsi="宋体" w:eastAsia="宋体" w:cs="宋体"/>
          <w:snapToGrid w:val="0"/>
          <w:color w:val="auto"/>
          <w:kern w:val="0"/>
          <w:szCs w:val="24"/>
          <w:highlight w:val="none"/>
        </w:rPr>
        <w:t>和国家、省、市的有关规定办理竣工结算。</w:t>
      </w:r>
    </w:p>
    <w:p w14:paraId="03089C1B">
      <w:pPr>
        <w:wordWrap w:val="0"/>
        <w:adjustRightInd w:val="0"/>
        <w:snapToGrid w:val="0"/>
        <w:spacing w:line="360" w:lineRule="auto"/>
        <w:ind w:firstLine="56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2.8</w:t>
      </w:r>
      <w:r>
        <w:rPr>
          <w:rFonts w:hint="eastAsia" w:ascii="宋体" w:hAnsi="宋体" w:eastAsia="宋体" w:cs="宋体"/>
          <w:snapToGrid w:val="0"/>
          <w:color w:val="auto"/>
          <w:kern w:val="0"/>
          <w:szCs w:val="24"/>
          <w:highlight w:val="none"/>
        </w:rPr>
        <w:t xml:space="preserve"> 承包人已标价工程量清单中没有的材料（或工程设备），承包人在使用前必须将材料（或工程设备）样板、材料合格证明（或产品合格证书）、材料（或工程设备）检验报告提交给监理单位和发包人审核。发包人审定并确定价格后，承包人方可采购和使用。如果在交货验收和使用过程中发现货不对板，监理单位和发包人有权拒用，并要求承包人立即进行更换。更换后的材料（或工程设备）应再次进行检查和检验。由此增加的费用和（或）工期延误由承包人承担。</w:t>
      </w:r>
    </w:p>
    <w:p w14:paraId="7D68B707">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color w:val="auto"/>
          <w:highlight w:val="none"/>
        </w:rPr>
      </w:pPr>
      <w:r>
        <w:rPr>
          <w:rFonts w:hint="eastAsia"/>
          <w:b/>
          <w:bCs/>
          <w:color w:val="auto"/>
          <w:highlight w:val="none"/>
          <w:lang w:val="en-US" w:eastAsia="zh-CN"/>
        </w:rPr>
        <w:t>2.9</w:t>
      </w:r>
      <w:r>
        <w:rPr>
          <w:rFonts w:hint="eastAsia"/>
          <w:color w:val="auto"/>
          <w:highlight w:val="none"/>
          <w:lang w:val="en-US" w:eastAsia="zh-CN"/>
        </w:rPr>
        <w:t>承包人已标价工程量清单中没有的材料（或工程设备）结算价格确定原则：按施工当月项目所在地工程造价管理机构发布的信息价格；若当地信息价格缺项的，由承包人根据变更工程资料依次参考韶关、清远、佛山、东莞、肇庆、惠州、广州等广东省内地区信息价执行；若以上城市均没有信息价则按厂商信息价、电商平台价格（优先从京东、国美、苏宁等大型电商平台查询取其平均价）；若以上方式均无法确定材料价格的，则采用厂商报价或市场询价等方式取得有合法依据的市场价格，报发包人确认。</w:t>
      </w:r>
    </w:p>
    <w:p w14:paraId="5ED901E0">
      <w:pPr>
        <w:wordWrap w:val="0"/>
        <w:adjustRightInd w:val="0"/>
        <w:snapToGrid w:val="0"/>
        <w:spacing w:line="440" w:lineRule="exact"/>
        <w:ind w:firstLine="560"/>
        <w:rPr>
          <w:rFonts w:hint="eastAsia" w:ascii="宋体" w:hAnsi="宋体" w:eastAsia="宋体" w:cs="宋体"/>
          <w:snapToGrid w:val="0"/>
          <w:color w:val="auto"/>
          <w:kern w:val="0"/>
          <w:szCs w:val="24"/>
          <w:highlight w:val="none"/>
        </w:rPr>
      </w:pPr>
    </w:p>
    <w:bookmarkEnd w:id="195"/>
    <w:bookmarkEnd w:id="196"/>
    <w:bookmarkEnd w:id="197"/>
    <w:bookmarkEnd w:id="198"/>
    <w:p w14:paraId="66B4B0E0">
      <w:pPr>
        <w:pStyle w:val="4"/>
        <w:bidi w:val="0"/>
        <w:spacing w:line="360" w:lineRule="auto"/>
        <w:ind w:firstLine="964"/>
        <w:rPr>
          <w:rFonts w:hint="eastAsia" w:ascii="宋体" w:hAnsi="宋体" w:eastAsia="宋体" w:cs="宋体"/>
          <w:color w:val="auto"/>
          <w:highlight w:val="none"/>
        </w:rPr>
      </w:pPr>
      <w:bookmarkStart w:id="200" w:name="_Toc108200417"/>
      <w:bookmarkStart w:id="201" w:name="_Toc26653"/>
      <w:bookmarkStart w:id="202" w:name="_Toc14683"/>
      <w:r>
        <w:rPr>
          <w:rFonts w:hint="eastAsia" w:ascii="宋体" w:hAnsi="宋体" w:eastAsia="宋体" w:cs="宋体"/>
          <w:color w:val="auto"/>
          <w:highlight w:val="none"/>
        </w:rPr>
        <w:t>3. 工程付款办法</w:t>
      </w:r>
      <w:bookmarkEnd w:id="200"/>
      <w:bookmarkEnd w:id="201"/>
      <w:bookmarkEnd w:id="202"/>
    </w:p>
    <w:p w14:paraId="581C50CE">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szCs w:val="24"/>
          <w:highlight w:val="none"/>
        </w:rPr>
        <w:t>3.1</w:t>
      </w:r>
      <w:r>
        <w:rPr>
          <w:rFonts w:hint="eastAsia" w:ascii="宋体" w:hAnsi="宋体" w:eastAsia="宋体" w:cs="宋体"/>
          <w:snapToGrid w:val="0"/>
          <w:color w:val="auto"/>
          <w:kern w:val="0"/>
          <w:highlight w:val="none"/>
        </w:rPr>
        <w:t xml:space="preserve"> 本招标项目</w:t>
      </w:r>
      <w:r>
        <w:rPr>
          <w:rFonts w:hint="eastAsia" w:ascii="宋体" w:hAnsi="宋体" w:eastAsia="宋体" w:cs="宋体"/>
          <w:snapToGrid w:val="0"/>
          <w:color w:val="auto"/>
          <w:kern w:val="0"/>
          <w:highlight w:val="none"/>
          <w:u w:val="single"/>
        </w:rPr>
        <w:t xml:space="preserve"> 支付 </w:t>
      </w:r>
      <w:r>
        <w:rPr>
          <w:rFonts w:hint="eastAsia" w:ascii="宋体" w:hAnsi="宋体" w:eastAsia="宋体" w:cs="宋体"/>
          <w:snapToGrid w:val="0"/>
          <w:color w:val="auto"/>
          <w:kern w:val="0"/>
          <w:highlight w:val="none"/>
        </w:rPr>
        <w:t>施工预付款。</w:t>
      </w:r>
    </w:p>
    <w:p w14:paraId="292EAE33">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szCs w:val="24"/>
          <w:highlight w:val="none"/>
        </w:rPr>
        <w:t>3.2</w:t>
      </w:r>
      <w:r>
        <w:rPr>
          <w:rFonts w:hint="eastAsia" w:ascii="宋体" w:hAnsi="宋体" w:eastAsia="宋体" w:cs="宋体"/>
          <w:snapToGrid w:val="0"/>
          <w:color w:val="auto"/>
          <w:kern w:val="0"/>
          <w:highlight w:val="none"/>
        </w:rPr>
        <w:t xml:space="preserve"> 施工预付款必须专用于合同工程，并按以下原则支付和抵扣：</w:t>
      </w:r>
    </w:p>
    <w:p w14:paraId="2082EDA8">
      <w:pPr>
        <w:wordWrap w:val="0"/>
        <w:adjustRightInd w:val="0"/>
        <w:snapToGrid w:val="0"/>
        <w:spacing w:line="360" w:lineRule="auto"/>
        <w:ind w:firstLine="482" w:firstLineChars="200"/>
        <w:rPr>
          <w:rFonts w:hint="eastAsia" w:ascii="宋体" w:hAnsi="宋体" w:eastAsia="宋体" w:cs="宋体"/>
          <w:i/>
          <w:iCs/>
          <w:snapToGrid w:val="0"/>
          <w:color w:val="auto"/>
          <w:kern w:val="0"/>
          <w:highlight w:val="none"/>
        </w:rPr>
      </w:pPr>
      <w:r>
        <w:rPr>
          <w:rFonts w:hint="eastAsia" w:ascii="宋体" w:hAnsi="宋体" w:eastAsia="宋体" w:cs="宋体"/>
          <w:b/>
          <w:bCs/>
          <w:snapToGrid w:val="0"/>
          <w:color w:val="auto"/>
          <w:kern w:val="0"/>
          <w:szCs w:val="24"/>
          <w:highlight w:val="none"/>
        </w:rPr>
        <w:t>3.2.1</w:t>
      </w:r>
      <w:r>
        <w:rPr>
          <w:rFonts w:hint="eastAsia" w:ascii="宋体" w:hAnsi="宋体" w:eastAsia="宋体" w:cs="宋体"/>
          <w:snapToGrid w:val="0"/>
          <w:color w:val="auto"/>
          <w:kern w:val="0"/>
          <w:highlight w:val="none"/>
        </w:rPr>
        <w:t xml:space="preserve"> 施工预付款支付比例为：按施工合同价（暂列金额除外）的</w:t>
      </w:r>
      <w:r>
        <w:rPr>
          <w:rFonts w:hint="eastAsia" w:ascii="宋体" w:hAnsi="宋体" w:eastAsia="宋体" w:cs="宋体"/>
          <w:snapToGrid w:val="0"/>
          <w:color w:val="auto"/>
          <w:kern w:val="0"/>
          <w:highlight w:val="none"/>
          <w:u w:val="single"/>
        </w:rPr>
        <w:t xml:space="preserve"> 30% </w:t>
      </w:r>
      <w:r>
        <w:rPr>
          <w:rFonts w:hint="eastAsia" w:ascii="宋体" w:hAnsi="宋体" w:eastAsia="宋体" w:cs="宋体"/>
          <w:snapToGrid w:val="0"/>
          <w:color w:val="auto"/>
          <w:kern w:val="0"/>
          <w:highlight w:val="none"/>
        </w:rPr>
        <w:t>支付。</w:t>
      </w:r>
    </w:p>
    <w:p w14:paraId="72BFA9C4">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szCs w:val="24"/>
          <w:highlight w:val="none"/>
        </w:rPr>
        <w:t>3.2.2</w:t>
      </w:r>
      <w:r>
        <w:rPr>
          <w:rFonts w:hint="eastAsia" w:ascii="宋体" w:hAnsi="宋体" w:eastAsia="宋体" w:cs="宋体"/>
          <w:snapToGrid w:val="0"/>
          <w:color w:val="auto"/>
          <w:kern w:val="0"/>
          <w:highlight w:val="none"/>
        </w:rPr>
        <w:t xml:space="preserve"> 本招标项目</w:t>
      </w:r>
      <w:r>
        <w:rPr>
          <w:rFonts w:hint="eastAsia" w:ascii="宋体" w:hAnsi="宋体" w:eastAsia="宋体" w:cs="宋体"/>
          <w:snapToGrid w:val="0"/>
          <w:color w:val="auto"/>
          <w:kern w:val="0"/>
          <w:highlight w:val="none"/>
          <w:u w:val="single"/>
        </w:rPr>
        <w:t xml:space="preserve"> 要求 </w:t>
      </w:r>
      <w:r>
        <w:rPr>
          <w:rFonts w:hint="eastAsia" w:ascii="宋体" w:hAnsi="宋体" w:eastAsia="宋体" w:cs="宋体"/>
          <w:snapToGrid w:val="0"/>
          <w:color w:val="auto"/>
          <w:kern w:val="0"/>
          <w:highlight w:val="none"/>
        </w:rPr>
        <w:t>承包人提供与预付款等额的预付款保函。</w:t>
      </w:r>
    </w:p>
    <w:p w14:paraId="7072134D">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szCs w:val="24"/>
          <w:highlight w:val="none"/>
        </w:rPr>
        <w:t>3.2.3</w:t>
      </w:r>
      <w:r>
        <w:rPr>
          <w:rFonts w:hint="eastAsia" w:ascii="宋体" w:hAnsi="宋体" w:eastAsia="宋体" w:cs="宋体"/>
          <w:snapToGrid w:val="0"/>
          <w:color w:val="auto"/>
          <w:kern w:val="0"/>
          <w:highlight w:val="none"/>
        </w:rPr>
        <w:t xml:space="preserve"> 承包人应在签订合同后，在提供符合要求的预付款保函或预付款保险及在具备施工条件的前提下，向发包人提交预付款支付申请。发包人应对在收到支付申请的7天内进行核实后向承包人发出预付款支付证书，并在签发支付证书后的7天内向承包人支付预付款。凡未签订合同或不具备施工条件的工程，发包人不得预付工程款。</w:t>
      </w:r>
    </w:p>
    <w:p w14:paraId="7BB13C86">
      <w:pPr>
        <w:wordWrap w:val="0"/>
        <w:adjustRightInd w:val="0"/>
        <w:snapToGrid w:val="0"/>
        <w:spacing w:line="360" w:lineRule="auto"/>
        <w:ind w:firstLine="482" w:firstLineChars="200"/>
        <w:rPr>
          <w:rFonts w:hint="eastAsia" w:ascii="宋体" w:hAnsi="宋体" w:eastAsia="宋体" w:cs="宋体"/>
          <w:snapToGrid w:val="0"/>
          <w:color w:val="auto"/>
          <w:kern w:val="0"/>
          <w:highlight w:val="none"/>
          <w:lang w:val="en-US" w:eastAsia="zh-CN"/>
        </w:rPr>
      </w:pPr>
      <w:r>
        <w:rPr>
          <w:rFonts w:hint="eastAsia" w:ascii="宋体" w:hAnsi="宋体" w:eastAsia="宋体" w:cs="宋体"/>
          <w:b/>
          <w:bCs/>
          <w:snapToGrid w:val="0"/>
          <w:color w:val="auto"/>
          <w:kern w:val="0"/>
          <w:szCs w:val="24"/>
          <w:highlight w:val="none"/>
        </w:rPr>
        <w:t>3.2.4</w:t>
      </w:r>
      <w:r>
        <w:rPr>
          <w:rFonts w:hint="eastAsia" w:ascii="宋体" w:hAnsi="宋体" w:eastAsia="宋体" w:cs="宋体"/>
          <w:snapToGrid w:val="0"/>
          <w:color w:val="auto"/>
          <w:kern w:val="0"/>
          <w:highlight w:val="none"/>
        </w:rPr>
        <w:t xml:space="preserve"> 预付款应从每支付期应支付给承包人的工程进度款中扣回，扣回比例为每月的工程进度款的30%，直到扣回的金额达到合同约定的预付款金额为止。如因建设工期短导致工程已完工而预付款尚未扣清的，尚未扣清的预付款余额在竣工初步验收合格后当期应支付的工程款项中一次性扣清。</w:t>
      </w:r>
    </w:p>
    <w:p w14:paraId="283B608C">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szCs w:val="24"/>
          <w:highlight w:val="none"/>
        </w:rPr>
        <w:t>3.3</w:t>
      </w:r>
      <w:r>
        <w:rPr>
          <w:rFonts w:hint="eastAsia" w:ascii="宋体" w:hAnsi="宋体" w:eastAsia="宋体" w:cs="宋体"/>
          <w:snapToGrid w:val="0"/>
          <w:color w:val="auto"/>
          <w:kern w:val="0"/>
          <w:highlight w:val="none"/>
        </w:rPr>
        <w:t xml:space="preserve"> 施工过程中按月支付工程进度款：承包人每月按工程实际完成工程量（含变更及增加工程）申报，承包人必须将《已完成工程量报表》和《工程付款申请书》于当月26日前报监理单位核实。经监理单位审核、发包人审定后的工程进度款（指已经按照合同约定，扣除该支付期内因承包人违约而应扣除的管理费），于申报次月支付。</w:t>
      </w:r>
    </w:p>
    <w:p w14:paraId="5A15ADBF">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szCs w:val="24"/>
          <w:highlight w:val="none"/>
        </w:rPr>
        <w:t>3.4</w:t>
      </w:r>
      <w:r>
        <w:rPr>
          <w:rFonts w:hint="eastAsia" w:ascii="宋体" w:hAnsi="宋体" w:eastAsia="宋体" w:cs="宋体"/>
          <w:snapToGrid w:val="0"/>
          <w:color w:val="auto"/>
          <w:kern w:val="0"/>
          <w:highlight w:val="none"/>
        </w:rPr>
        <w:t xml:space="preserve"> 每月的工程进度款按工程实际完成工程量的80%支付，工程进度款中的作业工人工资款项由发包人单独足额拨付到承包人的工资专户。</w:t>
      </w:r>
    </w:p>
    <w:p w14:paraId="1F6CD569">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szCs w:val="24"/>
          <w:highlight w:val="none"/>
        </w:rPr>
        <w:t>3.5</w:t>
      </w:r>
      <w:r>
        <w:rPr>
          <w:rFonts w:hint="eastAsia" w:ascii="宋体" w:hAnsi="宋体" w:eastAsia="宋体" w:cs="宋体"/>
          <w:snapToGrid w:val="0"/>
          <w:color w:val="auto"/>
          <w:kern w:val="0"/>
          <w:highlight w:val="none"/>
        </w:rPr>
        <w:t xml:space="preserve"> 措施项目费中的“</w:t>
      </w:r>
      <w:r>
        <w:rPr>
          <w:rFonts w:hint="eastAsia" w:hAnsi="宋体" w:cs="宋体"/>
          <w:snapToGrid w:val="0"/>
          <w:color w:val="auto"/>
          <w:kern w:val="0"/>
          <w:highlight w:val="none"/>
          <w:lang w:eastAsia="zh-CN"/>
        </w:rPr>
        <w:t>安全生产措施费</w:t>
      </w:r>
      <w:r>
        <w:rPr>
          <w:rFonts w:hint="eastAsia" w:ascii="宋体" w:hAnsi="宋体" w:eastAsia="宋体" w:cs="宋体"/>
          <w:snapToGrid w:val="0"/>
          <w:color w:val="auto"/>
          <w:kern w:val="0"/>
          <w:highlight w:val="none"/>
        </w:rPr>
        <w:t>”拨付按照《广东省建设工程计价依据（2018）》执行，按照项目所在地的建设行政主管部门有关规定支付。发生一般事故及以上等级重大安全事故的，发包人可扣除承包人金额相当于所有“</w:t>
      </w:r>
      <w:r>
        <w:rPr>
          <w:rFonts w:hint="eastAsia" w:hAnsi="宋体" w:cs="宋体"/>
          <w:snapToGrid w:val="0"/>
          <w:color w:val="auto"/>
          <w:kern w:val="0"/>
          <w:highlight w:val="none"/>
          <w:lang w:eastAsia="zh-CN"/>
        </w:rPr>
        <w:t>安全生产措施费</w:t>
      </w:r>
      <w:r>
        <w:rPr>
          <w:rFonts w:hint="eastAsia" w:ascii="宋体" w:hAnsi="宋体" w:eastAsia="宋体" w:cs="宋体"/>
          <w:snapToGrid w:val="0"/>
          <w:color w:val="auto"/>
          <w:kern w:val="0"/>
          <w:highlight w:val="none"/>
        </w:rPr>
        <w:t>”的工程管理费。</w:t>
      </w:r>
    </w:p>
    <w:p w14:paraId="4E5BC830">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szCs w:val="24"/>
          <w:highlight w:val="none"/>
        </w:rPr>
        <w:t>3.6</w:t>
      </w:r>
      <w:r>
        <w:rPr>
          <w:rFonts w:hint="eastAsia" w:ascii="宋体" w:hAnsi="宋体" w:eastAsia="宋体" w:cs="宋体"/>
          <w:snapToGrid w:val="0"/>
          <w:color w:val="auto"/>
          <w:kern w:val="0"/>
          <w:highlight w:val="none"/>
        </w:rPr>
        <w:t xml:space="preserve"> 变更工程造价必须经监理单位核实，并经发包人核定后方可支付。</w:t>
      </w:r>
    </w:p>
    <w:p w14:paraId="603B5F51">
      <w:pPr>
        <w:wordWrap w:val="0"/>
        <w:adjustRightInd w:val="0"/>
        <w:snapToGrid w:val="0"/>
        <w:spacing w:line="360" w:lineRule="auto"/>
        <w:ind w:firstLine="482" w:firstLineChars="200"/>
        <w:rPr>
          <w:rFonts w:hint="eastAsia" w:ascii="宋体" w:hAnsi="宋体" w:eastAsia="宋体" w:cs="宋体"/>
          <w:bCs/>
          <w:snapToGrid w:val="0"/>
          <w:color w:val="auto"/>
          <w:kern w:val="0"/>
          <w:highlight w:val="none"/>
        </w:rPr>
      </w:pPr>
      <w:r>
        <w:rPr>
          <w:rFonts w:hint="eastAsia" w:ascii="宋体" w:hAnsi="宋体" w:eastAsia="宋体" w:cs="宋体"/>
          <w:b/>
          <w:bCs/>
          <w:snapToGrid w:val="0"/>
          <w:color w:val="auto"/>
          <w:kern w:val="0"/>
          <w:szCs w:val="24"/>
          <w:highlight w:val="none"/>
        </w:rPr>
        <w:t>3.7</w:t>
      </w:r>
      <w:r>
        <w:rPr>
          <w:rFonts w:hint="eastAsia" w:ascii="宋体" w:hAnsi="宋体" w:eastAsia="宋体" w:cs="宋体"/>
          <w:snapToGrid w:val="0"/>
          <w:color w:val="auto"/>
          <w:kern w:val="0"/>
          <w:highlight w:val="none"/>
        </w:rPr>
        <w:t xml:space="preserve"> 结算审核完成后，于次月支付至</w:t>
      </w:r>
      <w:r>
        <w:rPr>
          <w:rFonts w:hint="eastAsia" w:ascii="宋体" w:hAnsi="宋体" w:eastAsia="宋体" w:cs="宋体"/>
          <w:snapToGrid w:val="0"/>
          <w:color w:val="auto"/>
          <w:kern w:val="0"/>
          <w:highlight w:val="none"/>
          <w:lang w:val="en-US" w:eastAsia="zh-CN"/>
        </w:rPr>
        <w:t>结算</w:t>
      </w:r>
      <w:r>
        <w:rPr>
          <w:rFonts w:hint="eastAsia" w:ascii="宋体" w:hAnsi="宋体" w:eastAsia="宋体" w:cs="宋体"/>
          <w:snapToGrid w:val="0"/>
          <w:color w:val="auto"/>
          <w:kern w:val="0"/>
          <w:highlight w:val="none"/>
        </w:rPr>
        <w:t>价的97%，剩余3%转为质量保证金；承包人提交了等额</w:t>
      </w:r>
      <w:r>
        <w:rPr>
          <w:rFonts w:hint="eastAsia" w:ascii="宋体" w:hAnsi="宋体" w:eastAsia="宋体" w:cs="宋体"/>
          <w:bCs/>
          <w:snapToGrid w:val="0"/>
          <w:color w:val="auto"/>
          <w:kern w:val="0"/>
          <w:highlight w:val="none"/>
        </w:rPr>
        <w:t>质量保证担保或质量保证保险的，于次月一次性结清</w:t>
      </w:r>
      <w:r>
        <w:rPr>
          <w:rFonts w:hint="eastAsia" w:ascii="宋体" w:hAnsi="宋体" w:eastAsia="宋体" w:cs="宋体"/>
          <w:bCs/>
          <w:snapToGrid w:val="0"/>
          <w:color w:val="auto"/>
          <w:kern w:val="0"/>
          <w:highlight w:val="none"/>
          <w:lang w:val="en-US" w:eastAsia="zh-CN"/>
        </w:rPr>
        <w:t>结算</w:t>
      </w:r>
      <w:r>
        <w:rPr>
          <w:rFonts w:hint="eastAsia" w:ascii="宋体" w:hAnsi="宋体" w:eastAsia="宋体" w:cs="宋体"/>
          <w:bCs/>
          <w:snapToGrid w:val="0"/>
          <w:color w:val="auto"/>
          <w:kern w:val="0"/>
          <w:highlight w:val="none"/>
        </w:rPr>
        <w:t>价。</w:t>
      </w:r>
    </w:p>
    <w:p w14:paraId="6DFD30D0">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snapToGrid w:val="0"/>
          <w:color w:val="auto"/>
          <w:kern w:val="0"/>
          <w:highlight w:val="none"/>
        </w:rPr>
        <w:t>3.8</w:t>
      </w:r>
      <w:r>
        <w:rPr>
          <w:rFonts w:hint="eastAsia" w:ascii="宋体" w:hAnsi="宋体" w:eastAsia="宋体" w:cs="宋体"/>
          <w:bCs/>
          <w:snapToGrid w:val="0"/>
          <w:color w:val="auto"/>
          <w:kern w:val="0"/>
          <w:highlight w:val="none"/>
        </w:rPr>
        <w:t xml:space="preserve"> 本招标项目缺陷责任期为</w:t>
      </w:r>
      <w:r>
        <w:rPr>
          <w:rFonts w:hint="eastAsia" w:ascii="宋体" w:hAnsi="宋体" w:eastAsia="宋体" w:cs="宋体"/>
          <w:bCs/>
          <w:snapToGrid w:val="0"/>
          <w:color w:val="auto"/>
          <w:kern w:val="0"/>
          <w:highlight w:val="none"/>
          <w:u w:val="single"/>
        </w:rPr>
        <w:t xml:space="preserve"> </w:t>
      </w:r>
      <w:r>
        <w:rPr>
          <w:rFonts w:hint="eastAsia" w:hAnsi="宋体" w:cs="宋体"/>
          <w:bCs/>
          <w:snapToGrid w:val="0"/>
          <w:color w:val="auto"/>
          <w:kern w:val="0"/>
          <w:highlight w:val="none"/>
          <w:u w:val="single"/>
          <w:lang w:val="en-US" w:eastAsia="zh-CN"/>
        </w:rPr>
        <w:t>2</w:t>
      </w:r>
      <w:r>
        <w:rPr>
          <w:rFonts w:hint="eastAsia" w:ascii="宋体" w:hAnsi="宋体" w:eastAsia="宋体" w:cs="宋体"/>
          <w:bCs/>
          <w:snapToGrid w:val="0"/>
          <w:color w:val="auto"/>
          <w:kern w:val="0"/>
          <w:highlight w:val="none"/>
          <w:u w:val="single"/>
        </w:rPr>
        <w:t xml:space="preserve"> </w:t>
      </w:r>
      <w:r>
        <w:rPr>
          <w:rFonts w:hint="eastAsia" w:ascii="宋体" w:hAnsi="宋体" w:eastAsia="宋体" w:cs="宋体"/>
          <w:bCs/>
          <w:snapToGrid w:val="0"/>
          <w:color w:val="auto"/>
          <w:kern w:val="0"/>
          <w:highlight w:val="none"/>
        </w:rPr>
        <w:t>年</w:t>
      </w:r>
      <w:r>
        <w:rPr>
          <w:rFonts w:hint="eastAsia" w:ascii="宋体" w:hAnsi="宋体" w:eastAsia="宋体" w:cs="宋体"/>
          <w:bCs/>
          <w:snapToGrid w:val="0"/>
          <w:color w:val="auto"/>
          <w:kern w:val="0"/>
          <w:highlight w:val="none"/>
        </w:rPr>
        <w:t>（自通过竣工验收之日起计）。</w:t>
      </w:r>
      <w:r>
        <w:rPr>
          <w:rFonts w:hint="eastAsia" w:ascii="宋体" w:hAnsi="宋体" w:eastAsia="宋体" w:cs="宋体"/>
          <w:snapToGrid w:val="0"/>
          <w:color w:val="auto"/>
          <w:kern w:val="0"/>
          <w:highlight w:val="none"/>
        </w:rPr>
        <w:t>缺陷责任期到期后，承包人向发包人申请退还质量保证。发包人收到退还申请后，于14天内会同承包人进行核实。经双方核实且均无异议后，发包人在核实之日起</w:t>
      </w:r>
      <w:r>
        <w:rPr>
          <w:rFonts w:hint="eastAsia" w:ascii="宋体" w:hAnsi="宋体" w:eastAsia="宋体" w:cs="宋体"/>
          <w:snapToGrid w:val="0"/>
          <w:color w:val="auto"/>
          <w:kern w:val="0"/>
          <w:highlight w:val="none"/>
          <w:u w:val="single"/>
        </w:rPr>
        <w:t xml:space="preserve"> 14 </w:t>
      </w:r>
      <w:r>
        <w:rPr>
          <w:rFonts w:hint="eastAsia" w:ascii="宋体" w:hAnsi="宋体" w:eastAsia="宋体" w:cs="宋体"/>
          <w:snapToGrid w:val="0"/>
          <w:color w:val="auto"/>
          <w:kern w:val="0"/>
          <w:highlight w:val="none"/>
        </w:rPr>
        <w:t>天内将应返保证金（或银行保函）退还承包人。</w:t>
      </w:r>
    </w:p>
    <w:p w14:paraId="02B4D296">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szCs w:val="24"/>
          <w:highlight w:val="none"/>
        </w:rPr>
        <w:t>3.9</w:t>
      </w: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highlight w:val="none"/>
          <w:lang w:val="en-US" w:eastAsia="zh-CN"/>
        </w:rPr>
        <w:t>发包人每次支付工程款前，承包人均应提供有效的增值税专用发票。如果承包人无法提供符合要求的发票，由此造成的相应损失由承包人承担。</w:t>
      </w:r>
      <w:r>
        <w:rPr>
          <w:rFonts w:hint="eastAsia" w:ascii="宋体" w:hAnsi="宋体" w:eastAsia="宋体" w:cs="宋体"/>
          <w:snapToGrid w:val="0"/>
          <w:color w:val="auto"/>
          <w:kern w:val="0"/>
          <w:highlight w:val="none"/>
        </w:rPr>
        <w:t>所有工程款均以市财政局审核价款支付为准。</w:t>
      </w:r>
    </w:p>
    <w:p w14:paraId="2D082E56">
      <w:pPr>
        <w:wordWrap w:val="0"/>
        <w:adjustRightInd w:val="0"/>
        <w:snapToGrid w:val="0"/>
        <w:spacing w:line="360" w:lineRule="auto"/>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3.10</w:t>
      </w:r>
      <w:r>
        <w:rPr>
          <w:rFonts w:hint="eastAsia" w:ascii="宋体" w:hAnsi="宋体" w:eastAsia="宋体" w:cs="宋体"/>
          <w:snapToGrid w:val="0"/>
          <w:color w:val="auto"/>
          <w:kern w:val="0"/>
          <w:szCs w:val="24"/>
          <w:highlight w:val="none"/>
        </w:rPr>
        <w:t xml:space="preserve"> 暂列金额支付方式：</w:t>
      </w:r>
      <w:r>
        <w:rPr>
          <w:rFonts w:hint="eastAsia" w:ascii="宋体" w:hAnsi="宋体" w:eastAsia="宋体" w:cs="宋体"/>
          <w:color w:val="auto"/>
          <w:sz w:val="24"/>
          <w:szCs w:val="24"/>
          <w:highlight w:val="none"/>
          <w:u w:val="single"/>
        </w:rPr>
        <w:t>承包人需根据发包人发布的《工程变更管理办法》和《工程签证管理办法》完善工程变更签证相关程序后，与每个月的工程进度款一并报送；若承包人原因未按上述办法在规定时间内完善工程变更签证相关程序的，当月工程进度款暂停拨付。在暂列金额的范围内，最终经发包人确认后支付至该部分实际完成工程量的90％，其余部分待结算完成审核后支付至97%，剩余3%为工程质量保修金</w:t>
      </w:r>
      <w:r>
        <w:rPr>
          <w:rFonts w:hint="eastAsia" w:ascii="宋体" w:hAnsi="宋体" w:eastAsia="宋体" w:cs="宋体"/>
          <w:snapToGrid w:val="0"/>
          <w:color w:val="auto"/>
          <w:kern w:val="0"/>
          <w:szCs w:val="24"/>
          <w:highlight w:val="none"/>
          <w:u w:val="single"/>
        </w:rPr>
        <w:t>。</w:t>
      </w:r>
    </w:p>
    <w:p w14:paraId="2FBA866B">
      <w:pPr>
        <w:snapToGrid w:val="0"/>
        <w:spacing w:line="360" w:lineRule="auto"/>
        <w:ind w:firstLine="482" w:firstLineChars="200"/>
        <w:rPr>
          <w:rFonts w:hint="eastAsia" w:ascii="宋体" w:hAnsi="宋体" w:eastAsia="宋体" w:cs="宋体"/>
          <w:b/>
          <w:bCs/>
          <w:snapToGrid w:val="0"/>
          <w:color w:val="auto"/>
          <w:kern w:val="0"/>
          <w:highlight w:val="none"/>
        </w:rPr>
      </w:pPr>
      <w:r>
        <w:rPr>
          <w:rFonts w:hint="eastAsia" w:ascii="宋体" w:hAnsi="宋体" w:eastAsia="宋体" w:cs="宋体"/>
          <w:b/>
          <w:snapToGrid w:val="0"/>
          <w:color w:val="auto"/>
          <w:kern w:val="0"/>
          <w:szCs w:val="24"/>
          <w:highlight w:val="none"/>
        </w:rPr>
        <w:t>3.11</w:t>
      </w:r>
      <w:r>
        <w:rPr>
          <w:rFonts w:hint="eastAsia" w:ascii="宋体" w:hAnsi="宋体" w:eastAsia="宋体" w:cs="宋体"/>
          <w:color w:val="auto"/>
          <w:sz w:val="24"/>
          <w:szCs w:val="24"/>
          <w:highlight w:val="none"/>
        </w:rPr>
        <w:t>材料暂估价、专业工程暂估价支付方式：</w:t>
      </w:r>
      <w:r>
        <w:rPr>
          <w:rFonts w:hint="eastAsia" w:ascii="宋体" w:hAnsi="宋体" w:eastAsia="宋体" w:cs="宋体"/>
          <w:color w:val="auto"/>
          <w:sz w:val="24"/>
          <w:szCs w:val="24"/>
          <w:highlight w:val="none"/>
          <w:u w:val="single"/>
        </w:rPr>
        <w:t xml:space="preserve"> 材料暂估价、专业工程暂估价与每个月的工程进度款一并报送，但需要列明详细项目内容，该部分材料暂估价、专业工程暂估价按该部分实际完成工程量的50%支付，剩余部分结算完成后支付至97%，剩余3%为工程质量保修金</w:t>
      </w:r>
      <w:r>
        <w:rPr>
          <w:rFonts w:hint="eastAsia" w:ascii="宋体" w:hAnsi="宋体" w:eastAsia="宋体" w:cs="宋体"/>
          <w:color w:val="auto"/>
          <w:sz w:val="24"/>
          <w:szCs w:val="24"/>
          <w:highlight w:val="none"/>
        </w:rPr>
        <w:t>。</w:t>
      </w:r>
    </w:p>
    <w:p w14:paraId="4A99466E">
      <w:pPr>
        <w:wordWrap w:val="0"/>
        <w:adjustRightInd w:val="0"/>
        <w:snapToGrid w:val="0"/>
        <w:spacing w:line="360" w:lineRule="auto"/>
        <w:ind w:firstLine="482" w:firstLineChars="200"/>
        <w:rPr>
          <w:rFonts w:hint="eastAsia" w:ascii="宋体" w:hAnsi="宋体" w:eastAsia="宋体" w:cs="宋体"/>
          <w:b/>
          <w:bCs/>
          <w:snapToGrid w:val="0"/>
          <w:color w:val="auto"/>
          <w:kern w:val="0"/>
          <w:szCs w:val="24"/>
          <w:highlight w:val="none"/>
        </w:rPr>
      </w:pPr>
    </w:p>
    <w:p w14:paraId="7ECAAEC7">
      <w:pPr>
        <w:wordWrap w:val="0"/>
        <w:adjustRightInd w:val="0"/>
        <w:snapToGrid w:val="0"/>
        <w:spacing w:line="360" w:lineRule="auto"/>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color w:val="auto"/>
          <w:kern w:val="0"/>
          <w:sz w:val="24"/>
          <w:highlight w:val="none"/>
          <w:lang w:val="en-US" w:eastAsia="zh-CN" w:bidi="ar-SA"/>
        </w:rPr>
        <w:t>4．</w:t>
      </w:r>
      <w:r>
        <w:rPr>
          <w:rFonts w:hint="eastAsia" w:hAnsi="宋体" w:cs="宋体"/>
          <w:b/>
          <w:color w:val="auto"/>
          <w:kern w:val="0"/>
          <w:sz w:val="24"/>
          <w:highlight w:val="none"/>
          <w:lang w:val="en-US" w:eastAsia="zh-CN" w:bidi="ar-SA"/>
        </w:rPr>
        <w:t>其他</w:t>
      </w:r>
      <w:r>
        <w:rPr>
          <w:rFonts w:hint="eastAsia" w:ascii="宋体" w:hAnsi="宋体" w:eastAsia="宋体" w:cs="宋体"/>
          <w:b/>
          <w:color w:val="auto"/>
          <w:kern w:val="0"/>
          <w:sz w:val="24"/>
          <w:highlight w:val="none"/>
          <w:lang w:val="en-US" w:eastAsia="zh-CN" w:bidi="ar-SA"/>
        </w:rPr>
        <w:t>专用合同条款</w:t>
      </w:r>
      <w:r>
        <w:rPr>
          <w:rFonts w:hint="eastAsia" w:ascii="宋体" w:hAnsi="宋体" w:eastAsia="宋体" w:cs="宋体"/>
          <w:snapToGrid w:val="0"/>
          <w:color w:val="auto"/>
          <w:kern w:val="0"/>
          <w:szCs w:val="24"/>
          <w:highlight w:val="none"/>
        </w:rPr>
        <w:t>（由招标人根据本工程实际情况和地方政策与中标人自行协商签定相关专用合同条款。）</w:t>
      </w:r>
    </w:p>
    <w:bookmarkEnd w:id="170"/>
    <w:bookmarkEnd w:id="171"/>
    <w:p w14:paraId="73A29480">
      <w:pPr>
        <w:pStyle w:val="4"/>
        <w:bidi w:val="0"/>
        <w:spacing w:line="360" w:lineRule="auto"/>
        <w:ind w:firstLine="964"/>
        <w:rPr>
          <w:rFonts w:hint="eastAsia" w:ascii="宋体" w:hAnsi="宋体" w:eastAsia="宋体" w:cs="Times New Roman"/>
          <w:color w:val="auto"/>
          <w:highlight w:val="none"/>
        </w:rPr>
      </w:pPr>
      <w:bookmarkStart w:id="203" w:name="_Toc9642"/>
      <w:bookmarkStart w:id="204" w:name="_Toc21669"/>
      <w:bookmarkStart w:id="205" w:name="_Hlt69698796"/>
      <w:r>
        <w:rPr>
          <w:rFonts w:hint="eastAsia" w:cs="Times New Roman"/>
          <w:color w:val="auto"/>
          <w:highlight w:val="none"/>
          <w:lang w:val="en-US" w:eastAsia="zh-CN"/>
        </w:rPr>
        <w:t>4.1.</w:t>
      </w:r>
      <w:r>
        <w:rPr>
          <w:rFonts w:hint="eastAsia" w:ascii="宋体" w:hAnsi="宋体" w:eastAsia="宋体" w:cs="Times New Roman"/>
          <w:color w:val="auto"/>
          <w:highlight w:val="none"/>
        </w:rPr>
        <w:t>专业工程分包</w:t>
      </w:r>
      <w:bookmarkEnd w:id="203"/>
    </w:p>
    <w:p w14:paraId="3CE8147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snapToGrid w:val="0"/>
          <w:color w:val="auto"/>
          <w:kern w:val="0"/>
          <w:sz w:val="24"/>
          <w:szCs w:val="24"/>
          <w:highlight w:val="none"/>
        </w:rPr>
      </w:pPr>
      <w:r>
        <w:rPr>
          <w:rFonts w:hint="eastAsia" w:ascii="宋体" w:hAnsi="宋体" w:eastAsia="宋体" w:cs="宋体"/>
          <w:snapToGrid w:val="0"/>
          <w:color w:val="auto"/>
          <w:kern w:val="0"/>
          <w:highlight w:val="none"/>
        </w:rPr>
        <w:t>合同范围内的工程未经发包人同意一律不得分包，一经发现，取消承包人的承包资格，由此引起的一切经济损失和法律责任由承包人自行承担。若有专业工程必须分包的，</w:t>
      </w:r>
      <w:r>
        <w:rPr>
          <w:rFonts w:hint="eastAsia" w:hAnsi="宋体" w:cs="宋体"/>
          <w:snapToGrid w:val="0"/>
          <w:color w:val="auto"/>
          <w:kern w:val="0"/>
          <w:highlight w:val="none"/>
          <w:lang w:val="en-US" w:eastAsia="zh-CN"/>
        </w:rPr>
        <w:t>中标人必须发包给具备相应资质的专业分包人，</w:t>
      </w:r>
      <w:r>
        <w:rPr>
          <w:rFonts w:hint="eastAsia" w:ascii="宋体" w:hAnsi="宋体" w:eastAsia="宋体" w:cs="宋体"/>
          <w:snapToGrid w:val="0"/>
          <w:color w:val="auto"/>
          <w:kern w:val="0"/>
          <w:highlight w:val="none"/>
        </w:rPr>
        <w:t>发包人不另行支付总包服务费；其分包合同由总包人与分包人双方签订，发包人不参与总包人与分包人之间的结算，该部分工程的造价仍按总包人与发包人签订的合同的有关条款进行结算。</w:t>
      </w:r>
    </w:p>
    <w:p w14:paraId="4D15650B">
      <w:pPr>
        <w:pStyle w:val="61"/>
        <w:spacing w:line="360" w:lineRule="auto"/>
        <w:ind w:firstLine="482" w:firstLineChars="200"/>
        <w:jc w:val="left"/>
        <w:rPr>
          <w:rFonts w:hint="eastAsia" w:ascii="宋体" w:hAnsi="宋体" w:eastAsia="宋体" w:cs="宋体"/>
          <w:b/>
          <w:bCs w:val="0"/>
          <w:snapToGrid w:val="0"/>
          <w:color w:val="auto"/>
          <w:kern w:val="0"/>
          <w:sz w:val="24"/>
          <w:szCs w:val="24"/>
          <w:highlight w:val="none"/>
        </w:rPr>
      </w:pPr>
      <w:bookmarkStart w:id="206" w:name="_Toc4288"/>
      <w:bookmarkStart w:id="207" w:name="_Toc23958"/>
      <w:r>
        <w:rPr>
          <w:rFonts w:hint="eastAsia" w:ascii="宋体" w:hAnsi="宋体" w:eastAsia="宋体" w:cs="宋体"/>
          <w:b/>
          <w:bCs w:val="0"/>
          <w:snapToGrid w:val="0"/>
          <w:color w:val="auto"/>
          <w:kern w:val="0"/>
          <w:sz w:val="24"/>
          <w:szCs w:val="24"/>
          <w:highlight w:val="none"/>
        </w:rPr>
        <w:t>4.2．工人工资支付专用账户</w:t>
      </w:r>
      <w:bookmarkEnd w:id="206"/>
      <w:bookmarkEnd w:id="207"/>
    </w:p>
    <w:p w14:paraId="3EA720D2">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4.2.1 发、承包双方订立合同时，应就承包人设立工人工资支付专用账户（以下简称“工资专户”）、工程进度款中工人工资款的比例、工资款拨付的期限等事项作出明确约定。发包人按照合同约定，按月将工程款中的工资款项单独足额拨付到承包人的工资专户，并对承包人工人工资支付情况进行监督，及时协调解决工人工资发放中存在的问题。</w:t>
      </w:r>
    </w:p>
    <w:p w14:paraId="49301C50">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4.2.2依据人力资源社会保障部等十部门印发的《工程建设领域农民工工资专用账户管理暂行办法》（人社部发〔2021〕53 号）文件规定，承包人中标后，须到银行设立工人工资支付专用账户，用于支付工人工资。发包人支付工程款时，将按工程款（不含工人工资）和工人工资两部分分开支付，工人工资支付至专用账户。承包人应建立劳动用工管理台账，并按月将工人工资支付明细表等资料报发包人备案。备案内容包括但不限于以下内容（以相关部门的要求为准）：（1）工资发放表、付款凭证（有总包单位项目负责人签名或盖章确认）；（2）施工许可证（或开工报告）、工程项目总承包、专业分包、劳务分包合同；（3）建设单位支付工程款凭证；（4）花名册及身份证复印件；（5）劳动合同：（6）委托书（写明委托代发工资情况）；（7）缴纳保证金的凭证；（8）总包企业或承包企业设立工资专用账户的凭证；（9）维权信息告示牌情况。</w:t>
      </w:r>
    </w:p>
    <w:p w14:paraId="25EBE086">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按韶关市人力资源和社会保障局 韶关市住房和城乡建设管理局 韶关市交通运输局韶关市水务局 韶关市金融工作局 国家金融监督管理总局韶关监管分局关于印发《韶关市工程建设领域农民工工资保证金管理实施细则》的通知(韶人社规〔2023〕2 号)及《韶关市工程建设领域农民工工资保证金管理实施细则》（韶法审〔2023〕19 号）规定执行。承包人在签订工程施工承包合同后一个月内必须办妥该事项，并将办妥回执交发包人。</w:t>
      </w:r>
    </w:p>
    <w:p w14:paraId="52A65D04">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如发生承包人拖欠民工工资并且向政府或发包人索要承包人拖欠工资的，发包人有权使用工人工资保证金或在剩余进度款范围内代承包人向民工支付工资，承包人对发包人垫付工资的人员范围和工资数额均不得提异议。发包人代支的工资除了从当期工程款内直接扣除外,承包人须按照发包人所垫付的民工工资 2 倍向发包人支付违约金。</w:t>
      </w:r>
    </w:p>
    <w:p w14:paraId="37CA8F42">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 xml:space="preserve">4.2.3承包人应在工资专户开立后 2 个工作日内，将开户银行及其账号、开户协议等资料提交给发包人。 </w:t>
      </w:r>
    </w:p>
    <w:p w14:paraId="643C7426">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 xml:space="preserve">（1）用人单位应当在建设项目动工前，在建设项目所在地银行设立工人工资支付专用账户。 </w:t>
      </w:r>
    </w:p>
    <w:p w14:paraId="4695E85C">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 xml:space="preserve">（2）用人单位应当在用工之日起 15 日内为每一位工人办理个人银行账户。 </w:t>
      </w:r>
    </w:p>
    <w:p w14:paraId="04FEC7F4">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 xml:space="preserve">（3）用人单位应当指定专人负责建设项目施工现场台账管理，真实、准确记录工人名册、劳务合同、劳动合同、工程进度、工时台账、劳务承包款和工人工资支付等信息，并保存两年以上备查。 </w:t>
      </w:r>
    </w:p>
    <w:p w14:paraId="67C27170">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用人单位应当按照“及时支付，按实结算”的原则，在规定日期前通过银行工人工资支付专用账户将工人工资直接支付到工人的个人银行账户，并按月将工人工资支付明细表报施工总承包单位和建设单位备案。用人单位未建立、保存用工管理台账，或者伪造相关台账的，按照《广东省劳动保障监察条例》第五十条的规定，由人力资源社会保障部门责令改正，并可处以二千元以上二万元以下的人民币罚款。</w:t>
      </w:r>
    </w:p>
    <w:p w14:paraId="7488AAAA">
      <w:pPr>
        <w:pStyle w:val="61"/>
        <w:spacing w:line="360" w:lineRule="auto"/>
        <w:ind w:firstLine="480" w:firstLineChars="200"/>
        <w:jc w:val="left"/>
        <w:rPr>
          <w:rFonts w:hint="eastAsia" w:ascii="宋体" w:hAnsi="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rPr>
        <w:t>4.2.</w:t>
      </w:r>
      <w:r>
        <w:rPr>
          <w:rFonts w:hint="eastAsia" w:ascii="宋体" w:hAnsi="宋体" w:cs="宋体"/>
          <w:b w:val="0"/>
          <w:bCs/>
          <w:snapToGrid w:val="0"/>
          <w:color w:val="auto"/>
          <w:kern w:val="0"/>
          <w:sz w:val="24"/>
          <w:szCs w:val="24"/>
          <w:highlight w:val="none"/>
          <w:lang w:val="en-US" w:eastAsia="zh-CN"/>
        </w:rPr>
        <w:t>4</w:t>
      </w:r>
      <w:r>
        <w:rPr>
          <w:rFonts w:hint="eastAsia" w:ascii="宋体" w:hAnsi="宋体" w:eastAsia="宋体" w:cs="宋体"/>
          <w:b w:val="0"/>
          <w:bCs/>
          <w:snapToGrid w:val="0"/>
          <w:color w:val="auto"/>
          <w:kern w:val="0"/>
          <w:sz w:val="24"/>
          <w:szCs w:val="24"/>
          <w:highlight w:val="none"/>
        </w:rPr>
        <w:t xml:space="preserve"> 施工总承包企业依法将专业工程分包的，应在分包合同中就分包人设立工资专户、工程进度款中工人工资款的比例、工资款拨付的期限等事项作出明确约定。总包人按照分包合同约定，按月将工程款中的工资款项单独足额拨付到分包人的工资专户，并对分包人工人工资支付情况进行监督，及时协调解决工人工资发放中存在的问题。</w:t>
      </w:r>
    </w:p>
    <w:p w14:paraId="0D9E5498">
      <w:pPr>
        <w:pStyle w:val="61"/>
        <w:spacing w:line="360" w:lineRule="auto"/>
        <w:ind w:firstLine="480" w:firstLineChars="200"/>
        <w:jc w:val="left"/>
        <w:rPr>
          <w:rFonts w:hint="eastAsia" w:ascii="宋体" w:hAnsi="宋体" w:cs="宋体"/>
          <w:b w:val="0"/>
          <w:bCs/>
          <w:snapToGrid w:val="0"/>
          <w:color w:val="auto"/>
          <w:kern w:val="0"/>
          <w:sz w:val="24"/>
          <w:szCs w:val="24"/>
          <w:highlight w:val="none"/>
          <w:lang w:val="en-US" w:eastAsia="zh-CN"/>
        </w:rPr>
      </w:pPr>
      <w:r>
        <w:rPr>
          <w:rFonts w:hint="eastAsia" w:ascii="宋体" w:hAnsi="宋体" w:cs="宋体"/>
          <w:b w:val="0"/>
          <w:bCs/>
          <w:snapToGrid w:val="0"/>
          <w:color w:val="auto"/>
          <w:kern w:val="0"/>
          <w:sz w:val="24"/>
          <w:szCs w:val="24"/>
          <w:highlight w:val="none"/>
          <w:lang w:val="en-US" w:eastAsia="zh-CN"/>
        </w:rPr>
        <w:t>4.2.5承包人必须依照各相关规定做好工人工资支付保证金、工人工资支付专用账户、用工实名制管理工作。</w:t>
      </w:r>
    </w:p>
    <w:p w14:paraId="30C1DAED">
      <w:pPr>
        <w:pStyle w:val="61"/>
        <w:spacing w:line="360" w:lineRule="auto"/>
        <w:ind w:firstLine="480" w:firstLineChars="200"/>
        <w:jc w:val="left"/>
        <w:rPr>
          <w:rFonts w:hint="eastAsia" w:ascii="宋体" w:hAnsi="宋体" w:cs="宋体"/>
          <w:b w:val="0"/>
          <w:bCs/>
          <w:snapToGrid w:val="0"/>
          <w:color w:val="auto"/>
          <w:kern w:val="0"/>
          <w:sz w:val="24"/>
          <w:szCs w:val="24"/>
          <w:highlight w:val="none"/>
          <w:lang w:val="en-US" w:eastAsia="zh-CN"/>
        </w:rPr>
      </w:pPr>
      <w:r>
        <w:rPr>
          <w:rFonts w:hint="eastAsia" w:ascii="宋体" w:hAnsi="宋体" w:cs="宋体"/>
          <w:b w:val="0"/>
          <w:bCs/>
          <w:snapToGrid w:val="0"/>
          <w:color w:val="auto"/>
          <w:kern w:val="0"/>
          <w:sz w:val="24"/>
          <w:szCs w:val="24"/>
          <w:highlight w:val="none"/>
          <w:lang w:val="en-US" w:eastAsia="zh-CN"/>
        </w:rPr>
        <w:t>（1）施工预付款中已包括施工合同价的5%专用于承包人办理工人工资支付保证金，承包人必须于合同签订后5个工作日内办理完成保证金缴交或免缴手续。</w:t>
      </w:r>
    </w:p>
    <w:p w14:paraId="16C79322">
      <w:pPr>
        <w:pStyle w:val="61"/>
        <w:spacing w:line="360" w:lineRule="auto"/>
        <w:ind w:firstLine="480" w:firstLineChars="200"/>
        <w:jc w:val="left"/>
        <w:rPr>
          <w:rFonts w:hint="eastAsia" w:ascii="宋体" w:hAnsi="宋体" w:cs="宋体"/>
          <w:b w:val="0"/>
          <w:bCs/>
          <w:snapToGrid w:val="0"/>
          <w:color w:val="auto"/>
          <w:kern w:val="0"/>
          <w:sz w:val="24"/>
          <w:szCs w:val="24"/>
          <w:highlight w:val="none"/>
          <w:lang w:val="en-US" w:eastAsia="zh-CN"/>
        </w:rPr>
      </w:pPr>
      <w:r>
        <w:rPr>
          <w:rFonts w:hint="eastAsia" w:ascii="宋体" w:hAnsi="宋体" w:cs="宋体"/>
          <w:b w:val="0"/>
          <w:bCs/>
          <w:snapToGrid w:val="0"/>
          <w:color w:val="auto"/>
          <w:kern w:val="0"/>
          <w:sz w:val="24"/>
          <w:szCs w:val="24"/>
          <w:highlight w:val="none"/>
          <w:lang w:val="en-US" w:eastAsia="zh-CN"/>
        </w:rPr>
        <w:t>（2）承包人已依照相关规定开立工人工资支付专用账户，发包人支付工程进度款时，其中75%支付进入本合同协议书载明的承包人账户、其中25%支付进入本款载明的工人工资支付专用账户。承包人必须与所有聘用人员签订劳动合同，并按劳动合同约定每月足额通过专用账户发放工资，并按月将工资发放资料提交一份给发包人。</w:t>
      </w:r>
    </w:p>
    <w:p w14:paraId="67282E75">
      <w:pPr>
        <w:pStyle w:val="61"/>
        <w:spacing w:line="360" w:lineRule="auto"/>
        <w:ind w:firstLine="480" w:firstLineChars="200"/>
        <w:jc w:val="left"/>
        <w:rPr>
          <w:rFonts w:hint="default" w:ascii="宋体" w:hAnsi="宋体" w:eastAsia="宋体" w:cs="宋体"/>
          <w:b w:val="0"/>
          <w:bCs/>
          <w:snapToGrid w:val="0"/>
          <w:color w:val="auto"/>
          <w:kern w:val="0"/>
          <w:sz w:val="24"/>
          <w:szCs w:val="24"/>
          <w:highlight w:val="none"/>
          <w:lang w:val="en-US" w:eastAsia="zh-CN"/>
        </w:rPr>
      </w:pPr>
      <w:r>
        <w:rPr>
          <w:rFonts w:hint="eastAsia" w:ascii="宋体" w:hAnsi="宋体" w:cs="宋体"/>
          <w:b w:val="0"/>
          <w:bCs/>
          <w:snapToGrid w:val="0"/>
          <w:color w:val="auto"/>
          <w:kern w:val="0"/>
          <w:sz w:val="24"/>
          <w:szCs w:val="24"/>
          <w:highlight w:val="none"/>
          <w:lang w:val="en-US" w:eastAsia="zh-CN"/>
        </w:rPr>
        <w:t>（3）承包人应在开工前编制用工实名管理专项方案以及费用使用计划，经监理单位审批后，作为施工合同的组成部分，并依照相关规定做好用工实名信息化管理。</w:t>
      </w:r>
    </w:p>
    <w:p w14:paraId="7FB799B2">
      <w:pPr>
        <w:pStyle w:val="61"/>
        <w:spacing w:line="360" w:lineRule="auto"/>
        <w:ind w:firstLine="482" w:firstLineChars="200"/>
        <w:jc w:val="left"/>
        <w:rPr>
          <w:rFonts w:hint="eastAsia" w:ascii="宋体" w:hAnsi="宋体" w:eastAsia="宋体" w:cs="宋体"/>
          <w:b/>
          <w:bCs w:val="0"/>
          <w:snapToGrid w:val="0"/>
          <w:color w:val="auto"/>
          <w:kern w:val="0"/>
          <w:sz w:val="24"/>
          <w:szCs w:val="24"/>
          <w:highlight w:val="none"/>
        </w:rPr>
      </w:pPr>
      <w:bookmarkStart w:id="208" w:name="_Toc21233"/>
      <w:bookmarkStart w:id="209" w:name="_Toc15476"/>
      <w:r>
        <w:rPr>
          <w:rFonts w:hint="eastAsia" w:ascii="宋体" w:hAnsi="宋体" w:eastAsia="宋体" w:cs="宋体"/>
          <w:b/>
          <w:bCs w:val="0"/>
          <w:snapToGrid w:val="0"/>
          <w:color w:val="auto"/>
          <w:kern w:val="0"/>
          <w:sz w:val="24"/>
          <w:szCs w:val="24"/>
          <w:highlight w:val="none"/>
        </w:rPr>
        <w:t>4.3．诚信登记</w:t>
      </w:r>
      <w:bookmarkEnd w:id="208"/>
      <w:bookmarkEnd w:id="209"/>
    </w:p>
    <w:p w14:paraId="58A308A9">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根据资质管理规定，许可机关应当建立、健全建筑业企业信用档案管理制度，包括企业基本信息、资质、业绩、工程质量和安全、合同履约、社会投诉和违法行为等情况。</w:t>
      </w:r>
    </w:p>
    <w:p w14:paraId="2FFED412">
      <w:pPr>
        <w:pStyle w:val="61"/>
        <w:spacing w:line="360" w:lineRule="auto"/>
        <w:ind w:firstLine="482" w:firstLineChars="200"/>
        <w:jc w:val="left"/>
        <w:rPr>
          <w:rFonts w:hint="eastAsia" w:ascii="宋体" w:hAnsi="宋体" w:eastAsia="宋体" w:cs="宋体"/>
          <w:b/>
          <w:bCs w:val="0"/>
          <w:snapToGrid w:val="0"/>
          <w:color w:val="auto"/>
          <w:kern w:val="0"/>
          <w:sz w:val="24"/>
          <w:szCs w:val="24"/>
          <w:highlight w:val="none"/>
        </w:rPr>
      </w:pPr>
      <w:bookmarkStart w:id="210" w:name="_Toc30115"/>
      <w:bookmarkStart w:id="211" w:name="_Toc24195"/>
      <w:r>
        <w:rPr>
          <w:rFonts w:hint="eastAsia" w:ascii="宋体" w:hAnsi="宋体" w:eastAsia="宋体" w:cs="宋体"/>
          <w:b/>
          <w:bCs w:val="0"/>
          <w:snapToGrid w:val="0"/>
          <w:color w:val="auto"/>
          <w:kern w:val="0"/>
          <w:sz w:val="24"/>
          <w:szCs w:val="24"/>
          <w:highlight w:val="none"/>
        </w:rPr>
        <w:t>4.4．工期进度</w:t>
      </w:r>
      <w:bookmarkEnd w:id="210"/>
      <w:bookmarkEnd w:id="211"/>
    </w:p>
    <w:p w14:paraId="1F897EDB">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4.4.1本招标项目施工工期为</w:t>
      </w:r>
      <w:r>
        <w:rPr>
          <w:rFonts w:hint="eastAsia" w:ascii="宋体" w:hAnsi="宋体" w:cs="宋体"/>
          <w:b w:val="0"/>
          <w:bCs/>
          <w:snapToGrid w:val="0"/>
          <w:color w:val="auto"/>
          <w:kern w:val="0"/>
          <w:sz w:val="24"/>
          <w:szCs w:val="24"/>
          <w:highlight w:val="none"/>
          <w:u w:val="single"/>
          <w:lang w:val="en-US" w:eastAsia="zh-CN"/>
        </w:rPr>
        <w:t>120</w:t>
      </w:r>
      <w:r>
        <w:rPr>
          <w:rFonts w:hint="eastAsia" w:ascii="宋体" w:hAnsi="宋体" w:eastAsia="宋体" w:cs="宋体"/>
          <w:b w:val="0"/>
          <w:bCs/>
          <w:snapToGrid w:val="0"/>
          <w:color w:val="auto"/>
          <w:kern w:val="0"/>
          <w:sz w:val="24"/>
          <w:szCs w:val="24"/>
          <w:highlight w:val="none"/>
        </w:rPr>
        <w:t>个日历天，承包人必须在招标工期内完成招标范围内的全部内容。</w:t>
      </w:r>
    </w:p>
    <w:p w14:paraId="5F82ECAA">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4.4.2 施工工期从承包人收到监理单位签发的开工令之日起计，至竣工验收合格之日止。</w:t>
      </w:r>
    </w:p>
    <w:p w14:paraId="34C25D64">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4.2.3工期奖罚</w:t>
      </w:r>
    </w:p>
    <w:p w14:paraId="4017E8FB">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 xml:space="preserve">□竣工验收合格交付使用每提前/天竣工；奖/元，奖励金额不超过合同价款的%（一般为 2%～5%）且不超过/万元。 </w:t>
      </w:r>
    </w:p>
    <w:p w14:paraId="25FEAB2F">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☑按施工合同期约定，因承包人原因每延误1天竣工，罚</w:t>
      </w:r>
      <w:r>
        <w:rPr>
          <w:rFonts w:hint="eastAsia" w:ascii="宋体" w:hAnsi="宋体" w:cs="宋体"/>
          <w:b w:val="0"/>
          <w:bCs/>
          <w:snapToGrid w:val="0"/>
          <w:color w:val="auto"/>
          <w:kern w:val="0"/>
          <w:sz w:val="24"/>
          <w:szCs w:val="24"/>
          <w:highlight w:val="none"/>
          <w:lang w:val="en-US" w:eastAsia="zh-CN"/>
        </w:rPr>
        <w:t>5000.00</w:t>
      </w:r>
      <w:r>
        <w:rPr>
          <w:rFonts w:hint="eastAsia" w:ascii="宋体" w:hAnsi="宋体" w:eastAsia="宋体" w:cs="宋体"/>
          <w:b w:val="0"/>
          <w:bCs/>
          <w:snapToGrid w:val="0"/>
          <w:color w:val="auto"/>
          <w:kern w:val="0"/>
          <w:sz w:val="24"/>
          <w:szCs w:val="24"/>
          <w:highlight w:val="none"/>
        </w:rPr>
        <w:t xml:space="preserve">元。 </w:t>
      </w:r>
    </w:p>
    <w:p w14:paraId="0FB92D9A">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□按施工合同期约定，因承包人原因延误工期</w:t>
      </w:r>
      <w:r>
        <w:rPr>
          <w:rFonts w:hint="eastAsia" w:ascii="宋体" w:hAnsi="宋体" w:cs="宋体"/>
          <w:b w:val="0"/>
          <w:bCs/>
          <w:snapToGrid w:val="0"/>
          <w:color w:val="auto"/>
          <w:kern w:val="0"/>
          <w:sz w:val="24"/>
          <w:szCs w:val="24"/>
          <w:highlight w:val="none"/>
          <w:lang w:val="en-US" w:eastAsia="zh-CN"/>
        </w:rPr>
        <w:t xml:space="preserve"> </w:t>
      </w:r>
      <w:r>
        <w:rPr>
          <w:rFonts w:hint="eastAsia" w:ascii="宋体" w:hAnsi="宋体" w:eastAsia="宋体" w:cs="宋体"/>
          <w:b w:val="0"/>
          <w:bCs/>
          <w:snapToGrid w:val="0"/>
          <w:color w:val="auto"/>
          <w:kern w:val="0"/>
          <w:sz w:val="24"/>
          <w:szCs w:val="24"/>
          <w:highlight w:val="none"/>
        </w:rPr>
        <w:t>天内不处罚，自第</w:t>
      </w:r>
      <w:r>
        <w:rPr>
          <w:rFonts w:hint="eastAsia" w:ascii="宋体" w:hAnsi="宋体" w:cs="宋体"/>
          <w:b w:val="0"/>
          <w:bCs/>
          <w:snapToGrid w:val="0"/>
          <w:color w:val="auto"/>
          <w:kern w:val="0"/>
          <w:sz w:val="24"/>
          <w:szCs w:val="24"/>
          <w:highlight w:val="none"/>
          <w:lang w:val="en-US" w:eastAsia="zh-CN"/>
        </w:rPr>
        <w:t xml:space="preserve"> </w:t>
      </w:r>
      <w:r>
        <w:rPr>
          <w:rFonts w:hint="eastAsia" w:ascii="宋体" w:hAnsi="宋体" w:eastAsia="宋体" w:cs="宋体"/>
          <w:b w:val="0"/>
          <w:bCs/>
          <w:snapToGrid w:val="0"/>
          <w:color w:val="auto"/>
          <w:kern w:val="0"/>
          <w:sz w:val="24"/>
          <w:szCs w:val="24"/>
          <w:highlight w:val="none"/>
        </w:rPr>
        <w:t>天起每延误</w:t>
      </w:r>
      <w:r>
        <w:rPr>
          <w:rFonts w:hint="eastAsia" w:ascii="宋体" w:hAnsi="宋体" w:cs="宋体"/>
          <w:b w:val="0"/>
          <w:bCs/>
          <w:snapToGrid w:val="0"/>
          <w:color w:val="auto"/>
          <w:kern w:val="0"/>
          <w:sz w:val="24"/>
          <w:szCs w:val="24"/>
          <w:highlight w:val="none"/>
          <w:lang w:val="en-US" w:eastAsia="zh-CN"/>
        </w:rPr>
        <w:t xml:space="preserve"> </w:t>
      </w:r>
      <w:r>
        <w:rPr>
          <w:rFonts w:hint="eastAsia" w:ascii="宋体" w:hAnsi="宋体" w:eastAsia="宋体" w:cs="宋体"/>
          <w:b w:val="0"/>
          <w:bCs/>
          <w:snapToGrid w:val="0"/>
          <w:color w:val="auto"/>
          <w:kern w:val="0"/>
          <w:sz w:val="24"/>
          <w:szCs w:val="24"/>
          <w:highlight w:val="none"/>
        </w:rPr>
        <w:t>天竣工, 罚</w:t>
      </w:r>
      <w:r>
        <w:rPr>
          <w:rFonts w:hint="eastAsia" w:ascii="宋体" w:hAnsi="宋体" w:cs="宋体"/>
          <w:b w:val="0"/>
          <w:bCs/>
          <w:snapToGrid w:val="0"/>
          <w:color w:val="auto"/>
          <w:kern w:val="0"/>
          <w:sz w:val="24"/>
          <w:szCs w:val="24"/>
          <w:highlight w:val="none"/>
          <w:lang w:val="en-US" w:eastAsia="zh-CN"/>
        </w:rPr>
        <w:t xml:space="preserve"> </w:t>
      </w:r>
      <w:r>
        <w:rPr>
          <w:rFonts w:hint="eastAsia" w:ascii="宋体" w:hAnsi="宋体" w:eastAsia="宋体" w:cs="宋体"/>
          <w:b w:val="0"/>
          <w:bCs/>
          <w:snapToGrid w:val="0"/>
          <w:color w:val="auto"/>
          <w:kern w:val="0"/>
          <w:sz w:val="24"/>
          <w:szCs w:val="24"/>
          <w:highlight w:val="none"/>
        </w:rPr>
        <w:t>元。处罚金额不超过合同价款的 %（一般为 2%～5%）且不超过</w:t>
      </w:r>
      <w:r>
        <w:rPr>
          <w:rFonts w:hint="eastAsia" w:ascii="宋体" w:hAnsi="宋体" w:cs="宋体"/>
          <w:b w:val="0"/>
          <w:bCs/>
          <w:snapToGrid w:val="0"/>
          <w:color w:val="auto"/>
          <w:kern w:val="0"/>
          <w:sz w:val="24"/>
          <w:szCs w:val="24"/>
          <w:highlight w:val="none"/>
          <w:lang w:val="en-US" w:eastAsia="zh-CN"/>
        </w:rPr>
        <w:t xml:space="preserve"> </w:t>
      </w:r>
      <w:r>
        <w:rPr>
          <w:rFonts w:hint="eastAsia" w:ascii="宋体" w:hAnsi="宋体" w:eastAsia="宋体" w:cs="宋体"/>
          <w:b w:val="0"/>
          <w:bCs/>
          <w:snapToGrid w:val="0"/>
          <w:color w:val="auto"/>
          <w:kern w:val="0"/>
          <w:sz w:val="24"/>
          <w:szCs w:val="24"/>
          <w:highlight w:val="none"/>
        </w:rPr>
        <w:t>万元，累计延误工期达到</w:t>
      </w:r>
      <w:r>
        <w:rPr>
          <w:rFonts w:hint="eastAsia" w:ascii="宋体" w:hAnsi="宋体" w:cs="宋体"/>
          <w:b w:val="0"/>
          <w:bCs/>
          <w:snapToGrid w:val="0"/>
          <w:color w:val="auto"/>
          <w:kern w:val="0"/>
          <w:sz w:val="24"/>
          <w:szCs w:val="24"/>
          <w:highlight w:val="none"/>
          <w:lang w:val="en-US" w:eastAsia="zh-CN"/>
        </w:rPr>
        <w:t xml:space="preserve"> </w:t>
      </w:r>
      <w:r>
        <w:rPr>
          <w:rFonts w:hint="eastAsia" w:ascii="宋体" w:hAnsi="宋体" w:eastAsia="宋体" w:cs="宋体"/>
          <w:b w:val="0"/>
          <w:bCs/>
          <w:snapToGrid w:val="0"/>
          <w:color w:val="auto"/>
          <w:kern w:val="0"/>
          <w:sz w:val="24"/>
          <w:szCs w:val="24"/>
          <w:highlight w:val="none"/>
        </w:rPr>
        <w:t xml:space="preserve">天，报请建设行政主管部门作不良行为记录，非承包方原因或不可抗力造成延误的除外。 </w:t>
      </w:r>
    </w:p>
    <w:p w14:paraId="5A1DE31E">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□其它说明：/</w:t>
      </w:r>
    </w:p>
    <w:p w14:paraId="5A5D4889">
      <w:pPr>
        <w:pStyle w:val="61"/>
        <w:spacing w:line="360" w:lineRule="auto"/>
        <w:ind w:firstLine="482" w:firstLineChars="200"/>
        <w:jc w:val="left"/>
        <w:rPr>
          <w:rFonts w:hint="eastAsia" w:ascii="宋体" w:hAnsi="宋体" w:eastAsia="宋体" w:cs="宋体"/>
          <w:b/>
          <w:bCs w:val="0"/>
          <w:snapToGrid w:val="0"/>
          <w:color w:val="auto"/>
          <w:kern w:val="0"/>
          <w:sz w:val="24"/>
          <w:szCs w:val="24"/>
          <w:highlight w:val="none"/>
        </w:rPr>
      </w:pPr>
      <w:bookmarkStart w:id="212" w:name="_Toc21648"/>
      <w:bookmarkStart w:id="213" w:name="_Toc16363"/>
      <w:r>
        <w:rPr>
          <w:rFonts w:hint="eastAsia" w:ascii="宋体" w:hAnsi="宋体" w:eastAsia="宋体" w:cs="宋体"/>
          <w:b/>
          <w:bCs w:val="0"/>
          <w:snapToGrid w:val="0"/>
          <w:color w:val="auto"/>
          <w:kern w:val="0"/>
          <w:sz w:val="24"/>
          <w:szCs w:val="24"/>
          <w:highlight w:val="none"/>
        </w:rPr>
        <w:t>4.5．项目管理机构</w:t>
      </w:r>
      <w:bookmarkEnd w:id="212"/>
      <w:bookmarkEnd w:id="213"/>
    </w:p>
    <w:p w14:paraId="5C012F1C">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4.5.1 承包人派驻的项目管理班子成员必须为其投标文件确定的人员，否则发包人有权终止合同。</w:t>
      </w:r>
    </w:p>
    <w:p w14:paraId="001A7AC6">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4.5.2 项目管理班子成员不得擅自变更。其中，项目经理若有《广东省住房和城乡建设厅关于建设工程项目招标中标后监督检查的办法》（粤建市〔2009〕8号，以下简称“《办法》”）第九条所述除外情形之一确需变更的，承包人应填写《建设工程项目管理班子变更情况报告表》（《办法》附件4）并附上相关证明资料，经发包人和建设行政主管部门审核同意方可变更，且更换后的项目经理应与承包人的投标文件所确定的原项目经理的主要条件一致；项目管理班子其他成员若有《办法》第九条所述除外情形之一确需变更的，承包人应填写《建设工程项目管理班子变更情况报告表》并附上相关证明资料，经发包人审核同意方可变更。</w:t>
      </w:r>
    </w:p>
    <w:p w14:paraId="466AE90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eastAsia="宋体"/>
          <w:color w:val="auto"/>
          <w:highlight w:val="none"/>
          <w:lang w:val="en-US" w:eastAsia="zh-CN"/>
        </w:rPr>
      </w:pPr>
      <w:r>
        <w:rPr>
          <w:rFonts w:hint="eastAsia" w:hAnsi="宋体" w:cs="宋体"/>
          <w:b w:val="0"/>
          <w:bCs/>
          <w:snapToGrid w:val="0"/>
          <w:color w:val="auto"/>
          <w:kern w:val="0"/>
          <w:sz w:val="24"/>
          <w:szCs w:val="24"/>
          <w:highlight w:val="none"/>
          <w:lang w:val="en-US" w:eastAsia="zh-CN"/>
        </w:rPr>
        <w:t>4.5.3根据项目实施进度情况，发包人有权要求承包人增派项目管理人员，以满足项目的现场管理工作要求。</w:t>
      </w:r>
    </w:p>
    <w:p w14:paraId="35E7ED36">
      <w:pPr>
        <w:pStyle w:val="61"/>
        <w:spacing w:line="360" w:lineRule="auto"/>
        <w:ind w:firstLine="482" w:firstLineChars="200"/>
        <w:jc w:val="left"/>
        <w:rPr>
          <w:rFonts w:hint="eastAsia" w:ascii="宋体" w:hAnsi="宋体" w:eastAsia="宋体" w:cs="宋体"/>
          <w:b/>
          <w:bCs w:val="0"/>
          <w:snapToGrid w:val="0"/>
          <w:color w:val="auto"/>
          <w:kern w:val="0"/>
          <w:sz w:val="24"/>
          <w:szCs w:val="24"/>
          <w:highlight w:val="none"/>
        </w:rPr>
      </w:pPr>
      <w:bookmarkStart w:id="214" w:name="_Toc21811"/>
      <w:bookmarkStart w:id="215" w:name="_Toc16233"/>
      <w:r>
        <w:rPr>
          <w:rFonts w:hint="eastAsia" w:ascii="宋体" w:hAnsi="宋体" w:eastAsia="宋体" w:cs="宋体"/>
          <w:b/>
          <w:bCs w:val="0"/>
          <w:snapToGrid w:val="0"/>
          <w:color w:val="auto"/>
          <w:kern w:val="0"/>
          <w:sz w:val="24"/>
          <w:szCs w:val="24"/>
          <w:highlight w:val="none"/>
        </w:rPr>
        <w:t>4.6．现场管理</w:t>
      </w:r>
      <w:bookmarkEnd w:id="214"/>
      <w:bookmarkEnd w:id="215"/>
    </w:p>
    <w:p w14:paraId="171D14F0">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4.61 承包人在施工期间应严格遵守国家、广东省、韶关市有关绿色施工、文明施工、噪音扬尘、消防爆破、环境卫生、渣土清运、治安保卫等方面的规定，并建立相应规章制度和保障措施。否则由此造成的经济损失和法律责任，均由承包人承担。</w:t>
      </w:r>
    </w:p>
    <w:p w14:paraId="75D9EB01">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4.6.2 承包人应按安全施工有关规定，采取严格、科学的安全防护措施，确保施工和人员（包括第三者）的安全，承担由于自身安全防护措施不力所造成的安全事故责任和发生的费用。</w:t>
      </w:r>
    </w:p>
    <w:p w14:paraId="53D2B619">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4.6.3 为保证施工现场的环境卫生，承包人在本招标项目施工过程中，所有的车辆必须按发包人规定的行车路线行驶。</w:t>
      </w:r>
    </w:p>
    <w:p w14:paraId="5373956E">
      <w:pPr>
        <w:pStyle w:val="61"/>
        <w:spacing w:line="360" w:lineRule="auto"/>
        <w:ind w:firstLine="482" w:firstLineChars="200"/>
        <w:jc w:val="left"/>
        <w:rPr>
          <w:rFonts w:hint="eastAsia" w:ascii="宋体" w:hAnsi="宋体" w:eastAsia="宋体" w:cs="宋体"/>
          <w:b/>
          <w:bCs w:val="0"/>
          <w:snapToGrid w:val="0"/>
          <w:color w:val="auto"/>
          <w:kern w:val="0"/>
          <w:sz w:val="24"/>
          <w:szCs w:val="24"/>
          <w:highlight w:val="none"/>
        </w:rPr>
      </w:pPr>
      <w:bookmarkStart w:id="216" w:name="_Toc1176"/>
      <w:bookmarkStart w:id="217" w:name="_Toc1442"/>
      <w:r>
        <w:rPr>
          <w:rFonts w:hint="eastAsia" w:ascii="宋体" w:hAnsi="宋体" w:eastAsia="宋体" w:cs="宋体"/>
          <w:b/>
          <w:bCs w:val="0"/>
          <w:snapToGrid w:val="0"/>
          <w:color w:val="auto"/>
          <w:kern w:val="0"/>
          <w:sz w:val="24"/>
          <w:szCs w:val="24"/>
          <w:highlight w:val="none"/>
        </w:rPr>
        <w:t>4.7．监督实施</w:t>
      </w:r>
      <w:bookmarkEnd w:id="216"/>
      <w:bookmarkEnd w:id="217"/>
    </w:p>
    <w:p w14:paraId="61B36255">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承包人须服从发包人对工程质量、进度、成本的全方位监督，施工中的年度计划、季度计划、月度计划、施工方案等应报送监理单位审批和发包人备案。施工中的质量保证措施等资料均应及时报送监理单位和发包人备案。</w:t>
      </w:r>
    </w:p>
    <w:p w14:paraId="5CA00D6A">
      <w:pPr>
        <w:pStyle w:val="61"/>
        <w:spacing w:line="360" w:lineRule="auto"/>
        <w:ind w:firstLine="482" w:firstLineChars="200"/>
        <w:jc w:val="left"/>
        <w:rPr>
          <w:rFonts w:hint="eastAsia" w:ascii="宋体" w:hAnsi="宋体" w:eastAsia="宋体" w:cs="宋体"/>
          <w:b/>
          <w:bCs w:val="0"/>
          <w:snapToGrid w:val="0"/>
          <w:color w:val="auto"/>
          <w:kern w:val="0"/>
          <w:sz w:val="24"/>
          <w:szCs w:val="24"/>
          <w:highlight w:val="none"/>
        </w:rPr>
      </w:pPr>
      <w:bookmarkStart w:id="218" w:name="_Toc1485"/>
      <w:bookmarkStart w:id="219" w:name="_Toc5482"/>
      <w:r>
        <w:rPr>
          <w:rFonts w:hint="eastAsia" w:ascii="宋体" w:hAnsi="宋体" w:eastAsia="宋体" w:cs="宋体"/>
          <w:b/>
          <w:bCs w:val="0"/>
          <w:snapToGrid w:val="0"/>
          <w:color w:val="auto"/>
          <w:kern w:val="0"/>
          <w:sz w:val="24"/>
          <w:szCs w:val="24"/>
          <w:highlight w:val="none"/>
        </w:rPr>
        <w:t>4.8．主材的采购和使用</w:t>
      </w:r>
      <w:bookmarkEnd w:id="218"/>
      <w:bookmarkEnd w:id="219"/>
    </w:p>
    <w:p w14:paraId="5CFBA4FD">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招标人有权拒绝承包人提供的不合格或不符合绿色施工要求的材料，并要求承包人立即进行更换。承包人应按发包人确认后的主要材料的规格、颜色要求采购。如果变更规格或颜色，必须经发包人同意后，报有关审核部门重新核定单价后方可采购，并相应调整合同价款。主要材料必须先提供样板给发包人确定其规格、颜色、等级等，发包人同意后方可使用。</w:t>
      </w:r>
    </w:p>
    <w:p w14:paraId="0D4C92C1">
      <w:pPr>
        <w:pStyle w:val="61"/>
        <w:spacing w:line="360" w:lineRule="auto"/>
        <w:ind w:firstLine="482" w:firstLineChars="200"/>
        <w:jc w:val="left"/>
        <w:rPr>
          <w:rFonts w:hint="eastAsia" w:ascii="宋体" w:hAnsi="宋体" w:eastAsia="宋体" w:cs="宋体"/>
          <w:b/>
          <w:bCs w:val="0"/>
          <w:snapToGrid w:val="0"/>
          <w:color w:val="auto"/>
          <w:kern w:val="0"/>
          <w:sz w:val="24"/>
          <w:szCs w:val="24"/>
          <w:highlight w:val="none"/>
        </w:rPr>
      </w:pPr>
      <w:bookmarkStart w:id="220" w:name="_Toc27130"/>
      <w:bookmarkStart w:id="221" w:name="_Toc11557"/>
      <w:r>
        <w:rPr>
          <w:rFonts w:hint="eastAsia" w:ascii="宋体" w:hAnsi="宋体" w:eastAsia="宋体" w:cs="宋体"/>
          <w:b/>
          <w:bCs w:val="0"/>
          <w:snapToGrid w:val="0"/>
          <w:color w:val="auto"/>
          <w:kern w:val="0"/>
          <w:sz w:val="24"/>
          <w:szCs w:val="24"/>
          <w:highlight w:val="none"/>
        </w:rPr>
        <w:t>4.9</w:t>
      </w:r>
      <w:r>
        <w:rPr>
          <w:rFonts w:hint="eastAsia" w:ascii="宋体" w:hAnsi="宋体" w:cs="宋体"/>
          <w:b/>
          <w:bCs w:val="0"/>
          <w:snapToGrid w:val="0"/>
          <w:color w:val="auto"/>
          <w:kern w:val="0"/>
          <w:sz w:val="24"/>
          <w:szCs w:val="24"/>
          <w:highlight w:val="none"/>
          <w:lang w:val="en-US" w:eastAsia="zh-CN"/>
        </w:rPr>
        <w:t>.</w:t>
      </w:r>
      <w:r>
        <w:rPr>
          <w:rFonts w:hint="eastAsia" w:ascii="宋体" w:hAnsi="宋体" w:eastAsia="宋体" w:cs="宋体"/>
          <w:b/>
          <w:bCs w:val="0"/>
          <w:snapToGrid w:val="0"/>
          <w:color w:val="auto"/>
          <w:kern w:val="0"/>
          <w:sz w:val="24"/>
          <w:szCs w:val="24"/>
          <w:highlight w:val="none"/>
        </w:rPr>
        <w:t>竣工资料移交</w:t>
      </w:r>
      <w:bookmarkEnd w:id="220"/>
      <w:bookmarkEnd w:id="221"/>
    </w:p>
    <w:p w14:paraId="2D74B9D8">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项目竣工验收时，承包人应向监理单位和发包人提供符合国家档案部门备案要求的，编制成册的竣工图及有关的技术档案资料（含声像档案）一式</w:t>
      </w:r>
      <w:r>
        <w:rPr>
          <w:rFonts w:hint="eastAsia" w:ascii="宋体" w:hAnsi="宋体" w:eastAsia="宋体" w:cs="宋体"/>
          <w:b w:val="0"/>
          <w:bCs/>
          <w:snapToGrid w:val="0"/>
          <w:color w:val="auto"/>
          <w:kern w:val="0"/>
          <w:sz w:val="24"/>
          <w:szCs w:val="24"/>
          <w:highlight w:val="none"/>
          <w:u w:val="single"/>
        </w:rPr>
        <w:t>八</w:t>
      </w:r>
      <w:r>
        <w:rPr>
          <w:rFonts w:hint="eastAsia" w:ascii="宋体" w:hAnsi="宋体" w:eastAsia="宋体" w:cs="宋体"/>
          <w:b w:val="0"/>
          <w:bCs/>
          <w:snapToGrid w:val="0"/>
          <w:color w:val="auto"/>
          <w:kern w:val="0"/>
          <w:sz w:val="24"/>
          <w:szCs w:val="24"/>
          <w:highlight w:val="none"/>
        </w:rPr>
        <w:t>份。</w:t>
      </w:r>
    </w:p>
    <w:p w14:paraId="153E1139">
      <w:pPr>
        <w:pStyle w:val="61"/>
        <w:spacing w:line="360" w:lineRule="auto"/>
        <w:ind w:firstLine="482" w:firstLineChars="200"/>
        <w:jc w:val="left"/>
        <w:rPr>
          <w:rFonts w:hint="eastAsia" w:ascii="宋体" w:hAnsi="宋体" w:eastAsia="宋体" w:cs="宋体"/>
          <w:b/>
          <w:bCs w:val="0"/>
          <w:snapToGrid w:val="0"/>
          <w:color w:val="auto"/>
          <w:kern w:val="0"/>
          <w:sz w:val="24"/>
          <w:szCs w:val="24"/>
          <w:highlight w:val="none"/>
        </w:rPr>
      </w:pPr>
      <w:bookmarkStart w:id="222" w:name="_Toc20949"/>
      <w:bookmarkStart w:id="223" w:name="_Toc14292"/>
      <w:r>
        <w:rPr>
          <w:rFonts w:hint="eastAsia" w:ascii="宋体" w:hAnsi="宋体" w:eastAsia="宋体" w:cs="宋体"/>
          <w:b/>
          <w:bCs w:val="0"/>
          <w:snapToGrid w:val="0"/>
          <w:color w:val="auto"/>
          <w:kern w:val="0"/>
          <w:sz w:val="24"/>
          <w:szCs w:val="24"/>
          <w:highlight w:val="none"/>
        </w:rPr>
        <w:t>4.10</w:t>
      </w:r>
      <w:r>
        <w:rPr>
          <w:rFonts w:hint="eastAsia" w:ascii="宋体" w:hAnsi="宋体" w:cs="宋体"/>
          <w:b/>
          <w:bCs w:val="0"/>
          <w:snapToGrid w:val="0"/>
          <w:color w:val="auto"/>
          <w:kern w:val="0"/>
          <w:sz w:val="24"/>
          <w:szCs w:val="24"/>
          <w:highlight w:val="none"/>
          <w:lang w:val="en-US" w:eastAsia="zh-CN"/>
        </w:rPr>
        <w:t>.</w:t>
      </w:r>
      <w:r>
        <w:rPr>
          <w:rFonts w:hint="eastAsia" w:ascii="宋体" w:hAnsi="宋体" w:eastAsia="宋体" w:cs="宋体"/>
          <w:b/>
          <w:bCs w:val="0"/>
          <w:snapToGrid w:val="0"/>
          <w:color w:val="auto"/>
          <w:kern w:val="0"/>
          <w:sz w:val="24"/>
          <w:szCs w:val="24"/>
          <w:highlight w:val="none"/>
        </w:rPr>
        <w:t>质量保证</w:t>
      </w:r>
      <w:bookmarkEnd w:id="222"/>
      <w:bookmarkEnd w:id="223"/>
    </w:p>
    <w:p w14:paraId="7F4CAF78">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4.10.1 本招标项目缺陷责任期为</w:t>
      </w:r>
      <w:r>
        <w:rPr>
          <w:rFonts w:hint="eastAsia" w:ascii="宋体" w:hAnsi="宋体" w:eastAsia="宋体" w:cs="宋体"/>
          <w:b/>
          <w:bCs w:val="0"/>
          <w:snapToGrid w:val="0"/>
          <w:color w:val="auto"/>
          <w:kern w:val="0"/>
          <w:sz w:val="24"/>
          <w:szCs w:val="24"/>
          <w:highlight w:val="none"/>
          <w:u w:val="single"/>
        </w:rPr>
        <w:t>2</w:t>
      </w:r>
      <w:r>
        <w:rPr>
          <w:rFonts w:hint="eastAsia" w:ascii="宋体" w:hAnsi="宋体" w:eastAsia="宋体" w:cs="宋体"/>
          <w:b/>
          <w:bCs w:val="0"/>
          <w:snapToGrid w:val="0"/>
          <w:color w:val="auto"/>
          <w:kern w:val="0"/>
          <w:sz w:val="24"/>
          <w:szCs w:val="24"/>
          <w:highlight w:val="none"/>
        </w:rPr>
        <w:t>年</w:t>
      </w:r>
      <w:r>
        <w:rPr>
          <w:rFonts w:hint="eastAsia" w:ascii="宋体" w:hAnsi="宋体" w:eastAsia="宋体" w:cs="宋体"/>
          <w:b w:val="0"/>
          <w:bCs/>
          <w:snapToGrid w:val="0"/>
          <w:color w:val="auto"/>
          <w:kern w:val="0"/>
          <w:sz w:val="24"/>
          <w:szCs w:val="24"/>
          <w:highlight w:val="none"/>
        </w:rPr>
        <w:t>（自通过竣工验收之日起计），在此期间预留金额为结算价</w:t>
      </w:r>
      <w:r>
        <w:rPr>
          <w:rFonts w:hint="eastAsia" w:ascii="宋体" w:hAnsi="宋体" w:eastAsia="宋体" w:cs="宋体"/>
          <w:b/>
          <w:bCs w:val="0"/>
          <w:snapToGrid w:val="0"/>
          <w:color w:val="auto"/>
          <w:kern w:val="0"/>
          <w:sz w:val="24"/>
          <w:szCs w:val="24"/>
          <w:highlight w:val="none"/>
          <w:u w:val="single"/>
        </w:rPr>
        <w:t>3%</w:t>
      </w:r>
      <w:r>
        <w:rPr>
          <w:rFonts w:hint="eastAsia" w:ascii="宋体" w:hAnsi="宋体" w:eastAsia="宋体" w:cs="宋体"/>
          <w:b w:val="0"/>
          <w:bCs/>
          <w:snapToGrid w:val="0"/>
          <w:color w:val="auto"/>
          <w:kern w:val="0"/>
          <w:sz w:val="24"/>
          <w:szCs w:val="24"/>
          <w:highlight w:val="none"/>
        </w:rPr>
        <w:t>的质量保证。</w:t>
      </w:r>
    </w:p>
    <w:p w14:paraId="2FC3D744">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4.10.2 质量保证的形式：质量保证的形式包括质量保证金、质量保证担保、质量保证保险三种，由承包人自主选择。</w:t>
      </w:r>
    </w:p>
    <w:p w14:paraId="678237C6">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（1）采用质量保证金形式的，在结清审定总造价时一次性扣留相应金额作为质量保证金。</w:t>
      </w:r>
    </w:p>
    <w:p w14:paraId="43198DD8">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lang w:val="en-US" w:eastAsia="zh-CN"/>
        </w:rPr>
        <w:t>（2）采用质量保证担保或质量保证保险的，承包人应在竣工验收时向发包人提交有效的商业保函、银行保函或保险合同（或保险单）原件，商业保函、银行保函或保险合同（或保险单）的有效期不得短于缺陷责任期</w:t>
      </w:r>
      <w:r>
        <w:rPr>
          <w:rFonts w:hint="eastAsia" w:ascii="宋体" w:hAnsi="宋体" w:eastAsia="宋体" w:cs="宋体"/>
          <w:b w:val="0"/>
          <w:bCs/>
          <w:snapToGrid w:val="0"/>
          <w:color w:val="auto"/>
          <w:kern w:val="0"/>
          <w:sz w:val="24"/>
          <w:szCs w:val="24"/>
          <w:highlight w:val="none"/>
        </w:rPr>
        <w:t>。</w:t>
      </w:r>
    </w:p>
    <w:p w14:paraId="7D260679">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4.10.3 缺陷责任期内，由承包人原因造成的缺陷，承包人应负责维修，并承担鉴定及维修费用。如果承包人不维修也不承担费用，发包人可按合同约定从质量保证中扣除，维修费用超出保证金额的，发包人可按合同约定向承包人进行索赔。承包人维修并承担相应费用后，不免除对工程的损失赔偿责任。</w:t>
      </w:r>
    </w:p>
    <w:p w14:paraId="2FA502D8">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由他人原因造成的缺陷，发包人负责组织维修，承包人不承担费用，且发包人不得从质量保证中扣除费用。</w:t>
      </w:r>
    </w:p>
    <w:p w14:paraId="763C841D">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4.10.4 缺陷责任期内，承包人应认真履行合同约定的责任。缺陷责任期到期后，承包人向发包人申请退还质量保证，发包人应按照《建设工程质量保证金管理办法》有关规定将质量保证退还给承包人。</w:t>
      </w:r>
    </w:p>
    <w:p w14:paraId="7A891F03">
      <w:pPr>
        <w:pStyle w:val="61"/>
        <w:spacing w:line="360" w:lineRule="auto"/>
        <w:ind w:firstLine="482" w:firstLineChars="200"/>
        <w:jc w:val="left"/>
        <w:rPr>
          <w:rFonts w:hint="eastAsia" w:ascii="宋体" w:hAnsi="宋体" w:eastAsia="宋体" w:cs="宋体"/>
          <w:b w:val="0"/>
          <w:bCs/>
          <w:snapToGrid w:val="0"/>
          <w:color w:val="auto"/>
          <w:kern w:val="0"/>
          <w:sz w:val="24"/>
          <w:szCs w:val="24"/>
          <w:highlight w:val="none"/>
        </w:rPr>
      </w:pPr>
      <w:bookmarkStart w:id="224" w:name="_Toc211"/>
      <w:bookmarkStart w:id="225" w:name="_Toc9682"/>
      <w:r>
        <w:rPr>
          <w:rFonts w:hint="eastAsia" w:ascii="宋体" w:hAnsi="宋体" w:eastAsia="宋体" w:cs="宋体"/>
          <w:b/>
          <w:bCs w:val="0"/>
          <w:snapToGrid w:val="0"/>
          <w:color w:val="auto"/>
          <w:kern w:val="0"/>
          <w:sz w:val="24"/>
          <w:szCs w:val="24"/>
          <w:highlight w:val="none"/>
        </w:rPr>
        <w:t>4.11</w:t>
      </w:r>
      <w:r>
        <w:rPr>
          <w:rFonts w:hint="eastAsia" w:ascii="宋体" w:hAnsi="宋体" w:cs="宋体"/>
          <w:b/>
          <w:bCs w:val="0"/>
          <w:snapToGrid w:val="0"/>
          <w:color w:val="auto"/>
          <w:kern w:val="0"/>
          <w:sz w:val="24"/>
          <w:szCs w:val="24"/>
          <w:highlight w:val="none"/>
          <w:lang w:val="en-US" w:eastAsia="zh-CN"/>
        </w:rPr>
        <w:t>.</w:t>
      </w:r>
      <w:r>
        <w:rPr>
          <w:rFonts w:hint="eastAsia" w:ascii="宋体" w:hAnsi="宋体" w:eastAsia="宋体" w:cs="宋体"/>
          <w:b/>
          <w:bCs w:val="0"/>
          <w:snapToGrid w:val="0"/>
          <w:color w:val="auto"/>
          <w:kern w:val="0"/>
          <w:sz w:val="24"/>
          <w:szCs w:val="24"/>
          <w:highlight w:val="none"/>
        </w:rPr>
        <w:t>不良行为处理</w:t>
      </w:r>
      <w:bookmarkEnd w:id="224"/>
      <w:bookmarkEnd w:id="225"/>
    </w:p>
    <w:p w14:paraId="00651002">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承包人及其有关人员有下列行为之一的，发包人应及时向建设行政主管部门报告。除按照有关法律、法规进行处罚外，不良行为将计入企业及有关个人诚信档案，并在韶关市住房和城乡建设管理局网站（http://zgj.sg.gov.cn）公示。</w:t>
      </w:r>
    </w:p>
    <w:p w14:paraId="5DE33D43">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（1）转包、违法分包或违反投标承诺分包工程的；</w:t>
      </w:r>
    </w:p>
    <w:p w14:paraId="253CB99F">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（2）非原参加投标中标的项目经理负责组织施工或在实施过程中擅自更换项目经理的、项目的其他主要管理人员与中标文件确定的人员不相符的；</w:t>
      </w:r>
    </w:p>
    <w:p w14:paraId="08756DD9">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（3）投标文件确定的大型机械设备没有进入施工现场的；</w:t>
      </w:r>
    </w:p>
    <w:p w14:paraId="3BA2B30A">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（4）与建设单位、监理单位串通，签认虚假工程量或工程造价的；</w:t>
      </w:r>
    </w:p>
    <w:p w14:paraId="110B95AF">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（5）项目经理施工现场管理不到位的；</w:t>
      </w:r>
    </w:p>
    <w:p w14:paraId="7DF6C304">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（6）项目经理在非本人资格证书注册单位从事工程项目施工管理的；</w:t>
      </w:r>
    </w:p>
    <w:p w14:paraId="039FAE7D">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（7）项目经理同时承担超过一项工程项目的；</w:t>
      </w:r>
    </w:p>
    <w:p w14:paraId="5A1E2D1E">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（8）违反有关法律、法规、规章规定的其它行为。</w:t>
      </w:r>
    </w:p>
    <w:p w14:paraId="75557C70">
      <w:pPr>
        <w:pStyle w:val="61"/>
        <w:spacing w:line="360" w:lineRule="auto"/>
        <w:ind w:firstLine="482" w:firstLineChars="200"/>
        <w:jc w:val="left"/>
        <w:rPr>
          <w:rFonts w:hint="eastAsia" w:ascii="宋体" w:hAnsi="宋体" w:eastAsia="宋体" w:cs="宋体"/>
          <w:b/>
          <w:bCs w:val="0"/>
          <w:snapToGrid w:val="0"/>
          <w:color w:val="auto"/>
          <w:kern w:val="0"/>
          <w:sz w:val="24"/>
          <w:szCs w:val="24"/>
          <w:highlight w:val="none"/>
        </w:rPr>
      </w:pPr>
      <w:bookmarkStart w:id="226" w:name="_Toc15004"/>
      <w:bookmarkStart w:id="227" w:name="_Toc16682"/>
      <w:r>
        <w:rPr>
          <w:rFonts w:hint="eastAsia" w:ascii="宋体" w:hAnsi="宋体" w:eastAsia="宋体" w:cs="宋体"/>
          <w:b/>
          <w:bCs w:val="0"/>
          <w:snapToGrid w:val="0"/>
          <w:color w:val="auto"/>
          <w:kern w:val="0"/>
          <w:sz w:val="24"/>
          <w:szCs w:val="24"/>
          <w:highlight w:val="none"/>
        </w:rPr>
        <w:t>4.12</w:t>
      </w:r>
      <w:r>
        <w:rPr>
          <w:rFonts w:hint="eastAsia" w:ascii="宋体" w:hAnsi="宋体" w:cs="宋体"/>
          <w:b/>
          <w:bCs w:val="0"/>
          <w:snapToGrid w:val="0"/>
          <w:color w:val="auto"/>
          <w:kern w:val="0"/>
          <w:sz w:val="24"/>
          <w:szCs w:val="24"/>
          <w:highlight w:val="none"/>
          <w:lang w:val="en-US" w:eastAsia="zh-CN"/>
        </w:rPr>
        <w:t>.</w:t>
      </w:r>
      <w:r>
        <w:rPr>
          <w:rFonts w:hint="eastAsia" w:ascii="宋体" w:hAnsi="宋体" w:eastAsia="宋体" w:cs="宋体"/>
          <w:b/>
          <w:bCs w:val="0"/>
          <w:snapToGrid w:val="0"/>
          <w:color w:val="auto"/>
          <w:kern w:val="0"/>
          <w:sz w:val="24"/>
          <w:szCs w:val="24"/>
          <w:highlight w:val="none"/>
        </w:rPr>
        <w:t>信用评价条款内容</w:t>
      </w:r>
      <w:bookmarkEnd w:id="226"/>
      <w:bookmarkEnd w:id="227"/>
    </w:p>
    <w:p w14:paraId="260E09D2">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由招标人决定是否对施工单位的履约情况进行信用评价。若进行信用评价，评价条款由招标人自拟，条款内容可参考人员到位情况、服务配合程度、服务成果质量、项目后期服务及信用评价结果的运用等。 </w:t>
      </w:r>
    </w:p>
    <w:p w14:paraId="2A724234">
      <w:pPr>
        <w:pStyle w:val="61"/>
        <w:spacing w:line="360" w:lineRule="auto"/>
        <w:ind w:firstLine="482"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cs="宋体"/>
          <w:b/>
          <w:bCs w:val="0"/>
          <w:snapToGrid w:val="0"/>
          <w:color w:val="auto"/>
          <w:kern w:val="0"/>
          <w:sz w:val="24"/>
          <w:szCs w:val="24"/>
          <w:highlight w:val="none"/>
          <w:lang w:val="en-US" w:eastAsia="zh-CN"/>
        </w:rPr>
        <w:t>4.13.</w:t>
      </w:r>
      <w:r>
        <w:rPr>
          <w:rFonts w:hint="eastAsia" w:ascii="宋体" w:hAnsi="宋体" w:eastAsia="宋体" w:cs="宋体"/>
          <w:b w:val="0"/>
          <w:bCs/>
          <w:snapToGrid w:val="0"/>
          <w:color w:val="auto"/>
          <w:kern w:val="0"/>
          <w:sz w:val="24"/>
          <w:szCs w:val="24"/>
          <w:highlight w:val="none"/>
        </w:rPr>
        <w:t>危险性较大的分部分项工程安全管理约定。对危险性较大的工程必须按《危险性较大的分部分项工程安全管理规定》（中华人民共和国住房和城乡建设部令第37号）的规定编制专项施工方案。同时，从承包人必须按照《危险性较大的分部分项工程安全管理规定》的规定和经审批的专项施工方案履行安全职责，严格执行国家、地方政府有关施工安全管理方面的法律、法规及规章制度，同时严格执行发包人制订的本项目安全生产管理方面的规章制度、安全检查程序及施工安全管理要求，以及监理人有关安全工作的指令。</w:t>
      </w:r>
    </w:p>
    <w:p w14:paraId="034CC18B">
      <w:pPr>
        <w:pStyle w:val="61"/>
        <w:spacing w:line="360" w:lineRule="auto"/>
        <w:ind w:firstLine="480" w:firstLineChars="200"/>
        <w:jc w:val="left"/>
        <w:rPr>
          <w:rFonts w:hint="eastAsia" w:ascii="宋体" w:hAnsi="宋体" w:eastAsia="宋体" w:cs="宋体"/>
          <w:b/>
          <w:bCs w:val="0"/>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承包人应根据《危险性较大的分部分项工程安全管理规定》（住房城乡建设部令第37号）、《住房城乡建设部办公厅关于实施&lt;危险性较大的分部分项工程安全管理规定&gt;有关问题的通知》（建办质〔2018〕31号）、《广东省住房和城乡建设厅关于房屋市政工程危险性较大的分部分项工程安全管理的实施细则的通知》(粤建规范〔2019〕2号) 和《广东省安全生产委员会办公室 广东省住房和城乡建设厅关于&lt;严格落实危险性较大的分部分项工程“六不施工”要求的通知&gt;》（粤安办〔2020〕151 号）等有关危险性较大的分部分项工程的法规规定通知，履行建设工程安全生产管理职责。</w:t>
      </w:r>
    </w:p>
    <w:p w14:paraId="5714F8E5">
      <w:pPr>
        <w:pStyle w:val="61"/>
        <w:spacing w:line="360" w:lineRule="auto"/>
        <w:ind w:firstLine="482"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4.</w:t>
      </w:r>
      <w:r>
        <w:rPr>
          <w:rFonts w:hint="eastAsia" w:ascii="宋体" w:hAnsi="宋体" w:cs="宋体"/>
          <w:b/>
          <w:bCs w:val="0"/>
          <w:snapToGrid w:val="0"/>
          <w:color w:val="auto"/>
          <w:kern w:val="0"/>
          <w:sz w:val="24"/>
          <w:szCs w:val="24"/>
          <w:highlight w:val="none"/>
          <w:lang w:val="en-US" w:eastAsia="zh-CN"/>
        </w:rPr>
        <w:t>14.</w:t>
      </w:r>
      <w:r>
        <w:rPr>
          <w:rFonts w:hint="eastAsia" w:ascii="宋体" w:hAnsi="宋体" w:eastAsia="宋体" w:cs="宋体"/>
          <w:b w:val="0"/>
          <w:bCs/>
          <w:snapToGrid w:val="0"/>
          <w:color w:val="auto"/>
          <w:kern w:val="0"/>
          <w:sz w:val="24"/>
          <w:szCs w:val="24"/>
          <w:highlight w:val="none"/>
        </w:rPr>
        <w:t>承包人在工程实施过程中，按照国家、省、市的相关规定制定相关的专项安全施工方案（如高支模、基坑支护、沉井等），编制专项施工方案报监理人、招标人审批后方可开展专项工程的施工。</w:t>
      </w:r>
    </w:p>
    <w:p w14:paraId="6D850A8F">
      <w:pPr>
        <w:pStyle w:val="61"/>
        <w:spacing w:line="360" w:lineRule="auto"/>
        <w:ind w:firstLine="482"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4.1</w:t>
      </w:r>
      <w:r>
        <w:rPr>
          <w:rFonts w:hint="eastAsia" w:ascii="宋体" w:hAnsi="宋体" w:cs="宋体"/>
          <w:b/>
          <w:bCs w:val="0"/>
          <w:snapToGrid w:val="0"/>
          <w:color w:val="auto"/>
          <w:kern w:val="0"/>
          <w:sz w:val="24"/>
          <w:szCs w:val="24"/>
          <w:highlight w:val="none"/>
          <w:lang w:val="en-US" w:eastAsia="zh-CN"/>
        </w:rPr>
        <w:t>5.</w:t>
      </w:r>
      <w:r>
        <w:rPr>
          <w:rFonts w:hint="eastAsia" w:ascii="宋体" w:hAnsi="宋体" w:eastAsia="宋体" w:cs="宋体"/>
          <w:b w:val="0"/>
          <w:bCs/>
          <w:snapToGrid w:val="0"/>
          <w:color w:val="auto"/>
          <w:kern w:val="0"/>
          <w:sz w:val="24"/>
          <w:szCs w:val="24"/>
          <w:highlight w:val="none"/>
        </w:rPr>
        <w:t>中标人须按照《韶关市建筑垃圾管理条例》（2021年5月1日起施行），将弃土运至招标人指定的场所，否则招标人有权要求中标人无条件将弃土从违约弃土点运至招标人指定的场所并扣除违约金</w:t>
      </w:r>
      <w:r>
        <w:rPr>
          <w:rFonts w:hint="eastAsia" w:ascii="宋体" w:hAnsi="宋体" w:cs="宋体"/>
          <w:b w:val="0"/>
          <w:bCs/>
          <w:snapToGrid w:val="0"/>
          <w:color w:val="auto"/>
          <w:kern w:val="0"/>
          <w:sz w:val="24"/>
          <w:szCs w:val="24"/>
          <w:highlight w:val="none"/>
          <w:lang w:val="en-US" w:eastAsia="zh-CN"/>
        </w:rPr>
        <w:t>1</w:t>
      </w:r>
      <w:r>
        <w:rPr>
          <w:rFonts w:hint="eastAsia" w:ascii="宋体" w:hAnsi="宋体" w:eastAsia="宋体" w:cs="宋体"/>
          <w:b w:val="0"/>
          <w:bCs/>
          <w:snapToGrid w:val="0"/>
          <w:color w:val="auto"/>
          <w:kern w:val="0"/>
          <w:sz w:val="24"/>
          <w:szCs w:val="24"/>
          <w:highlight w:val="none"/>
        </w:rPr>
        <w:t>万元人民币/次。中标人对建筑垃圾须按《韶关市建筑垃圾管理条例》（2021年5月1日起施行）的相关规定进行排放和运输，投标人在投标报价时综合考虑在报价内。中标人应在施工现场建立洗车槽和临时排水系统等确保外运车辆（土方运输车辆应符合韶关市相关规定）不带泥上路，投标人在投标报价时综合考虑在报价内，招标人不另行支付该部分费用）。建设单位、施工单位应当在施工工地出入口显著位置公示建筑垃圾处理方案主要信息，包括建设工程垃圾种类、产生量、外运处置去向等信息及各相关单位名称、联系人及联系电话等。</w:t>
      </w:r>
    </w:p>
    <w:p w14:paraId="0F741952">
      <w:pPr>
        <w:pStyle w:val="61"/>
        <w:spacing w:line="360" w:lineRule="auto"/>
        <w:ind w:firstLine="482"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4.1</w:t>
      </w:r>
      <w:r>
        <w:rPr>
          <w:rFonts w:hint="eastAsia" w:ascii="宋体" w:hAnsi="宋体" w:cs="宋体"/>
          <w:b/>
          <w:bCs w:val="0"/>
          <w:snapToGrid w:val="0"/>
          <w:color w:val="auto"/>
          <w:kern w:val="0"/>
          <w:sz w:val="24"/>
          <w:szCs w:val="24"/>
          <w:highlight w:val="none"/>
          <w:lang w:val="en-US" w:eastAsia="zh-CN"/>
        </w:rPr>
        <w:t>6.</w:t>
      </w:r>
      <w:r>
        <w:rPr>
          <w:rFonts w:hint="eastAsia" w:ascii="宋体" w:hAnsi="宋体" w:eastAsia="宋体" w:cs="宋体"/>
          <w:b w:val="0"/>
          <w:bCs/>
          <w:snapToGrid w:val="0"/>
          <w:color w:val="auto"/>
          <w:kern w:val="0"/>
          <w:sz w:val="24"/>
          <w:szCs w:val="24"/>
          <w:highlight w:val="none"/>
        </w:rPr>
        <w:t>工程竣工验收后15日内，中标人应按市城建档案馆的要求（质量、数量），将编制成册的施工档案资料（含声像档案和电子档案）提供给招标人、市城建档案馆、市住建管理局、管养单位及监理单位，并承担档案涉及的所有费用（制作标准和相关要求按市城建档案馆的有关规定执行）。中标人提交符合城建档案馆要求的竣工资料经招标人确认签收后，即可办理工程结算手续。</w:t>
      </w:r>
    </w:p>
    <w:p w14:paraId="119A4AF6">
      <w:pPr>
        <w:pStyle w:val="61"/>
        <w:spacing w:line="360" w:lineRule="auto"/>
        <w:ind w:firstLine="482"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4.</w:t>
      </w:r>
      <w:r>
        <w:rPr>
          <w:rFonts w:hint="eastAsia" w:ascii="宋体" w:hAnsi="宋体" w:cs="宋体"/>
          <w:b/>
          <w:bCs w:val="0"/>
          <w:snapToGrid w:val="0"/>
          <w:color w:val="auto"/>
          <w:kern w:val="0"/>
          <w:sz w:val="24"/>
          <w:szCs w:val="24"/>
          <w:highlight w:val="none"/>
          <w:lang w:val="en-US" w:eastAsia="zh-CN"/>
        </w:rPr>
        <w:t>17.</w:t>
      </w:r>
      <w:r>
        <w:rPr>
          <w:rFonts w:hint="eastAsia" w:ascii="宋体" w:hAnsi="宋体" w:eastAsia="宋体" w:cs="宋体"/>
          <w:b w:val="0"/>
          <w:bCs/>
          <w:snapToGrid w:val="0"/>
          <w:color w:val="auto"/>
          <w:kern w:val="0"/>
          <w:sz w:val="24"/>
          <w:szCs w:val="24"/>
          <w:highlight w:val="none"/>
        </w:rPr>
        <w:t xml:space="preserve">承包人应做好周边设施（含军用光缆、燃气、供电、供水、排水、排污、人行道、路灯、治安监控、交通电警等）的成品保护并及时与周边设施的权属单位协调解决，如因承包人原因导致上述设施发生损坏，承包人无条件按发包人规定的期限内修复，涉及成品保护费、索赔等一切费用全部由承包人自行解决。 </w:t>
      </w:r>
    </w:p>
    <w:p w14:paraId="582C81D6">
      <w:pPr>
        <w:pStyle w:val="61"/>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4.1</w:t>
      </w:r>
      <w:r>
        <w:rPr>
          <w:rFonts w:hint="eastAsia" w:ascii="宋体" w:hAnsi="宋体" w:cs="宋体"/>
          <w:b/>
          <w:bCs w:val="0"/>
          <w:snapToGrid w:val="0"/>
          <w:color w:val="auto"/>
          <w:kern w:val="0"/>
          <w:sz w:val="24"/>
          <w:szCs w:val="24"/>
          <w:highlight w:val="none"/>
          <w:lang w:val="en-US" w:eastAsia="zh-CN"/>
        </w:rPr>
        <w:t>8.</w:t>
      </w:r>
      <w:r>
        <w:rPr>
          <w:rFonts w:hint="eastAsia" w:ascii="宋体" w:hAnsi="宋体" w:eastAsia="宋体" w:cs="宋体"/>
          <w:b/>
          <w:bCs w:val="0"/>
          <w:snapToGrid w:val="0"/>
          <w:color w:val="auto"/>
          <w:kern w:val="0"/>
          <w:sz w:val="24"/>
          <w:szCs w:val="24"/>
          <w:highlight w:val="none"/>
        </w:rPr>
        <w:t xml:space="preserve"> </w:t>
      </w:r>
      <w:r>
        <w:rPr>
          <w:rFonts w:hint="eastAsia" w:ascii="宋体" w:hAnsi="宋体" w:eastAsia="宋体" w:cs="宋体"/>
          <w:b w:val="0"/>
          <w:bCs/>
          <w:snapToGrid w:val="0"/>
          <w:color w:val="auto"/>
          <w:kern w:val="0"/>
          <w:sz w:val="24"/>
          <w:szCs w:val="24"/>
          <w:highlight w:val="none"/>
        </w:rPr>
        <w:t xml:space="preserve">承包人中标后必须按规定及时缴交工人工资保证金、环保噪声排污费等。 </w:t>
      </w:r>
    </w:p>
    <w:p w14:paraId="129AC4D2">
      <w:pPr>
        <w:pStyle w:val="61"/>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4.1</w:t>
      </w:r>
      <w:r>
        <w:rPr>
          <w:rFonts w:hint="eastAsia" w:ascii="宋体" w:hAnsi="宋体" w:cs="宋体"/>
          <w:b/>
          <w:bCs w:val="0"/>
          <w:snapToGrid w:val="0"/>
          <w:color w:val="auto"/>
          <w:kern w:val="0"/>
          <w:sz w:val="24"/>
          <w:szCs w:val="24"/>
          <w:highlight w:val="none"/>
          <w:lang w:val="en-US" w:eastAsia="zh-CN"/>
        </w:rPr>
        <w:t>9.</w:t>
      </w:r>
      <w:r>
        <w:rPr>
          <w:rFonts w:hint="eastAsia" w:ascii="宋体" w:hAnsi="宋体" w:eastAsia="宋体" w:cs="宋体"/>
          <w:b w:val="0"/>
          <w:bCs/>
          <w:snapToGrid w:val="0"/>
          <w:color w:val="auto"/>
          <w:kern w:val="0"/>
          <w:sz w:val="24"/>
          <w:szCs w:val="24"/>
          <w:highlight w:val="none"/>
        </w:rPr>
        <w:t xml:space="preserve"> 工程质量保修期按《中华人民共和国建筑法》、《建设工程质量管理条例》等相关规定实施。 </w:t>
      </w:r>
    </w:p>
    <w:p w14:paraId="327AFBE1">
      <w:pPr>
        <w:pStyle w:val="61"/>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4.</w:t>
      </w:r>
      <w:r>
        <w:rPr>
          <w:rFonts w:hint="eastAsia" w:ascii="宋体" w:hAnsi="宋体" w:cs="宋体"/>
          <w:b/>
          <w:bCs w:val="0"/>
          <w:snapToGrid w:val="0"/>
          <w:color w:val="auto"/>
          <w:kern w:val="0"/>
          <w:sz w:val="24"/>
          <w:szCs w:val="24"/>
          <w:highlight w:val="none"/>
          <w:lang w:val="en-US" w:eastAsia="zh-CN"/>
        </w:rPr>
        <w:t>20.</w:t>
      </w:r>
      <w:r>
        <w:rPr>
          <w:rFonts w:hint="eastAsia" w:ascii="宋体" w:hAnsi="宋体" w:eastAsia="宋体" w:cs="宋体"/>
          <w:b w:val="0"/>
          <w:bCs/>
          <w:snapToGrid w:val="0"/>
          <w:color w:val="auto"/>
          <w:kern w:val="0"/>
          <w:sz w:val="24"/>
          <w:szCs w:val="24"/>
          <w:highlight w:val="none"/>
        </w:rPr>
        <w:t xml:space="preserve"> 如项目实施过程中发生了工程变更及工程签证，承包人需根据发包人发布的 《工程变更管理办法》和《工程签证管理办法》完善工程变更签证相关程序。 </w:t>
      </w:r>
    </w:p>
    <w:p w14:paraId="0367AB3D">
      <w:pPr>
        <w:pStyle w:val="61"/>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4.</w:t>
      </w:r>
      <w:r>
        <w:rPr>
          <w:rFonts w:hint="eastAsia" w:ascii="宋体" w:hAnsi="宋体" w:cs="宋体"/>
          <w:b/>
          <w:bCs w:val="0"/>
          <w:snapToGrid w:val="0"/>
          <w:color w:val="auto"/>
          <w:kern w:val="0"/>
          <w:sz w:val="24"/>
          <w:szCs w:val="24"/>
          <w:highlight w:val="none"/>
          <w:lang w:val="en-US" w:eastAsia="zh-CN"/>
        </w:rPr>
        <w:t>21.</w:t>
      </w:r>
      <w:r>
        <w:rPr>
          <w:rFonts w:hint="eastAsia" w:ascii="宋体" w:hAnsi="宋体" w:eastAsia="宋体" w:cs="宋体"/>
          <w:b w:val="0"/>
          <w:bCs/>
          <w:snapToGrid w:val="0"/>
          <w:color w:val="auto"/>
          <w:kern w:val="0"/>
          <w:sz w:val="24"/>
          <w:szCs w:val="24"/>
          <w:highlight w:val="none"/>
        </w:rPr>
        <w:t xml:space="preserve"> 承包人需按相关规定要求，设置本工程符合相关要求的永久性标牌及规划公示牌，投标人在投标报价时综合考虑在报价内，发包人不另行支付该部分费用。 </w:t>
      </w:r>
    </w:p>
    <w:p w14:paraId="287663DB">
      <w:pPr>
        <w:pStyle w:val="61"/>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4.2</w:t>
      </w:r>
      <w:r>
        <w:rPr>
          <w:rFonts w:hint="eastAsia" w:ascii="宋体" w:hAnsi="宋体" w:cs="宋体"/>
          <w:b/>
          <w:bCs w:val="0"/>
          <w:snapToGrid w:val="0"/>
          <w:color w:val="auto"/>
          <w:kern w:val="0"/>
          <w:sz w:val="24"/>
          <w:szCs w:val="24"/>
          <w:highlight w:val="none"/>
          <w:lang w:val="en-US" w:eastAsia="zh-CN"/>
        </w:rPr>
        <w:t>2.</w:t>
      </w:r>
      <w:r>
        <w:rPr>
          <w:rFonts w:hint="eastAsia" w:ascii="宋体" w:hAnsi="宋体" w:eastAsia="宋体" w:cs="宋体"/>
          <w:b/>
          <w:bCs w:val="0"/>
          <w:snapToGrid w:val="0"/>
          <w:color w:val="auto"/>
          <w:kern w:val="0"/>
          <w:sz w:val="24"/>
          <w:szCs w:val="24"/>
          <w:highlight w:val="none"/>
        </w:rPr>
        <w:t xml:space="preserve"> </w:t>
      </w:r>
      <w:r>
        <w:rPr>
          <w:rFonts w:hint="eastAsia" w:ascii="宋体" w:hAnsi="宋体" w:eastAsia="宋体" w:cs="宋体"/>
          <w:b w:val="0"/>
          <w:bCs/>
          <w:snapToGrid w:val="0"/>
          <w:color w:val="auto"/>
          <w:kern w:val="0"/>
          <w:sz w:val="24"/>
          <w:szCs w:val="24"/>
          <w:highlight w:val="none"/>
        </w:rPr>
        <w:t xml:space="preserve">承包人应在项目所在地住建管理部门办理诚信登记，发包人将严格按住建管理部门诚信登记管理办法对承包人履约情况进行考核。 </w:t>
      </w:r>
    </w:p>
    <w:p w14:paraId="2C740F39">
      <w:pPr>
        <w:pStyle w:val="61"/>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4.2</w:t>
      </w:r>
      <w:r>
        <w:rPr>
          <w:rFonts w:hint="eastAsia" w:ascii="宋体" w:hAnsi="宋体" w:cs="宋体"/>
          <w:b/>
          <w:bCs w:val="0"/>
          <w:snapToGrid w:val="0"/>
          <w:color w:val="auto"/>
          <w:kern w:val="0"/>
          <w:sz w:val="24"/>
          <w:szCs w:val="24"/>
          <w:highlight w:val="none"/>
          <w:lang w:val="en-US" w:eastAsia="zh-CN"/>
        </w:rPr>
        <w:t>3.</w:t>
      </w:r>
      <w:r>
        <w:rPr>
          <w:rFonts w:hint="eastAsia" w:ascii="宋体" w:hAnsi="宋体" w:eastAsia="宋体" w:cs="宋体"/>
          <w:b w:val="0"/>
          <w:bCs/>
          <w:snapToGrid w:val="0"/>
          <w:color w:val="auto"/>
          <w:kern w:val="0"/>
          <w:sz w:val="24"/>
          <w:szCs w:val="24"/>
          <w:highlight w:val="none"/>
        </w:rPr>
        <w:t xml:space="preserve"> 承包人应按韶关市住房和城乡建设管理局、韶关市人力资源和社会保障局等职能部门对用工实名制的相关规定,落实工人及相关软硬件设施要求。</w:t>
      </w:r>
    </w:p>
    <w:p w14:paraId="5BDBF553">
      <w:pPr>
        <w:pStyle w:val="61"/>
        <w:spacing w:line="360" w:lineRule="auto"/>
        <w:ind w:firstLine="482" w:firstLineChars="2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4.2</w:t>
      </w:r>
      <w:r>
        <w:rPr>
          <w:rFonts w:hint="eastAsia" w:ascii="宋体" w:hAnsi="宋体" w:cs="宋体"/>
          <w:bCs/>
          <w:color w:val="auto"/>
          <w:sz w:val="24"/>
          <w:szCs w:val="24"/>
          <w:highlight w:val="none"/>
          <w:lang w:val="en-US" w:eastAsia="zh-CN"/>
        </w:rPr>
        <w:t xml:space="preserve">4. </w:t>
      </w:r>
      <w:r>
        <w:rPr>
          <w:rFonts w:hint="eastAsia" w:ascii="宋体" w:hAnsi="宋体" w:eastAsia="宋体" w:cs="宋体"/>
          <w:b w:val="0"/>
          <w:bCs w:val="0"/>
          <w:color w:val="auto"/>
          <w:sz w:val="24"/>
          <w:szCs w:val="24"/>
          <w:highlight w:val="none"/>
        </w:rPr>
        <w:t>根据乐昌市应急管理局《关于做好安全生产责任保险推广工作的通知》（乐安委办〔2020〕21号），安责险实施全覆盖的文件精神，投标单位须按照文件要求将项目安责险费用计入投标报价中。</w:t>
      </w:r>
    </w:p>
    <w:p w14:paraId="52280D74">
      <w:pPr>
        <w:widowControl w:val="0"/>
        <w:numPr>
          <w:ilvl w:val="0"/>
          <w:numId w:val="0"/>
        </w:numPr>
        <w:spacing w:line="360" w:lineRule="auto"/>
        <w:jc w:val="both"/>
        <w:rPr>
          <w:rFonts w:hint="eastAsia" w:ascii="宋体" w:hAnsi="宋体" w:eastAsia="宋体" w:cs="宋体"/>
          <w:color w:val="auto"/>
          <w:highlight w:val="none"/>
          <w:lang w:eastAsia="zh-CN"/>
        </w:rPr>
      </w:pPr>
    </w:p>
    <w:p w14:paraId="21D42C2F">
      <w:pPr>
        <w:pStyle w:val="10"/>
        <w:rPr>
          <w:rFonts w:hint="eastAsia" w:ascii="宋体" w:hAnsi="宋体" w:eastAsia="宋体" w:cs="宋体"/>
          <w:color w:val="auto"/>
          <w:highlight w:val="none"/>
          <w:lang w:eastAsia="zh-CN"/>
        </w:rPr>
      </w:pPr>
    </w:p>
    <w:p w14:paraId="7F9DE86D">
      <w:pPr>
        <w:rPr>
          <w:rFonts w:hint="eastAsia" w:ascii="宋体" w:hAnsi="宋体" w:eastAsia="宋体" w:cs="宋体"/>
          <w:color w:val="auto"/>
          <w:highlight w:val="none"/>
          <w:lang w:eastAsia="zh-CN"/>
        </w:rPr>
      </w:pPr>
    </w:p>
    <w:p w14:paraId="486FEDC9">
      <w:pPr>
        <w:pStyle w:val="10"/>
        <w:rPr>
          <w:rFonts w:hint="eastAsia" w:ascii="宋体" w:hAnsi="宋体" w:eastAsia="宋体" w:cs="宋体"/>
          <w:color w:val="auto"/>
          <w:highlight w:val="none"/>
          <w:lang w:eastAsia="zh-CN"/>
        </w:rPr>
      </w:pPr>
    </w:p>
    <w:p w14:paraId="6C62F16D">
      <w:pPr>
        <w:pStyle w:val="2"/>
        <w:wordWrap w:val="0"/>
        <w:autoSpaceDE/>
        <w:autoSpaceDN/>
        <w:snapToGrid w:val="0"/>
        <w:spacing w:line="440" w:lineRule="exact"/>
        <w:jc w:val="center"/>
        <w:rPr>
          <w:rFonts w:hint="eastAsia" w:ascii="宋体" w:hAnsi="宋体" w:eastAsia="宋体" w:cs="宋体"/>
          <w:b/>
          <w:snapToGrid w:val="0"/>
          <w:color w:val="auto"/>
          <w:sz w:val="24"/>
          <w:highlight w:val="none"/>
          <w:lang w:val="en-US" w:eastAsia="zh-CN"/>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bookmarkStart w:id="228" w:name="_Toc3051"/>
      <w:bookmarkStart w:id="229" w:name="_Toc9687"/>
    </w:p>
    <w:p w14:paraId="480A1774">
      <w:pPr>
        <w:pStyle w:val="2"/>
        <w:wordWrap w:val="0"/>
        <w:autoSpaceDE/>
        <w:autoSpaceDN/>
        <w:snapToGrid w:val="0"/>
        <w:spacing w:line="440" w:lineRule="exact"/>
        <w:jc w:val="center"/>
        <w:rPr>
          <w:rFonts w:hint="eastAsia" w:ascii="宋体" w:hAnsi="宋体" w:eastAsia="宋体" w:cs="宋体"/>
          <w:b/>
          <w:snapToGrid w:val="0"/>
          <w:color w:val="auto"/>
          <w:sz w:val="24"/>
          <w:highlight w:val="none"/>
          <w:lang w:val="en-US" w:eastAsia="zh-CN"/>
        </w:rPr>
      </w:pPr>
      <w:r>
        <w:rPr>
          <w:rFonts w:hint="eastAsia" w:ascii="宋体" w:hAnsi="宋体" w:eastAsia="宋体" w:cs="宋体"/>
          <w:b/>
          <w:snapToGrid w:val="0"/>
          <w:color w:val="auto"/>
          <w:sz w:val="24"/>
          <w:highlight w:val="none"/>
          <w:lang w:val="en-US" w:eastAsia="zh-CN"/>
        </w:rPr>
        <w:t>第四章</w:t>
      </w:r>
      <w:bookmarkStart w:id="230" w:name="_Hlt87793853"/>
      <w:bookmarkEnd w:id="230"/>
      <w:r>
        <w:rPr>
          <w:rFonts w:hint="eastAsia" w:ascii="宋体" w:hAnsi="宋体" w:eastAsia="宋体" w:cs="宋体"/>
          <w:b/>
          <w:snapToGrid w:val="0"/>
          <w:color w:val="auto"/>
          <w:sz w:val="24"/>
          <w:highlight w:val="none"/>
          <w:lang w:val="en-US" w:eastAsia="zh-CN"/>
        </w:rPr>
        <w:t xml:space="preserve"> 技术要求</w:t>
      </w:r>
      <w:bookmarkEnd w:id="204"/>
      <w:bookmarkEnd w:id="228"/>
      <w:bookmarkEnd w:id="229"/>
    </w:p>
    <w:bookmarkEnd w:id="205"/>
    <w:p w14:paraId="57C20EFC">
      <w:pPr>
        <w:pStyle w:val="4"/>
        <w:keepNext w:val="0"/>
        <w:keepLines w:val="0"/>
        <w:wordWrap w:val="0"/>
        <w:adjustRightInd w:val="0"/>
        <w:snapToGrid w:val="0"/>
        <w:spacing w:before="0" w:after="0" w:line="440" w:lineRule="exact"/>
        <w:ind w:left="643"/>
        <w:jc w:val="both"/>
        <w:rPr>
          <w:rFonts w:hint="eastAsia" w:ascii="宋体" w:hAnsi="宋体" w:eastAsia="宋体" w:cs="宋体"/>
          <w:b/>
          <w:snapToGrid w:val="0"/>
          <w:color w:val="auto"/>
          <w:kern w:val="0"/>
          <w:highlight w:val="none"/>
        </w:rPr>
      </w:pPr>
      <w:bookmarkStart w:id="231" w:name="_Hlt69358207"/>
      <w:bookmarkEnd w:id="231"/>
      <w:bookmarkStart w:id="232" w:name="_Hlt87793370"/>
      <w:bookmarkEnd w:id="232"/>
      <w:bookmarkStart w:id="233" w:name="_Hlt75685840"/>
      <w:bookmarkEnd w:id="233"/>
      <w:bookmarkStart w:id="234" w:name="_Hlt68774758"/>
      <w:bookmarkEnd w:id="234"/>
      <w:bookmarkStart w:id="235" w:name="_Hlt69357851"/>
      <w:bookmarkEnd w:id="235"/>
      <w:bookmarkStart w:id="236" w:name="_Hlt87793346"/>
      <w:bookmarkEnd w:id="236"/>
      <w:bookmarkStart w:id="237" w:name="_Hlt69359335"/>
      <w:bookmarkEnd w:id="237"/>
      <w:bookmarkStart w:id="238" w:name="_Hlt69116854"/>
      <w:bookmarkEnd w:id="238"/>
      <w:bookmarkStart w:id="239" w:name="_Hlt69265216"/>
      <w:bookmarkEnd w:id="239"/>
      <w:bookmarkStart w:id="240" w:name="_Hlt66104926"/>
      <w:bookmarkEnd w:id="240"/>
      <w:bookmarkStart w:id="241" w:name="_Hlt80411122"/>
      <w:bookmarkEnd w:id="241"/>
    </w:p>
    <w:p w14:paraId="4D342B74">
      <w:pPr>
        <w:wordWrap w:val="0"/>
        <w:adjustRightInd w:val="0"/>
        <w:snapToGrid w:val="0"/>
        <w:spacing w:line="440" w:lineRule="exact"/>
        <w:ind w:firstLine="482" w:firstLineChars="200"/>
        <w:rPr>
          <w:rFonts w:hint="eastAsia" w:ascii="宋体" w:hAnsi="宋体" w:eastAsia="宋体" w:cs="宋体"/>
          <w:b/>
          <w:snapToGrid w:val="0"/>
          <w:color w:val="auto"/>
          <w:kern w:val="0"/>
          <w:highlight w:val="none"/>
        </w:rPr>
      </w:pPr>
      <w:r>
        <w:rPr>
          <w:rFonts w:hint="eastAsia" w:ascii="宋体" w:hAnsi="宋体" w:eastAsia="宋体" w:cs="宋体"/>
          <w:b/>
          <w:snapToGrid w:val="0"/>
          <w:color w:val="auto"/>
          <w:kern w:val="0"/>
          <w:highlight w:val="none"/>
        </w:rPr>
        <w:t>1．房屋建筑工程建设项目</w:t>
      </w:r>
    </w:p>
    <w:p w14:paraId="63DB2A08">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bookmarkStart w:id="242" w:name="_Hlt69358458"/>
      <w:bookmarkEnd w:id="242"/>
      <w:bookmarkStart w:id="243" w:name="_Hlt69359245"/>
      <w:bookmarkEnd w:id="243"/>
      <w:bookmarkStart w:id="244" w:name="_Hlt69116858"/>
      <w:bookmarkEnd w:id="244"/>
      <w:bookmarkStart w:id="245" w:name="_Hlt69635252"/>
      <w:bookmarkEnd w:id="245"/>
      <w:bookmarkStart w:id="246" w:name="_Hlt69359086"/>
      <w:bookmarkEnd w:id="246"/>
      <w:bookmarkStart w:id="247" w:name="_Hlt69359243"/>
      <w:bookmarkEnd w:id="247"/>
      <w:bookmarkStart w:id="248" w:name="_Hlt78709799"/>
      <w:bookmarkEnd w:id="248"/>
      <w:r>
        <w:rPr>
          <w:rFonts w:hint="eastAsia" w:ascii="宋体" w:hAnsi="宋体" w:eastAsia="宋体" w:cs="宋体"/>
          <w:bCs/>
          <w:snapToGrid w:val="0"/>
          <w:color w:val="auto"/>
          <w:kern w:val="0"/>
          <w:highlight w:val="none"/>
        </w:rPr>
        <w:t>房屋建筑工程建设项目必须执行的现行技术规范，包括且不限于：</w:t>
      </w:r>
    </w:p>
    <w:p w14:paraId="020AD338">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（1）《建筑工程施工质量验收统一标准》；</w:t>
      </w:r>
    </w:p>
    <w:p w14:paraId="0C8317DD">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（2）《建筑地基基础工程施工质量验收规范》；</w:t>
      </w:r>
    </w:p>
    <w:p w14:paraId="0B56E2CC">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（3）《砌体工程施工质量验收规范》；</w:t>
      </w:r>
    </w:p>
    <w:p w14:paraId="7FFAD12A">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（4）《混凝土结构工程施工质量验收规范》；</w:t>
      </w:r>
    </w:p>
    <w:p w14:paraId="73C0A9D8">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（5）《屋面工程质量验收规范》；</w:t>
      </w:r>
    </w:p>
    <w:p w14:paraId="5334B004">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（6）《地下防水工程质量验收规范》；</w:t>
      </w:r>
    </w:p>
    <w:p w14:paraId="15BDD369">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（7）</w:t>
      </w:r>
      <w:bookmarkStart w:id="249" w:name="_Hlt78795211"/>
      <w:bookmarkEnd w:id="249"/>
      <w:r>
        <w:rPr>
          <w:rFonts w:hint="eastAsia" w:ascii="宋体" w:hAnsi="宋体" w:eastAsia="宋体" w:cs="宋体"/>
          <w:bCs/>
          <w:snapToGrid w:val="0"/>
          <w:color w:val="auto"/>
          <w:kern w:val="0"/>
          <w:highlight w:val="none"/>
        </w:rPr>
        <w:t>《建筑地面工程施工质量验收规范》；</w:t>
      </w:r>
    </w:p>
    <w:p w14:paraId="7ED67241">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（8）《建筑装饰装修工程施工质量验收规范》；</w:t>
      </w:r>
    </w:p>
    <w:p w14:paraId="16A285E9">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（9）《建筑给排水及采暖工程施工质量验收规范》；</w:t>
      </w:r>
    </w:p>
    <w:p w14:paraId="46CF6021">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（10）《建筑电气工程施工质量验收规范》；</w:t>
      </w:r>
    </w:p>
    <w:p w14:paraId="6D75F9B2">
      <w:pPr>
        <w:wordWrap w:val="0"/>
        <w:adjustRightInd w:val="0"/>
        <w:snapToGrid w:val="0"/>
        <w:spacing w:line="440" w:lineRule="exact"/>
        <w:ind w:firstLine="480" w:firstLineChars="200"/>
        <w:rPr>
          <w:rFonts w:hint="eastAsia" w:ascii="宋体" w:hAnsi="宋体" w:eastAsia="宋体" w:cs="宋体"/>
          <w:b w:val="0"/>
          <w:bCs/>
          <w:snapToGrid w:val="0"/>
          <w:color w:val="auto"/>
          <w:kern w:val="0"/>
          <w:highlight w:val="none"/>
        </w:rPr>
      </w:pPr>
      <w:r>
        <w:rPr>
          <w:rFonts w:hint="eastAsia" w:ascii="宋体" w:hAnsi="宋体" w:eastAsia="宋体" w:cs="宋体"/>
          <w:b w:val="0"/>
          <w:bCs/>
          <w:snapToGrid w:val="0"/>
          <w:color w:val="auto"/>
          <w:kern w:val="0"/>
          <w:highlight w:val="none"/>
        </w:rPr>
        <w:t>（11）《住建部绿色建筑评价标准》；</w:t>
      </w:r>
    </w:p>
    <w:p w14:paraId="7744793E">
      <w:pPr>
        <w:wordWrap w:val="0"/>
        <w:adjustRightInd w:val="0"/>
        <w:snapToGrid w:val="0"/>
        <w:spacing w:line="440" w:lineRule="exact"/>
        <w:ind w:firstLine="480" w:firstLineChars="200"/>
        <w:rPr>
          <w:rFonts w:hint="eastAsia" w:ascii="宋体" w:hAnsi="宋体" w:eastAsia="宋体" w:cs="宋体"/>
          <w:b w:val="0"/>
          <w:bCs/>
          <w:snapToGrid w:val="0"/>
          <w:color w:val="auto"/>
          <w:kern w:val="0"/>
          <w:highlight w:val="none"/>
        </w:rPr>
      </w:pPr>
      <w:r>
        <w:rPr>
          <w:rFonts w:hint="eastAsia" w:ascii="宋体" w:hAnsi="宋体" w:eastAsia="宋体" w:cs="宋体"/>
          <w:b w:val="0"/>
          <w:bCs/>
          <w:snapToGrid w:val="0"/>
          <w:color w:val="auto"/>
          <w:kern w:val="0"/>
          <w:highlight w:val="none"/>
        </w:rPr>
        <w:t>（12）《建筑节能与可再生能源利用通用规范》（GB55015-2021）；</w:t>
      </w:r>
    </w:p>
    <w:p w14:paraId="28722396">
      <w:pPr>
        <w:wordWrap w:val="0"/>
        <w:adjustRightInd w:val="0"/>
        <w:snapToGrid w:val="0"/>
        <w:spacing w:line="440" w:lineRule="exact"/>
        <w:ind w:firstLine="480" w:firstLineChars="200"/>
        <w:rPr>
          <w:rFonts w:hint="eastAsia" w:ascii="宋体" w:hAnsi="宋体" w:eastAsia="宋体" w:cs="宋体"/>
          <w:b w:val="0"/>
          <w:bCs/>
          <w:snapToGrid w:val="0"/>
          <w:color w:val="auto"/>
          <w:kern w:val="0"/>
          <w:highlight w:val="none"/>
        </w:rPr>
      </w:pPr>
      <w:r>
        <w:rPr>
          <w:rFonts w:hint="eastAsia" w:ascii="宋体" w:hAnsi="宋体" w:eastAsia="宋体" w:cs="宋体"/>
          <w:b w:val="0"/>
          <w:bCs/>
          <w:snapToGrid w:val="0"/>
          <w:color w:val="auto"/>
          <w:kern w:val="0"/>
          <w:highlight w:val="none"/>
        </w:rPr>
        <w:t>（13）《建筑环境通用规范》；</w:t>
      </w:r>
    </w:p>
    <w:p w14:paraId="3A68178D">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（14）《广东省住房和城乡建设厅绿色施工导则》；</w:t>
      </w:r>
    </w:p>
    <w:p w14:paraId="68E4066C">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（15）《广东省建筑工程绿色施工评价标准》；</w:t>
      </w:r>
    </w:p>
    <w:p w14:paraId="713DD82A">
      <w:pPr>
        <w:wordWrap w:val="0"/>
        <w:adjustRightInd w:val="0"/>
        <w:snapToGrid w:val="0"/>
        <w:spacing w:line="440" w:lineRule="exact"/>
        <w:ind w:firstLine="480" w:firstLineChars="200"/>
        <w:rPr>
          <w:rFonts w:hint="eastAsia" w:ascii="宋体" w:hAnsi="宋体" w:eastAsia="宋体" w:cs="宋体"/>
          <w:b w:val="0"/>
          <w:bCs/>
          <w:snapToGrid w:val="0"/>
          <w:color w:val="auto"/>
          <w:kern w:val="0"/>
          <w:highlight w:val="none"/>
          <w:lang w:eastAsia="zh-CN"/>
        </w:rPr>
      </w:pPr>
      <w:r>
        <w:rPr>
          <w:rFonts w:hint="eastAsia" w:ascii="宋体" w:hAnsi="宋体" w:eastAsia="宋体" w:cs="宋体"/>
          <w:b w:val="0"/>
          <w:bCs/>
          <w:snapToGrid w:val="0"/>
          <w:color w:val="auto"/>
          <w:kern w:val="0"/>
          <w:highlight w:val="none"/>
        </w:rPr>
        <w:t>（16）《广东省建筑节能与绿色建筑工程施工质量验收规范》</w:t>
      </w:r>
      <w:r>
        <w:rPr>
          <w:rFonts w:hint="eastAsia" w:ascii="宋体" w:hAnsi="宋体" w:eastAsia="宋体" w:cs="宋体"/>
          <w:b w:val="0"/>
          <w:bCs/>
          <w:snapToGrid w:val="0"/>
          <w:color w:val="auto"/>
          <w:kern w:val="0"/>
          <w:highlight w:val="none"/>
          <w:lang w:eastAsia="zh-CN"/>
        </w:rPr>
        <w:t>；</w:t>
      </w:r>
    </w:p>
    <w:p w14:paraId="51D8D867">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（17）其他现行国家、广东省关于房建工程的施工及验收规范、定额、规程、标准。</w:t>
      </w:r>
    </w:p>
    <w:p w14:paraId="2A634BC9">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p>
    <w:p w14:paraId="3D24D8BC">
      <w:pPr>
        <w:wordWrap w:val="0"/>
        <w:adjustRightInd w:val="0"/>
        <w:snapToGrid w:val="0"/>
        <w:spacing w:line="440" w:lineRule="exact"/>
        <w:ind w:firstLine="482" w:firstLineChars="200"/>
        <w:rPr>
          <w:rFonts w:hint="eastAsia" w:ascii="宋体" w:hAnsi="宋体" w:eastAsia="宋体" w:cs="宋体"/>
          <w:bCs/>
          <w:snapToGrid w:val="0"/>
          <w:color w:val="auto"/>
          <w:kern w:val="0"/>
          <w:highlight w:val="none"/>
        </w:rPr>
      </w:pPr>
      <w:r>
        <w:rPr>
          <w:rFonts w:hint="eastAsia" w:ascii="宋体" w:hAnsi="宋体" w:eastAsia="宋体" w:cs="宋体"/>
          <w:b/>
          <w:snapToGrid w:val="0"/>
          <w:color w:val="auto"/>
          <w:kern w:val="0"/>
          <w:highlight w:val="none"/>
        </w:rPr>
        <w:t>2．市政基础设施工程建设项目</w:t>
      </w:r>
    </w:p>
    <w:p w14:paraId="31016C18">
      <w:pPr>
        <w:wordWrap w:val="0"/>
        <w:adjustRightInd w:val="0"/>
        <w:snapToGrid w:val="0"/>
        <w:spacing w:line="440" w:lineRule="exact"/>
        <w:ind w:firstLine="480" w:firstLineChars="200"/>
        <w:rPr>
          <w:rFonts w:hint="eastAsia" w:ascii="宋体" w:hAnsi="宋体" w:eastAsia="宋体" w:cs="宋体"/>
          <w:bCs/>
          <w:snapToGrid w:val="0"/>
          <w:color w:val="auto"/>
          <w:kern w:val="0"/>
          <w:szCs w:val="28"/>
          <w:highlight w:val="none"/>
        </w:rPr>
      </w:pPr>
      <w:r>
        <w:rPr>
          <w:rFonts w:hint="eastAsia" w:ascii="宋体" w:hAnsi="宋体" w:eastAsia="宋体" w:cs="宋体"/>
          <w:bCs/>
          <w:snapToGrid w:val="0"/>
          <w:color w:val="auto"/>
          <w:kern w:val="0"/>
          <w:highlight w:val="none"/>
        </w:rPr>
        <w:t>市政基础设施工程建设项目必须执行的现行技术规范，包括且不限于：</w:t>
      </w:r>
    </w:p>
    <w:p w14:paraId="78D67258">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szCs w:val="28"/>
          <w:highlight w:val="none"/>
        </w:rPr>
        <w:t>（1）《公路路基施工技术规范》</w:t>
      </w:r>
      <w:r>
        <w:rPr>
          <w:rFonts w:hint="eastAsia" w:ascii="宋体" w:hAnsi="宋体" w:eastAsia="宋体" w:cs="宋体"/>
          <w:bCs/>
          <w:snapToGrid w:val="0"/>
          <w:color w:val="auto"/>
          <w:kern w:val="0"/>
          <w:highlight w:val="none"/>
        </w:rPr>
        <w:t>；</w:t>
      </w:r>
    </w:p>
    <w:p w14:paraId="2EFA3FFB">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（2）《市政道路工程质量检验评定标准》；</w:t>
      </w:r>
    </w:p>
    <w:p w14:paraId="2DAB4AE8">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（3）《市政排水管渠工程质量检验评定标准》；</w:t>
      </w:r>
    </w:p>
    <w:p w14:paraId="0BCE0539">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（4）《给水排水管道工程施工及验收规范》；</w:t>
      </w:r>
    </w:p>
    <w:p w14:paraId="71295581">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（5）《城市道路路基工程施工及验收规范》；</w:t>
      </w:r>
    </w:p>
    <w:p w14:paraId="14C52D95">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（6）《水泥砼路面施工及验收规范》；</w:t>
      </w:r>
    </w:p>
    <w:p w14:paraId="5D7B2BAC">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（7）《公路水泥砼路面施工技术规范》；</w:t>
      </w:r>
    </w:p>
    <w:p w14:paraId="260F4382">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（8）《埋地硬聚氯乙烯排水管道工程技术规程》；</w:t>
      </w:r>
    </w:p>
    <w:p w14:paraId="0B203EC6">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（9）《沥青路面施工及验收规范》；</w:t>
      </w:r>
    </w:p>
    <w:p w14:paraId="777A6260">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（10）《广东省市政工程施工质量技术资料统一用表》。</w:t>
      </w:r>
    </w:p>
    <w:p w14:paraId="6D0BDF2A">
      <w:pPr>
        <w:widowControl/>
        <w:tabs>
          <w:tab w:val="left" w:pos="567"/>
        </w:tabs>
        <w:autoSpaceDE w:val="0"/>
        <w:autoSpaceDN w:val="0"/>
        <w:spacing w:line="500" w:lineRule="exact"/>
        <w:ind w:firstLine="480" w:firstLineChars="200"/>
        <w:jc w:val="left"/>
        <w:textAlignment w:val="bottom"/>
        <w:outlineLvl w:val="0"/>
        <w:rPr>
          <w:rFonts w:hint="eastAsia" w:ascii="宋体" w:hAnsi="宋体" w:eastAsia="宋体" w:cs="宋体"/>
          <w:b w:val="0"/>
          <w:bCs/>
          <w:color w:val="auto"/>
          <w:kern w:val="0"/>
          <w:szCs w:val="21"/>
          <w:highlight w:val="none"/>
        </w:rPr>
      </w:pPr>
      <w:bookmarkStart w:id="250" w:name="_Toc30443"/>
      <w:bookmarkStart w:id="251" w:name="_Toc17128"/>
      <w:r>
        <w:rPr>
          <w:rFonts w:hint="eastAsia" w:ascii="宋体" w:hAnsi="宋体" w:eastAsia="宋体" w:cs="宋体"/>
          <w:b w:val="0"/>
          <w:bCs/>
          <w:snapToGrid w:val="0"/>
          <w:color w:val="auto"/>
          <w:kern w:val="0"/>
          <w:highlight w:val="none"/>
        </w:rPr>
        <w:t>（11）</w:t>
      </w:r>
      <w:r>
        <w:rPr>
          <w:rFonts w:hint="eastAsia" w:ascii="宋体" w:hAnsi="宋体" w:eastAsia="宋体" w:cs="宋体"/>
          <w:b w:val="0"/>
          <w:bCs/>
          <w:color w:val="auto"/>
          <w:kern w:val="0"/>
          <w:szCs w:val="21"/>
          <w:highlight w:val="none"/>
        </w:rPr>
        <w:t>《城市道路照明设计标准》（CJJ45-2015）；</w:t>
      </w:r>
      <w:bookmarkEnd w:id="250"/>
      <w:bookmarkEnd w:id="251"/>
    </w:p>
    <w:p w14:paraId="7D5CD9D6">
      <w:pPr>
        <w:widowControl/>
        <w:tabs>
          <w:tab w:val="left" w:pos="567"/>
        </w:tabs>
        <w:autoSpaceDE w:val="0"/>
        <w:autoSpaceDN w:val="0"/>
        <w:spacing w:line="500" w:lineRule="exact"/>
        <w:ind w:firstLine="480" w:firstLineChars="200"/>
        <w:jc w:val="left"/>
        <w:textAlignment w:val="bottom"/>
        <w:outlineLvl w:val="0"/>
        <w:rPr>
          <w:rFonts w:hint="eastAsia" w:ascii="宋体" w:hAnsi="宋体" w:eastAsia="宋体" w:cs="宋体"/>
          <w:b w:val="0"/>
          <w:bCs/>
          <w:color w:val="auto"/>
          <w:szCs w:val="21"/>
          <w:highlight w:val="none"/>
        </w:rPr>
      </w:pPr>
      <w:bookmarkStart w:id="252" w:name="_Toc32596"/>
      <w:bookmarkStart w:id="253" w:name="_Toc31453"/>
      <w:r>
        <w:rPr>
          <w:rFonts w:hint="eastAsia" w:ascii="宋体" w:hAnsi="宋体" w:eastAsia="宋体" w:cs="宋体"/>
          <w:b w:val="0"/>
          <w:bCs/>
          <w:color w:val="auto"/>
          <w:kern w:val="0"/>
          <w:szCs w:val="21"/>
          <w:highlight w:val="none"/>
        </w:rPr>
        <w:t>（12）《低压配电设计规范》（GB50054-2011）；</w:t>
      </w:r>
      <w:bookmarkEnd w:id="252"/>
      <w:bookmarkEnd w:id="253"/>
    </w:p>
    <w:p w14:paraId="11D46717">
      <w:pPr>
        <w:widowControl/>
        <w:tabs>
          <w:tab w:val="left" w:pos="567"/>
        </w:tabs>
        <w:autoSpaceDE w:val="0"/>
        <w:autoSpaceDN w:val="0"/>
        <w:spacing w:line="500" w:lineRule="exact"/>
        <w:ind w:firstLine="480" w:firstLineChars="200"/>
        <w:jc w:val="left"/>
        <w:textAlignment w:val="bottom"/>
        <w:outlineLvl w:val="0"/>
        <w:rPr>
          <w:rFonts w:hint="eastAsia" w:ascii="宋体" w:hAnsi="宋体" w:eastAsia="宋体" w:cs="宋体"/>
          <w:b w:val="0"/>
          <w:bCs/>
          <w:color w:val="auto"/>
          <w:szCs w:val="21"/>
          <w:highlight w:val="none"/>
        </w:rPr>
      </w:pPr>
      <w:bookmarkStart w:id="254" w:name="_Toc31862"/>
      <w:bookmarkStart w:id="255" w:name="_Toc25564"/>
      <w:r>
        <w:rPr>
          <w:rFonts w:hint="eastAsia" w:ascii="宋体" w:hAnsi="宋体" w:eastAsia="宋体" w:cs="宋体"/>
          <w:b w:val="0"/>
          <w:bCs/>
          <w:color w:val="auto"/>
          <w:kern w:val="0"/>
          <w:szCs w:val="21"/>
          <w:highlight w:val="none"/>
        </w:rPr>
        <w:t>（13）《城市道路照明工程施工及验收规程》（CJJ89-2012）；</w:t>
      </w:r>
      <w:bookmarkEnd w:id="254"/>
      <w:bookmarkEnd w:id="255"/>
    </w:p>
    <w:p w14:paraId="05CFA2FC">
      <w:pPr>
        <w:pStyle w:val="90"/>
        <w:spacing w:line="500" w:lineRule="exact"/>
        <w:ind w:left="0" w:leftChars="0" w:firstLine="480" w:firstLineChars="200"/>
        <w:rPr>
          <w:rFonts w:hint="eastAsia" w:ascii="宋体" w:hAnsi="宋体" w:eastAsia="宋体" w:cs="宋体"/>
          <w:b w:val="0"/>
          <w:bCs/>
          <w:color w:val="auto"/>
          <w:szCs w:val="21"/>
          <w:highlight w:val="none"/>
        </w:rPr>
      </w:pPr>
      <w:r>
        <w:rPr>
          <w:rFonts w:hint="eastAsia" w:ascii="宋体" w:hAnsi="宋体" w:eastAsia="宋体" w:cs="宋体"/>
          <w:b w:val="0"/>
          <w:bCs/>
          <w:color w:val="auto"/>
          <w:szCs w:val="21"/>
          <w:highlight w:val="none"/>
        </w:rPr>
        <w:t>（14）《LED道路照明工程技术规范》（DB44/T 1898-2016）；</w:t>
      </w:r>
    </w:p>
    <w:p w14:paraId="11F9B3D2">
      <w:pPr>
        <w:pStyle w:val="90"/>
        <w:spacing w:line="500" w:lineRule="exact"/>
        <w:ind w:left="0" w:leftChars="0" w:firstLine="480" w:firstLineChars="200"/>
        <w:rPr>
          <w:rFonts w:hint="eastAsia" w:ascii="宋体" w:hAnsi="宋体" w:eastAsia="宋体" w:cs="宋体"/>
          <w:b w:val="0"/>
          <w:bCs/>
          <w:color w:val="auto"/>
          <w:szCs w:val="21"/>
          <w:highlight w:val="none"/>
        </w:rPr>
      </w:pPr>
      <w:r>
        <w:rPr>
          <w:rFonts w:hint="eastAsia" w:ascii="宋体" w:hAnsi="宋体" w:eastAsia="宋体" w:cs="宋体"/>
          <w:b w:val="0"/>
          <w:bCs/>
          <w:color w:val="auto"/>
          <w:szCs w:val="21"/>
          <w:highlight w:val="none"/>
        </w:rPr>
        <w:t>（15）《灯具第1部分：一般要求与试验》（GB7000.1-2015）；</w:t>
      </w:r>
    </w:p>
    <w:p w14:paraId="30140BEB">
      <w:pPr>
        <w:wordWrap w:val="0"/>
        <w:adjustRightInd w:val="0"/>
        <w:snapToGrid w:val="0"/>
        <w:spacing w:line="500" w:lineRule="exact"/>
        <w:ind w:firstLine="480" w:firstLineChars="200"/>
        <w:rPr>
          <w:rFonts w:hint="eastAsia" w:ascii="宋体" w:hAnsi="宋体" w:eastAsia="宋体" w:cs="宋体"/>
          <w:b w:val="0"/>
          <w:bCs/>
          <w:color w:val="auto"/>
          <w:kern w:val="0"/>
          <w:szCs w:val="21"/>
          <w:highlight w:val="none"/>
        </w:rPr>
      </w:pPr>
      <w:r>
        <w:rPr>
          <w:rFonts w:hint="eastAsia" w:ascii="宋体" w:hAnsi="宋体" w:eastAsia="宋体" w:cs="宋体"/>
          <w:b w:val="0"/>
          <w:bCs/>
          <w:color w:val="auto"/>
          <w:kern w:val="0"/>
          <w:szCs w:val="21"/>
          <w:highlight w:val="none"/>
        </w:rPr>
        <w:t>（16）《电缆工程电缆设计标准》（GB50217-2018）；</w:t>
      </w:r>
    </w:p>
    <w:p w14:paraId="0F058208">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（17）其他现行国家、广东省关于市政工程的技术及验收规范、定额、规程、标准。</w:t>
      </w:r>
    </w:p>
    <w:p w14:paraId="2F624FCE">
      <w:pPr>
        <w:wordWrap w:val="0"/>
        <w:adjustRightInd w:val="0"/>
        <w:snapToGrid w:val="0"/>
        <w:spacing w:line="440" w:lineRule="exact"/>
        <w:ind w:firstLine="560"/>
        <w:rPr>
          <w:rFonts w:hint="eastAsia" w:ascii="宋体" w:hAnsi="宋体" w:eastAsia="宋体" w:cs="宋体"/>
          <w:strike/>
          <w:snapToGrid w:val="0"/>
          <w:color w:val="auto"/>
          <w:kern w:val="0"/>
          <w:highlight w:val="none"/>
        </w:rPr>
      </w:pPr>
      <w:r>
        <w:rPr>
          <w:rFonts w:hint="eastAsia" w:ascii="宋体" w:hAnsi="宋体" w:eastAsia="宋体" w:cs="宋体"/>
          <w:b/>
          <w:snapToGrid w:val="0"/>
          <w:color w:val="auto"/>
          <w:kern w:val="0"/>
          <w:highlight w:val="none"/>
        </w:rPr>
        <w:t>3．备查要求</w:t>
      </w:r>
    </w:p>
    <w:p w14:paraId="67F44935">
      <w:pPr>
        <w:wordWrap w:val="0"/>
        <w:adjustRightInd w:val="0"/>
        <w:snapToGrid w:val="0"/>
        <w:spacing w:line="440" w:lineRule="exact"/>
        <w:ind w:firstLine="560"/>
        <w:rPr>
          <w:rFonts w:hint="eastAsia" w:ascii="宋体" w:hAnsi="宋体" w:eastAsia="宋体" w:cs="宋体"/>
          <w:strike/>
          <w:snapToGrid w:val="0"/>
          <w:color w:val="auto"/>
          <w:kern w:val="0"/>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r>
        <w:rPr>
          <w:rFonts w:hint="eastAsia" w:ascii="宋体" w:hAnsi="宋体" w:eastAsia="宋体" w:cs="宋体"/>
          <w:snapToGrid w:val="0"/>
          <w:color w:val="auto"/>
          <w:kern w:val="0"/>
          <w:highlight w:val="none"/>
        </w:rPr>
        <w:t>承包</w:t>
      </w:r>
      <w:r>
        <w:rPr>
          <w:rFonts w:hint="eastAsia" w:ascii="宋体" w:hAnsi="宋体" w:eastAsia="宋体" w:cs="宋体"/>
          <w:bCs/>
          <w:snapToGrid w:val="0"/>
          <w:color w:val="auto"/>
          <w:kern w:val="0"/>
          <w:highlight w:val="none"/>
        </w:rPr>
        <w:t>人必须在施工现场准备至少一套上述规范，</w:t>
      </w:r>
      <w:r>
        <w:rPr>
          <w:rFonts w:hint="eastAsia" w:ascii="宋体" w:hAnsi="宋体" w:eastAsia="宋体" w:cs="宋体"/>
          <w:snapToGrid w:val="0"/>
          <w:color w:val="auto"/>
          <w:kern w:val="0"/>
          <w:highlight w:val="none"/>
        </w:rPr>
        <w:t>发包</w:t>
      </w:r>
      <w:r>
        <w:rPr>
          <w:rFonts w:hint="eastAsia" w:ascii="宋体" w:hAnsi="宋体" w:eastAsia="宋体" w:cs="宋体"/>
          <w:bCs/>
          <w:snapToGrid w:val="0"/>
          <w:color w:val="auto"/>
          <w:kern w:val="0"/>
          <w:highlight w:val="none"/>
        </w:rPr>
        <w:t>人和监理单位可随时检查</w:t>
      </w:r>
      <w:r>
        <w:rPr>
          <w:rFonts w:hint="eastAsia" w:ascii="宋体" w:hAnsi="宋体" w:eastAsia="宋体" w:cs="宋体"/>
          <w:snapToGrid w:val="0"/>
          <w:color w:val="auto"/>
          <w:kern w:val="0"/>
          <w:highlight w:val="none"/>
        </w:rPr>
        <w:t>承包</w:t>
      </w:r>
      <w:r>
        <w:rPr>
          <w:rFonts w:hint="eastAsia" w:ascii="宋体" w:hAnsi="宋体" w:eastAsia="宋体" w:cs="宋体"/>
          <w:bCs/>
          <w:snapToGrid w:val="0"/>
          <w:color w:val="auto"/>
          <w:kern w:val="0"/>
          <w:highlight w:val="none"/>
        </w:rPr>
        <w:t>人的上述规范，并监督</w:t>
      </w:r>
      <w:r>
        <w:rPr>
          <w:rFonts w:hint="eastAsia" w:ascii="宋体" w:hAnsi="宋体" w:eastAsia="宋体" w:cs="宋体"/>
          <w:snapToGrid w:val="0"/>
          <w:color w:val="auto"/>
          <w:kern w:val="0"/>
          <w:highlight w:val="none"/>
        </w:rPr>
        <w:t>承包</w:t>
      </w:r>
      <w:r>
        <w:rPr>
          <w:rFonts w:hint="eastAsia" w:ascii="宋体" w:hAnsi="宋体" w:eastAsia="宋体" w:cs="宋体"/>
          <w:bCs/>
          <w:snapToGrid w:val="0"/>
          <w:color w:val="auto"/>
          <w:kern w:val="0"/>
          <w:highlight w:val="none"/>
        </w:rPr>
        <w:t>人按规范要求执行。</w:t>
      </w:r>
      <w:bookmarkStart w:id="256" w:name="_Hlt69670335"/>
      <w:bookmarkEnd w:id="256"/>
    </w:p>
    <w:p w14:paraId="65C74E2D">
      <w:pPr>
        <w:pStyle w:val="2"/>
        <w:wordWrap w:val="0"/>
        <w:autoSpaceDE/>
        <w:autoSpaceDN/>
        <w:snapToGrid w:val="0"/>
        <w:spacing w:line="440" w:lineRule="exact"/>
        <w:jc w:val="center"/>
        <w:rPr>
          <w:rFonts w:hint="eastAsia" w:ascii="宋体" w:hAnsi="宋体" w:eastAsia="宋体" w:cs="宋体"/>
          <w:b/>
          <w:snapToGrid w:val="0"/>
          <w:color w:val="auto"/>
          <w:sz w:val="24"/>
          <w:highlight w:val="none"/>
          <w:lang w:val="en-US" w:eastAsia="zh-CN"/>
        </w:rPr>
      </w:pPr>
      <w:bookmarkStart w:id="257" w:name="_Hlt69358336"/>
      <w:bookmarkEnd w:id="257"/>
      <w:bookmarkStart w:id="258" w:name="_Hlt66848640"/>
      <w:bookmarkEnd w:id="258"/>
      <w:bookmarkStart w:id="259" w:name="_Hlt69116863"/>
      <w:bookmarkEnd w:id="259"/>
      <w:bookmarkStart w:id="260" w:name="_Hlt69338190"/>
      <w:bookmarkEnd w:id="260"/>
      <w:bookmarkStart w:id="261" w:name="_Hlt69635247"/>
      <w:bookmarkEnd w:id="261"/>
      <w:bookmarkStart w:id="262" w:name="_Hlt69265207"/>
      <w:bookmarkEnd w:id="262"/>
      <w:bookmarkStart w:id="263" w:name="_Toc10057"/>
      <w:bookmarkStart w:id="264" w:name="_Toc10987"/>
      <w:bookmarkStart w:id="265" w:name="_Toc29329"/>
      <w:r>
        <w:rPr>
          <w:rFonts w:hint="eastAsia" w:ascii="宋体" w:hAnsi="宋体" w:eastAsia="宋体" w:cs="宋体"/>
          <w:b/>
          <w:snapToGrid w:val="0"/>
          <w:color w:val="auto"/>
          <w:sz w:val="24"/>
          <w:highlight w:val="none"/>
          <w:lang w:val="en-US" w:eastAsia="zh-CN"/>
        </w:rPr>
        <w:t>第五章</w:t>
      </w:r>
      <w:bookmarkStart w:id="266" w:name="_Hlt87793860"/>
      <w:bookmarkEnd w:id="266"/>
      <w:r>
        <w:rPr>
          <w:rFonts w:hint="eastAsia" w:ascii="宋体" w:hAnsi="宋体" w:eastAsia="宋体" w:cs="宋体"/>
          <w:b/>
          <w:snapToGrid w:val="0"/>
          <w:color w:val="auto"/>
          <w:sz w:val="24"/>
          <w:highlight w:val="none"/>
          <w:lang w:val="en-US" w:eastAsia="zh-CN"/>
        </w:rPr>
        <w:t xml:space="preserve"> 图纸和招标工程</w:t>
      </w:r>
      <w:bookmarkStart w:id="267" w:name="_Hlt69669215"/>
      <w:bookmarkEnd w:id="267"/>
      <w:r>
        <w:rPr>
          <w:rFonts w:hint="eastAsia" w:ascii="宋体" w:hAnsi="宋体" w:eastAsia="宋体" w:cs="宋体"/>
          <w:b/>
          <w:snapToGrid w:val="0"/>
          <w:color w:val="auto"/>
          <w:sz w:val="24"/>
          <w:highlight w:val="none"/>
          <w:lang w:val="en-US" w:eastAsia="zh-CN"/>
        </w:rPr>
        <w:t>量清单</w:t>
      </w:r>
      <w:bookmarkEnd w:id="263"/>
      <w:bookmarkEnd w:id="264"/>
      <w:bookmarkEnd w:id="265"/>
    </w:p>
    <w:p w14:paraId="3E291842">
      <w:pPr>
        <w:wordWrap w:val="0"/>
        <w:adjustRightInd w:val="0"/>
        <w:snapToGrid w:val="0"/>
        <w:spacing w:line="440" w:lineRule="exact"/>
        <w:ind w:firstLine="480" w:firstLineChars="200"/>
        <w:rPr>
          <w:rFonts w:hint="eastAsia" w:ascii="宋体" w:hAnsi="宋体" w:eastAsia="宋体" w:cs="宋体"/>
          <w:snapToGrid w:val="0"/>
          <w:color w:val="auto"/>
          <w:kern w:val="0"/>
          <w:highlight w:val="none"/>
        </w:rPr>
      </w:pPr>
      <w:bookmarkStart w:id="268" w:name="_Hlt66104919"/>
      <w:bookmarkEnd w:id="268"/>
      <w:bookmarkStart w:id="269" w:name="_Hlt75747203"/>
      <w:bookmarkEnd w:id="269"/>
      <w:bookmarkStart w:id="270" w:name="_Hlt87793868"/>
      <w:bookmarkEnd w:id="270"/>
      <w:bookmarkStart w:id="271" w:name="_Hlt69669182"/>
      <w:bookmarkEnd w:id="271"/>
      <w:bookmarkStart w:id="272" w:name="_Toc25252"/>
      <w:bookmarkStart w:id="273" w:name="_Hlt69698785"/>
    </w:p>
    <w:p w14:paraId="31CAC6F2">
      <w:pPr>
        <w:pStyle w:val="4"/>
        <w:bidi w:val="0"/>
        <w:spacing w:line="360" w:lineRule="auto"/>
        <w:ind w:firstLine="964"/>
        <w:rPr>
          <w:rFonts w:hint="eastAsia" w:ascii="宋体" w:hAnsi="宋体" w:eastAsia="宋体" w:cs="宋体"/>
          <w:color w:val="auto"/>
          <w:highlight w:val="none"/>
        </w:rPr>
      </w:pPr>
      <w:bookmarkStart w:id="274" w:name="_Toc28153"/>
      <w:r>
        <w:rPr>
          <w:rFonts w:hint="eastAsia" w:ascii="宋体" w:hAnsi="宋体" w:eastAsia="宋体" w:cs="宋体"/>
          <w:color w:val="auto"/>
          <w:highlight w:val="none"/>
        </w:rPr>
        <w:t>1．图纸</w:t>
      </w:r>
      <w:bookmarkEnd w:id="274"/>
    </w:p>
    <w:p w14:paraId="1C045677">
      <w:pPr>
        <w:wordWrap w:val="0"/>
        <w:adjustRightInd w:val="0"/>
        <w:snapToGrid w:val="0"/>
        <w:spacing w:line="360" w:lineRule="auto"/>
        <w:ind w:firstLine="480" w:firstLineChars="200"/>
        <w:rPr>
          <w:rFonts w:hint="eastAsia" w:ascii="宋体" w:hAnsi="宋体" w:eastAsia="宋体" w:cs="宋体"/>
          <w:b w:val="0"/>
          <w:bCs/>
          <w:color w:val="auto"/>
          <w:highlight w:val="none"/>
          <w:lang w:eastAsia="zh-CN"/>
        </w:rPr>
      </w:pPr>
      <w:bookmarkStart w:id="275" w:name="_Toc14740"/>
      <w:r>
        <w:rPr>
          <w:rFonts w:hint="eastAsia" w:ascii="宋体" w:hAnsi="宋体" w:eastAsia="宋体" w:cs="宋体"/>
          <w:snapToGrid w:val="0"/>
          <w:color w:val="auto"/>
          <w:kern w:val="0"/>
          <w:highlight w:val="none"/>
        </w:rPr>
        <w:t>本招标文件随文另附施工图（电子文件）各一套。</w:t>
      </w:r>
    </w:p>
    <w:bookmarkEnd w:id="275"/>
    <w:p w14:paraId="1782A57F">
      <w:pPr>
        <w:pStyle w:val="4"/>
        <w:bidi w:val="0"/>
        <w:spacing w:line="360" w:lineRule="auto"/>
        <w:ind w:firstLine="964"/>
        <w:rPr>
          <w:rFonts w:hint="eastAsia" w:ascii="宋体" w:hAnsi="宋体" w:eastAsia="宋体" w:cs="宋体"/>
          <w:color w:val="auto"/>
          <w:highlight w:val="none"/>
        </w:rPr>
      </w:pPr>
      <w:r>
        <w:rPr>
          <w:rFonts w:hint="eastAsia" w:ascii="宋体" w:hAnsi="宋体" w:eastAsia="宋体" w:cs="宋体"/>
          <w:color w:val="auto"/>
          <w:highlight w:val="none"/>
        </w:rPr>
        <w:t>2．招标工程量清单</w:t>
      </w:r>
    </w:p>
    <w:p w14:paraId="31DDF78C">
      <w:pPr>
        <w:wordWrap w:val="0"/>
        <w:adjustRightInd w:val="0"/>
        <w:snapToGrid w:val="0"/>
        <w:spacing w:line="360" w:lineRule="auto"/>
        <w:ind w:firstLine="48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2.1</w:t>
      </w:r>
      <w:r>
        <w:rPr>
          <w:rFonts w:hint="eastAsia" w:ascii="宋体" w:hAnsi="宋体" w:eastAsia="宋体" w:cs="宋体"/>
          <w:snapToGrid w:val="0"/>
          <w:color w:val="auto"/>
          <w:kern w:val="0"/>
          <w:highlight w:val="none"/>
        </w:rPr>
        <w:t xml:space="preserve"> 本招标文件随文另附招标工程量清单一套。</w:t>
      </w:r>
    </w:p>
    <w:p w14:paraId="71F15594">
      <w:pPr>
        <w:wordWrap w:val="0"/>
        <w:adjustRightInd w:val="0"/>
        <w:snapToGrid w:val="0"/>
        <w:spacing w:line="360" w:lineRule="auto"/>
        <w:ind w:firstLine="48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2.2</w:t>
      </w:r>
      <w:r>
        <w:rPr>
          <w:rFonts w:hint="eastAsia" w:ascii="宋体" w:hAnsi="宋体" w:eastAsia="宋体" w:cs="宋体"/>
          <w:snapToGrid w:val="0"/>
          <w:color w:val="auto"/>
          <w:kern w:val="0"/>
          <w:highlight w:val="none"/>
        </w:rPr>
        <w:t xml:space="preserve"> 本工程按照以下依据编制招标工程量清单：</w:t>
      </w:r>
    </w:p>
    <w:p w14:paraId="28D49375">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（1）</w:t>
      </w:r>
      <w:r>
        <w:rPr>
          <w:rFonts w:hint="eastAsia" w:hAnsi="宋体" w:cs="宋体"/>
          <w:snapToGrid w:val="0"/>
          <w:color w:val="auto"/>
          <w:kern w:val="0"/>
          <w:sz w:val="24"/>
          <w:szCs w:val="24"/>
          <w:highlight w:val="none"/>
          <w:lang w:val="en-US" w:eastAsia="zh-CN"/>
        </w:rPr>
        <w:t>《建设工程工程量清单计价标准》(GB/T50500-2024)</w:t>
      </w:r>
      <w:r>
        <w:rPr>
          <w:rFonts w:hint="eastAsia" w:ascii="宋体" w:hAnsi="宋体" w:eastAsia="宋体" w:cs="宋体"/>
          <w:snapToGrid w:val="0"/>
          <w:color w:val="auto"/>
          <w:kern w:val="0"/>
          <w:highlight w:val="none"/>
        </w:rPr>
        <w:t>；</w:t>
      </w:r>
    </w:p>
    <w:p w14:paraId="7D6D1D2B">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hAnsi="宋体" w:cs="宋体"/>
          <w:snapToGrid w:val="0"/>
          <w:color w:val="auto"/>
          <w:kern w:val="0"/>
          <w:highlight w:val="none"/>
          <w:lang w:val="en-US" w:eastAsia="zh-CN"/>
        </w:rPr>
        <w:t>2</w:t>
      </w:r>
      <w:r>
        <w:rPr>
          <w:rFonts w:hint="eastAsia" w:ascii="宋体" w:hAnsi="宋体" w:eastAsia="宋体" w:cs="宋体"/>
          <w:snapToGrid w:val="0"/>
          <w:color w:val="auto"/>
          <w:kern w:val="0"/>
          <w:highlight w:val="none"/>
        </w:rPr>
        <w:t>）《广东省建设工程计价依据（2018）》。具体包括：《广东省房屋建筑与装饰工程综合定额（2018）》《广东省市政工程综合定额（2018）》《广东省通用安装工程综合定额（2018）》《广东省园林绿化工程综合定额（2018）》《广东省建设工程施工机具台班费用编制规则（2018）》等；</w:t>
      </w:r>
    </w:p>
    <w:p w14:paraId="7B348B6B">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hAnsi="宋体" w:cs="宋体"/>
          <w:snapToGrid w:val="0"/>
          <w:color w:val="auto"/>
          <w:kern w:val="0"/>
          <w:highlight w:val="none"/>
          <w:lang w:val="en-US" w:eastAsia="zh-CN"/>
        </w:rPr>
        <w:t>3</w:t>
      </w:r>
      <w:r>
        <w:rPr>
          <w:rFonts w:hint="eastAsia" w:ascii="宋体" w:hAnsi="宋体" w:eastAsia="宋体" w:cs="宋体"/>
          <w:snapToGrid w:val="0"/>
          <w:color w:val="auto"/>
          <w:kern w:val="0"/>
          <w:highlight w:val="none"/>
        </w:rPr>
        <w:t>）施工图及相关资料；</w:t>
      </w:r>
    </w:p>
    <w:p w14:paraId="554436C4">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hAnsi="宋体" w:cs="宋体"/>
          <w:snapToGrid w:val="0"/>
          <w:color w:val="auto"/>
          <w:kern w:val="0"/>
          <w:highlight w:val="none"/>
          <w:lang w:val="en-US" w:eastAsia="zh-CN"/>
        </w:rPr>
        <w:t>4</w:t>
      </w:r>
      <w:r>
        <w:rPr>
          <w:rFonts w:hint="eastAsia" w:ascii="宋体" w:hAnsi="宋体" w:eastAsia="宋体" w:cs="宋体"/>
          <w:snapToGrid w:val="0"/>
          <w:color w:val="auto"/>
          <w:kern w:val="0"/>
          <w:highlight w:val="none"/>
        </w:rPr>
        <w:t>）招标文件；</w:t>
      </w:r>
    </w:p>
    <w:p w14:paraId="4D95A811">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hAnsi="宋体" w:cs="宋体"/>
          <w:snapToGrid w:val="0"/>
          <w:color w:val="auto"/>
          <w:kern w:val="0"/>
          <w:highlight w:val="none"/>
          <w:lang w:val="en-US" w:eastAsia="zh-CN"/>
        </w:rPr>
        <w:t>5）</w:t>
      </w:r>
      <w:r>
        <w:rPr>
          <w:rFonts w:hint="eastAsia" w:ascii="宋体" w:hAnsi="宋体" w:eastAsia="宋体" w:cs="宋体"/>
          <w:snapToGrid w:val="0"/>
          <w:color w:val="auto"/>
          <w:kern w:val="0"/>
          <w:highlight w:val="none"/>
        </w:rPr>
        <w:t>施工现场情况、地勘水文资料、工程特点及常规施工方案；</w:t>
      </w:r>
    </w:p>
    <w:p w14:paraId="4417B18E">
      <w:pPr>
        <w:wordWrap w:val="0"/>
        <w:adjustRightInd w:val="0"/>
        <w:snapToGrid w:val="0"/>
        <w:spacing w:line="360" w:lineRule="auto"/>
        <w:ind w:firstLine="48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hAnsi="宋体" w:cs="宋体"/>
          <w:snapToGrid w:val="0"/>
          <w:color w:val="auto"/>
          <w:kern w:val="0"/>
          <w:highlight w:val="none"/>
          <w:lang w:val="en-US" w:eastAsia="zh-CN"/>
        </w:rPr>
        <w:t>6</w:t>
      </w:r>
      <w:r>
        <w:rPr>
          <w:rFonts w:hint="eastAsia" w:ascii="宋体" w:hAnsi="宋体" w:eastAsia="宋体" w:cs="宋体"/>
          <w:snapToGrid w:val="0"/>
          <w:color w:val="auto"/>
          <w:kern w:val="0"/>
          <w:highlight w:val="none"/>
        </w:rPr>
        <w:t>）与建设工程有关的标准、规范、技术资料。</w:t>
      </w:r>
    </w:p>
    <w:p w14:paraId="0C72BD26">
      <w:pPr>
        <w:wordWrap w:val="0"/>
        <w:adjustRightInd w:val="0"/>
        <w:snapToGrid w:val="0"/>
        <w:spacing w:line="440" w:lineRule="exact"/>
        <w:ind w:firstLine="480"/>
        <w:rPr>
          <w:rFonts w:hint="eastAsia" w:ascii="宋体" w:hAnsi="宋体" w:eastAsia="宋体" w:cs="宋体"/>
          <w:snapToGrid w:val="0"/>
          <w:color w:val="auto"/>
          <w:kern w:val="0"/>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2A5E58E8">
      <w:pPr>
        <w:pStyle w:val="2"/>
        <w:wordWrap w:val="0"/>
        <w:autoSpaceDE/>
        <w:autoSpaceDN/>
        <w:snapToGrid w:val="0"/>
        <w:spacing w:line="440" w:lineRule="exact"/>
        <w:jc w:val="center"/>
        <w:rPr>
          <w:rFonts w:hint="eastAsia" w:ascii="宋体" w:hAnsi="宋体" w:eastAsia="宋体" w:cs="宋体"/>
          <w:b/>
          <w:snapToGrid w:val="0"/>
          <w:color w:val="auto"/>
          <w:sz w:val="24"/>
          <w:highlight w:val="none"/>
          <w:lang w:val="en-US" w:eastAsia="zh-CN"/>
        </w:rPr>
      </w:pPr>
      <w:bookmarkStart w:id="276" w:name="_Toc22127"/>
      <w:bookmarkStart w:id="277" w:name="_Toc16415"/>
      <w:r>
        <w:rPr>
          <w:rFonts w:hint="eastAsia" w:ascii="宋体" w:hAnsi="宋体" w:eastAsia="宋体" w:cs="宋体"/>
          <w:b/>
          <w:snapToGrid w:val="0"/>
          <w:color w:val="auto"/>
          <w:sz w:val="24"/>
          <w:highlight w:val="none"/>
          <w:lang w:val="en-US" w:eastAsia="zh-CN"/>
        </w:rPr>
        <w:t xml:space="preserve">第六章 </w:t>
      </w:r>
      <w:bookmarkEnd w:id="272"/>
      <w:bookmarkStart w:id="278" w:name="_Hlt75747044"/>
      <w:bookmarkEnd w:id="278"/>
      <w:r>
        <w:rPr>
          <w:rFonts w:hint="eastAsia" w:ascii="宋体" w:hAnsi="宋体" w:eastAsia="宋体" w:cs="宋体"/>
          <w:b/>
          <w:snapToGrid w:val="0"/>
          <w:color w:val="auto"/>
          <w:sz w:val="24"/>
          <w:highlight w:val="none"/>
          <w:lang w:val="en-US" w:eastAsia="zh-CN"/>
        </w:rPr>
        <w:t>投标文件格式</w:t>
      </w:r>
      <w:bookmarkEnd w:id="276"/>
      <w:bookmarkEnd w:id="277"/>
    </w:p>
    <w:bookmarkEnd w:id="273"/>
    <w:p w14:paraId="3E5CA248">
      <w:pPr>
        <w:pStyle w:val="79"/>
        <w:keepNext w:val="0"/>
        <w:keepLines w:val="0"/>
        <w:widowControl w:val="0"/>
        <w:wordWrap w:val="0"/>
        <w:adjustRightInd w:val="0"/>
        <w:snapToGrid w:val="0"/>
        <w:spacing w:before="0" w:after="0" w:line="240" w:lineRule="auto"/>
        <w:ind w:left="3640" w:leftChars="15" w:hanging="3604" w:hangingChars="1496"/>
        <w:jc w:val="both"/>
        <w:rPr>
          <w:rFonts w:hint="eastAsia" w:ascii="宋体" w:hAnsi="宋体" w:eastAsia="宋体" w:cs="宋体"/>
          <w:b/>
          <w:snapToGrid w:val="0"/>
          <w:color w:val="auto"/>
          <w:highlight w:val="none"/>
        </w:rPr>
      </w:pPr>
      <w:bookmarkStart w:id="279" w:name="_附件一：对招标文件条款自愿接受承诺书"/>
      <w:bookmarkEnd w:id="279"/>
      <w:bookmarkStart w:id="280" w:name="_附件一：投标函"/>
      <w:bookmarkEnd w:id="280"/>
      <w:bookmarkStart w:id="281" w:name="_附件二：工期承诺书"/>
      <w:bookmarkEnd w:id="281"/>
      <w:bookmarkStart w:id="282" w:name="_附件二：近三年度主要施工项目（竣工及在建）一览表"/>
      <w:bookmarkEnd w:id="282"/>
      <w:bookmarkStart w:id="283" w:name="_附件五：综合评审合理低价法"/>
      <w:bookmarkEnd w:id="283"/>
      <w:bookmarkStart w:id="284" w:name="_附件四：工期承诺书"/>
      <w:bookmarkEnd w:id="284"/>
      <w:bookmarkStart w:id="285" w:name="_Toc200338097"/>
      <w:bookmarkStart w:id="286" w:name="_Toc137621693"/>
      <w:bookmarkStart w:id="287" w:name="_Hlt66847557"/>
      <w:bookmarkStart w:id="288" w:name="_Toc66849200"/>
    </w:p>
    <w:p w14:paraId="5470CEAB">
      <w:pPr>
        <w:pStyle w:val="4"/>
        <w:bidi w:val="0"/>
        <w:ind w:firstLine="964"/>
        <w:rPr>
          <w:rFonts w:hint="eastAsia" w:ascii="宋体" w:hAnsi="宋体" w:eastAsia="宋体" w:cs="宋体"/>
          <w:color w:val="auto"/>
          <w:highlight w:val="none"/>
        </w:rPr>
      </w:pPr>
      <w:bookmarkStart w:id="289" w:name="_Toc14677"/>
      <w:bookmarkStart w:id="290" w:name="_Toc17749"/>
      <w:bookmarkStart w:id="291" w:name="_Toc13462"/>
      <w:r>
        <w:rPr>
          <w:rFonts w:hint="eastAsia" w:ascii="宋体" w:hAnsi="宋体" w:eastAsia="宋体" w:cs="宋体"/>
          <w:color w:val="auto"/>
          <w:highlight w:val="none"/>
        </w:rPr>
        <w:t>格式一 封面</w:t>
      </w:r>
      <w:bookmarkEnd w:id="289"/>
      <w:bookmarkEnd w:id="290"/>
      <w:bookmarkEnd w:id="291"/>
    </w:p>
    <w:p w14:paraId="62285726">
      <w:pPr>
        <w:pStyle w:val="75"/>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4553C2D9">
      <w:pPr>
        <w:pStyle w:val="75"/>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404006EB">
      <w:pPr>
        <w:pStyle w:val="75"/>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68E9812F">
      <w:pPr>
        <w:pStyle w:val="75"/>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331A9C0C">
      <w:pPr>
        <w:pStyle w:val="75"/>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6ED3773B">
      <w:pPr>
        <w:pStyle w:val="75"/>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22C8C392">
      <w:pPr>
        <w:pStyle w:val="75"/>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64CADC78">
      <w:pPr>
        <w:pStyle w:val="75"/>
        <w:widowControl w:val="0"/>
        <w:wordWrap w:val="0"/>
        <w:adjustRightInd w:val="0"/>
        <w:snapToGrid w:val="0"/>
        <w:spacing w:line="240" w:lineRule="auto"/>
        <w:ind w:firstLine="0"/>
        <w:jc w:val="center"/>
        <w:rPr>
          <w:rFonts w:hint="eastAsia" w:ascii="宋体" w:hAnsi="宋体" w:eastAsia="宋体" w:cs="宋体"/>
          <w:b/>
          <w:snapToGrid w:val="0"/>
          <w:color w:val="auto"/>
          <w:sz w:val="48"/>
          <w:szCs w:val="48"/>
          <w:highlight w:val="none"/>
        </w:rPr>
      </w:pPr>
      <w:r>
        <w:rPr>
          <w:rFonts w:hint="eastAsia" w:ascii="宋体" w:hAnsi="宋体" w:eastAsia="宋体" w:cs="宋体"/>
          <w:bCs/>
          <w:snapToGrid w:val="0"/>
          <w:color w:val="auto"/>
          <w:sz w:val="48"/>
          <w:szCs w:val="48"/>
          <w:highlight w:val="none"/>
          <w:u w:val="single"/>
        </w:rPr>
        <w:t xml:space="preserve">             </w:t>
      </w:r>
      <w:r>
        <w:rPr>
          <w:rFonts w:hint="eastAsia" w:ascii="宋体" w:hAnsi="宋体" w:eastAsia="宋体" w:cs="宋体"/>
          <w:b/>
          <w:snapToGrid w:val="0"/>
          <w:color w:val="auto"/>
          <w:sz w:val="48"/>
          <w:szCs w:val="48"/>
          <w:highlight w:val="none"/>
        </w:rPr>
        <w:t>（项目名称）招标</w:t>
      </w:r>
    </w:p>
    <w:p w14:paraId="74280D79">
      <w:pPr>
        <w:pStyle w:val="75"/>
        <w:widowControl w:val="0"/>
        <w:wordWrap w:val="0"/>
        <w:adjustRightInd w:val="0"/>
        <w:snapToGrid w:val="0"/>
        <w:spacing w:line="240" w:lineRule="auto"/>
        <w:ind w:firstLine="0"/>
        <w:jc w:val="center"/>
        <w:rPr>
          <w:rFonts w:hint="eastAsia" w:ascii="宋体" w:hAnsi="宋体" w:eastAsia="宋体" w:cs="宋体"/>
          <w:b/>
          <w:snapToGrid w:val="0"/>
          <w:color w:val="auto"/>
          <w:sz w:val="32"/>
          <w:highlight w:val="none"/>
        </w:rPr>
      </w:pPr>
    </w:p>
    <w:p w14:paraId="1AF8E20E">
      <w:pPr>
        <w:pStyle w:val="75"/>
        <w:widowControl w:val="0"/>
        <w:wordWrap w:val="0"/>
        <w:adjustRightInd w:val="0"/>
        <w:snapToGrid w:val="0"/>
        <w:spacing w:line="240" w:lineRule="auto"/>
        <w:ind w:firstLine="0"/>
        <w:jc w:val="center"/>
        <w:rPr>
          <w:rFonts w:hint="eastAsia" w:ascii="宋体" w:hAnsi="宋体" w:eastAsia="宋体" w:cs="宋体"/>
          <w:b/>
          <w:snapToGrid w:val="0"/>
          <w:color w:val="auto"/>
          <w:sz w:val="72"/>
          <w:highlight w:val="none"/>
        </w:rPr>
      </w:pPr>
      <w:r>
        <w:rPr>
          <w:rFonts w:hint="eastAsia" w:ascii="宋体" w:hAnsi="宋体" w:eastAsia="宋体" w:cs="宋体"/>
          <w:b/>
          <w:snapToGrid w:val="0"/>
          <w:color w:val="auto"/>
          <w:sz w:val="72"/>
          <w:highlight w:val="none"/>
        </w:rPr>
        <w:t>投  标  文  件</w:t>
      </w:r>
    </w:p>
    <w:p w14:paraId="09EBFE22">
      <w:pPr>
        <w:pStyle w:val="75"/>
        <w:widowControl w:val="0"/>
        <w:wordWrap w:val="0"/>
        <w:adjustRightInd w:val="0"/>
        <w:snapToGrid w:val="0"/>
        <w:spacing w:line="240" w:lineRule="auto"/>
        <w:ind w:firstLine="0"/>
        <w:jc w:val="center"/>
        <w:rPr>
          <w:rFonts w:hint="eastAsia" w:ascii="宋体" w:hAnsi="宋体" w:eastAsia="宋体" w:cs="宋体"/>
          <w:b/>
          <w:snapToGrid w:val="0"/>
          <w:color w:val="auto"/>
          <w:sz w:val="32"/>
          <w:highlight w:val="none"/>
        </w:rPr>
      </w:pPr>
    </w:p>
    <w:p w14:paraId="19384084">
      <w:pPr>
        <w:pStyle w:val="75"/>
        <w:widowControl w:val="0"/>
        <w:wordWrap w:val="0"/>
        <w:adjustRightInd w:val="0"/>
        <w:snapToGrid w:val="0"/>
        <w:spacing w:line="240" w:lineRule="auto"/>
        <w:ind w:firstLine="0"/>
        <w:jc w:val="center"/>
        <w:rPr>
          <w:rFonts w:hint="eastAsia" w:ascii="宋体" w:hAnsi="宋体" w:eastAsia="宋体" w:cs="宋体"/>
          <w:b/>
          <w:snapToGrid w:val="0"/>
          <w:color w:val="auto"/>
          <w:sz w:val="48"/>
          <w:szCs w:val="48"/>
          <w:highlight w:val="none"/>
        </w:rPr>
      </w:pPr>
      <w:r>
        <w:rPr>
          <w:rFonts w:hint="eastAsia" w:ascii="宋体" w:hAnsi="宋体" w:eastAsia="宋体" w:cs="宋体"/>
          <w:b/>
          <w:snapToGrid w:val="0"/>
          <w:color w:val="auto"/>
          <w:sz w:val="48"/>
          <w:szCs w:val="48"/>
          <w:highlight w:val="none"/>
        </w:rPr>
        <w:t>（商务标书／经济标书／施工组织设计）</w:t>
      </w:r>
    </w:p>
    <w:p w14:paraId="64B90567">
      <w:pPr>
        <w:pStyle w:val="75"/>
        <w:widowControl w:val="0"/>
        <w:wordWrap w:val="0"/>
        <w:adjustRightInd w:val="0"/>
        <w:snapToGrid w:val="0"/>
        <w:spacing w:line="240" w:lineRule="auto"/>
        <w:rPr>
          <w:rFonts w:hint="eastAsia" w:ascii="宋体" w:hAnsi="宋体" w:eastAsia="宋体" w:cs="宋体"/>
          <w:b/>
          <w:snapToGrid w:val="0"/>
          <w:color w:val="auto"/>
          <w:highlight w:val="none"/>
        </w:rPr>
      </w:pPr>
    </w:p>
    <w:p w14:paraId="189EEA00">
      <w:pPr>
        <w:pStyle w:val="75"/>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44DCF70B">
      <w:pPr>
        <w:pStyle w:val="75"/>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51B6B47E">
      <w:pPr>
        <w:pStyle w:val="75"/>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0C5BDB24">
      <w:pPr>
        <w:pStyle w:val="75"/>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6B60CED4">
      <w:pPr>
        <w:pStyle w:val="75"/>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2F3092EB">
      <w:pPr>
        <w:pStyle w:val="75"/>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420C7425">
      <w:pPr>
        <w:pStyle w:val="75"/>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66DFF8C2">
      <w:pPr>
        <w:pStyle w:val="75"/>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45DAD187">
      <w:pPr>
        <w:pStyle w:val="75"/>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r>
        <w:rPr>
          <w:rFonts w:hint="eastAsia" w:ascii="宋体" w:hAnsi="宋体" w:eastAsia="宋体" w:cs="宋体"/>
          <w:bCs/>
          <w:snapToGrid w:val="0"/>
          <w:color w:val="auto"/>
          <w:sz w:val="32"/>
          <w:highlight w:val="none"/>
        </w:rPr>
        <w:t>投标人：</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（盖单位章）</w:t>
      </w:r>
    </w:p>
    <w:p w14:paraId="08001D46">
      <w:pPr>
        <w:pStyle w:val="75"/>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p>
    <w:p w14:paraId="41EDE1DA">
      <w:pPr>
        <w:pStyle w:val="75"/>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p>
    <w:p w14:paraId="6F7C862D">
      <w:pPr>
        <w:pStyle w:val="75"/>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p>
    <w:p w14:paraId="3E637BE5">
      <w:pPr>
        <w:pStyle w:val="75"/>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r>
        <w:rPr>
          <w:rFonts w:hint="eastAsia" w:ascii="宋体" w:hAnsi="宋体" w:eastAsia="宋体" w:cs="宋体"/>
          <w:bCs/>
          <w:snapToGrid w:val="0"/>
          <w:color w:val="auto"/>
          <w:sz w:val="32"/>
          <w:highlight w:val="none"/>
        </w:rPr>
        <w:t>法定代表人或其委托代理人：</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（签字或盖章）</w:t>
      </w:r>
    </w:p>
    <w:p w14:paraId="72EA2AF6">
      <w:pPr>
        <w:pStyle w:val="75"/>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p>
    <w:p w14:paraId="1A975475">
      <w:pPr>
        <w:pStyle w:val="75"/>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u w:val="single"/>
        </w:rPr>
      </w:pPr>
    </w:p>
    <w:p w14:paraId="4A9347C3">
      <w:pPr>
        <w:pStyle w:val="75"/>
        <w:widowControl w:val="0"/>
        <w:wordWrap w:val="0"/>
        <w:adjustRightInd w:val="0"/>
        <w:snapToGrid w:val="0"/>
        <w:spacing w:line="240" w:lineRule="auto"/>
        <w:ind w:firstLine="0"/>
        <w:jc w:val="center"/>
        <w:rPr>
          <w:rFonts w:hint="eastAsia" w:ascii="宋体" w:hAnsi="宋体" w:eastAsia="宋体" w:cs="宋体"/>
          <w:b/>
          <w:snapToGrid w:val="0"/>
          <w:color w:val="auto"/>
          <w:highlight w:val="none"/>
        </w:rPr>
      </w:pP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年</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月</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日</w:t>
      </w:r>
    </w:p>
    <w:p w14:paraId="52F104A7">
      <w:pPr>
        <w:pStyle w:val="75"/>
        <w:widowControl w:val="0"/>
        <w:wordWrap w:val="0"/>
        <w:adjustRightInd w:val="0"/>
        <w:snapToGrid w:val="0"/>
        <w:rPr>
          <w:rFonts w:hint="eastAsia" w:ascii="宋体" w:hAnsi="宋体" w:eastAsia="宋体" w:cs="宋体"/>
          <w:b/>
          <w:snapToGrid w:val="0"/>
          <w:color w:val="auto"/>
          <w:highlight w:val="none"/>
        </w:rPr>
      </w:pPr>
    </w:p>
    <w:p w14:paraId="53CB3B82">
      <w:pPr>
        <w:pStyle w:val="75"/>
        <w:widowControl w:val="0"/>
        <w:wordWrap w:val="0"/>
        <w:adjustRightInd w:val="0"/>
        <w:snapToGrid w:val="0"/>
        <w:rPr>
          <w:rFonts w:hint="eastAsia" w:ascii="宋体" w:hAnsi="宋体" w:eastAsia="宋体" w:cs="宋体"/>
          <w:b/>
          <w:snapToGrid w:val="0"/>
          <w:color w:val="auto"/>
          <w:highlight w:val="none"/>
        </w:rPr>
      </w:pPr>
    </w:p>
    <w:p w14:paraId="20584595">
      <w:pPr>
        <w:pStyle w:val="75"/>
        <w:widowControl w:val="0"/>
        <w:wordWrap w:val="0"/>
        <w:adjustRightInd w:val="0"/>
        <w:snapToGrid w:val="0"/>
        <w:rPr>
          <w:rFonts w:hint="eastAsia" w:ascii="宋体" w:hAnsi="宋体" w:eastAsia="宋体" w:cs="宋体"/>
          <w:b/>
          <w:snapToGrid w:val="0"/>
          <w:color w:val="auto"/>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5B097F81">
      <w:pPr>
        <w:pStyle w:val="4"/>
        <w:bidi w:val="0"/>
        <w:ind w:firstLine="964"/>
        <w:rPr>
          <w:rFonts w:hint="eastAsia" w:ascii="宋体" w:hAnsi="宋体" w:eastAsia="宋体" w:cs="宋体"/>
          <w:color w:val="auto"/>
          <w:highlight w:val="none"/>
        </w:rPr>
      </w:pPr>
      <w:bookmarkStart w:id="292" w:name="_Toc17232"/>
      <w:bookmarkStart w:id="293" w:name="_Toc3166"/>
      <w:bookmarkStart w:id="294" w:name="_Toc7500"/>
      <w:bookmarkStart w:id="295" w:name="_Toc106418843"/>
      <w:bookmarkStart w:id="296" w:name="_Toc104711098"/>
      <w:bookmarkStart w:id="297" w:name="_Toc28280"/>
      <w:r>
        <w:rPr>
          <w:rFonts w:hint="eastAsia" w:ascii="宋体" w:hAnsi="宋体" w:eastAsia="宋体" w:cs="宋体"/>
          <w:color w:val="auto"/>
          <w:highlight w:val="none"/>
        </w:rPr>
        <w:t>格式</w:t>
      </w:r>
      <w:bookmarkStart w:id="298" w:name="_Hlt97526007"/>
      <w:bookmarkEnd w:id="298"/>
      <w:r>
        <w:rPr>
          <w:rFonts w:hint="eastAsia" w:ascii="宋体" w:hAnsi="宋体" w:eastAsia="宋体" w:cs="宋体"/>
          <w:color w:val="auto"/>
          <w:highlight w:val="none"/>
        </w:rPr>
        <w:t>二 投标函</w:t>
      </w:r>
      <w:bookmarkEnd w:id="292"/>
      <w:bookmarkEnd w:id="293"/>
      <w:bookmarkEnd w:id="294"/>
    </w:p>
    <w:p w14:paraId="3D160AA4">
      <w:pPr>
        <w:pStyle w:val="4"/>
        <w:keepNext w:val="0"/>
        <w:keepLines w:val="0"/>
        <w:wordWrap w:val="0"/>
        <w:adjustRightInd w:val="0"/>
        <w:snapToGrid w:val="0"/>
        <w:spacing w:before="260" w:after="260" w:line="440" w:lineRule="exact"/>
        <w:jc w:val="center"/>
        <w:rPr>
          <w:rFonts w:hint="eastAsia" w:ascii="宋体" w:hAnsi="宋体" w:eastAsia="宋体" w:cs="宋体"/>
          <w:b/>
          <w:snapToGrid w:val="0"/>
          <w:color w:val="auto"/>
          <w:kern w:val="0"/>
          <w:highlight w:val="none"/>
        </w:rPr>
      </w:pPr>
      <w:bookmarkStart w:id="299" w:name="_Toc25895"/>
      <w:bookmarkStart w:id="300" w:name="_Toc23239"/>
      <w:bookmarkStart w:id="301" w:name="_Toc26551"/>
      <w:r>
        <w:rPr>
          <w:rFonts w:hint="eastAsia" w:ascii="宋体" w:hAnsi="宋体" w:eastAsia="宋体" w:cs="宋体"/>
          <w:b/>
          <w:snapToGrid w:val="0"/>
          <w:color w:val="auto"/>
          <w:kern w:val="0"/>
          <w:sz w:val="30"/>
          <w:highlight w:val="none"/>
        </w:rPr>
        <w:t>投  标  函</w:t>
      </w:r>
      <w:bookmarkEnd w:id="295"/>
      <w:bookmarkEnd w:id="296"/>
      <w:bookmarkEnd w:id="297"/>
      <w:bookmarkEnd w:id="299"/>
      <w:bookmarkEnd w:id="300"/>
      <w:bookmarkEnd w:id="301"/>
    </w:p>
    <w:p w14:paraId="5BD61156">
      <w:pPr>
        <w:wordWrap w:val="0"/>
        <w:adjustRightInd w:val="0"/>
        <w:snapToGrid w:val="0"/>
        <w:spacing w:line="440" w:lineRule="exact"/>
        <w:jc w:val="center"/>
        <w:rPr>
          <w:rFonts w:hint="eastAsia" w:ascii="宋体" w:hAnsi="宋体" w:eastAsia="宋体" w:cs="宋体"/>
          <w:b/>
          <w:snapToGrid w:val="0"/>
          <w:color w:val="auto"/>
          <w:kern w:val="0"/>
          <w:highlight w:val="none"/>
        </w:rPr>
      </w:pPr>
    </w:p>
    <w:p w14:paraId="65BB6F90">
      <w:pPr>
        <w:wordWrap w:val="0"/>
        <w:adjustRightInd w:val="0"/>
        <w:snapToGrid w:val="0"/>
        <w:spacing w:line="440" w:lineRule="exac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（招标人名称）</w:t>
      </w:r>
    </w:p>
    <w:p w14:paraId="7DF7758A">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1. </w:t>
      </w:r>
      <w:r>
        <w:rPr>
          <w:rFonts w:hint="eastAsia" w:ascii="宋体" w:hAnsi="宋体" w:eastAsia="宋体" w:cs="宋体"/>
          <w:snapToGrid w:val="0"/>
          <w:color w:val="auto"/>
          <w:kern w:val="0"/>
          <w:szCs w:val="22"/>
          <w:highlight w:val="none"/>
        </w:rPr>
        <w:t>我方</w:t>
      </w:r>
      <w:r>
        <w:rPr>
          <w:rFonts w:hint="eastAsia" w:ascii="宋体" w:hAnsi="宋体" w:eastAsia="宋体" w:cs="宋体"/>
          <w:snapToGrid w:val="0"/>
          <w:color w:val="auto"/>
          <w:kern w:val="0"/>
          <w:highlight w:val="none"/>
        </w:rPr>
        <w:t>考察现场并充分研究</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（项目名称）（以下简称“本项目”）施工招标文件</w:t>
      </w:r>
      <w:r>
        <w:rPr>
          <w:rFonts w:hint="eastAsia" w:ascii="宋体" w:hAnsi="宋体" w:eastAsia="宋体" w:cs="宋体"/>
          <w:snapToGrid w:val="0"/>
          <w:color w:val="auto"/>
          <w:kern w:val="0"/>
          <w:szCs w:val="22"/>
          <w:highlight w:val="none"/>
        </w:rPr>
        <w:t>所有内容后</w:t>
      </w:r>
      <w:r>
        <w:rPr>
          <w:rFonts w:hint="eastAsia" w:ascii="宋体" w:hAnsi="宋体" w:eastAsia="宋体" w:cs="宋体"/>
          <w:snapToGrid w:val="0"/>
          <w:color w:val="auto"/>
          <w:kern w:val="0"/>
          <w:highlight w:val="none"/>
        </w:rPr>
        <w:t>，结合自身资质、能力和特点，愿意接受招标文件的全部内容和条件，兹以人民币（大写）：</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szCs w:val="22"/>
          <w:highlight w:val="none"/>
        </w:rPr>
        <w:t>的投标总价</w:t>
      </w:r>
      <w:r>
        <w:rPr>
          <w:rFonts w:hint="eastAsia" w:ascii="宋体" w:hAnsi="宋体" w:eastAsia="宋体" w:cs="宋体"/>
          <w:snapToGrid w:val="0"/>
          <w:color w:val="auto"/>
          <w:kern w:val="0"/>
          <w:highlight w:val="none"/>
        </w:rPr>
        <w:t>竞投本项目施工。</w:t>
      </w:r>
    </w:p>
    <w:p w14:paraId="7CCD072B">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在我方的上述投标总价中，包括：</w:t>
      </w:r>
      <w:r>
        <w:rPr>
          <w:rFonts w:hint="eastAsia" w:hAnsi="宋体" w:cs="宋体"/>
          <w:snapToGrid w:val="0"/>
          <w:color w:val="auto"/>
          <w:kern w:val="0"/>
          <w:highlight w:val="none"/>
          <w:lang w:eastAsia="zh-CN"/>
        </w:rPr>
        <w:t>安全生产措施费</w:t>
      </w: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，暂列金额¥</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，暂估价¥</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w:t>
      </w:r>
    </w:p>
    <w:p w14:paraId="09C76540">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2. 如果我方中标，我方保证按照合同约定的开工日期开始本项目的施工，</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个日历天内竣工，并确保工程质量达到</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标准和维修其中的任何缺陷。</w:t>
      </w:r>
    </w:p>
    <w:p w14:paraId="7E9D8559">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3. 本投标函在你方接收我方递交的投标文件之日起、到招标文件规定的投标有效期期满前对我方具有约束力。我方随时准备接受你方发出的中标通知书。</w:t>
      </w:r>
    </w:p>
    <w:p w14:paraId="5C20BCCC">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4．我方在此声明，我方不存在本项目招标文件第一章第三节第</w:t>
      </w:r>
      <w:r>
        <w:rPr>
          <w:rFonts w:hint="eastAsia" w:ascii="宋体" w:hAnsi="宋体" w:eastAsia="宋体" w:cs="宋体"/>
          <w:b/>
          <w:bCs/>
          <w:snapToGrid w:val="0"/>
          <w:color w:val="auto"/>
          <w:kern w:val="0"/>
          <w:highlight w:val="none"/>
        </w:rPr>
        <w:t>2.4</w:t>
      </w:r>
      <w:r>
        <w:rPr>
          <w:rFonts w:hint="eastAsia" w:ascii="宋体" w:hAnsi="宋体" w:eastAsia="宋体" w:cs="宋体"/>
          <w:snapToGrid w:val="0"/>
          <w:color w:val="auto"/>
          <w:kern w:val="0"/>
          <w:highlight w:val="none"/>
        </w:rPr>
        <w:t>条“禁止投标条款”所列出的任何一种情形，并愿意承担因我方就此弄虚作假所引起的一切法律后果。</w:t>
      </w:r>
    </w:p>
    <w:p w14:paraId="48B983E4">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5．我方在此承诺，所递交投标文件的全部内容均为真实、有效、准确的，并愿意承担因我方就此弄虚作假所引起的一切法律后果，同时理解和同意有可能被要求提供更多的资料。</w:t>
      </w:r>
    </w:p>
    <w:p w14:paraId="43AF98F8">
      <w:pPr>
        <w:wordWrap w:val="0"/>
        <w:adjustRightInd w:val="0"/>
        <w:snapToGrid w:val="0"/>
        <w:spacing w:line="440" w:lineRule="exact"/>
        <w:ind w:firstLine="570"/>
        <w:rPr>
          <w:rFonts w:hint="eastAsia" w:ascii="宋体" w:hAnsi="宋体" w:eastAsia="宋体" w:cs="宋体"/>
          <w:snapToGrid w:val="0"/>
          <w:color w:val="auto"/>
          <w:kern w:val="0"/>
          <w:highlight w:val="none"/>
        </w:rPr>
      </w:pPr>
      <w:bookmarkStart w:id="302" w:name="_Hlt68771070"/>
      <w:bookmarkEnd w:id="302"/>
      <w:r>
        <w:rPr>
          <w:rFonts w:hint="eastAsia" w:ascii="宋体" w:hAnsi="宋体" w:eastAsia="宋体" w:cs="宋体"/>
          <w:snapToGrid w:val="0"/>
          <w:color w:val="auto"/>
          <w:kern w:val="0"/>
          <w:highlight w:val="none"/>
        </w:rPr>
        <w:t>6. 我方理解你方不一定要接纳收到的最低投标总价或任何投标总价的投标人中标，也不要求你方解释我方是否中标的原因。</w:t>
      </w:r>
    </w:p>
    <w:p w14:paraId="15E89DC9">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w:t>
      </w:r>
    </w:p>
    <w:p w14:paraId="7F4043DD">
      <w:pPr>
        <w:wordWrap w:val="0"/>
        <w:adjustRightInd w:val="0"/>
        <w:snapToGrid w:val="0"/>
        <w:spacing w:line="440" w:lineRule="exact"/>
        <w:rPr>
          <w:rFonts w:hint="eastAsia" w:ascii="宋体" w:hAnsi="宋体" w:eastAsia="宋体" w:cs="宋体"/>
          <w:snapToGrid w:val="0"/>
          <w:color w:val="auto"/>
          <w:kern w:val="0"/>
          <w:highlight w:val="none"/>
        </w:rPr>
      </w:pPr>
    </w:p>
    <w:p w14:paraId="55215338">
      <w:pPr>
        <w:wordWrap w:val="0"/>
        <w:adjustRightInd w:val="0"/>
        <w:snapToGrid w:val="0"/>
        <w:spacing w:line="440" w:lineRule="exact"/>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投标人：</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（盖单位章）</w:t>
      </w:r>
    </w:p>
    <w:p w14:paraId="5A1B5F53">
      <w:pPr>
        <w:wordWrap w:val="0"/>
        <w:adjustRightInd w:val="0"/>
        <w:snapToGrid w:val="0"/>
        <w:spacing w:line="440" w:lineRule="exact"/>
        <w:jc w:val="right"/>
        <w:rPr>
          <w:rFonts w:hint="eastAsia" w:ascii="宋体" w:hAnsi="宋体" w:eastAsia="宋体" w:cs="宋体"/>
          <w:snapToGrid w:val="0"/>
          <w:color w:val="auto"/>
          <w:kern w:val="0"/>
          <w:highlight w:val="none"/>
        </w:rPr>
      </w:pPr>
    </w:p>
    <w:p w14:paraId="26508364">
      <w:pPr>
        <w:wordWrap w:val="0"/>
        <w:adjustRightInd w:val="0"/>
        <w:snapToGrid w:val="0"/>
        <w:spacing w:line="440" w:lineRule="exact"/>
        <w:jc w:val="right"/>
        <w:rPr>
          <w:rFonts w:hint="eastAsia" w:ascii="宋体" w:hAnsi="宋体" w:eastAsia="宋体" w:cs="宋体"/>
          <w:snapToGrid w:val="0"/>
          <w:color w:val="auto"/>
          <w:kern w:val="0"/>
          <w:highlight w:val="none"/>
        </w:rPr>
      </w:pPr>
    </w:p>
    <w:p w14:paraId="558F4CA0">
      <w:pPr>
        <w:wordWrap w:val="0"/>
        <w:adjustRightInd w:val="0"/>
        <w:snapToGrid w:val="0"/>
        <w:spacing w:line="440" w:lineRule="exact"/>
        <w:ind w:firstLine="480" w:firstLineChars="200"/>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法定代表人或其委托代理人：</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（签字或盖章）</w:t>
      </w:r>
    </w:p>
    <w:p w14:paraId="655DCCE3">
      <w:pPr>
        <w:wordWrap w:val="0"/>
        <w:adjustRightInd w:val="0"/>
        <w:snapToGrid w:val="0"/>
        <w:spacing w:line="440" w:lineRule="exact"/>
        <w:ind w:firstLine="480" w:firstLineChars="200"/>
        <w:jc w:val="right"/>
        <w:rPr>
          <w:rFonts w:hint="eastAsia" w:ascii="宋体" w:hAnsi="宋体" w:eastAsia="宋体" w:cs="宋体"/>
          <w:snapToGrid w:val="0"/>
          <w:color w:val="auto"/>
          <w:kern w:val="0"/>
          <w:highlight w:val="none"/>
        </w:rPr>
      </w:pPr>
    </w:p>
    <w:p w14:paraId="6B3C6271">
      <w:pPr>
        <w:wordWrap w:val="0"/>
        <w:adjustRightInd w:val="0"/>
        <w:snapToGrid w:val="0"/>
        <w:spacing w:line="440" w:lineRule="exact"/>
        <w:jc w:val="left"/>
        <w:rPr>
          <w:rFonts w:hint="eastAsia" w:ascii="宋体" w:hAnsi="宋体" w:eastAsia="宋体" w:cs="宋体"/>
          <w:snapToGrid w:val="0"/>
          <w:color w:val="auto"/>
          <w:kern w:val="0"/>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月</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日</w:t>
      </w:r>
    </w:p>
    <w:p w14:paraId="5B22A1B2">
      <w:pPr>
        <w:pStyle w:val="4"/>
        <w:bidi w:val="0"/>
        <w:ind w:firstLine="964"/>
        <w:rPr>
          <w:rFonts w:hint="eastAsia" w:ascii="宋体" w:hAnsi="宋体" w:eastAsia="宋体" w:cs="宋体"/>
          <w:color w:val="auto"/>
          <w:highlight w:val="none"/>
        </w:rPr>
      </w:pPr>
      <w:bookmarkStart w:id="303" w:name="_Toc26367"/>
      <w:r>
        <w:rPr>
          <w:rFonts w:hint="eastAsia" w:ascii="宋体" w:hAnsi="宋体" w:eastAsia="宋体" w:cs="宋体"/>
          <w:color w:val="auto"/>
          <w:highlight w:val="none"/>
        </w:rPr>
        <w:t>格式三 各项承诺一览表</w:t>
      </w:r>
      <w:bookmarkEnd w:id="303"/>
    </w:p>
    <w:p w14:paraId="7ED1E1C4">
      <w:pPr>
        <w:pStyle w:val="79"/>
        <w:keepNext w:val="0"/>
        <w:keepLines w:val="0"/>
        <w:widowControl w:val="0"/>
        <w:wordWrap w:val="0"/>
        <w:adjustRightInd w:val="0"/>
        <w:snapToGrid w:val="0"/>
        <w:spacing w:before="260" w:after="260" w:line="440" w:lineRule="exact"/>
        <w:ind w:firstLine="0"/>
        <w:rPr>
          <w:rFonts w:hint="eastAsia" w:ascii="宋体" w:hAnsi="宋体" w:eastAsia="宋体" w:cs="宋体"/>
          <w:b/>
          <w:snapToGrid w:val="0"/>
          <w:color w:val="auto"/>
          <w:highlight w:val="none"/>
        </w:rPr>
      </w:pPr>
      <w:bookmarkStart w:id="304" w:name="_Toc18715"/>
      <w:bookmarkStart w:id="305" w:name="_Toc19422"/>
      <w:bookmarkStart w:id="306" w:name="_Toc29967"/>
      <w:r>
        <w:rPr>
          <w:rFonts w:hint="eastAsia" w:ascii="宋体" w:hAnsi="宋体" w:eastAsia="宋体" w:cs="宋体"/>
          <w:b/>
          <w:snapToGrid w:val="0"/>
          <w:color w:val="auto"/>
          <w:sz w:val="30"/>
          <w:highlight w:val="none"/>
        </w:rPr>
        <w:t>各项承诺一览表</w:t>
      </w:r>
      <w:bookmarkEnd w:id="304"/>
      <w:bookmarkEnd w:id="305"/>
      <w:bookmarkEnd w:id="306"/>
    </w:p>
    <w:tbl>
      <w:tblPr>
        <w:tblStyle w:val="31"/>
        <w:tblW w:w="102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16"/>
        <w:gridCol w:w="1573"/>
        <w:gridCol w:w="2923"/>
        <w:gridCol w:w="5051"/>
      </w:tblGrid>
      <w:tr w14:paraId="6A4B6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jc w:val="center"/>
        </w:trPr>
        <w:tc>
          <w:tcPr>
            <w:tcW w:w="716" w:type="dxa"/>
            <w:noWrap w:val="0"/>
            <w:vAlign w:val="center"/>
          </w:tcPr>
          <w:p w14:paraId="0523F676">
            <w:pPr>
              <w:pStyle w:val="63"/>
              <w:wordWrap w:val="0"/>
              <w:adjustRightInd w:val="0"/>
              <w:snapToGrid w:val="0"/>
              <w:spacing w:line="360" w:lineRule="auto"/>
              <w:jc w:val="center"/>
              <w:rPr>
                <w:rFonts w:hint="eastAsia" w:ascii="宋体" w:hAnsi="宋体" w:eastAsia="宋体" w:cs="宋体"/>
                <w:bCs/>
                <w:snapToGrid w:val="0"/>
                <w:color w:val="auto"/>
                <w:kern w:val="0"/>
                <w:szCs w:val="21"/>
                <w:highlight w:val="none"/>
              </w:rPr>
            </w:pPr>
            <w:r>
              <w:rPr>
                <w:rFonts w:hint="eastAsia" w:ascii="宋体" w:hAnsi="宋体" w:eastAsia="宋体" w:cs="宋体"/>
                <w:bCs/>
                <w:snapToGrid w:val="0"/>
                <w:color w:val="auto"/>
                <w:kern w:val="0"/>
                <w:szCs w:val="21"/>
                <w:highlight w:val="none"/>
              </w:rPr>
              <w:t>序号</w:t>
            </w:r>
          </w:p>
        </w:tc>
        <w:tc>
          <w:tcPr>
            <w:tcW w:w="1573" w:type="dxa"/>
            <w:noWrap w:val="0"/>
            <w:vAlign w:val="center"/>
          </w:tcPr>
          <w:p w14:paraId="05516782">
            <w:pPr>
              <w:pStyle w:val="63"/>
              <w:wordWrap w:val="0"/>
              <w:adjustRightInd w:val="0"/>
              <w:snapToGrid w:val="0"/>
              <w:spacing w:line="360" w:lineRule="auto"/>
              <w:jc w:val="center"/>
              <w:rPr>
                <w:rFonts w:hint="eastAsia" w:ascii="宋体" w:hAnsi="宋体" w:eastAsia="宋体" w:cs="宋体"/>
                <w:bCs/>
                <w:snapToGrid w:val="0"/>
                <w:color w:val="auto"/>
                <w:kern w:val="0"/>
                <w:szCs w:val="21"/>
                <w:highlight w:val="none"/>
              </w:rPr>
            </w:pPr>
            <w:r>
              <w:rPr>
                <w:rFonts w:hint="eastAsia" w:ascii="宋体" w:hAnsi="宋体" w:eastAsia="宋体" w:cs="宋体"/>
                <w:bCs/>
                <w:snapToGrid w:val="0"/>
                <w:color w:val="auto"/>
                <w:kern w:val="0"/>
                <w:szCs w:val="21"/>
                <w:highlight w:val="none"/>
              </w:rPr>
              <w:t>承诺事项</w:t>
            </w:r>
          </w:p>
        </w:tc>
        <w:tc>
          <w:tcPr>
            <w:tcW w:w="2923" w:type="dxa"/>
            <w:noWrap w:val="0"/>
            <w:vAlign w:val="center"/>
          </w:tcPr>
          <w:p w14:paraId="748193F3">
            <w:pPr>
              <w:pStyle w:val="63"/>
              <w:wordWrap w:val="0"/>
              <w:adjustRightInd w:val="0"/>
              <w:snapToGrid w:val="0"/>
              <w:spacing w:line="360" w:lineRule="auto"/>
              <w:jc w:val="center"/>
              <w:rPr>
                <w:rFonts w:hint="eastAsia" w:ascii="宋体" w:hAnsi="宋体" w:eastAsia="宋体" w:cs="宋体"/>
                <w:bCs/>
                <w:snapToGrid w:val="0"/>
                <w:color w:val="auto"/>
                <w:kern w:val="0"/>
                <w:szCs w:val="21"/>
                <w:highlight w:val="none"/>
              </w:rPr>
            </w:pPr>
            <w:r>
              <w:rPr>
                <w:rFonts w:hint="eastAsia" w:ascii="宋体" w:hAnsi="宋体" w:eastAsia="宋体" w:cs="宋体"/>
                <w:bCs/>
                <w:snapToGrid w:val="0"/>
                <w:color w:val="auto"/>
                <w:kern w:val="0"/>
                <w:szCs w:val="21"/>
                <w:highlight w:val="none"/>
              </w:rPr>
              <w:t>承诺内容</w:t>
            </w:r>
          </w:p>
        </w:tc>
        <w:tc>
          <w:tcPr>
            <w:tcW w:w="5051" w:type="dxa"/>
            <w:noWrap w:val="0"/>
            <w:vAlign w:val="center"/>
          </w:tcPr>
          <w:p w14:paraId="789C2810">
            <w:pPr>
              <w:pStyle w:val="63"/>
              <w:wordWrap w:val="0"/>
              <w:adjustRightInd w:val="0"/>
              <w:snapToGrid w:val="0"/>
              <w:spacing w:line="360" w:lineRule="auto"/>
              <w:jc w:val="center"/>
              <w:rPr>
                <w:rFonts w:hint="eastAsia" w:ascii="宋体" w:hAnsi="宋体" w:eastAsia="宋体" w:cs="宋体"/>
                <w:bCs/>
                <w:snapToGrid w:val="0"/>
                <w:color w:val="auto"/>
                <w:kern w:val="0"/>
                <w:szCs w:val="21"/>
                <w:highlight w:val="none"/>
              </w:rPr>
            </w:pPr>
            <w:r>
              <w:rPr>
                <w:rFonts w:hint="eastAsia" w:ascii="宋体" w:hAnsi="宋体" w:eastAsia="宋体" w:cs="宋体"/>
                <w:bCs/>
                <w:snapToGrid w:val="0"/>
                <w:color w:val="auto"/>
                <w:kern w:val="0"/>
                <w:szCs w:val="21"/>
                <w:highlight w:val="none"/>
              </w:rPr>
              <w:t>违约承诺</w:t>
            </w:r>
          </w:p>
        </w:tc>
      </w:tr>
      <w:tr w14:paraId="11B81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3" w:hRule="atLeast"/>
          <w:jc w:val="center"/>
        </w:trPr>
        <w:tc>
          <w:tcPr>
            <w:tcW w:w="716" w:type="dxa"/>
            <w:noWrap w:val="0"/>
            <w:vAlign w:val="center"/>
          </w:tcPr>
          <w:p w14:paraId="1DAC863C">
            <w:pPr>
              <w:pStyle w:val="63"/>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573" w:type="dxa"/>
            <w:noWrap w:val="0"/>
            <w:vAlign w:val="center"/>
          </w:tcPr>
          <w:p w14:paraId="19F39EE6">
            <w:pPr>
              <w:pStyle w:val="106"/>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自愿接受招标</w:t>
            </w:r>
          </w:p>
          <w:p w14:paraId="77DBC478">
            <w:pPr>
              <w:pStyle w:val="106"/>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文件条款的承诺</w:t>
            </w:r>
          </w:p>
        </w:tc>
        <w:tc>
          <w:tcPr>
            <w:tcW w:w="2923" w:type="dxa"/>
            <w:noWrap w:val="0"/>
            <w:vAlign w:val="center"/>
          </w:tcPr>
          <w:p w14:paraId="5DBBC6A2">
            <w:pPr>
              <w:pStyle w:val="106"/>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我方自愿接受招标文件的所有条款，所递交的投标文件已经充分响应招标文件的实质性要求。</w:t>
            </w:r>
          </w:p>
        </w:tc>
        <w:tc>
          <w:tcPr>
            <w:tcW w:w="5051" w:type="dxa"/>
            <w:noWrap w:val="0"/>
            <w:vAlign w:val="center"/>
          </w:tcPr>
          <w:p w14:paraId="47E4CB27">
            <w:pPr>
              <w:pStyle w:val="106"/>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如果我方的投标文件未响应、违反、偏离招标文件的实质性要求，我方接受招标人或其授权的招标代理机构或其组建的评标委员会依据招标文件作出的相应处理，包括否决投标。</w:t>
            </w:r>
          </w:p>
        </w:tc>
      </w:tr>
      <w:tr w14:paraId="26DF6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2" w:hRule="atLeast"/>
          <w:jc w:val="center"/>
        </w:trPr>
        <w:tc>
          <w:tcPr>
            <w:tcW w:w="716" w:type="dxa"/>
            <w:noWrap w:val="0"/>
            <w:vAlign w:val="center"/>
          </w:tcPr>
          <w:p w14:paraId="37117678">
            <w:pPr>
              <w:pStyle w:val="63"/>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573" w:type="dxa"/>
            <w:noWrap w:val="0"/>
            <w:vAlign w:val="center"/>
          </w:tcPr>
          <w:p w14:paraId="78BACBE4">
            <w:pPr>
              <w:pStyle w:val="106"/>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无禁止投标</w:t>
            </w:r>
          </w:p>
          <w:p w14:paraId="0ADD0EBE">
            <w:pPr>
              <w:pStyle w:val="106"/>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情形的承诺</w:t>
            </w:r>
          </w:p>
        </w:tc>
        <w:tc>
          <w:tcPr>
            <w:tcW w:w="2923" w:type="dxa"/>
            <w:noWrap w:val="0"/>
            <w:vAlign w:val="center"/>
          </w:tcPr>
          <w:p w14:paraId="0D17CBC0">
            <w:pPr>
              <w:pStyle w:val="106"/>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我方不存在招标文件第一章第三节第</w:t>
            </w:r>
            <w:r>
              <w:rPr>
                <w:rFonts w:hint="eastAsia" w:ascii="宋体" w:hAnsi="宋体" w:eastAsia="宋体" w:cs="宋体"/>
                <w:b/>
                <w:bCs/>
                <w:snapToGrid w:val="0"/>
                <w:color w:val="auto"/>
                <w:kern w:val="0"/>
                <w:sz w:val="21"/>
                <w:szCs w:val="21"/>
                <w:highlight w:val="none"/>
              </w:rPr>
              <w:t>2.4</w:t>
            </w:r>
            <w:r>
              <w:rPr>
                <w:rFonts w:hint="eastAsia" w:ascii="宋体" w:hAnsi="宋体" w:eastAsia="宋体" w:cs="宋体"/>
                <w:snapToGrid w:val="0"/>
                <w:color w:val="auto"/>
                <w:kern w:val="0"/>
                <w:sz w:val="21"/>
                <w:szCs w:val="21"/>
                <w:highlight w:val="none"/>
              </w:rPr>
              <w:t>条“禁止投标条款”规定的任何一种情形。</w:t>
            </w:r>
          </w:p>
        </w:tc>
        <w:tc>
          <w:tcPr>
            <w:tcW w:w="5051" w:type="dxa"/>
            <w:noWrap w:val="0"/>
            <w:vAlign w:val="center"/>
          </w:tcPr>
          <w:p w14:paraId="713FE0BB">
            <w:pPr>
              <w:pStyle w:val="106"/>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如果我方有招标文件第一章第三节第</w:t>
            </w:r>
            <w:r>
              <w:rPr>
                <w:rFonts w:hint="eastAsia" w:ascii="宋体" w:hAnsi="宋体" w:eastAsia="宋体" w:cs="宋体"/>
                <w:b/>
                <w:bCs/>
                <w:snapToGrid w:val="0"/>
                <w:color w:val="auto"/>
                <w:kern w:val="0"/>
                <w:sz w:val="21"/>
                <w:szCs w:val="21"/>
                <w:highlight w:val="none"/>
              </w:rPr>
              <w:t>2.4</w:t>
            </w:r>
            <w:r>
              <w:rPr>
                <w:rFonts w:hint="eastAsia" w:ascii="宋体" w:hAnsi="宋体" w:eastAsia="宋体" w:cs="宋体"/>
                <w:snapToGrid w:val="0"/>
                <w:color w:val="auto"/>
                <w:kern w:val="0"/>
                <w:sz w:val="21"/>
                <w:szCs w:val="21"/>
                <w:highlight w:val="none"/>
              </w:rPr>
              <w:t>条“禁止投标条款”规定的任何一种情形，我方接受招标人或其授权的招标代理机构或其组建的评标委员会依据招标文件作出的相应处理以及有关监督部门作出的行政处罚，并承担由此引起的一切法律后果。</w:t>
            </w:r>
          </w:p>
        </w:tc>
      </w:tr>
      <w:tr w14:paraId="66DDF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29" w:hRule="atLeast"/>
          <w:jc w:val="center"/>
        </w:trPr>
        <w:tc>
          <w:tcPr>
            <w:tcW w:w="716" w:type="dxa"/>
            <w:noWrap w:val="0"/>
            <w:vAlign w:val="center"/>
          </w:tcPr>
          <w:p w14:paraId="1EAECE13">
            <w:pPr>
              <w:pStyle w:val="63"/>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w:t>
            </w:r>
          </w:p>
        </w:tc>
        <w:tc>
          <w:tcPr>
            <w:tcW w:w="1573" w:type="dxa"/>
            <w:noWrap w:val="0"/>
            <w:vAlign w:val="center"/>
          </w:tcPr>
          <w:p w14:paraId="75495091">
            <w:pPr>
              <w:pStyle w:val="106"/>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自觉抵制围标</w:t>
            </w:r>
          </w:p>
          <w:p w14:paraId="0915F300">
            <w:pPr>
              <w:pStyle w:val="106"/>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串标和弄虚</w:t>
            </w:r>
          </w:p>
          <w:p w14:paraId="38DD2D73">
            <w:pPr>
              <w:pStyle w:val="106"/>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作假行为的承诺</w:t>
            </w:r>
          </w:p>
        </w:tc>
        <w:tc>
          <w:tcPr>
            <w:tcW w:w="2923" w:type="dxa"/>
            <w:noWrap w:val="0"/>
            <w:vAlign w:val="center"/>
          </w:tcPr>
          <w:p w14:paraId="6078EC86">
            <w:pPr>
              <w:pStyle w:val="106"/>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我方合法正当、诚实守信地参与投标，不组织、不参加围标串标违法行为，不通过弄虚作假行为骗取中标。</w:t>
            </w:r>
          </w:p>
        </w:tc>
        <w:tc>
          <w:tcPr>
            <w:tcW w:w="5051" w:type="dxa"/>
            <w:noWrap w:val="0"/>
            <w:vAlign w:val="center"/>
          </w:tcPr>
          <w:p w14:paraId="69666C85">
            <w:pPr>
              <w:pStyle w:val="106"/>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组织或参加围标串标违法行为或通过弄虚作假行为骗取中标，我方接受招标人或其授权的招标代理机构或其组建的评标委员会依据招标文件作出的相应处理以及有关监督部门作出的行政处罚，并承担由此引起的一切法律后果。</w:t>
            </w:r>
          </w:p>
        </w:tc>
      </w:tr>
      <w:tr w14:paraId="345B2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56" w:hRule="atLeast"/>
          <w:jc w:val="center"/>
        </w:trPr>
        <w:tc>
          <w:tcPr>
            <w:tcW w:w="716" w:type="dxa"/>
            <w:noWrap w:val="0"/>
            <w:vAlign w:val="center"/>
          </w:tcPr>
          <w:p w14:paraId="6D1A01CA">
            <w:pPr>
              <w:pStyle w:val="63"/>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w:t>
            </w:r>
          </w:p>
        </w:tc>
        <w:tc>
          <w:tcPr>
            <w:tcW w:w="1573" w:type="dxa"/>
            <w:noWrap w:val="0"/>
            <w:vAlign w:val="center"/>
          </w:tcPr>
          <w:p w14:paraId="6E653F04">
            <w:pPr>
              <w:pStyle w:val="106"/>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项目经理</w:t>
            </w:r>
          </w:p>
          <w:p w14:paraId="39D8D8B0">
            <w:pPr>
              <w:pStyle w:val="106"/>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任职承诺</w:t>
            </w:r>
          </w:p>
        </w:tc>
        <w:tc>
          <w:tcPr>
            <w:tcW w:w="2923" w:type="dxa"/>
            <w:noWrap w:val="0"/>
            <w:vAlign w:val="center"/>
          </w:tcPr>
          <w:p w14:paraId="247CCC5F">
            <w:pPr>
              <w:pStyle w:val="106"/>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我方拟派项目经理现阶段没有担任任何在施（包括已中标未开工、已开工未竣工）建设工程项目的项目经理。</w:t>
            </w:r>
          </w:p>
        </w:tc>
        <w:tc>
          <w:tcPr>
            <w:tcW w:w="5051" w:type="dxa"/>
            <w:noWrap w:val="0"/>
            <w:vAlign w:val="center"/>
          </w:tcPr>
          <w:p w14:paraId="10D09C7E">
            <w:pPr>
              <w:pStyle w:val="106"/>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拟派项目经理在本项目招标投标活动期间有担任其他任何在施（包括已中标未开工、已开工未竣工）建设工程项目的项目经理，我方接受招标人或其授权的招标代理机构或其组建的评标委员会依据招标文件作出的相应处理以及有关监督部门作出的行政处罚，并承担由此引起的一切法律后果。</w:t>
            </w:r>
          </w:p>
        </w:tc>
      </w:tr>
      <w:tr w14:paraId="501BE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74" w:hRule="atLeast"/>
          <w:jc w:val="center"/>
        </w:trPr>
        <w:tc>
          <w:tcPr>
            <w:tcW w:w="716" w:type="dxa"/>
            <w:noWrap w:val="0"/>
            <w:vAlign w:val="center"/>
          </w:tcPr>
          <w:p w14:paraId="67910BF8">
            <w:pPr>
              <w:pStyle w:val="63"/>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5</w:t>
            </w:r>
          </w:p>
        </w:tc>
        <w:tc>
          <w:tcPr>
            <w:tcW w:w="1573" w:type="dxa"/>
            <w:noWrap w:val="0"/>
            <w:vAlign w:val="center"/>
          </w:tcPr>
          <w:p w14:paraId="2DD2F65B">
            <w:pPr>
              <w:pStyle w:val="106"/>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投标文件</w:t>
            </w:r>
          </w:p>
          <w:p w14:paraId="738087CB">
            <w:pPr>
              <w:pStyle w:val="106"/>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真实性承诺</w:t>
            </w:r>
          </w:p>
        </w:tc>
        <w:tc>
          <w:tcPr>
            <w:tcW w:w="2923" w:type="dxa"/>
            <w:noWrap w:val="0"/>
            <w:vAlign w:val="center"/>
          </w:tcPr>
          <w:p w14:paraId="2C049438">
            <w:pPr>
              <w:pStyle w:val="106"/>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我方所递交投标文件的全部内容均为真实、有效、准确的。</w:t>
            </w:r>
          </w:p>
        </w:tc>
        <w:tc>
          <w:tcPr>
            <w:tcW w:w="5051" w:type="dxa"/>
            <w:noWrap w:val="0"/>
            <w:vAlign w:val="center"/>
          </w:tcPr>
          <w:p w14:paraId="62C904A4">
            <w:pPr>
              <w:pStyle w:val="106"/>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如果我方递交的投标文件任何内容不真实或无效或不准确，我方接受招标人或其授权的招标代理机构或其组建的评标委员会依据招标文件作出的相应处理，包括否决投标。</w:t>
            </w:r>
          </w:p>
        </w:tc>
      </w:tr>
      <w:tr w14:paraId="787F6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4" w:hRule="atLeast"/>
          <w:jc w:val="center"/>
        </w:trPr>
        <w:tc>
          <w:tcPr>
            <w:tcW w:w="716" w:type="dxa"/>
            <w:noWrap w:val="0"/>
            <w:vAlign w:val="center"/>
          </w:tcPr>
          <w:p w14:paraId="68B0DDA3">
            <w:pPr>
              <w:pStyle w:val="63"/>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6</w:t>
            </w:r>
          </w:p>
        </w:tc>
        <w:tc>
          <w:tcPr>
            <w:tcW w:w="1573" w:type="dxa"/>
            <w:noWrap w:val="0"/>
            <w:vAlign w:val="center"/>
          </w:tcPr>
          <w:p w14:paraId="2F332959">
            <w:pPr>
              <w:pStyle w:val="106"/>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投标文件</w:t>
            </w:r>
          </w:p>
          <w:p w14:paraId="04E8FAE0">
            <w:pPr>
              <w:pStyle w:val="106"/>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信息公开承诺</w:t>
            </w:r>
          </w:p>
        </w:tc>
        <w:tc>
          <w:tcPr>
            <w:tcW w:w="2923" w:type="dxa"/>
            <w:noWrap w:val="0"/>
            <w:vAlign w:val="center"/>
          </w:tcPr>
          <w:p w14:paraId="56C5303D">
            <w:pPr>
              <w:pStyle w:val="106"/>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Style w:val="150"/>
                <w:rFonts w:hint="eastAsia" w:ascii="宋体" w:hAnsi="宋体" w:eastAsia="宋体" w:cs="宋体"/>
                <w:color w:val="auto"/>
                <w:kern w:val="0"/>
                <w:sz w:val="21"/>
                <w:szCs w:val="21"/>
                <w:highlight w:val="none"/>
                <w:lang w:val="en-US" w:eastAsia="zh-CN" w:bidi="ar-SA"/>
              </w:rPr>
              <w:t>我方提供完整的电子文件。如果我方成为本项目中标候选人，我方同意并授权招标人在评标结果公示期内公开我方商务标书的全部内容。</w:t>
            </w:r>
          </w:p>
        </w:tc>
        <w:tc>
          <w:tcPr>
            <w:tcW w:w="5051" w:type="dxa"/>
            <w:noWrap w:val="0"/>
            <w:vAlign w:val="center"/>
            <mc:AlternateContent>
              <mc:Choice Requires="wpsCustomData">
                <wpsCustomData:diagonals>
                  <wpsCustomData:diagonal from="0" to="20000">
                    <wpsCustomData:border w:val="single" w:color="auto" w:sz="4" w:space="0"/>
                  </wpsCustomData:diagonal>
                </wpsCustomData:diagonals>
              </mc:Choice>
            </mc:AlternateContent>
          </w:tcPr>
          <w:p w14:paraId="14CEA547">
            <w:pPr>
              <w:pStyle w:val="106"/>
              <w:wordWrap w:val="0"/>
              <w:adjustRightInd w:val="0"/>
              <w:snapToGrid w:val="0"/>
              <w:spacing w:line="240" w:lineRule="auto"/>
              <w:ind w:firstLine="0" w:firstLineChars="0"/>
              <w:jc w:val="left"/>
              <mc:AlternateContent>
                <mc:Choice Requires="wpsCustomData">
                  <wpsCustomData:diagonalParaType/>
                </mc:Choice>
              </mc:AlternateConten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w:t>
            </w:r>
          </w:p>
          <w:p w14:paraId="2F2D6720">
            <w:pPr>
              <w:pStyle w:val="106"/>
              <w:wordWrap w:val="0"/>
              <w:adjustRightInd w:val="0"/>
              <w:snapToGrid w:val="0"/>
              <w:spacing w:line="360" w:lineRule="auto"/>
              <w:ind w:firstLine="0" w:firstLineChars="0"/>
              <w:jc w:val="left"/>
              <w:rPr>
                <w:rFonts w:hint="eastAsia" w:ascii="宋体" w:hAnsi="宋体" w:eastAsia="宋体" w:cs="宋体"/>
                <w:snapToGrid w:val="0"/>
                <w:color w:val="auto"/>
                <w:kern w:val="0"/>
                <w:sz w:val="21"/>
                <w:szCs w:val="21"/>
                <w:highlight w:val="none"/>
              </w:rPr>
            </w:pPr>
          </w:p>
        </w:tc>
      </w:tr>
      <w:tr w14:paraId="70FBB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11" w:hRule="atLeast"/>
          <w:jc w:val="center"/>
        </w:trPr>
        <w:tc>
          <w:tcPr>
            <w:tcW w:w="716" w:type="dxa"/>
            <w:noWrap w:val="0"/>
            <w:vAlign w:val="center"/>
          </w:tcPr>
          <w:p w14:paraId="1AA2AFEC">
            <w:pPr>
              <w:pStyle w:val="63"/>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7</w:t>
            </w:r>
          </w:p>
        </w:tc>
        <w:tc>
          <w:tcPr>
            <w:tcW w:w="1573" w:type="dxa"/>
            <w:noWrap w:val="0"/>
            <w:vAlign w:val="center"/>
          </w:tcPr>
          <w:p w14:paraId="26CFDCE0">
            <w:pPr>
              <w:pStyle w:val="106"/>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对不正常报价</w:t>
            </w:r>
          </w:p>
          <w:p w14:paraId="0ED97ECC">
            <w:pPr>
              <w:pStyle w:val="106"/>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的确认承诺</w:t>
            </w:r>
          </w:p>
        </w:tc>
        <w:tc>
          <w:tcPr>
            <w:tcW w:w="2923" w:type="dxa"/>
            <w:noWrap w:val="0"/>
            <w:vAlign w:val="center"/>
          </w:tcPr>
          <w:p w14:paraId="75717B94">
            <w:pPr>
              <w:pStyle w:val="106"/>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如果我方中标，我方接受招标人在合同订立期间依据招标文件有关条款约定对我方已标价工程量清单中不正常报价的修正或认定，并按要求签署《不正常报价清单》加以确认。</w:t>
            </w:r>
          </w:p>
        </w:tc>
        <w:tc>
          <w:tcPr>
            <w:tcW w:w="5051" w:type="dxa"/>
            <w:tcBorders>
              <w:tr2bl w:val="single" w:color="auto" w:sz="4" w:space="0"/>
            </w:tcBorders>
            <w:noWrap w:val="0"/>
            <w:vAlign w:val="center"/>
          </w:tcPr>
          <w:p w14:paraId="1EC5CF1B">
            <w:pPr>
              <w:pStyle w:val="106"/>
              <w:wordWrap w:val="0"/>
              <w:adjustRightInd w:val="0"/>
              <w:snapToGrid w:val="0"/>
              <w:spacing w:line="360" w:lineRule="auto"/>
              <w:ind w:firstLine="0" w:firstLineChars="0"/>
              <w:jc w:val="left"/>
              <w:rPr>
                <w:rFonts w:hint="eastAsia" w:ascii="宋体" w:hAnsi="宋体" w:eastAsia="宋体" w:cs="宋体"/>
                <w:snapToGrid w:val="0"/>
                <w:color w:val="auto"/>
                <w:kern w:val="0"/>
                <w:sz w:val="21"/>
                <w:szCs w:val="21"/>
                <w:highlight w:val="none"/>
              </w:rPr>
            </w:pPr>
          </w:p>
          <w:p w14:paraId="7C3A418B">
            <w:pPr>
              <w:pStyle w:val="106"/>
              <w:wordWrap w:val="0"/>
              <w:adjustRightInd w:val="0"/>
              <w:snapToGrid w:val="0"/>
              <w:spacing w:line="360" w:lineRule="auto"/>
              <w:ind w:firstLine="0" w:firstLineChars="0"/>
              <w:jc w:val="left"/>
              <w:rPr>
                <w:rFonts w:hint="eastAsia" w:ascii="宋体" w:hAnsi="宋体" w:eastAsia="宋体" w:cs="宋体"/>
                <w:snapToGrid w:val="0"/>
                <w:color w:val="auto"/>
                <w:kern w:val="0"/>
                <w:sz w:val="21"/>
                <w:szCs w:val="21"/>
                <w:highlight w:val="none"/>
              </w:rPr>
            </w:pPr>
          </w:p>
        </w:tc>
      </w:tr>
      <w:tr w14:paraId="6F66D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96" w:hRule="atLeast"/>
          <w:jc w:val="center"/>
        </w:trPr>
        <w:tc>
          <w:tcPr>
            <w:tcW w:w="716" w:type="dxa"/>
            <w:noWrap w:val="0"/>
            <w:vAlign w:val="center"/>
          </w:tcPr>
          <w:p w14:paraId="6EE990D8">
            <w:pPr>
              <w:pStyle w:val="63"/>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8</w:t>
            </w:r>
          </w:p>
        </w:tc>
        <w:tc>
          <w:tcPr>
            <w:tcW w:w="1573" w:type="dxa"/>
            <w:noWrap w:val="0"/>
            <w:vAlign w:val="center"/>
          </w:tcPr>
          <w:p w14:paraId="720FD32C">
            <w:pPr>
              <w:pStyle w:val="106"/>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按时提交履约</w:t>
            </w:r>
          </w:p>
          <w:p w14:paraId="5DADC463">
            <w:pPr>
              <w:pStyle w:val="106"/>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保证的承诺</w:t>
            </w:r>
          </w:p>
        </w:tc>
        <w:tc>
          <w:tcPr>
            <w:tcW w:w="2923" w:type="dxa"/>
            <w:noWrap w:val="0"/>
            <w:vAlign w:val="center"/>
          </w:tcPr>
          <w:p w14:paraId="35D27895">
            <w:pPr>
              <w:pStyle w:val="106"/>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如果我方中标，我方保证在招标文件规定的时限内全额提交履约保证。</w:t>
            </w:r>
          </w:p>
        </w:tc>
        <w:tc>
          <w:tcPr>
            <w:tcW w:w="5051" w:type="dxa"/>
            <w:noWrap w:val="0"/>
            <w:vAlign w:val="center"/>
          </w:tcPr>
          <w:p w14:paraId="3AE88E3E">
            <w:pPr>
              <w:pStyle w:val="106"/>
              <w:wordWrap w:val="0"/>
              <w:adjustRightInd w:val="0"/>
              <w:snapToGrid w:val="0"/>
              <w:spacing w:line="360" w:lineRule="auto"/>
              <w:ind w:firstLine="0" w:firstLineChars="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如果我方未在招标文件规定的时限内全额提交履约保证，我方接受招标人依据招标文件作出的相应处理以及有关监督部门作出的行政处罚，并承担由此引起的一切法律后果。</w:t>
            </w:r>
          </w:p>
        </w:tc>
      </w:tr>
      <w:tr w14:paraId="4EFC9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98" w:hRule="atLeast"/>
          <w:jc w:val="center"/>
        </w:trPr>
        <w:tc>
          <w:tcPr>
            <w:tcW w:w="716" w:type="dxa"/>
            <w:noWrap w:val="0"/>
            <w:vAlign w:val="center"/>
          </w:tcPr>
          <w:p w14:paraId="63365C53">
            <w:pPr>
              <w:pStyle w:val="63"/>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9</w:t>
            </w:r>
          </w:p>
        </w:tc>
        <w:tc>
          <w:tcPr>
            <w:tcW w:w="1573" w:type="dxa"/>
            <w:noWrap w:val="0"/>
            <w:vAlign w:val="center"/>
          </w:tcPr>
          <w:p w14:paraId="6FA8C30A">
            <w:pPr>
              <w:pStyle w:val="106"/>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按时签订合同</w:t>
            </w:r>
          </w:p>
          <w:p w14:paraId="1BCA131A">
            <w:pPr>
              <w:pStyle w:val="106"/>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的承诺</w:t>
            </w:r>
          </w:p>
        </w:tc>
        <w:tc>
          <w:tcPr>
            <w:tcW w:w="2923" w:type="dxa"/>
            <w:noWrap w:val="0"/>
            <w:vAlign w:val="center"/>
          </w:tcPr>
          <w:p w14:paraId="1EFF4E75">
            <w:pPr>
              <w:pStyle w:val="106"/>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如果我方中标，我方保证在招标文件规定的时限内与招标人签订合同，不提出违背或超出招标文件、中标文件的要求。</w:t>
            </w:r>
          </w:p>
        </w:tc>
        <w:tc>
          <w:tcPr>
            <w:tcW w:w="5051" w:type="dxa"/>
            <w:noWrap w:val="0"/>
            <w:vAlign w:val="center"/>
          </w:tcPr>
          <w:p w14:paraId="1D829707">
            <w:pPr>
              <w:pStyle w:val="106"/>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未在招标文件规定的时限内与招标人签订合同，或我方在签订合同过程中提出违背或超出招标文件、中标文件的要求。我方接受招标人依据招标文件作出的相应处理以及有关监督部门作出的行政处罚，并承担由此引起的一切法律后果。</w:t>
            </w:r>
          </w:p>
        </w:tc>
      </w:tr>
    </w:tbl>
    <w:p w14:paraId="24C13A44">
      <w:pPr>
        <w:pStyle w:val="63"/>
        <w:wordWrap w:val="0"/>
        <w:adjustRightInd w:val="0"/>
        <w:snapToGrid w:val="0"/>
        <w:spacing w:line="420" w:lineRule="exact"/>
        <w:jc w:val="left"/>
        <w:rPr>
          <w:rFonts w:hint="eastAsia" w:ascii="宋体" w:hAnsi="宋体" w:eastAsia="宋体" w:cs="宋体"/>
          <w:snapToGrid w:val="0"/>
          <w:color w:val="auto"/>
          <w:kern w:val="0"/>
          <w:highlight w:val="none"/>
        </w:rPr>
      </w:pPr>
    </w:p>
    <w:p w14:paraId="1E71F53A">
      <w:pPr>
        <w:pStyle w:val="18"/>
        <w:wordWrap w:val="0"/>
        <w:adjustRightInd w:val="0"/>
        <w:snapToGrid w:val="0"/>
        <w:spacing w:line="420" w:lineRule="exact"/>
        <w:ind w:firstLine="480" w:firstLineChars="200"/>
        <w:jc w:val="right"/>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投标人：</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（盖单位章）</w:t>
      </w:r>
    </w:p>
    <w:p w14:paraId="273CB0B0">
      <w:pPr>
        <w:pStyle w:val="18"/>
        <w:wordWrap w:val="0"/>
        <w:adjustRightInd w:val="0"/>
        <w:snapToGrid w:val="0"/>
        <w:spacing w:line="420" w:lineRule="exact"/>
        <w:ind w:firstLine="480" w:firstLineChars="200"/>
        <w:jc w:val="right"/>
        <w:rPr>
          <w:rFonts w:hint="eastAsia" w:ascii="宋体" w:hAnsi="宋体" w:eastAsia="宋体" w:cs="宋体"/>
          <w:snapToGrid w:val="0"/>
          <w:color w:val="auto"/>
          <w:kern w:val="0"/>
          <w:szCs w:val="24"/>
          <w:highlight w:val="none"/>
        </w:rPr>
      </w:pPr>
    </w:p>
    <w:p w14:paraId="0E7A76ED">
      <w:pPr>
        <w:pStyle w:val="18"/>
        <w:wordWrap w:val="0"/>
        <w:adjustRightInd w:val="0"/>
        <w:snapToGrid w:val="0"/>
        <w:spacing w:line="420" w:lineRule="exact"/>
        <w:ind w:firstLine="480" w:firstLineChars="200"/>
        <w:jc w:val="right"/>
        <w:rPr>
          <w:rFonts w:hint="eastAsia" w:ascii="宋体" w:hAnsi="宋体" w:eastAsia="宋体" w:cs="宋体"/>
          <w:snapToGrid w:val="0"/>
          <w:color w:val="auto"/>
          <w:kern w:val="0"/>
          <w:szCs w:val="24"/>
          <w:highlight w:val="none"/>
        </w:rPr>
      </w:pPr>
    </w:p>
    <w:p w14:paraId="179E45B4">
      <w:pPr>
        <w:pStyle w:val="18"/>
        <w:wordWrap w:val="0"/>
        <w:adjustRightInd w:val="0"/>
        <w:snapToGrid w:val="0"/>
        <w:spacing w:line="420" w:lineRule="exact"/>
        <w:ind w:firstLine="480" w:firstLineChars="200"/>
        <w:jc w:val="right"/>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法定代表人或其委托代理人：</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（签字或盖章）</w:t>
      </w:r>
    </w:p>
    <w:p w14:paraId="02BB82C7">
      <w:pPr>
        <w:pStyle w:val="18"/>
        <w:wordWrap w:val="0"/>
        <w:adjustRightInd w:val="0"/>
        <w:snapToGrid w:val="0"/>
        <w:spacing w:line="420" w:lineRule="exact"/>
        <w:ind w:firstLine="480" w:firstLineChars="200"/>
        <w:rPr>
          <w:rFonts w:hint="eastAsia" w:ascii="宋体" w:hAnsi="宋体" w:eastAsia="宋体" w:cs="宋体"/>
          <w:snapToGrid w:val="0"/>
          <w:color w:val="auto"/>
          <w:kern w:val="0"/>
          <w:szCs w:val="24"/>
          <w:highlight w:val="none"/>
        </w:rPr>
      </w:pPr>
    </w:p>
    <w:p w14:paraId="6AF098DC">
      <w:pPr>
        <w:pStyle w:val="18"/>
        <w:wordWrap w:val="0"/>
        <w:adjustRightInd w:val="0"/>
        <w:snapToGrid w:val="0"/>
        <w:spacing w:line="420" w:lineRule="exact"/>
        <w:ind w:firstLine="480" w:firstLineChars="200"/>
        <w:jc w:val="center"/>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 xml:space="preserve">                      </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年</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月</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日</w:t>
      </w:r>
    </w:p>
    <w:p w14:paraId="39F77F4D">
      <w:pPr>
        <w:wordWrap w:val="0"/>
        <w:adjustRightInd w:val="0"/>
        <w:snapToGrid w:val="0"/>
        <w:spacing w:line="420" w:lineRule="exact"/>
        <w:jc w:val="left"/>
        <w:outlineLvl w:val="2"/>
        <w:rPr>
          <w:rFonts w:hint="eastAsia" w:ascii="宋体" w:hAnsi="宋体" w:eastAsia="宋体" w:cs="宋体"/>
          <w:b/>
          <w:snapToGrid w:val="0"/>
          <w:color w:val="auto"/>
          <w:kern w:val="0"/>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0D7DEAC4">
      <w:pPr>
        <w:pStyle w:val="4"/>
        <w:bidi w:val="0"/>
        <w:ind w:firstLine="964"/>
        <w:rPr>
          <w:rFonts w:hint="eastAsia" w:ascii="宋体" w:hAnsi="宋体" w:eastAsia="宋体" w:cs="宋体"/>
          <w:color w:val="auto"/>
          <w:highlight w:val="none"/>
        </w:rPr>
      </w:pPr>
      <w:bookmarkStart w:id="307" w:name="_Toc1689"/>
      <w:bookmarkStart w:id="308" w:name="_Toc1822"/>
      <w:r>
        <w:rPr>
          <w:rFonts w:hint="eastAsia" w:ascii="宋体" w:hAnsi="宋体" w:eastAsia="宋体" w:cs="宋体"/>
          <w:color w:val="auto"/>
          <w:highlight w:val="none"/>
        </w:rPr>
        <w:t>格式四 授权委托书</w:t>
      </w:r>
      <w:bookmarkEnd w:id="307"/>
      <w:bookmarkEnd w:id="308"/>
    </w:p>
    <w:p w14:paraId="1A4B32DD">
      <w:pPr>
        <w:wordWrap w:val="0"/>
        <w:adjustRightInd w:val="0"/>
        <w:snapToGrid w:val="0"/>
        <w:spacing w:line="440" w:lineRule="exact"/>
        <w:outlineLvl w:val="2"/>
        <w:rPr>
          <w:rFonts w:hint="eastAsia" w:ascii="宋体" w:hAnsi="宋体" w:eastAsia="宋体" w:cs="宋体"/>
          <w:b/>
          <w:bCs/>
          <w:snapToGrid w:val="0"/>
          <w:color w:val="auto"/>
          <w:kern w:val="0"/>
          <w:szCs w:val="24"/>
          <w:highlight w:val="none"/>
        </w:rPr>
      </w:pPr>
    </w:p>
    <w:p w14:paraId="47660150">
      <w:pPr>
        <w:wordWrap w:val="0"/>
        <w:adjustRightInd w:val="0"/>
        <w:snapToGrid w:val="0"/>
        <w:spacing w:before="260" w:after="260" w:line="440" w:lineRule="exact"/>
        <w:jc w:val="center"/>
        <w:rPr>
          <w:rFonts w:hint="eastAsia" w:ascii="宋体" w:hAnsi="宋体" w:eastAsia="宋体" w:cs="宋体"/>
          <w:b/>
          <w:snapToGrid w:val="0"/>
          <w:color w:val="auto"/>
          <w:kern w:val="0"/>
          <w:highlight w:val="none"/>
        </w:rPr>
      </w:pPr>
      <w:r>
        <w:rPr>
          <w:rFonts w:hint="eastAsia" w:ascii="宋体" w:hAnsi="宋体" w:eastAsia="宋体" w:cs="宋体"/>
          <w:b/>
          <w:snapToGrid w:val="0"/>
          <w:color w:val="auto"/>
          <w:kern w:val="0"/>
          <w:sz w:val="30"/>
          <w:highlight w:val="none"/>
        </w:rPr>
        <w:t>授权委托书</w:t>
      </w:r>
    </w:p>
    <w:p w14:paraId="793F2DE8">
      <w:pPr>
        <w:wordWrap w:val="0"/>
        <w:adjustRightInd w:val="0"/>
        <w:snapToGrid w:val="0"/>
        <w:spacing w:line="440" w:lineRule="exact"/>
        <w:rPr>
          <w:rFonts w:hint="eastAsia" w:ascii="宋体" w:hAnsi="宋体" w:eastAsia="宋体" w:cs="宋体"/>
          <w:snapToGrid w:val="0"/>
          <w:color w:val="auto"/>
          <w:kern w:val="0"/>
          <w:szCs w:val="28"/>
          <w:highlight w:val="none"/>
        </w:rPr>
      </w:pPr>
    </w:p>
    <w:p w14:paraId="07E22506">
      <w:pPr>
        <w:wordWrap w:val="0"/>
        <w:adjustRightInd w:val="0"/>
        <w:snapToGrid w:val="0"/>
        <w:spacing w:line="440" w:lineRule="exac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本人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（姓名）系</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（投标人名称）的法定代表人，现委托</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（姓名）为我方代理人。代理人根据授权，以我方名义签署、澄清、说明、补正、递交、撤回、修改</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（项目名称）投标文件、签订合同和处理有关事宜，其法律后果由我方承担。</w:t>
      </w:r>
    </w:p>
    <w:p w14:paraId="172BCBCB">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委托期限：至</w:t>
      </w:r>
      <w:r>
        <w:rPr>
          <w:rFonts w:hint="eastAsia" w:ascii="宋体" w:hAnsi="宋体" w:eastAsia="宋体" w:cs="宋体"/>
          <w:snapToGrid w:val="0"/>
          <w:color w:val="auto"/>
          <w:kern w:val="0"/>
          <w:szCs w:val="21"/>
          <w:highlight w:val="none"/>
          <w:u w:val="single"/>
        </w:rPr>
        <w:t xml:space="preserve">     年   月   日</w:t>
      </w:r>
      <w:r>
        <w:rPr>
          <w:rFonts w:hint="eastAsia" w:ascii="宋体" w:hAnsi="宋体" w:eastAsia="宋体" w:cs="宋体"/>
          <w:i/>
          <w:iCs/>
          <w:snapToGrid w:val="0"/>
          <w:color w:val="auto"/>
          <w:kern w:val="0"/>
          <w:szCs w:val="21"/>
          <w:highlight w:val="none"/>
          <w:u w:val="single"/>
        </w:rPr>
        <w:t>（不得短于招标文件规定的投标有效期）</w:t>
      </w:r>
      <w:r>
        <w:rPr>
          <w:rFonts w:hint="eastAsia" w:ascii="宋体" w:hAnsi="宋体" w:eastAsia="宋体" w:cs="宋体"/>
          <w:snapToGrid w:val="0"/>
          <w:color w:val="auto"/>
          <w:kern w:val="0"/>
          <w:szCs w:val="21"/>
          <w:highlight w:val="none"/>
        </w:rPr>
        <w:t xml:space="preserve"> 。</w:t>
      </w:r>
    </w:p>
    <w:p w14:paraId="2DC64069">
      <w:pPr>
        <w:wordWrap w:val="0"/>
        <w:adjustRightInd w:val="0"/>
        <w:snapToGrid w:val="0"/>
        <w:spacing w:line="440" w:lineRule="exac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代理人无转委托权。</w:t>
      </w:r>
    </w:p>
    <w:p w14:paraId="36B11894">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p>
    <w:p w14:paraId="6BB4D931">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p>
    <w:p w14:paraId="56114A8D">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投  标  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（盖单位章）</w:t>
      </w:r>
    </w:p>
    <w:p w14:paraId="255E44F3">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w:t>
      </w:r>
    </w:p>
    <w:p w14:paraId="1C5A3FD3">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p>
    <w:p w14:paraId="49B8A0F4">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法定代表人：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（签字或盖章）</w:t>
      </w:r>
    </w:p>
    <w:p w14:paraId="69A73393">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p>
    <w:p w14:paraId="36316A00">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w:t>
      </w:r>
      <w:r>
        <w:rPr>
          <w:rFonts w:hint="eastAsia" w:hAnsi="宋体" w:cs="宋体"/>
          <w:snapToGrid w:val="0"/>
          <w:color w:val="auto"/>
          <w:kern w:val="0"/>
          <w:szCs w:val="21"/>
          <w:highlight w:val="none"/>
          <w:lang w:val="en-US" w:eastAsia="zh-CN"/>
        </w:rPr>
        <w:t xml:space="preserve">       </w:t>
      </w:r>
      <w:r>
        <w:rPr>
          <w:rFonts w:hint="eastAsia" w:ascii="宋体" w:hAnsi="宋体" w:eastAsia="宋体" w:cs="宋体"/>
          <w:snapToGrid w:val="0"/>
          <w:color w:val="auto"/>
          <w:kern w:val="0"/>
          <w:szCs w:val="21"/>
          <w:highlight w:val="none"/>
        </w:rPr>
        <w:t>委托代理人：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（签字或盖章）</w:t>
      </w:r>
    </w:p>
    <w:p w14:paraId="16DC21C6">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w:t>
      </w:r>
    </w:p>
    <w:p w14:paraId="1FBEA013">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40EAFD4F">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p>
    <w:p w14:paraId="54457C0A">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p>
    <w:p w14:paraId="5045367D">
      <w:pPr>
        <w:wordWrap w:val="0"/>
        <w:adjustRightInd w:val="0"/>
        <w:snapToGrid w:val="0"/>
        <w:ind w:firstLine="6440" w:firstLineChars="23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 w:val="28"/>
          <w:szCs w:val="28"/>
          <w:highlight w:val="none"/>
          <w:u w:val="single"/>
        </w:rPr>
        <mc:AlternateContent>
          <mc:Choice Requires="wps">
            <w:drawing>
              <wp:anchor distT="0" distB="0" distL="114300" distR="114300" simplePos="0" relativeHeight="251661312" behindDoc="0" locked="0" layoutInCell="1" allowOverlap="1">
                <wp:simplePos x="0" y="0"/>
                <wp:positionH relativeFrom="column">
                  <wp:posOffset>1466850</wp:posOffset>
                </wp:positionH>
                <wp:positionV relativeFrom="paragraph">
                  <wp:posOffset>33020</wp:posOffset>
                </wp:positionV>
                <wp:extent cx="3190875" cy="2202815"/>
                <wp:effectExtent l="4445" t="4445" r="5080" b="21590"/>
                <wp:wrapNone/>
                <wp:docPr id="20" name="自选图形 19"/>
                <wp:cNvGraphicFramePr/>
                <a:graphic xmlns:a="http://schemas.openxmlformats.org/drawingml/2006/main">
                  <a:graphicData uri="http://schemas.microsoft.com/office/word/2010/wordprocessingShape">
                    <wps:wsp>
                      <wps:cNvSpPr/>
                      <wps:spPr>
                        <a:xfrm>
                          <a:off x="0" y="0"/>
                          <a:ext cx="3190875" cy="22028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B94B07E">
                            <w:pPr>
                              <w:jc w:val="both"/>
                              <w:rPr>
                                <w:rFonts w:hint="eastAsia"/>
                                <w:szCs w:val="21"/>
                              </w:rPr>
                            </w:pPr>
                          </w:p>
                          <w:p w14:paraId="734E4B05">
                            <w:pPr>
                              <w:jc w:val="center"/>
                              <w:rPr>
                                <w:szCs w:val="21"/>
                              </w:rPr>
                            </w:pPr>
                            <w:r>
                              <w:rPr>
                                <w:rFonts w:hint="eastAsia"/>
                                <w:szCs w:val="21"/>
                              </w:rPr>
                              <w:t>委托代理人身份证</w:t>
                            </w:r>
                            <w:r>
                              <w:rPr>
                                <w:rFonts w:hint="eastAsia"/>
                                <w:szCs w:val="21"/>
                                <w:lang w:val="en-US" w:eastAsia="zh-CN"/>
                              </w:rPr>
                              <w:t>彩色扫描件</w:t>
                            </w:r>
                            <w:r>
                              <w:rPr>
                                <w:rFonts w:hint="eastAsia"/>
                                <w:szCs w:val="21"/>
                              </w:rPr>
                              <w:t>正、反面</w:t>
                            </w:r>
                          </w:p>
                        </w:txbxContent>
                      </wps:txbx>
                      <wps:bodyPr wrap="square" upright="1"/>
                    </wps:wsp>
                  </a:graphicData>
                </a:graphic>
              </wp:anchor>
            </w:drawing>
          </mc:Choice>
          <mc:Fallback>
            <w:pict>
              <v:shape id="自选图形 19" o:spid="_x0000_s1026" o:spt="176" type="#_x0000_t176" style="position:absolute;left:0pt;margin-left:115.5pt;margin-top:2.6pt;height:173.45pt;width:251.25pt;z-index:251661312;mso-width-relative:page;mso-height-relative:page;" fillcolor="#FFFFFF" filled="t" stroked="t" coordsize="21600,21600" o:gfxdata="UEsDBAoAAAAAAIdO4kAAAAAAAAAAAAAAAAAEAAAAZHJzL1BLAwQUAAAACACHTuJAbdUEotgAAAAJ&#10;AQAADwAAAGRycy9kb3ducmV2LnhtbE2PQU+EMBSE7yb+h+aZeHNLadhdWR4bo9GTF3ETr4W+BSJt&#10;CS0s+uutJz1OZjLzTXFczcAWmnzvLILYJMDINk73tkU4vT/f7YH5oKxWg7OE8EUejuX1VaFy7S72&#10;jZYqtCyWWJ8rhC6EMefcNx0Z5TduJBu9s5uMClFOLdeTusRyM/A0SbbcqN7GhU6N9NhR81nNBmF9&#10;/a7v5xfRVKHbb3cfcnl6OHHE2xuRHIAFWsNfGH7xIzqUkal2s9WeDQipFPFLQMhSYNHfSZkBqxFk&#10;lgrgZcH/Pyh/AFBLAwQUAAAACACHTuJAI44BzCUCAABVBAAADgAAAGRycy9lMm9Eb2MueG1srVRL&#10;jhMxEN0jcQfLe9IfFEha6YzQhLBBMNLAASpud9qSf9hOurNjhzgDO5bcAW4zEtyCsjtkPrDIAi/c&#10;Zbv8qt6rci8uBiXJnjsvjK5pMckp4ZqZRuhtTd+/Wz+ZUeID6Aak0bymB+7pxfLxo0VvK16azsiG&#10;O4Ig2le9rWkXgq2yzLOOK/ATY7nGw9Y4BQGXbps1DnpEVzIr8/xZ1hvXWGcY9x53V+MhPSK6cwBN&#10;2wrGV4btFNdhRHVcQkBKvhPW02XKtm05C2/b1vNAZE2RaUgzBkF7E+dsuYBq68B2gh1TgHNSeMBJ&#10;gdAY9AS1ggBk58RfUEowZ7xpw4QZlY1EkiLIosgfaHPdgeWJC0rt7Ul0//9g2Zv9lSOiqWmJkmhQ&#10;WPGfn779+vj55suPm+9fSTGPGvXWV+h6ba/cceXRjISH1qn4RSpkSLoeTrryIRCGm0+LeT57PqWE&#10;4VlZ5uWsmEbU7Pa6dT684kaRaNS0laa/7MCFFzJwpyHwq7Fjksiwf+3DeP/PvZiCN1I0ayFlWrjt&#10;5lI6sges/DqNY8h7blKTvqbzaRmzA2znFtsITWVREq+3Kd69G/4ucJ7Gv4BjYivw3ZhAQohuUCmB&#10;jJLVcWhe6oaEg0XVNb42GpNRvKFEcnyc0UqeAYQ8xxMFlRp1jeUaCxStMGwGhInmxjQHrHePDY/0&#10;PuzAYcyddWLboepFIhL9sNtSeY4vI7bz3XUKcfs3WP4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bdUEotgAAAAJAQAADwAAAAAAAAABACAAAAAiAAAAZHJzL2Rvd25yZXYueG1sUEsBAhQAFAAAAAgA&#10;h07iQCOOAcwlAgAAVQQAAA4AAAAAAAAAAQAgAAAAJwEAAGRycy9lMm9Eb2MueG1sUEsFBgAAAAAG&#10;AAYAWQEAAL4FAAAAAA==&#10;">
                <v:fill on="t" focussize="0,0"/>
                <v:stroke color="#000000" joinstyle="miter"/>
                <v:imagedata o:title=""/>
                <o:lock v:ext="edit" aspectratio="f"/>
                <v:textbox>
                  <w:txbxContent>
                    <w:p w14:paraId="7B94B07E">
                      <w:pPr>
                        <w:jc w:val="both"/>
                        <w:rPr>
                          <w:rFonts w:hint="eastAsia"/>
                          <w:szCs w:val="21"/>
                        </w:rPr>
                      </w:pPr>
                    </w:p>
                    <w:p w14:paraId="734E4B05">
                      <w:pPr>
                        <w:jc w:val="center"/>
                        <w:rPr>
                          <w:szCs w:val="21"/>
                        </w:rPr>
                      </w:pPr>
                      <w:r>
                        <w:rPr>
                          <w:rFonts w:hint="eastAsia"/>
                          <w:szCs w:val="21"/>
                        </w:rPr>
                        <w:t>委托代理人身份证</w:t>
                      </w:r>
                      <w:r>
                        <w:rPr>
                          <w:rFonts w:hint="eastAsia"/>
                          <w:szCs w:val="21"/>
                          <w:lang w:val="en-US" w:eastAsia="zh-CN"/>
                        </w:rPr>
                        <w:t>彩色扫描件</w:t>
                      </w:r>
                      <w:r>
                        <w:rPr>
                          <w:rFonts w:hint="eastAsia"/>
                          <w:szCs w:val="21"/>
                        </w:rPr>
                        <w:t>正、反面</w:t>
                      </w:r>
                    </w:p>
                  </w:txbxContent>
                </v:textbox>
              </v:shape>
            </w:pict>
          </mc:Fallback>
        </mc:AlternateContent>
      </w:r>
    </w:p>
    <w:p w14:paraId="146ED89D">
      <w:pPr>
        <w:pStyle w:val="11"/>
        <w:wordWrap w:val="0"/>
        <w:adjustRightInd w:val="0"/>
        <w:snapToGrid w:val="0"/>
        <w:rPr>
          <w:rFonts w:hint="eastAsia" w:ascii="宋体" w:hAnsi="宋体" w:eastAsia="宋体" w:cs="宋体"/>
          <w:snapToGrid w:val="0"/>
          <w:color w:val="auto"/>
          <w:kern w:val="0"/>
          <w:szCs w:val="24"/>
          <w:highlight w:val="none"/>
        </w:rPr>
      </w:pPr>
    </w:p>
    <w:p w14:paraId="13997643">
      <w:pPr>
        <w:pStyle w:val="4"/>
        <w:keepNext w:val="0"/>
        <w:keepLines w:val="0"/>
        <w:wordWrap w:val="0"/>
        <w:adjustRightInd w:val="0"/>
        <w:snapToGrid w:val="0"/>
        <w:rPr>
          <w:rFonts w:hint="eastAsia" w:ascii="宋体" w:hAnsi="宋体" w:eastAsia="宋体" w:cs="宋体"/>
          <w:snapToGrid w:val="0"/>
          <w:color w:val="auto"/>
          <w:kern w:val="0"/>
          <w:highlight w:val="none"/>
        </w:rPr>
      </w:pPr>
    </w:p>
    <w:p w14:paraId="05D406CA">
      <w:pPr>
        <w:pStyle w:val="5"/>
        <w:widowControl w:val="0"/>
        <w:wordWrap w:val="0"/>
        <w:adjustRightInd w:val="0"/>
        <w:snapToGrid w:val="0"/>
        <w:rPr>
          <w:rFonts w:hint="eastAsia" w:ascii="宋体" w:hAnsi="宋体" w:eastAsia="宋体" w:cs="宋体"/>
          <w:snapToGrid w:val="0"/>
          <w:color w:val="auto"/>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4CA478D1">
      <w:pPr>
        <w:pStyle w:val="4"/>
        <w:bidi w:val="0"/>
        <w:ind w:firstLine="964"/>
        <w:rPr>
          <w:rFonts w:hint="eastAsia" w:ascii="宋体" w:hAnsi="宋体" w:eastAsia="宋体" w:cs="宋体"/>
          <w:color w:val="auto"/>
          <w:highlight w:val="none"/>
        </w:rPr>
      </w:pPr>
      <w:bookmarkStart w:id="309" w:name="_Toc21377"/>
      <w:bookmarkStart w:id="310" w:name="_Toc26408"/>
      <w:r>
        <w:rPr>
          <w:rFonts w:hint="eastAsia" w:ascii="宋体" w:hAnsi="宋体" w:eastAsia="宋体" w:cs="宋体"/>
          <w:color w:val="auto"/>
          <w:highlight w:val="none"/>
        </w:rPr>
        <w:t>格式五 法定代表人身份证明</w:t>
      </w:r>
      <w:bookmarkEnd w:id="309"/>
      <w:bookmarkEnd w:id="310"/>
    </w:p>
    <w:p w14:paraId="128111AD">
      <w:pPr>
        <w:wordWrap w:val="0"/>
        <w:adjustRightInd w:val="0"/>
        <w:snapToGrid w:val="0"/>
        <w:spacing w:line="440" w:lineRule="exact"/>
        <w:outlineLvl w:val="2"/>
        <w:rPr>
          <w:rFonts w:hint="eastAsia" w:ascii="宋体" w:hAnsi="宋体" w:eastAsia="宋体" w:cs="宋体"/>
          <w:b/>
          <w:snapToGrid w:val="0"/>
          <w:color w:val="auto"/>
          <w:kern w:val="0"/>
          <w:highlight w:val="none"/>
        </w:rPr>
      </w:pPr>
    </w:p>
    <w:p w14:paraId="31B9C975">
      <w:pPr>
        <w:wordWrap w:val="0"/>
        <w:adjustRightInd w:val="0"/>
        <w:snapToGrid w:val="0"/>
        <w:spacing w:before="260" w:after="260" w:line="440" w:lineRule="exact"/>
        <w:jc w:val="center"/>
        <w:rPr>
          <w:rFonts w:hint="eastAsia" w:ascii="宋体" w:hAnsi="宋体" w:eastAsia="宋体" w:cs="宋体"/>
          <w:b/>
          <w:snapToGrid w:val="0"/>
          <w:color w:val="auto"/>
          <w:kern w:val="0"/>
          <w:highlight w:val="none"/>
        </w:rPr>
      </w:pPr>
      <w:r>
        <w:rPr>
          <w:rFonts w:hint="eastAsia" w:ascii="宋体" w:hAnsi="宋体" w:eastAsia="宋体" w:cs="宋体"/>
          <w:b/>
          <w:snapToGrid w:val="0"/>
          <w:color w:val="auto"/>
          <w:kern w:val="0"/>
          <w:sz w:val="30"/>
          <w:highlight w:val="none"/>
        </w:rPr>
        <w:t>法定代表人身份证明</w:t>
      </w:r>
    </w:p>
    <w:p w14:paraId="6BB54858">
      <w:pPr>
        <w:wordWrap w:val="0"/>
        <w:adjustRightInd w:val="0"/>
        <w:snapToGrid w:val="0"/>
        <w:spacing w:line="440" w:lineRule="exact"/>
        <w:rPr>
          <w:rFonts w:hint="eastAsia" w:ascii="宋体" w:hAnsi="宋体" w:eastAsia="宋体" w:cs="宋体"/>
          <w:snapToGrid w:val="0"/>
          <w:color w:val="auto"/>
          <w:kern w:val="0"/>
          <w:szCs w:val="21"/>
          <w:highlight w:val="none"/>
        </w:rPr>
      </w:pPr>
    </w:p>
    <w:p w14:paraId="59DE099D">
      <w:pPr>
        <w:wordWrap w:val="0"/>
        <w:adjustRightInd w:val="0"/>
        <w:snapToGrid w:val="0"/>
        <w:spacing w:line="440" w:lineRule="exact"/>
        <w:rPr>
          <w:rFonts w:hint="eastAsia" w:ascii="宋体" w:hAnsi="宋体" w:eastAsia="宋体" w:cs="宋体"/>
          <w:snapToGrid w:val="0"/>
          <w:color w:val="auto"/>
          <w:kern w:val="0"/>
          <w:szCs w:val="21"/>
          <w:highlight w:val="none"/>
          <w:u w:val="single"/>
        </w:rPr>
      </w:pPr>
      <w:r>
        <w:rPr>
          <w:rFonts w:hint="eastAsia" w:ascii="宋体" w:hAnsi="宋体" w:eastAsia="宋体" w:cs="宋体"/>
          <w:snapToGrid w:val="0"/>
          <w:color w:val="auto"/>
          <w:kern w:val="0"/>
          <w:szCs w:val="21"/>
          <w:highlight w:val="none"/>
        </w:rPr>
        <w:t>投标人名称：</w:t>
      </w:r>
      <w:r>
        <w:rPr>
          <w:rFonts w:hint="eastAsia" w:ascii="宋体" w:hAnsi="宋体" w:eastAsia="宋体" w:cs="宋体"/>
          <w:snapToGrid w:val="0"/>
          <w:color w:val="auto"/>
          <w:kern w:val="0"/>
          <w:szCs w:val="21"/>
          <w:highlight w:val="none"/>
          <w:u w:val="single"/>
        </w:rPr>
        <w:t xml:space="preserve">                  </w:t>
      </w:r>
    </w:p>
    <w:p w14:paraId="18EC02A4">
      <w:pPr>
        <w:wordWrap w:val="0"/>
        <w:adjustRightInd w:val="0"/>
        <w:snapToGrid w:val="0"/>
        <w:spacing w:line="440" w:lineRule="exact"/>
        <w:rPr>
          <w:rFonts w:hint="eastAsia" w:ascii="宋体" w:hAnsi="宋体" w:eastAsia="宋体" w:cs="宋体"/>
          <w:snapToGrid w:val="0"/>
          <w:color w:val="auto"/>
          <w:kern w:val="0"/>
          <w:szCs w:val="21"/>
          <w:highlight w:val="none"/>
          <w:u w:val="single"/>
        </w:rPr>
      </w:pPr>
      <w:r>
        <w:rPr>
          <w:rFonts w:hint="eastAsia" w:ascii="宋体" w:hAnsi="宋体" w:eastAsia="宋体" w:cs="宋体"/>
          <w:snapToGrid w:val="0"/>
          <w:color w:val="auto"/>
          <w:kern w:val="0"/>
          <w:szCs w:val="21"/>
          <w:highlight w:val="none"/>
        </w:rPr>
        <w:t>姓名：</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性别：</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年龄：</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职务：</w:t>
      </w:r>
      <w:r>
        <w:rPr>
          <w:rFonts w:hint="eastAsia" w:ascii="宋体" w:hAnsi="宋体" w:eastAsia="宋体" w:cs="宋体"/>
          <w:snapToGrid w:val="0"/>
          <w:color w:val="auto"/>
          <w:kern w:val="0"/>
          <w:szCs w:val="21"/>
          <w:highlight w:val="none"/>
          <w:u w:val="single"/>
        </w:rPr>
        <w:t xml:space="preserve">           </w:t>
      </w:r>
    </w:p>
    <w:p w14:paraId="2AE3013E">
      <w:pPr>
        <w:wordWrap w:val="0"/>
        <w:adjustRightInd w:val="0"/>
        <w:snapToGrid w:val="0"/>
        <w:spacing w:line="440" w:lineRule="exac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系</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（投标人名称）的法定代表人。</w:t>
      </w:r>
    </w:p>
    <w:p w14:paraId="1905C333">
      <w:pPr>
        <w:wordWrap w:val="0"/>
        <w:adjustRightInd w:val="0"/>
        <w:snapToGrid w:val="0"/>
        <w:spacing w:line="440" w:lineRule="exac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特此证明。</w:t>
      </w:r>
    </w:p>
    <w:p w14:paraId="33D73E87">
      <w:pPr>
        <w:wordWrap w:val="0"/>
        <w:adjustRightInd w:val="0"/>
        <w:snapToGrid w:val="0"/>
        <w:spacing w:line="440" w:lineRule="exact"/>
        <w:rPr>
          <w:rFonts w:hint="eastAsia" w:ascii="宋体" w:hAnsi="宋体" w:eastAsia="宋体" w:cs="宋体"/>
          <w:snapToGrid w:val="0"/>
          <w:color w:val="auto"/>
          <w:kern w:val="0"/>
          <w:szCs w:val="21"/>
          <w:highlight w:val="none"/>
        </w:rPr>
      </w:pPr>
    </w:p>
    <w:p w14:paraId="78B8D652">
      <w:pPr>
        <w:wordWrap w:val="0"/>
        <w:adjustRightInd w:val="0"/>
        <w:snapToGrid w:val="0"/>
        <w:spacing w:line="440" w:lineRule="exact"/>
        <w:rPr>
          <w:rFonts w:hint="eastAsia" w:ascii="宋体" w:hAnsi="宋体" w:eastAsia="宋体" w:cs="宋体"/>
          <w:snapToGrid w:val="0"/>
          <w:color w:val="auto"/>
          <w:kern w:val="0"/>
          <w:szCs w:val="21"/>
          <w:highlight w:val="none"/>
        </w:rPr>
      </w:pPr>
    </w:p>
    <w:p w14:paraId="3EB40026">
      <w:pPr>
        <w:wordWrap w:val="0"/>
        <w:adjustRightInd w:val="0"/>
        <w:snapToGrid w:val="0"/>
        <w:spacing w:line="440" w:lineRule="exact"/>
        <w:jc w:val="righ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投标人：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（盖单位章）</w:t>
      </w:r>
    </w:p>
    <w:p w14:paraId="3A983D9B">
      <w:pPr>
        <w:wordWrap w:val="0"/>
        <w:adjustRightInd w:val="0"/>
        <w:snapToGrid w:val="0"/>
        <w:spacing w:line="440" w:lineRule="exact"/>
        <w:jc w:val="right"/>
        <w:rPr>
          <w:rFonts w:hint="eastAsia" w:ascii="宋体" w:hAnsi="宋体" w:eastAsia="宋体" w:cs="宋体"/>
          <w:snapToGrid w:val="0"/>
          <w:color w:val="auto"/>
          <w:kern w:val="0"/>
          <w:szCs w:val="21"/>
          <w:highlight w:val="none"/>
        </w:rPr>
      </w:pPr>
    </w:p>
    <w:p w14:paraId="56B50CF0">
      <w:pPr>
        <w:wordWrap w:val="0"/>
        <w:adjustRightInd w:val="0"/>
        <w:snapToGrid w:val="0"/>
        <w:spacing w:line="440" w:lineRule="exact"/>
        <w:jc w:val="right"/>
        <w:rPr>
          <w:rFonts w:hint="eastAsia" w:ascii="宋体" w:hAnsi="宋体" w:eastAsia="宋体" w:cs="宋体"/>
          <w:snapToGrid w:val="0"/>
          <w:color w:val="auto"/>
          <w:kern w:val="0"/>
          <w:szCs w:val="21"/>
          <w:highlight w:val="none"/>
        </w:rPr>
      </w:pPr>
    </w:p>
    <w:p w14:paraId="346061ED">
      <w:pPr>
        <w:wordWrap w:val="0"/>
        <w:adjustRightInd w:val="0"/>
        <w:snapToGrid w:val="0"/>
        <w:spacing w:line="440" w:lineRule="exact"/>
        <w:jc w:val="righ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法定代表人：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（签字或盖章）</w:t>
      </w:r>
    </w:p>
    <w:p w14:paraId="085EDE61">
      <w:pPr>
        <w:wordWrap w:val="0"/>
        <w:adjustRightInd w:val="0"/>
        <w:snapToGrid w:val="0"/>
        <w:spacing w:line="440" w:lineRule="exact"/>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w:t>
      </w:r>
    </w:p>
    <w:p w14:paraId="0FE4AB79">
      <w:pPr>
        <w:wordWrap w:val="0"/>
        <w:adjustRightInd w:val="0"/>
        <w:snapToGrid w:val="0"/>
        <w:spacing w:line="440" w:lineRule="exact"/>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 xml:space="preserve">日       </w:t>
      </w:r>
    </w:p>
    <w:p w14:paraId="32092DA9">
      <w:pPr>
        <w:wordWrap w:val="0"/>
        <w:adjustRightInd w:val="0"/>
        <w:snapToGrid w:val="0"/>
        <w:spacing w:line="440" w:lineRule="exact"/>
        <w:ind w:firstLine="240" w:firstLineChars="1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w:t>
      </w:r>
    </w:p>
    <w:p w14:paraId="3F52A745">
      <w:pPr>
        <w:wordWrap w:val="0"/>
        <w:adjustRightInd w:val="0"/>
        <w:snapToGrid w:val="0"/>
        <w:spacing w:line="440" w:lineRule="exact"/>
        <w:ind w:firstLine="720" w:firstLineChars="300"/>
        <w:rPr>
          <w:rFonts w:hint="eastAsia" w:ascii="宋体" w:hAnsi="宋体" w:eastAsia="宋体" w:cs="宋体"/>
          <w:i/>
          <w:iCs/>
          <w:snapToGrid w:val="0"/>
          <w:color w:val="auto"/>
          <w:kern w:val="0"/>
          <w:szCs w:val="21"/>
          <w:highlight w:val="none"/>
        </w:rPr>
      </w:pPr>
      <w:r>
        <w:rPr>
          <w:rFonts w:hint="eastAsia" w:ascii="宋体" w:hAnsi="宋体" w:eastAsia="宋体" w:cs="宋体"/>
          <w:snapToGrid w:val="0"/>
          <w:color w:val="auto"/>
          <w:kern w:val="0"/>
          <w:szCs w:val="21"/>
          <w:highlight w:val="none"/>
        </w:rPr>
        <w:t xml:space="preserve">  </w:t>
      </w:r>
      <w:r>
        <w:rPr>
          <w:rFonts w:hint="eastAsia" w:ascii="宋体" w:hAnsi="宋体" w:eastAsia="宋体" w:cs="宋体"/>
          <w:i/>
          <w:iCs/>
          <w:snapToGrid w:val="0"/>
          <w:color w:val="auto"/>
          <w:kern w:val="0"/>
          <w:szCs w:val="21"/>
          <w:highlight w:val="none"/>
        </w:rPr>
        <w:t xml:space="preserve"> </w:t>
      </w:r>
    </w:p>
    <w:p w14:paraId="615D270D">
      <w:pPr>
        <w:wordWrap w:val="0"/>
        <w:adjustRightInd w:val="0"/>
        <w:snapToGrid w:val="0"/>
        <w:spacing w:line="440" w:lineRule="exact"/>
        <w:ind w:firstLine="720" w:firstLineChars="300"/>
        <w:rPr>
          <w:rFonts w:hint="eastAsia" w:ascii="宋体" w:hAnsi="宋体" w:eastAsia="宋体" w:cs="宋体"/>
          <w:i/>
          <w:iCs/>
          <w:snapToGrid w:val="0"/>
          <w:color w:val="auto"/>
          <w:kern w:val="0"/>
          <w:szCs w:val="21"/>
          <w:highlight w:val="none"/>
        </w:rPr>
      </w:pPr>
    </w:p>
    <w:p w14:paraId="5B16402B">
      <w:pPr>
        <w:wordWrap w:val="0"/>
        <w:adjustRightInd w:val="0"/>
        <w:snapToGrid w:val="0"/>
        <w:spacing w:line="440" w:lineRule="exact"/>
        <w:ind w:firstLine="720" w:firstLineChars="300"/>
        <w:rPr>
          <w:rFonts w:hint="eastAsia" w:ascii="宋体" w:hAnsi="宋体" w:eastAsia="宋体" w:cs="宋体"/>
          <w:i/>
          <w:iCs/>
          <w:snapToGrid w:val="0"/>
          <w:color w:val="auto"/>
          <w:kern w:val="0"/>
          <w:szCs w:val="21"/>
          <w:highlight w:val="none"/>
        </w:rPr>
      </w:pPr>
    </w:p>
    <w:p w14:paraId="1597B753">
      <w:pPr>
        <w:wordWrap w:val="0"/>
        <w:adjustRightInd w:val="0"/>
        <w:snapToGrid w:val="0"/>
        <w:rPr>
          <w:rFonts w:hint="eastAsia" w:ascii="宋体" w:hAnsi="宋体" w:eastAsia="宋体" w:cs="宋体"/>
          <w:b/>
          <w:snapToGrid w:val="0"/>
          <w:color w:val="auto"/>
          <w:kern w:val="0"/>
          <w:szCs w:val="21"/>
          <w:highlight w:val="none"/>
        </w:rPr>
      </w:pPr>
      <w:r>
        <w:rPr>
          <w:rFonts w:hint="eastAsia" w:ascii="宋体" w:hAnsi="宋体" w:eastAsia="宋体" w:cs="宋体"/>
          <w:b/>
          <w:snapToGrid w:val="0"/>
          <w:color w:val="auto"/>
          <w:kern w:val="0"/>
          <w:szCs w:val="21"/>
          <w:highlight w:val="none"/>
        </w:rPr>
        <mc:AlternateContent>
          <mc:Choice Requires="wps">
            <w:drawing>
              <wp:anchor distT="0" distB="0" distL="114300" distR="114300" simplePos="0" relativeHeight="251660288" behindDoc="0" locked="0" layoutInCell="1" allowOverlap="1">
                <wp:simplePos x="0" y="0"/>
                <wp:positionH relativeFrom="column">
                  <wp:posOffset>1619250</wp:posOffset>
                </wp:positionH>
                <wp:positionV relativeFrom="paragraph">
                  <wp:posOffset>20320</wp:posOffset>
                </wp:positionV>
                <wp:extent cx="3120390" cy="2336165"/>
                <wp:effectExtent l="4445" t="4445" r="18415" b="21590"/>
                <wp:wrapNone/>
                <wp:docPr id="19" name="自选图形 18"/>
                <wp:cNvGraphicFramePr/>
                <a:graphic xmlns:a="http://schemas.openxmlformats.org/drawingml/2006/main">
                  <a:graphicData uri="http://schemas.microsoft.com/office/word/2010/wordprocessingShape">
                    <wps:wsp>
                      <wps:cNvSpPr/>
                      <wps:spPr>
                        <a:xfrm>
                          <a:off x="0" y="0"/>
                          <a:ext cx="3120390" cy="233616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B33CAFD">
                            <w:pPr>
                              <w:jc w:val="center"/>
                              <w:rPr>
                                <w:rFonts w:hint="eastAsia"/>
                                <w:szCs w:val="21"/>
                              </w:rPr>
                            </w:pPr>
                          </w:p>
                          <w:p w14:paraId="41B32FAC">
                            <w:pPr>
                              <w:jc w:val="center"/>
                              <w:rPr>
                                <w:szCs w:val="21"/>
                              </w:rPr>
                            </w:pPr>
                            <w:r>
                              <w:rPr>
                                <w:rFonts w:hint="eastAsia"/>
                                <w:szCs w:val="21"/>
                              </w:rPr>
                              <w:t>法定代表人身份证</w:t>
                            </w:r>
                            <w:r>
                              <w:rPr>
                                <w:rFonts w:hint="eastAsia"/>
                                <w:szCs w:val="21"/>
                                <w:lang w:val="en-US" w:eastAsia="zh-CN"/>
                              </w:rPr>
                              <w:t>彩色扫描件</w:t>
                            </w:r>
                            <w:r>
                              <w:rPr>
                                <w:rFonts w:hint="eastAsia"/>
                                <w:szCs w:val="21"/>
                              </w:rPr>
                              <w:t>正、反面</w:t>
                            </w:r>
                          </w:p>
                        </w:txbxContent>
                      </wps:txbx>
                      <wps:bodyPr wrap="square" upright="1"/>
                    </wps:wsp>
                  </a:graphicData>
                </a:graphic>
              </wp:anchor>
            </w:drawing>
          </mc:Choice>
          <mc:Fallback>
            <w:pict>
              <v:shape id="自选图形 18" o:spid="_x0000_s1026" o:spt="176" type="#_x0000_t176" style="position:absolute;left:0pt;margin-left:127.5pt;margin-top:1.6pt;height:183.95pt;width:245.7pt;z-index:251660288;mso-width-relative:page;mso-height-relative:page;" fillcolor="#FFFFFF" filled="t" stroked="t" coordsize="21600,21600" o:gfxdata="UEsDBAoAAAAAAIdO4kAAAAAAAAAAAAAAAAAEAAAAZHJzL1BLAwQUAAAACACHTuJAHIJIytcAAAAJ&#10;AQAADwAAAGRycy9kb3ducmV2LnhtbE2PQU+EMBSE7yb+h+aZeHNL2V1YkbIxGj15ETfxWuiTEukr&#10;oYVFf731pMfJTGa+KY+rHdiCk+8dSRCbBBhS63RPnYTT29PNAZgPirQaHKGEL/RwrC4vSlVod6ZX&#10;XOrQsVhCvlASTAhjwblvDVrlN25Eit6Hm6wKUU4d15M6x3I78DRJMm5VT3HBqBEfDLaf9WwlrC/f&#10;ze38LNo6mEOWv2+Xx/sTl/L6SiR3wAKu4S8Mv/gRHarI1LiZtGeDhHS/j1+ChG0KLPr5LtsBa6LO&#10;hQBelfz/g+oHUEsDBBQAAAAIAIdO4kCFFy0zJwIAAFUEAAAOAAAAZHJzL2Uyb0RvYy54bWytVM2O&#10;0zAQviPxDpbvNEmrVrtR0xXaUi4IKi08wNRxEkv+w3ab9sYN8QzcOPIO7NusBG/B2CndHzj0gA/O&#10;2B5/M98348yv9kqSHXdeGF3RYpRTwjUztdBtRT+8X724oMQH0DVIo3lFD9zTq8XzZ/PelnxsOiNr&#10;7giCaF/2tqJdCLbMMs86rsCPjOUaDxvjFARcujarHfSIrmQ2zvNZ1htXW2cY9x53l8MhPSK6cwBN&#10;0wjGl4ZtFddhQHVcQkBKvhPW00XKtmk4C++axvNAZEWRaUgzBkF7E+dsMYeydWA7wY4pwDkpPOGk&#10;QGgMeoJaQgCydeIvKCWYM940YcSMygYiSRFkUeRPtLnpwPLEBaX29iS6/3+w7O1u7YiosRMuKdGg&#10;sOI/P3//9enL3dfbux/fSHERNeqtL9H1xq7dceXRjIT3jVPxi1TIPul6OOnK94Ew3JwU43xyiZIz&#10;PBtPJrNiNo2o2f1163x4zY0i0ahoI01/3YELL2XgTkPg66Fjksiwe+PDcP/PvZiCN1LUKyFlWrh2&#10;cy0d2QFWfpXGMeQjN6lJX9HL6XiK2QG2c4NthKayKInXbYr36IZ/CJyn8S/gmNgSfDckkBCiG5RK&#10;IKNkdRzqV7om4WBRdY2vjcZkFK8pkRwfZ7SSZwAhz/FEQaVGXWO5hgJFK+w3e4SJ5sbUB6x3jw2P&#10;9D5uwWHMrXWi7VD1IhGJfthtqTzHlxHb+eE6hbj/Gy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yCSMrXAAAACQEAAA8AAAAAAAAAAQAgAAAAIgAAAGRycy9kb3ducmV2LnhtbFBLAQIUABQAAAAI&#10;AIdO4kCFFy0zJwIAAFUEAAAOAAAAAAAAAAEAIAAAACYBAABkcnMvZTJvRG9jLnhtbFBLBQYAAAAA&#10;BgAGAFkBAAC/BQAAAAA=&#10;">
                <v:fill on="t" focussize="0,0"/>
                <v:stroke color="#000000" joinstyle="miter"/>
                <v:imagedata o:title=""/>
                <o:lock v:ext="edit" aspectratio="f"/>
                <v:textbox>
                  <w:txbxContent>
                    <w:p w14:paraId="3B33CAFD">
                      <w:pPr>
                        <w:jc w:val="center"/>
                        <w:rPr>
                          <w:rFonts w:hint="eastAsia"/>
                          <w:szCs w:val="21"/>
                        </w:rPr>
                      </w:pPr>
                    </w:p>
                    <w:p w14:paraId="41B32FAC">
                      <w:pPr>
                        <w:jc w:val="center"/>
                        <w:rPr>
                          <w:szCs w:val="21"/>
                        </w:rPr>
                      </w:pPr>
                      <w:r>
                        <w:rPr>
                          <w:rFonts w:hint="eastAsia"/>
                          <w:szCs w:val="21"/>
                        </w:rPr>
                        <w:t>法定代表人身份证</w:t>
                      </w:r>
                      <w:r>
                        <w:rPr>
                          <w:rFonts w:hint="eastAsia"/>
                          <w:szCs w:val="21"/>
                          <w:lang w:val="en-US" w:eastAsia="zh-CN"/>
                        </w:rPr>
                        <w:t>彩色扫描件</w:t>
                      </w:r>
                      <w:r>
                        <w:rPr>
                          <w:rFonts w:hint="eastAsia"/>
                          <w:szCs w:val="21"/>
                        </w:rPr>
                        <w:t>正、反面</w:t>
                      </w:r>
                    </w:p>
                  </w:txbxContent>
                </v:textbox>
              </v:shape>
            </w:pict>
          </mc:Fallback>
        </mc:AlternateContent>
      </w:r>
    </w:p>
    <w:p w14:paraId="22494FB9">
      <w:pPr>
        <w:tabs>
          <w:tab w:val="left" w:pos="654"/>
          <w:tab w:val="left" w:pos="1734"/>
          <w:tab w:val="left" w:pos="2814"/>
          <w:tab w:val="left" w:pos="3894"/>
          <w:tab w:val="left" w:pos="5334"/>
          <w:tab w:val="left" w:pos="6414"/>
          <w:tab w:val="left" w:pos="7254"/>
          <w:tab w:val="left" w:pos="8574"/>
          <w:tab w:val="left" w:pos="9654"/>
        </w:tabs>
        <w:wordWrap w:val="0"/>
        <w:adjustRightInd w:val="0"/>
        <w:snapToGrid w:val="0"/>
        <w:rPr>
          <w:rFonts w:hint="eastAsia" w:ascii="宋体" w:hAnsi="宋体" w:eastAsia="宋体" w:cs="宋体"/>
          <w:snapToGrid w:val="0"/>
          <w:color w:val="auto"/>
          <w:kern w:val="0"/>
          <w:sz w:val="28"/>
          <w:szCs w:val="28"/>
          <w:highlight w:val="none"/>
        </w:rPr>
      </w:pPr>
    </w:p>
    <w:p w14:paraId="62C6C69A">
      <w:pPr>
        <w:wordWrap w:val="0"/>
        <w:adjustRightInd w:val="0"/>
        <w:snapToGrid w:val="0"/>
        <w:spacing w:line="480" w:lineRule="exact"/>
        <w:jc w:val="center"/>
        <w:rPr>
          <w:rFonts w:hint="eastAsia" w:ascii="宋体" w:hAnsi="宋体" w:eastAsia="宋体" w:cs="宋体"/>
          <w:b/>
          <w:snapToGrid w:val="0"/>
          <w:color w:val="auto"/>
          <w:kern w:val="0"/>
          <w:sz w:val="28"/>
          <w:szCs w:val="28"/>
          <w:highlight w:val="none"/>
        </w:rPr>
      </w:pPr>
    </w:p>
    <w:p w14:paraId="68360507">
      <w:pPr>
        <w:wordWrap w:val="0"/>
        <w:adjustRightInd w:val="0"/>
        <w:snapToGrid w:val="0"/>
        <w:spacing w:line="480" w:lineRule="exact"/>
        <w:jc w:val="center"/>
        <w:rPr>
          <w:rFonts w:hint="eastAsia" w:ascii="宋体" w:hAnsi="宋体" w:eastAsia="宋体" w:cs="宋体"/>
          <w:b/>
          <w:snapToGrid w:val="0"/>
          <w:color w:val="auto"/>
          <w:kern w:val="0"/>
          <w:sz w:val="28"/>
          <w:szCs w:val="28"/>
          <w:highlight w:val="none"/>
        </w:rPr>
      </w:pPr>
    </w:p>
    <w:p w14:paraId="76CD6A02">
      <w:pPr>
        <w:wordWrap w:val="0"/>
        <w:adjustRightInd w:val="0"/>
        <w:snapToGrid w:val="0"/>
        <w:spacing w:line="480" w:lineRule="exact"/>
        <w:jc w:val="center"/>
        <w:rPr>
          <w:rFonts w:hint="eastAsia" w:ascii="宋体" w:hAnsi="宋体" w:eastAsia="宋体" w:cs="宋体"/>
          <w:b/>
          <w:snapToGrid w:val="0"/>
          <w:color w:val="auto"/>
          <w:kern w:val="0"/>
          <w:sz w:val="28"/>
          <w:szCs w:val="28"/>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2829A00C">
      <w:pPr>
        <w:pStyle w:val="4"/>
        <w:bidi w:val="0"/>
        <w:ind w:firstLine="964"/>
        <w:rPr>
          <w:rFonts w:hint="eastAsia" w:ascii="宋体" w:hAnsi="宋体" w:eastAsia="宋体" w:cs="宋体"/>
          <w:color w:val="auto"/>
          <w:highlight w:val="none"/>
        </w:rPr>
      </w:pPr>
      <w:bookmarkStart w:id="311" w:name="_Toc191"/>
      <w:r>
        <w:rPr>
          <w:rFonts w:hint="eastAsia" w:ascii="宋体" w:hAnsi="宋体" w:eastAsia="宋体" w:cs="宋体"/>
          <w:color w:val="auto"/>
          <w:highlight w:val="none"/>
        </w:rPr>
        <w:t>格式六 联合体协议书</w:t>
      </w:r>
      <w:bookmarkEnd w:id="311"/>
    </w:p>
    <w:p w14:paraId="5D306B4F">
      <w:pPr>
        <w:pStyle w:val="75"/>
        <w:widowControl w:val="0"/>
        <w:wordWrap w:val="0"/>
        <w:adjustRightInd w:val="0"/>
        <w:snapToGrid w:val="0"/>
        <w:spacing w:line="440" w:lineRule="exact"/>
        <w:ind w:firstLine="0"/>
        <w:rPr>
          <w:rFonts w:hint="eastAsia" w:ascii="宋体" w:hAnsi="宋体" w:eastAsia="宋体" w:cs="宋体"/>
          <w:b/>
          <w:bCs/>
          <w:snapToGrid w:val="0"/>
          <w:color w:val="auto"/>
          <w:sz w:val="24"/>
          <w:szCs w:val="24"/>
          <w:highlight w:val="none"/>
        </w:rPr>
      </w:pPr>
    </w:p>
    <w:p w14:paraId="5E87777E">
      <w:pPr>
        <w:pStyle w:val="75"/>
        <w:widowControl w:val="0"/>
        <w:wordWrap w:val="0"/>
        <w:adjustRightInd w:val="0"/>
        <w:snapToGrid w:val="0"/>
        <w:spacing w:before="240" w:after="240" w:line="440" w:lineRule="exact"/>
        <w:ind w:firstLine="0"/>
        <w:jc w:val="center"/>
        <w:rPr>
          <w:rFonts w:hint="eastAsia" w:ascii="宋体" w:hAnsi="宋体" w:eastAsia="宋体" w:cs="宋体"/>
          <w:snapToGrid w:val="0"/>
          <w:color w:val="auto"/>
          <w:sz w:val="24"/>
          <w:szCs w:val="21"/>
          <w:highlight w:val="none"/>
        </w:rPr>
      </w:pPr>
      <w:r>
        <w:rPr>
          <w:rFonts w:hint="eastAsia" w:ascii="宋体" w:hAnsi="宋体" w:eastAsia="宋体" w:cs="宋体"/>
          <w:b/>
          <w:snapToGrid w:val="0"/>
          <w:color w:val="auto"/>
          <w:sz w:val="30"/>
          <w:highlight w:val="none"/>
        </w:rPr>
        <w:t>联合体协议书</w:t>
      </w:r>
    </w:p>
    <w:p w14:paraId="69F636C0">
      <w:pPr>
        <w:pStyle w:val="75"/>
        <w:widowControl w:val="0"/>
        <w:wordWrap w:val="0"/>
        <w:adjustRightInd w:val="0"/>
        <w:snapToGrid w:val="0"/>
        <w:spacing w:line="440" w:lineRule="exact"/>
        <w:rPr>
          <w:rFonts w:hint="eastAsia" w:ascii="宋体" w:hAnsi="宋体" w:eastAsia="宋体" w:cs="宋体"/>
          <w:snapToGrid w:val="0"/>
          <w:color w:val="auto"/>
          <w:sz w:val="24"/>
          <w:szCs w:val="24"/>
          <w:highlight w:val="none"/>
        </w:rPr>
      </w:pPr>
    </w:p>
    <w:p w14:paraId="0BCACDBF">
      <w:pPr>
        <w:pStyle w:val="75"/>
        <w:widowControl w:val="0"/>
        <w:wordWrap w:val="0"/>
        <w:adjustRightInd w:val="0"/>
        <w:snapToGrid w:val="0"/>
        <w:spacing w:line="440" w:lineRule="exact"/>
        <w:rPr>
          <w:rFonts w:hint="eastAsia" w:ascii="宋体" w:hAnsi="宋体" w:eastAsia="宋体" w:cs="宋体"/>
          <w:snapToGrid w:val="0"/>
          <w:color w:val="auto"/>
          <w:sz w:val="24"/>
          <w:szCs w:val="24"/>
          <w:highlight w:val="none"/>
          <w:u w:val="single"/>
        </w:rPr>
      </w:pPr>
      <w:r>
        <w:rPr>
          <w:rFonts w:hint="eastAsia" w:ascii="宋体" w:hAnsi="宋体" w:eastAsia="宋体" w:cs="宋体"/>
          <w:snapToGrid w:val="0"/>
          <w:color w:val="auto"/>
          <w:sz w:val="24"/>
          <w:szCs w:val="24"/>
          <w:highlight w:val="none"/>
        </w:rPr>
        <w:t>牵头人名称：</w:t>
      </w:r>
      <w:r>
        <w:rPr>
          <w:rFonts w:hint="eastAsia" w:ascii="宋体" w:hAnsi="宋体" w:eastAsia="宋体" w:cs="宋体"/>
          <w:snapToGrid w:val="0"/>
          <w:color w:val="auto"/>
          <w:sz w:val="24"/>
          <w:szCs w:val="24"/>
          <w:highlight w:val="none"/>
          <w:u w:val="single"/>
        </w:rPr>
        <w:t xml:space="preserve">                                                  </w:t>
      </w:r>
    </w:p>
    <w:p w14:paraId="1D3E9AB9">
      <w:pPr>
        <w:pStyle w:val="75"/>
        <w:widowControl w:val="0"/>
        <w:wordWrap w:val="0"/>
        <w:adjustRightInd w:val="0"/>
        <w:snapToGrid w:val="0"/>
        <w:spacing w:line="440" w:lineRule="exact"/>
        <w:rPr>
          <w:rFonts w:hint="eastAsia" w:ascii="宋体" w:hAnsi="宋体" w:eastAsia="宋体" w:cs="宋体"/>
          <w:snapToGrid w:val="0"/>
          <w:color w:val="auto"/>
          <w:sz w:val="24"/>
          <w:szCs w:val="24"/>
          <w:highlight w:val="none"/>
          <w:u w:val="single"/>
        </w:rPr>
      </w:pPr>
      <w:r>
        <w:rPr>
          <w:rFonts w:hint="eastAsia" w:ascii="宋体" w:hAnsi="宋体" w:eastAsia="宋体" w:cs="宋体"/>
          <w:snapToGrid w:val="0"/>
          <w:color w:val="auto"/>
          <w:sz w:val="24"/>
          <w:szCs w:val="24"/>
          <w:highlight w:val="none"/>
        </w:rPr>
        <w:t>法定代表人：</w:t>
      </w:r>
      <w:r>
        <w:rPr>
          <w:rFonts w:hint="eastAsia" w:ascii="宋体" w:hAnsi="宋体" w:eastAsia="宋体" w:cs="宋体"/>
          <w:snapToGrid w:val="0"/>
          <w:color w:val="auto"/>
          <w:sz w:val="24"/>
          <w:szCs w:val="24"/>
          <w:highlight w:val="none"/>
          <w:u w:val="single"/>
        </w:rPr>
        <w:t xml:space="preserve">                                                  </w:t>
      </w:r>
    </w:p>
    <w:p w14:paraId="319DF58B">
      <w:pPr>
        <w:pStyle w:val="75"/>
        <w:widowControl w:val="0"/>
        <w:wordWrap w:val="0"/>
        <w:adjustRightInd w:val="0"/>
        <w:snapToGrid w:val="0"/>
        <w:spacing w:line="440" w:lineRule="exac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法定住所：</w:t>
      </w:r>
      <w:r>
        <w:rPr>
          <w:rFonts w:hint="eastAsia" w:ascii="宋体" w:hAnsi="宋体" w:eastAsia="宋体" w:cs="宋体"/>
          <w:snapToGrid w:val="0"/>
          <w:color w:val="auto"/>
          <w:sz w:val="24"/>
          <w:szCs w:val="24"/>
          <w:highlight w:val="none"/>
          <w:u w:val="single"/>
        </w:rPr>
        <w:t xml:space="preserve">                                                    </w:t>
      </w:r>
    </w:p>
    <w:p w14:paraId="064EC425">
      <w:pPr>
        <w:pStyle w:val="75"/>
        <w:widowControl w:val="0"/>
        <w:wordWrap w:val="0"/>
        <w:adjustRightInd w:val="0"/>
        <w:snapToGrid w:val="0"/>
        <w:spacing w:line="440" w:lineRule="exact"/>
        <w:rPr>
          <w:rFonts w:hint="eastAsia" w:ascii="宋体" w:hAnsi="宋体" w:eastAsia="宋体" w:cs="宋体"/>
          <w:snapToGrid w:val="0"/>
          <w:color w:val="auto"/>
          <w:sz w:val="24"/>
          <w:szCs w:val="24"/>
          <w:highlight w:val="none"/>
        </w:rPr>
      </w:pPr>
    </w:p>
    <w:p w14:paraId="5E1A040C">
      <w:pPr>
        <w:pStyle w:val="75"/>
        <w:widowControl w:val="0"/>
        <w:wordWrap w:val="0"/>
        <w:adjustRightInd w:val="0"/>
        <w:snapToGrid w:val="0"/>
        <w:spacing w:line="440" w:lineRule="exact"/>
        <w:rPr>
          <w:rFonts w:hint="eastAsia" w:ascii="宋体" w:hAnsi="宋体" w:eastAsia="宋体" w:cs="宋体"/>
          <w:snapToGrid w:val="0"/>
          <w:color w:val="auto"/>
          <w:sz w:val="24"/>
          <w:szCs w:val="24"/>
          <w:highlight w:val="none"/>
          <w:u w:val="single"/>
        </w:rPr>
      </w:pPr>
      <w:r>
        <w:rPr>
          <w:rFonts w:hint="eastAsia" w:ascii="宋体" w:hAnsi="宋体" w:eastAsia="宋体" w:cs="宋体"/>
          <w:snapToGrid w:val="0"/>
          <w:color w:val="auto"/>
          <w:sz w:val="24"/>
          <w:szCs w:val="24"/>
          <w:highlight w:val="none"/>
        </w:rPr>
        <w:t>成员</w:t>
      </w:r>
      <w:r>
        <w:rPr>
          <w:rFonts w:hint="eastAsia" w:hAnsi="宋体" w:cs="宋体"/>
          <w:snapToGrid w:val="0"/>
          <w:color w:val="auto"/>
          <w:sz w:val="24"/>
          <w:szCs w:val="24"/>
          <w:highlight w:val="none"/>
          <w:lang w:val="en-US" w:eastAsia="zh-CN"/>
        </w:rPr>
        <w:t>二</w:t>
      </w:r>
      <w:r>
        <w:rPr>
          <w:rFonts w:hint="eastAsia" w:ascii="宋体" w:hAnsi="宋体" w:eastAsia="宋体" w:cs="宋体"/>
          <w:snapToGrid w:val="0"/>
          <w:color w:val="auto"/>
          <w:sz w:val="24"/>
          <w:szCs w:val="24"/>
          <w:highlight w:val="none"/>
        </w:rPr>
        <w:t>名称：</w:t>
      </w:r>
      <w:r>
        <w:rPr>
          <w:rFonts w:hint="eastAsia" w:ascii="宋体" w:hAnsi="宋体" w:eastAsia="宋体" w:cs="宋体"/>
          <w:snapToGrid w:val="0"/>
          <w:color w:val="auto"/>
          <w:sz w:val="24"/>
          <w:szCs w:val="24"/>
          <w:highlight w:val="none"/>
          <w:u w:val="single"/>
        </w:rPr>
        <w:t xml:space="preserve">                                                  </w:t>
      </w:r>
    </w:p>
    <w:p w14:paraId="4DCF143E">
      <w:pPr>
        <w:pStyle w:val="75"/>
        <w:widowControl w:val="0"/>
        <w:wordWrap w:val="0"/>
        <w:adjustRightInd w:val="0"/>
        <w:snapToGrid w:val="0"/>
        <w:spacing w:line="440" w:lineRule="exact"/>
        <w:rPr>
          <w:rFonts w:hint="eastAsia" w:ascii="宋体" w:hAnsi="宋体" w:eastAsia="宋体" w:cs="宋体"/>
          <w:snapToGrid w:val="0"/>
          <w:color w:val="auto"/>
          <w:sz w:val="24"/>
          <w:szCs w:val="24"/>
          <w:highlight w:val="none"/>
          <w:u w:val="single"/>
        </w:rPr>
      </w:pPr>
      <w:r>
        <w:rPr>
          <w:rFonts w:hint="eastAsia" w:ascii="宋体" w:hAnsi="宋体" w:eastAsia="宋体" w:cs="宋体"/>
          <w:snapToGrid w:val="0"/>
          <w:color w:val="auto"/>
          <w:sz w:val="24"/>
          <w:szCs w:val="24"/>
          <w:highlight w:val="none"/>
        </w:rPr>
        <w:t>法定代表人：</w:t>
      </w:r>
      <w:r>
        <w:rPr>
          <w:rFonts w:hint="eastAsia" w:ascii="宋体" w:hAnsi="宋体" w:eastAsia="宋体" w:cs="宋体"/>
          <w:snapToGrid w:val="0"/>
          <w:color w:val="auto"/>
          <w:sz w:val="24"/>
          <w:szCs w:val="24"/>
          <w:highlight w:val="none"/>
          <w:u w:val="single"/>
        </w:rPr>
        <w:t xml:space="preserve">                                                  </w:t>
      </w:r>
    </w:p>
    <w:p w14:paraId="4ACB16D7">
      <w:pPr>
        <w:pStyle w:val="75"/>
        <w:widowControl w:val="0"/>
        <w:wordWrap w:val="0"/>
        <w:adjustRightInd w:val="0"/>
        <w:snapToGrid w:val="0"/>
        <w:spacing w:line="440" w:lineRule="exact"/>
        <w:rPr>
          <w:rFonts w:hint="eastAsia" w:ascii="宋体" w:hAnsi="宋体" w:eastAsia="宋体" w:cs="宋体"/>
          <w:snapToGrid w:val="0"/>
          <w:color w:val="auto"/>
          <w:sz w:val="24"/>
          <w:szCs w:val="24"/>
          <w:highlight w:val="none"/>
          <w:u w:val="single"/>
        </w:rPr>
      </w:pPr>
      <w:r>
        <w:rPr>
          <w:rFonts w:hint="eastAsia" w:ascii="宋体" w:hAnsi="宋体" w:eastAsia="宋体" w:cs="宋体"/>
          <w:snapToGrid w:val="0"/>
          <w:color w:val="auto"/>
          <w:sz w:val="24"/>
          <w:szCs w:val="24"/>
          <w:highlight w:val="none"/>
        </w:rPr>
        <w:t>法定住所：</w:t>
      </w:r>
      <w:r>
        <w:rPr>
          <w:rFonts w:hint="eastAsia" w:ascii="宋体" w:hAnsi="宋体" w:eastAsia="宋体" w:cs="宋体"/>
          <w:snapToGrid w:val="0"/>
          <w:color w:val="auto"/>
          <w:sz w:val="24"/>
          <w:szCs w:val="24"/>
          <w:highlight w:val="none"/>
          <w:u w:val="single"/>
        </w:rPr>
        <w:t xml:space="preserve">                                                    </w:t>
      </w:r>
    </w:p>
    <w:p w14:paraId="31305BBC">
      <w:pPr>
        <w:pStyle w:val="75"/>
        <w:widowControl w:val="0"/>
        <w:wordWrap w:val="0"/>
        <w:adjustRightInd w:val="0"/>
        <w:snapToGrid w:val="0"/>
        <w:spacing w:line="440" w:lineRule="exac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w:t>
      </w:r>
    </w:p>
    <w:p w14:paraId="1760019B">
      <w:pPr>
        <w:pStyle w:val="75"/>
        <w:widowControl w:val="0"/>
        <w:wordWrap w:val="0"/>
        <w:adjustRightInd w:val="0"/>
        <w:snapToGrid w:val="0"/>
        <w:spacing w:line="440" w:lineRule="exac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上述各成员单位经过友好协商，自愿组成联合体，共同参加</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（项目名称）（以下简称“本项目”）的施工投标并争取赢得本项目施工承包合同（以下简称合同）。现就联合体投标事宜订立如下协议：</w:t>
      </w:r>
    </w:p>
    <w:p w14:paraId="189A3C00">
      <w:pPr>
        <w:pStyle w:val="75"/>
        <w:widowControl w:val="0"/>
        <w:wordWrap w:val="0"/>
        <w:adjustRightInd w:val="0"/>
        <w:snapToGrid w:val="0"/>
        <w:spacing w:line="440" w:lineRule="exact"/>
        <w:ind w:firstLine="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xml:space="preserve">    1．</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（某成员单位名称）为联合体牵头人。</w:t>
      </w:r>
    </w:p>
    <w:p w14:paraId="34B528C9">
      <w:pPr>
        <w:pStyle w:val="75"/>
        <w:widowControl w:val="0"/>
        <w:wordWrap w:val="0"/>
        <w:adjustRightInd w:val="0"/>
        <w:snapToGrid w:val="0"/>
        <w:spacing w:line="440" w:lineRule="exact"/>
        <w:ind w:firstLine="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xml:space="preserve">    2．在本项目投标阶段，联合体牵头人合法代表联合体各成员负责本项目投标文件编制活动，代表联合体提交和接收相关的资料、信息及指示，并处理与投标和中标有关的一切事务；联合体中标后，联合体牵头人负责合同订立和合同实施阶段的主办、组织和协调工作。</w:t>
      </w:r>
    </w:p>
    <w:p w14:paraId="1D5D3570">
      <w:pPr>
        <w:pStyle w:val="75"/>
        <w:widowControl w:val="0"/>
        <w:wordWrap w:val="0"/>
        <w:adjustRightInd w:val="0"/>
        <w:snapToGrid w:val="0"/>
        <w:spacing w:line="440" w:lineRule="exact"/>
        <w:ind w:firstLine="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xml:space="preserve">    3．联合体将严格按照招标文件的各项要求，递交投标文件，履行投标义务和中标后的合同，共同承担合同规定的一切义务和责任，联合体各成员单位按照内部职责的部分，承担各自所负的责任和风险，并向招标人承担连带责任。</w:t>
      </w:r>
    </w:p>
    <w:p w14:paraId="20A9AE58">
      <w:pPr>
        <w:pStyle w:val="75"/>
        <w:widowControl w:val="0"/>
        <w:wordWrap w:val="0"/>
        <w:adjustRightInd w:val="0"/>
        <w:snapToGrid w:val="0"/>
        <w:spacing w:line="440" w:lineRule="exact"/>
        <w:ind w:firstLine="48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4．联合体各成员单位内部的职责分工如下：</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w:t>
      </w:r>
    </w:p>
    <w:p w14:paraId="604386BC">
      <w:pPr>
        <w:pStyle w:val="75"/>
        <w:widowControl w:val="0"/>
        <w:wordWrap w:val="0"/>
        <w:adjustRightInd w:val="0"/>
        <w:snapToGrid w:val="0"/>
        <w:spacing w:line="440" w:lineRule="exact"/>
        <w:ind w:firstLine="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xml:space="preserve">    5．投标工作和联合体在中标后工程实施过程中的有关费用按各自承担的工作量分摊。</w:t>
      </w:r>
    </w:p>
    <w:p w14:paraId="3DCA25F8">
      <w:pPr>
        <w:pStyle w:val="75"/>
        <w:widowControl w:val="0"/>
        <w:wordWrap w:val="0"/>
        <w:adjustRightInd w:val="0"/>
        <w:snapToGrid w:val="0"/>
        <w:spacing w:line="440" w:lineRule="exact"/>
        <w:ind w:firstLine="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xml:space="preserve">    6．联合体中标后，本联合体协议是合同的附件，对联合体各成员单位有合同约束力。</w:t>
      </w:r>
    </w:p>
    <w:p w14:paraId="126F1908">
      <w:pPr>
        <w:pStyle w:val="75"/>
        <w:widowControl w:val="0"/>
        <w:wordWrap w:val="0"/>
        <w:adjustRightInd w:val="0"/>
        <w:snapToGrid w:val="0"/>
        <w:spacing w:line="440" w:lineRule="exact"/>
        <w:ind w:firstLine="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xml:space="preserve">    7．本协议书自签署之日起生效，联合体未中标或者中标时合同履行完毕后自动失效。</w:t>
      </w:r>
    </w:p>
    <w:p w14:paraId="434EFC00">
      <w:pPr>
        <w:pStyle w:val="75"/>
        <w:widowControl w:val="0"/>
        <w:wordWrap w:val="0"/>
        <w:adjustRightInd w:val="0"/>
        <w:snapToGrid w:val="0"/>
        <w:spacing w:line="440" w:lineRule="exact"/>
        <w:ind w:firstLine="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xml:space="preserve">    8．本协议书一式</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份，联合体成员和招标人各执一份。</w:t>
      </w:r>
    </w:p>
    <w:p w14:paraId="50AF13E6">
      <w:pPr>
        <w:pStyle w:val="75"/>
        <w:widowControl w:val="0"/>
        <w:wordWrap w:val="0"/>
        <w:adjustRightInd w:val="0"/>
        <w:snapToGrid w:val="0"/>
        <w:spacing w:line="440" w:lineRule="exact"/>
        <w:rPr>
          <w:rFonts w:hint="eastAsia" w:ascii="宋体" w:hAnsi="宋体" w:eastAsia="宋体" w:cs="宋体"/>
          <w:snapToGrid w:val="0"/>
          <w:color w:val="auto"/>
          <w:sz w:val="24"/>
          <w:szCs w:val="24"/>
          <w:highlight w:val="none"/>
        </w:rPr>
      </w:pPr>
    </w:p>
    <w:p w14:paraId="5DAF77B3">
      <w:pPr>
        <w:pStyle w:val="75"/>
        <w:widowControl w:val="0"/>
        <w:wordWrap w:val="0"/>
        <w:adjustRightInd w:val="0"/>
        <w:snapToGrid w:val="0"/>
        <w:spacing w:line="440" w:lineRule="exact"/>
        <w:rPr>
          <w:rFonts w:hint="eastAsia" w:ascii="宋体" w:hAnsi="宋体" w:eastAsia="宋体" w:cs="宋体"/>
          <w:snapToGrid w:val="0"/>
          <w:color w:val="auto"/>
          <w:sz w:val="24"/>
          <w:szCs w:val="24"/>
          <w:highlight w:val="none"/>
        </w:rPr>
      </w:pPr>
    </w:p>
    <w:p w14:paraId="038C141A">
      <w:pPr>
        <w:pStyle w:val="75"/>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牵头人名称：</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（盖单位章）</w:t>
      </w:r>
    </w:p>
    <w:p w14:paraId="1B309A60">
      <w:pPr>
        <w:pStyle w:val="75"/>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w:t>
      </w:r>
    </w:p>
    <w:p w14:paraId="71CFD60E">
      <w:pPr>
        <w:pStyle w:val="75"/>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p>
    <w:p w14:paraId="371FB67E">
      <w:pPr>
        <w:pStyle w:val="75"/>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xml:space="preserve">        法定代表人或其委托代理人：</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（签字或盖章）</w:t>
      </w:r>
    </w:p>
    <w:p w14:paraId="0C71F078">
      <w:pPr>
        <w:pStyle w:val="75"/>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p>
    <w:p w14:paraId="2AD1012C">
      <w:pPr>
        <w:pStyle w:val="75"/>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p>
    <w:p w14:paraId="4F3A070A">
      <w:pPr>
        <w:pStyle w:val="75"/>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w:t>
      </w:r>
    </w:p>
    <w:p w14:paraId="3C42CEDC">
      <w:pPr>
        <w:pStyle w:val="75"/>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p>
    <w:p w14:paraId="594D54B9">
      <w:pPr>
        <w:pStyle w:val="75"/>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p>
    <w:p w14:paraId="5E8DBD40">
      <w:pPr>
        <w:pStyle w:val="75"/>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成员</w:t>
      </w:r>
      <w:r>
        <w:rPr>
          <w:rFonts w:hint="eastAsia" w:hAnsi="宋体" w:cs="宋体"/>
          <w:snapToGrid w:val="0"/>
          <w:color w:val="auto"/>
          <w:sz w:val="24"/>
          <w:szCs w:val="24"/>
          <w:highlight w:val="none"/>
          <w:lang w:val="en-US" w:eastAsia="zh-CN"/>
        </w:rPr>
        <w:t>二</w:t>
      </w:r>
      <w:r>
        <w:rPr>
          <w:rFonts w:hint="eastAsia" w:ascii="宋体" w:hAnsi="宋体" w:eastAsia="宋体" w:cs="宋体"/>
          <w:snapToGrid w:val="0"/>
          <w:color w:val="auto"/>
          <w:sz w:val="24"/>
          <w:szCs w:val="24"/>
          <w:highlight w:val="none"/>
        </w:rPr>
        <w:t>名称：</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（盖单位章）</w:t>
      </w:r>
    </w:p>
    <w:p w14:paraId="07549BB1">
      <w:pPr>
        <w:pStyle w:val="75"/>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p>
    <w:p w14:paraId="790189EB">
      <w:pPr>
        <w:pStyle w:val="75"/>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p>
    <w:p w14:paraId="1987C139">
      <w:pPr>
        <w:pStyle w:val="75"/>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法定代表人或其委托代理人：</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（签字或盖章）</w:t>
      </w:r>
    </w:p>
    <w:p w14:paraId="18AC942D">
      <w:pPr>
        <w:pStyle w:val="75"/>
        <w:widowControl w:val="0"/>
        <w:wordWrap w:val="0"/>
        <w:adjustRightInd w:val="0"/>
        <w:snapToGrid w:val="0"/>
        <w:spacing w:line="440" w:lineRule="exac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w:t>
      </w:r>
    </w:p>
    <w:p w14:paraId="6D26417F">
      <w:pPr>
        <w:pStyle w:val="75"/>
        <w:widowControl w:val="0"/>
        <w:wordWrap w:val="0"/>
        <w:adjustRightInd w:val="0"/>
        <w:snapToGrid w:val="0"/>
        <w:spacing w:line="440" w:lineRule="exact"/>
        <w:rPr>
          <w:rFonts w:hint="eastAsia" w:ascii="宋体" w:hAnsi="宋体" w:eastAsia="宋体" w:cs="宋体"/>
          <w:snapToGrid w:val="0"/>
          <w:color w:val="auto"/>
          <w:sz w:val="24"/>
          <w:szCs w:val="24"/>
          <w:highlight w:val="none"/>
        </w:rPr>
      </w:pPr>
    </w:p>
    <w:p w14:paraId="061D6DDA">
      <w:pPr>
        <w:pStyle w:val="75"/>
        <w:widowControl w:val="0"/>
        <w:wordWrap w:val="0"/>
        <w:adjustRightInd w:val="0"/>
        <w:snapToGrid w:val="0"/>
        <w:spacing w:line="440" w:lineRule="exact"/>
        <w:jc w:val="center"/>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xml:space="preserve">                                 </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年</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月</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日</w:t>
      </w:r>
    </w:p>
    <w:p w14:paraId="77E09E97">
      <w:pPr>
        <w:pStyle w:val="75"/>
        <w:widowControl w:val="0"/>
        <w:wordWrap w:val="0"/>
        <w:adjustRightInd w:val="0"/>
        <w:snapToGrid w:val="0"/>
        <w:spacing w:line="440" w:lineRule="exact"/>
        <w:jc w:val="center"/>
        <w:rPr>
          <w:rFonts w:hint="eastAsia" w:ascii="宋体" w:hAnsi="宋体" w:eastAsia="宋体" w:cs="宋体"/>
          <w:snapToGrid w:val="0"/>
          <w:color w:val="auto"/>
          <w:sz w:val="24"/>
          <w:szCs w:val="24"/>
          <w:highlight w:val="none"/>
        </w:rPr>
      </w:pPr>
    </w:p>
    <w:p w14:paraId="1D8D5FB5">
      <w:pPr>
        <w:pStyle w:val="75"/>
        <w:widowControl w:val="0"/>
        <w:wordWrap w:val="0"/>
        <w:adjustRightInd w:val="0"/>
        <w:snapToGrid w:val="0"/>
        <w:spacing w:line="440" w:lineRule="exac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1"/>
          <w:szCs w:val="21"/>
          <w:highlight w:val="none"/>
        </w:rPr>
        <w:t>说明：《联合体协议书》由委托代理人签字或盖章的，应附法定代表人签字或盖章的授权委托书。</w:t>
      </w:r>
    </w:p>
    <w:p w14:paraId="0C53638E">
      <w:pPr>
        <w:pStyle w:val="75"/>
        <w:widowControl w:val="0"/>
        <w:wordWrap w:val="0"/>
        <w:adjustRightInd w:val="0"/>
        <w:snapToGrid w:val="0"/>
        <w:spacing w:line="440" w:lineRule="exact"/>
        <w:rPr>
          <w:rFonts w:hint="eastAsia" w:ascii="宋体" w:hAnsi="宋体" w:eastAsia="宋体" w:cs="宋体"/>
          <w:snapToGrid w:val="0"/>
          <w:color w:val="auto"/>
          <w:sz w:val="24"/>
          <w:szCs w:val="24"/>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5B676C02">
      <w:pPr>
        <w:pStyle w:val="4"/>
        <w:bidi w:val="0"/>
        <w:ind w:firstLine="964"/>
        <w:rPr>
          <w:rFonts w:hint="eastAsia" w:ascii="宋体" w:hAnsi="宋体" w:eastAsia="宋体" w:cs="宋体"/>
          <w:color w:val="auto"/>
          <w:highlight w:val="none"/>
        </w:rPr>
      </w:pPr>
      <w:bookmarkStart w:id="312" w:name="_Toc15143"/>
      <w:bookmarkStart w:id="313" w:name="_Toc4289"/>
      <w:r>
        <w:rPr>
          <w:rFonts w:hint="eastAsia" w:ascii="宋体" w:hAnsi="宋体" w:eastAsia="宋体" w:cs="宋体"/>
          <w:color w:val="auto"/>
          <w:highlight w:val="none"/>
        </w:rPr>
        <w:t>格式七 投标人基本情况表</w:t>
      </w:r>
      <w:bookmarkEnd w:id="312"/>
      <w:bookmarkEnd w:id="313"/>
    </w:p>
    <w:p w14:paraId="02920C33">
      <w:pPr>
        <w:pStyle w:val="75"/>
        <w:widowControl w:val="0"/>
        <w:wordWrap w:val="0"/>
        <w:adjustRightInd w:val="0"/>
        <w:snapToGrid w:val="0"/>
        <w:spacing w:before="260" w:after="260" w:line="400" w:lineRule="exact"/>
        <w:ind w:firstLine="0"/>
        <w:jc w:val="center"/>
        <w:rPr>
          <w:rFonts w:hint="eastAsia" w:ascii="宋体" w:hAnsi="宋体" w:eastAsia="宋体" w:cs="宋体"/>
          <w:snapToGrid w:val="0"/>
          <w:color w:val="auto"/>
          <w:sz w:val="24"/>
          <w:highlight w:val="none"/>
        </w:rPr>
      </w:pPr>
      <w:r>
        <w:rPr>
          <w:rFonts w:hint="eastAsia" w:ascii="宋体" w:hAnsi="宋体" w:eastAsia="宋体" w:cs="宋体"/>
          <w:b/>
          <w:snapToGrid w:val="0"/>
          <w:color w:val="auto"/>
          <w:sz w:val="30"/>
          <w:highlight w:val="none"/>
        </w:rPr>
        <w:t>投标人基本情况表</w:t>
      </w:r>
    </w:p>
    <w:tbl>
      <w:tblPr>
        <w:tblStyle w:val="31"/>
        <w:tblW w:w="98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9"/>
        <w:gridCol w:w="1236"/>
        <w:gridCol w:w="1350"/>
        <w:gridCol w:w="803"/>
        <w:gridCol w:w="457"/>
        <w:gridCol w:w="789"/>
        <w:gridCol w:w="260"/>
        <w:gridCol w:w="709"/>
        <w:gridCol w:w="1890"/>
      </w:tblGrid>
      <w:tr w14:paraId="7BAD6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5FCBF126">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投标人名称</w:t>
            </w:r>
          </w:p>
        </w:tc>
        <w:tc>
          <w:tcPr>
            <w:tcW w:w="7494" w:type="dxa"/>
            <w:gridSpan w:val="8"/>
            <w:noWrap w:val="0"/>
            <w:vAlign w:val="center"/>
          </w:tcPr>
          <w:p w14:paraId="1141AE83">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6AD86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2BD74181">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注册地址</w:t>
            </w:r>
          </w:p>
        </w:tc>
        <w:tc>
          <w:tcPr>
            <w:tcW w:w="3389" w:type="dxa"/>
            <w:gridSpan w:val="3"/>
            <w:noWrap w:val="0"/>
            <w:vAlign w:val="center"/>
          </w:tcPr>
          <w:p w14:paraId="7A466E18">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46" w:type="dxa"/>
            <w:gridSpan w:val="2"/>
            <w:noWrap w:val="0"/>
            <w:vAlign w:val="center"/>
          </w:tcPr>
          <w:p w14:paraId="60A6D937">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邮政编码</w:t>
            </w:r>
          </w:p>
        </w:tc>
        <w:tc>
          <w:tcPr>
            <w:tcW w:w="2859" w:type="dxa"/>
            <w:gridSpan w:val="3"/>
            <w:noWrap w:val="0"/>
            <w:vAlign w:val="center"/>
          </w:tcPr>
          <w:p w14:paraId="14BCFEED">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05A99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vMerge w:val="restart"/>
            <w:noWrap w:val="0"/>
            <w:vAlign w:val="center"/>
          </w:tcPr>
          <w:p w14:paraId="4493069D">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联系方式</w:t>
            </w:r>
          </w:p>
        </w:tc>
        <w:tc>
          <w:tcPr>
            <w:tcW w:w="1236" w:type="dxa"/>
            <w:noWrap w:val="0"/>
            <w:vAlign w:val="center"/>
          </w:tcPr>
          <w:p w14:paraId="1FFDA03A">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联系人</w:t>
            </w:r>
          </w:p>
        </w:tc>
        <w:tc>
          <w:tcPr>
            <w:tcW w:w="2153" w:type="dxa"/>
            <w:gridSpan w:val="2"/>
            <w:noWrap w:val="0"/>
            <w:vAlign w:val="center"/>
          </w:tcPr>
          <w:p w14:paraId="21D5388A">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46" w:type="dxa"/>
            <w:gridSpan w:val="2"/>
            <w:noWrap w:val="0"/>
            <w:vAlign w:val="center"/>
          </w:tcPr>
          <w:p w14:paraId="0477B6CA">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电  话</w:t>
            </w:r>
          </w:p>
        </w:tc>
        <w:tc>
          <w:tcPr>
            <w:tcW w:w="2859" w:type="dxa"/>
            <w:gridSpan w:val="3"/>
            <w:noWrap w:val="0"/>
            <w:vAlign w:val="center"/>
          </w:tcPr>
          <w:p w14:paraId="66E713B9">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412EF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vMerge w:val="continue"/>
            <w:noWrap w:val="0"/>
            <w:vAlign w:val="center"/>
          </w:tcPr>
          <w:p w14:paraId="1F2CA452">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36" w:type="dxa"/>
            <w:noWrap w:val="0"/>
            <w:vAlign w:val="center"/>
          </w:tcPr>
          <w:p w14:paraId="19BD0998">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传  真</w:t>
            </w:r>
          </w:p>
        </w:tc>
        <w:tc>
          <w:tcPr>
            <w:tcW w:w="2153" w:type="dxa"/>
            <w:gridSpan w:val="2"/>
            <w:noWrap w:val="0"/>
            <w:vAlign w:val="center"/>
          </w:tcPr>
          <w:p w14:paraId="4F089F0C">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46" w:type="dxa"/>
            <w:gridSpan w:val="2"/>
            <w:noWrap w:val="0"/>
            <w:vAlign w:val="center"/>
          </w:tcPr>
          <w:p w14:paraId="3D535E67">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电子邮箱</w:t>
            </w:r>
          </w:p>
        </w:tc>
        <w:tc>
          <w:tcPr>
            <w:tcW w:w="2859" w:type="dxa"/>
            <w:gridSpan w:val="3"/>
            <w:noWrap w:val="0"/>
            <w:vAlign w:val="center"/>
          </w:tcPr>
          <w:p w14:paraId="7050CDAC">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60905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094BD079">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单位性质</w:t>
            </w:r>
          </w:p>
        </w:tc>
        <w:tc>
          <w:tcPr>
            <w:tcW w:w="7494" w:type="dxa"/>
            <w:gridSpan w:val="8"/>
            <w:noWrap w:val="0"/>
            <w:vAlign w:val="center"/>
          </w:tcPr>
          <w:p w14:paraId="766919B3">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70782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325AA326">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法定代表人</w:t>
            </w:r>
          </w:p>
        </w:tc>
        <w:tc>
          <w:tcPr>
            <w:tcW w:w="1236" w:type="dxa"/>
            <w:noWrap w:val="0"/>
            <w:vAlign w:val="center"/>
          </w:tcPr>
          <w:p w14:paraId="69E198DD">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姓名</w:t>
            </w:r>
          </w:p>
        </w:tc>
        <w:tc>
          <w:tcPr>
            <w:tcW w:w="1350" w:type="dxa"/>
            <w:noWrap w:val="0"/>
            <w:vAlign w:val="center"/>
          </w:tcPr>
          <w:p w14:paraId="4EB20802">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60" w:type="dxa"/>
            <w:gridSpan w:val="2"/>
            <w:noWrap w:val="0"/>
            <w:vAlign w:val="center"/>
          </w:tcPr>
          <w:p w14:paraId="0D707791">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技术职称</w:t>
            </w:r>
          </w:p>
        </w:tc>
        <w:tc>
          <w:tcPr>
            <w:tcW w:w="1049" w:type="dxa"/>
            <w:gridSpan w:val="2"/>
            <w:noWrap w:val="0"/>
            <w:vAlign w:val="center"/>
          </w:tcPr>
          <w:p w14:paraId="140ECDC1">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709" w:type="dxa"/>
            <w:noWrap w:val="0"/>
            <w:vAlign w:val="center"/>
          </w:tcPr>
          <w:p w14:paraId="1551EDE7">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电话</w:t>
            </w:r>
          </w:p>
        </w:tc>
        <w:tc>
          <w:tcPr>
            <w:tcW w:w="1890" w:type="dxa"/>
            <w:noWrap w:val="0"/>
            <w:vAlign w:val="center"/>
          </w:tcPr>
          <w:p w14:paraId="0D667B51">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0FF13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3F85FB91">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成立时间</w:t>
            </w:r>
          </w:p>
        </w:tc>
        <w:tc>
          <w:tcPr>
            <w:tcW w:w="2586" w:type="dxa"/>
            <w:gridSpan w:val="2"/>
            <w:noWrap w:val="0"/>
            <w:vAlign w:val="center"/>
          </w:tcPr>
          <w:p w14:paraId="30C36794">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4908" w:type="dxa"/>
            <w:gridSpan w:val="6"/>
            <w:noWrap w:val="0"/>
            <w:vAlign w:val="center"/>
          </w:tcPr>
          <w:p w14:paraId="26E3444A">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员工总人数（个）：</w:t>
            </w:r>
          </w:p>
        </w:tc>
      </w:tr>
      <w:tr w14:paraId="239B1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09221102">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企业资质</w:t>
            </w:r>
          </w:p>
          <w:p w14:paraId="074E5BA2">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类型和等级</w:t>
            </w:r>
          </w:p>
        </w:tc>
        <w:tc>
          <w:tcPr>
            <w:tcW w:w="2586" w:type="dxa"/>
            <w:gridSpan w:val="2"/>
            <w:noWrap w:val="0"/>
            <w:vAlign w:val="center"/>
          </w:tcPr>
          <w:p w14:paraId="15D4B1AF">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60" w:type="dxa"/>
            <w:gridSpan w:val="2"/>
            <w:vMerge w:val="restart"/>
            <w:noWrap w:val="0"/>
            <w:vAlign w:val="center"/>
          </w:tcPr>
          <w:p w14:paraId="53AEAEE4">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其中</w:t>
            </w:r>
          </w:p>
        </w:tc>
        <w:tc>
          <w:tcPr>
            <w:tcW w:w="1758" w:type="dxa"/>
            <w:gridSpan w:val="3"/>
            <w:noWrap w:val="0"/>
            <w:vAlign w:val="center"/>
          </w:tcPr>
          <w:p w14:paraId="6657B11A">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项目经理</w:t>
            </w:r>
          </w:p>
        </w:tc>
        <w:tc>
          <w:tcPr>
            <w:tcW w:w="1890" w:type="dxa"/>
            <w:noWrap w:val="0"/>
            <w:vAlign w:val="center"/>
          </w:tcPr>
          <w:p w14:paraId="2157CF26">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57499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2A882B96">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营业执照号</w:t>
            </w:r>
          </w:p>
        </w:tc>
        <w:tc>
          <w:tcPr>
            <w:tcW w:w="2586" w:type="dxa"/>
            <w:gridSpan w:val="2"/>
            <w:noWrap w:val="0"/>
            <w:vAlign w:val="center"/>
          </w:tcPr>
          <w:p w14:paraId="65D93120">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60" w:type="dxa"/>
            <w:gridSpan w:val="2"/>
            <w:vMerge w:val="continue"/>
            <w:noWrap w:val="0"/>
            <w:vAlign w:val="center"/>
          </w:tcPr>
          <w:p w14:paraId="203CC3E6">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758" w:type="dxa"/>
            <w:gridSpan w:val="3"/>
            <w:noWrap w:val="0"/>
            <w:vAlign w:val="center"/>
          </w:tcPr>
          <w:p w14:paraId="54ED8B2E">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高级职称人员</w:t>
            </w:r>
          </w:p>
        </w:tc>
        <w:tc>
          <w:tcPr>
            <w:tcW w:w="1890" w:type="dxa"/>
            <w:noWrap w:val="0"/>
            <w:vAlign w:val="center"/>
          </w:tcPr>
          <w:p w14:paraId="271B76F5">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68018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14042E10">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注册资金</w:t>
            </w:r>
          </w:p>
        </w:tc>
        <w:tc>
          <w:tcPr>
            <w:tcW w:w="2586" w:type="dxa"/>
            <w:gridSpan w:val="2"/>
            <w:noWrap w:val="0"/>
            <w:vAlign w:val="center"/>
          </w:tcPr>
          <w:p w14:paraId="53B9073C">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60" w:type="dxa"/>
            <w:gridSpan w:val="2"/>
            <w:vMerge w:val="continue"/>
            <w:noWrap w:val="0"/>
            <w:vAlign w:val="center"/>
          </w:tcPr>
          <w:p w14:paraId="44EF65A1">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758" w:type="dxa"/>
            <w:gridSpan w:val="3"/>
            <w:noWrap w:val="0"/>
            <w:vAlign w:val="center"/>
          </w:tcPr>
          <w:p w14:paraId="7DDEF8E0">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中级职称人员</w:t>
            </w:r>
          </w:p>
        </w:tc>
        <w:tc>
          <w:tcPr>
            <w:tcW w:w="1890" w:type="dxa"/>
            <w:noWrap w:val="0"/>
            <w:vAlign w:val="center"/>
          </w:tcPr>
          <w:p w14:paraId="10FC2EF1">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3D15C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21EB1A41">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基本账户</w:t>
            </w:r>
          </w:p>
          <w:p w14:paraId="701DEF42">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开户银行</w:t>
            </w:r>
          </w:p>
        </w:tc>
        <w:tc>
          <w:tcPr>
            <w:tcW w:w="2586" w:type="dxa"/>
            <w:gridSpan w:val="2"/>
            <w:noWrap w:val="0"/>
            <w:vAlign w:val="center"/>
          </w:tcPr>
          <w:p w14:paraId="066A1826">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60" w:type="dxa"/>
            <w:gridSpan w:val="2"/>
            <w:vMerge w:val="continue"/>
            <w:noWrap w:val="0"/>
            <w:vAlign w:val="center"/>
          </w:tcPr>
          <w:p w14:paraId="082FAF1D">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758" w:type="dxa"/>
            <w:gridSpan w:val="3"/>
            <w:noWrap w:val="0"/>
            <w:vAlign w:val="center"/>
          </w:tcPr>
          <w:p w14:paraId="6E0AB430">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初级职称人员</w:t>
            </w:r>
          </w:p>
        </w:tc>
        <w:tc>
          <w:tcPr>
            <w:tcW w:w="1890" w:type="dxa"/>
            <w:noWrap w:val="0"/>
            <w:vAlign w:val="center"/>
          </w:tcPr>
          <w:p w14:paraId="22232309">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1AEB5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4140EC42">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基本账户</w:t>
            </w:r>
          </w:p>
          <w:p w14:paraId="46413F0D">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银行账号</w:t>
            </w:r>
          </w:p>
        </w:tc>
        <w:tc>
          <w:tcPr>
            <w:tcW w:w="2586" w:type="dxa"/>
            <w:gridSpan w:val="2"/>
            <w:noWrap w:val="0"/>
            <w:vAlign w:val="center"/>
          </w:tcPr>
          <w:p w14:paraId="138DE8BA">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60" w:type="dxa"/>
            <w:gridSpan w:val="2"/>
            <w:vMerge w:val="continue"/>
            <w:noWrap w:val="0"/>
            <w:vAlign w:val="center"/>
          </w:tcPr>
          <w:p w14:paraId="415BC6A8">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758" w:type="dxa"/>
            <w:gridSpan w:val="3"/>
            <w:noWrap w:val="0"/>
            <w:vAlign w:val="center"/>
          </w:tcPr>
          <w:p w14:paraId="18B84979">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技术员</w:t>
            </w:r>
          </w:p>
        </w:tc>
        <w:tc>
          <w:tcPr>
            <w:tcW w:w="1890" w:type="dxa"/>
            <w:noWrap w:val="0"/>
            <w:vAlign w:val="center"/>
          </w:tcPr>
          <w:p w14:paraId="08658855">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2E38E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548077D9">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经营范围</w:t>
            </w:r>
          </w:p>
        </w:tc>
        <w:tc>
          <w:tcPr>
            <w:tcW w:w="7494" w:type="dxa"/>
            <w:gridSpan w:val="8"/>
            <w:noWrap w:val="0"/>
            <w:vAlign w:val="center"/>
          </w:tcPr>
          <w:p w14:paraId="1DEAE451">
            <w:pPr>
              <w:pStyle w:val="124"/>
              <w:wordWrap w:val="0"/>
              <w:adjustRightInd w:val="0"/>
              <w:snapToGrid w:val="0"/>
              <w:spacing w:line="360" w:lineRule="auto"/>
              <w:jc w:val="left"/>
              <w:rPr>
                <w:rFonts w:hint="eastAsia" w:ascii="宋体" w:hAnsi="宋体" w:eastAsia="宋体" w:cs="宋体"/>
                <w:snapToGrid w:val="0"/>
                <w:color w:val="auto"/>
                <w:kern w:val="0"/>
                <w:sz w:val="22"/>
                <w:szCs w:val="22"/>
                <w:highlight w:val="none"/>
              </w:rPr>
            </w:pPr>
          </w:p>
        </w:tc>
      </w:tr>
      <w:tr w14:paraId="4480C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0BF9E39F">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关联企业情况</w:t>
            </w:r>
          </w:p>
        </w:tc>
        <w:tc>
          <w:tcPr>
            <w:tcW w:w="7494" w:type="dxa"/>
            <w:gridSpan w:val="8"/>
            <w:noWrap w:val="0"/>
            <w:vAlign w:val="center"/>
          </w:tcPr>
          <w:p w14:paraId="76970875">
            <w:pPr>
              <w:pStyle w:val="124"/>
              <w:wordWrap w:val="0"/>
              <w:adjustRightInd w:val="0"/>
              <w:snapToGrid w:val="0"/>
              <w:spacing w:line="360" w:lineRule="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包括但不限于与投标人存在以下关系的不同单位：</w:t>
            </w:r>
          </w:p>
          <w:p w14:paraId="4DFD7CE2">
            <w:pPr>
              <w:pStyle w:val="124"/>
              <w:wordWrap w:val="0"/>
              <w:adjustRightInd w:val="0"/>
              <w:snapToGrid w:val="0"/>
              <w:spacing w:line="360" w:lineRule="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1．法定代表人为同一人的。</w:t>
            </w:r>
          </w:p>
          <w:p w14:paraId="69B918B2">
            <w:pPr>
              <w:pStyle w:val="124"/>
              <w:wordWrap w:val="0"/>
              <w:adjustRightInd w:val="0"/>
              <w:snapToGrid w:val="0"/>
              <w:spacing w:line="360" w:lineRule="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2．存在控股、管理关系的。</w:t>
            </w:r>
          </w:p>
          <w:p w14:paraId="1CADA060">
            <w:pPr>
              <w:pStyle w:val="124"/>
              <w:wordWrap w:val="0"/>
              <w:adjustRightInd w:val="0"/>
              <w:snapToGrid w:val="0"/>
              <w:spacing w:line="360" w:lineRule="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3．主要人员相互任职的。</w:t>
            </w:r>
          </w:p>
        </w:tc>
      </w:tr>
      <w:tr w14:paraId="559A5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7B1CA370">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备注</w:t>
            </w:r>
          </w:p>
        </w:tc>
        <w:tc>
          <w:tcPr>
            <w:tcW w:w="7494" w:type="dxa"/>
            <w:gridSpan w:val="8"/>
            <w:noWrap w:val="0"/>
            <w:vAlign w:val="center"/>
          </w:tcPr>
          <w:p w14:paraId="24CC1CC0">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bl>
    <w:p w14:paraId="4D454CB0">
      <w:pPr>
        <w:pStyle w:val="124"/>
        <w:wordWrap w:val="0"/>
        <w:adjustRightInd w:val="0"/>
        <w:snapToGrid w:val="0"/>
        <w:spacing w:line="400" w:lineRule="exact"/>
        <w:ind w:firstLine="440" w:firstLineChars="200"/>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说明：</w:t>
      </w:r>
    </w:p>
    <w:p w14:paraId="18F6A04D">
      <w:pPr>
        <w:pStyle w:val="124"/>
        <w:wordWrap w:val="0"/>
        <w:adjustRightInd w:val="0"/>
        <w:snapToGrid w:val="0"/>
        <w:spacing w:line="400" w:lineRule="exact"/>
        <w:ind w:firstLine="440" w:firstLineChars="200"/>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1．《投标人基本情况表》后应附以下资料：</w:t>
      </w:r>
    </w:p>
    <w:p w14:paraId="4AA9340D">
      <w:pPr>
        <w:pStyle w:val="124"/>
        <w:wordWrap w:val="0"/>
        <w:adjustRightInd w:val="0"/>
        <w:snapToGrid w:val="0"/>
        <w:spacing w:line="400" w:lineRule="exact"/>
        <w:ind w:firstLine="440" w:firstLineChars="200"/>
        <w:rPr>
          <w:rFonts w:hint="eastAsia" w:ascii="宋体" w:hAnsi="宋体" w:eastAsia="宋体" w:cs="宋体"/>
          <w:b/>
          <w:bCs/>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（1）企业营业执照、资质证书、安全生产许可证的（</w:t>
      </w:r>
      <w:r>
        <w:rPr>
          <w:rFonts w:hint="eastAsia" w:ascii="宋体" w:hAnsi="宋体" w:eastAsia="宋体" w:cs="宋体"/>
          <w:b/>
          <w:bCs/>
          <w:snapToGrid w:val="0"/>
          <w:color w:val="auto"/>
          <w:kern w:val="0"/>
          <w:sz w:val="22"/>
          <w:szCs w:val="22"/>
          <w:highlight w:val="none"/>
        </w:rPr>
        <w:t>因推行电子证照，企业的营业执照、资质证书等可以提供电子证照。为实时掌握项目投标单位的是否具备企业安全生产条件，企业的安全生产许可证需提供企业实时网页查询页，实时查询页的打印时间应在项目招标公告发布之日起至开标前。如中标后，投标单位安全生产许可证发生被暂扣情形，需双方另行协商）；</w:t>
      </w:r>
    </w:p>
    <w:p w14:paraId="75BA6363">
      <w:pPr>
        <w:pStyle w:val="124"/>
        <w:wordWrap w:val="0"/>
        <w:adjustRightInd w:val="0"/>
        <w:snapToGrid w:val="0"/>
        <w:spacing w:line="400" w:lineRule="exact"/>
        <w:ind w:firstLine="440" w:firstLineChars="200"/>
        <w:rPr>
          <w:rFonts w:hint="eastAsia" w:ascii="宋体" w:hAnsi="宋体" w:eastAsia="宋体" w:cs="宋体"/>
          <w:snapToGrid w:val="0"/>
          <w:color w:val="auto"/>
          <w:kern w:val="0"/>
          <w:sz w:val="22"/>
          <w:szCs w:val="28"/>
          <w:highlight w:val="none"/>
        </w:rPr>
      </w:pPr>
      <w:r>
        <w:rPr>
          <w:rFonts w:hint="eastAsia" w:ascii="宋体" w:hAnsi="宋体" w:eastAsia="宋体" w:cs="宋体"/>
          <w:snapToGrid w:val="0"/>
          <w:color w:val="auto"/>
          <w:kern w:val="0"/>
          <w:sz w:val="22"/>
          <w:szCs w:val="22"/>
          <w:highlight w:val="none"/>
        </w:rPr>
        <w:t>（2）</w:t>
      </w:r>
      <w:r>
        <w:rPr>
          <w:rFonts w:hint="eastAsia" w:ascii="宋体" w:hAnsi="宋体" w:eastAsia="宋体" w:cs="宋体"/>
          <w:snapToGrid w:val="0"/>
          <w:color w:val="auto"/>
          <w:kern w:val="0"/>
          <w:sz w:val="22"/>
          <w:szCs w:val="28"/>
          <w:highlight w:val="none"/>
        </w:rPr>
        <w:t>“进粤企业和人员诚信信息登记平台”企业信息情况打印页。（适用于省外建筑企业）</w:t>
      </w:r>
    </w:p>
    <w:p w14:paraId="7565FFDA">
      <w:pPr>
        <w:pStyle w:val="124"/>
        <w:wordWrap w:val="0"/>
        <w:adjustRightInd w:val="0"/>
        <w:snapToGrid w:val="0"/>
        <w:spacing w:line="400" w:lineRule="exact"/>
        <w:ind w:firstLine="440" w:firstLineChars="200"/>
        <w:rPr>
          <w:rFonts w:hint="eastAsia" w:ascii="宋体" w:hAnsi="宋体" w:eastAsia="宋体" w:cs="宋体"/>
          <w:snapToGrid w:val="0"/>
          <w:color w:val="auto"/>
          <w:kern w:val="0"/>
          <w:sz w:val="22"/>
          <w:szCs w:val="28"/>
          <w:highlight w:val="none"/>
        </w:rPr>
      </w:pPr>
      <w:r>
        <w:rPr>
          <w:rFonts w:hint="eastAsia" w:ascii="宋体" w:hAnsi="宋体" w:eastAsia="宋体" w:cs="宋体"/>
          <w:snapToGrid w:val="0"/>
          <w:color w:val="auto"/>
          <w:kern w:val="0"/>
          <w:sz w:val="22"/>
          <w:szCs w:val="22"/>
          <w:highlight w:val="none"/>
        </w:rPr>
        <w:t>（3）</w:t>
      </w:r>
      <w:r>
        <w:rPr>
          <w:rFonts w:hint="eastAsia" w:ascii="宋体" w:hAnsi="宋体" w:eastAsia="宋体" w:cs="宋体"/>
          <w:snapToGrid w:val="0"/>
          <w:color w:val="auto"/>
          <w:kern w:val="0"/>
          <w:sz w:val="22"/>
          <w:szCs w:val="28"/>
          <w:highlight w:val="none"/>
        </w:rPr>
        <w:t>《法人和非法人组织公共信用信息报告》（在“信用中国”网站企业查询界面中下载）。</w:t>
      </w:r>
    </w:p>
    <w:p w14:paraId="179E3ACF">
      <w:pPr>
        <w:pStyle w:val="124"/>
        <w:wordWrap w:val="0"/>
        <w:adjustRightInd w:val="0"/>
        <w:snapToGrid w:val="0"/>
        <w:spacing w:line="400" w:lineRule="exac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8"/>
          <w:highlight w:val="none"/>
        </w:rPr>
        <w:t xml:space="preserve">    </w:t>
      </w:r>
    </w:p>
    <w:p w14:paraId="603E6E0C">
      <w:pPr>
        <w:pStyle w:val="75"/>
        <w:widowControl w:val="0"/>
        <w:wordWrap w:val="0"/>
        <w:adjustRightInd w:val="0"/>
        <w:snapToGrid w:val="0"/>
        <w:spacing w:line="400" w:lineRule="exact"/>
        <w:jc w:val="center"/>
        <w:rPr>
          <w:rFonts w:hint="eastAsia" w:ascii="宋体" w:hAnsi="宋体" w:eastAsia="宋体" w:cs="宋体"/>
          <w:snapToGrid w:val="0"/>
          <w:color w:val="auto"/>
          <w:sz w:val="21"/>
          <w:szCs w:val="21"/>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bookmarkEnd w:id="285"/>
    <w:bookmarkEnd w:id="286"/>
    <w:p w14:paraId="257E92EE">
      <w:pPr>
        <w:pStyle w:val="4"/>
        <w:bidi w:val="0"/>
        <w:ind w:firstLine="964"/>
        <w:rPr>
          <w:rFonts w:hint="eastAsia" w:ascii="宋体" w:hAnsi="宋体" w:eastAsia="宋体" w:cs="宋体"/>
          <w:color w:val="auto"/>
          <w:highlight w:val="none"/>
        </w:rPr>
      </w:pPr>
      <w:bookmarkStart w:id="314" w:name="_Toc32402"/>
      <w:bookmarkStart w:id="315" w:name="_Toc10778"/>
      <w:bookmarkStart w:id="316" w:name="_Toc20248"/>
      <w:bookmarkStart w:id="317" w:name="_Toc27834"/>
      <w:r>
        <w:rPr>
          <w:rFonts w:hint="eastAsia" w:ascii="宋体" w:hAnsi="宋体" w:eastAsia="宋体" w:cs="宋体"/>
          <w:color w:val="auto"/>
          <w:highlight w:val="none"/>
        </w:rPr>
        <w:t>格式八 项目经理简历表</w:t>
      </w:r>
      <w:bookmarkEnd w:id="314"/>
      <w:bookmarkEnd w:id="315"/>
      <w:bookmarkEnd w:id="316"/>
      <w:bookmarkEnd w:id="317"/>
    </w:p>
    <w:p w14:paraId="3F50AE56">
      <w:pPr>
        <w:rPr>
          <w:rFonts w:hint="eastAsia" w:ascii="宋体" w:hAnsi="宋体" w:eastAsia="宋体" w:cs="宋体"/>
          <w:color w:val="auto"/>
          <w:highlight w:val="none"/>
        </w:rPr>
      </w:pPr>
    </w:p>
    <w:tbl>
      <w:tblPr>
        <w:tblStyle w:val="31"/>
        <w:tblpPr w:leftFromText="180" w:rightFromText="180" w:vertAnchor="text" w:horzAnchor="page" w:tblpX="1490" w:tblpY="692"/>
        <w:tblOverlap w:val="never"/>
        <w:tblW w:w="927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5D7FB3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0ADC183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姓   名</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51355C1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135D30C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性  别</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2994520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6D4C267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年   龄</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2725064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44D11D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6BB0F11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务</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22E4439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1452FF3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称</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06E43C5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4FD7D1F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学   历</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06647D7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04CCC5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31D750A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0"/>
            <w:vAlign w:val="center"/>
          </w:tcPr>
          <w:p w14:paraId="02BD292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3679" w:type="dxa"/>
            <w:gridSpan w:val="3"/>
            <w:tcBorders>
              <w:top w:val="single" w:color="auto" w:sz="6" w:space="0"/>
              <w:left w:val="single" w:color="auto" w:sz="6" w:space="0"/>
              <w:bottom w:val="single" w:color="auto" w:sz="6" w:space="0"/>
              <w:right w:val="single" w:color="auto" w:sz="6" w:space="0"/>
            </w:tcBorders>
            <w:noWrap w:val="0"/>
            <w:vAlign w:val="center"/>
          </w:tcPr>
          <w:p w14:paraId="2725EFE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7AF0399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73928D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0"/>
            <w:vAlign w:val="center"/>
          </w:tcPr>
          <w:p w14:paraId="3CD0CD4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以项目经理身份参与过的主要业绩（已完工项目）</w:t>
            </w:r>
          </w:p>
        </w:tc>
      </w:tr>
      <w:tr w14:paraId="0F6651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5901B82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序号</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7C662EE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037EC84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4C93901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建设内容和规模</w:t>
            </w:r>
          </w:p>
        </w:tc>
        <w:tc>
          <w:tcPr>
            <w:tcW w:w="1706" w:type="dxa"/>
            <w:tcBorders>
              <w:top w:val="single" w:color="auto" w:sz="6" w:space="0"/>
              <w:left w:val="single" w:color="auto" w:sz="6" w:space="0"/>
              <w:bottom w:val="single" w:color="auto" w:sz="6" w:space="0"/>
              <w:right w:val="single" w:color="auto" w:sz="6" w:space="0"/>
            </w:tcBorders>
            <w:noWrap w:val="0"/>
            <w:vAlign w:val="center"/>
          </w:tcPr>
          <w:p w14:paraId="7C36633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开、竣工日期</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A15EF2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质量等级</w:t>
            </w:r>
          </w:p>
        </w:tc>
      </w:tr>
      <w:tr w14:paraId="2E3811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6FD6510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4CA1E16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0DFF5DA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7D73B71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1440F33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D75444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32C3CF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5C94BBA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78DC6C0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012949D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75C0660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3C27E08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10E59BC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255DD1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131F5CF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1E39C55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23E828E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661093A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2EC9810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127B30E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15258E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3F54C1E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2315F88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497CDA4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2018A40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042E555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E38328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bl>
    <w:p w14:paraId="333CD819">
      <w:pPr>
        <w:wordWrap w:val="0"/>
        <w:adjustRightInd w:val="0"/>
        <w:snapToGrid w:val="0"/>
        <w:spacing w:line="440" w:lineRule="exact"/>
        <w:jc w:val="center"/>
        <w:outlineLvl w:val="2"/>
        <w:rPr>
          <w:rFonts w:hint="eastAsia" w:ascii="宋体" w:hAnsi="宋体" w:eastAsia="宋体" w:cs="宋体"/>
          <w:b/>
          <w:bCs/>
          <w:snapToGrid w:val="0"/>
          <w:color w:val="auto"/>
          <w:kern w:val="0"/>
          <w:szCs w:val="24"/>
          <w:highlight w:val="none"/>
        </w:rPr>
      </w:pPr>
      <w:bookmarkStart w:id="318" w:name="_Toc21706"/>
      <w:bookmarkStart w:id="319" w:name="_Toc31554"/>
      <w:r>
        <w:rPr>
          <w:rFonts w:hint="eastAsia" w:ascii="宋体" w:hAnsi="宋体" w:eastAsia="宋体" w:cs="宋体"/>
          <w:b/>
          <w:snapToGrid w:val="0"/>
          <w:color w:val="auto"/>
          <w:kern w:val="0"/>
          <w:sz w:val="30"/>
          <w:highlight w:val="none"/>
        </w:rPr>
        <w:t>项目经理简历表</w:t>
      </w:r>
      <w:bookmarkEnd w:id="318"/>
      <w:bookmarkEnd w:id="319"/>
    </w:p>
    <w:p w14:paraId="70952DB3">
      <w:pPr>
        <w:wordWrap w:val="0"/>
        <w:adjustRightInd w:val="0"/>
        <w:snapToGrid w:val="0"/>
        <w:spacing w:line="440" w:lineRule="exact"/>
        <w:ind w:firstLine="570"/>
        <w:rPr>
          <w:rFonts w:hint="eastAsia" w:ascii="宋体" w:hAnsi="宋体" w:eastAsia="宋体" w:cs="宋体"/>
          <w:snapToGrid w:val="0"/>
          <w:color w:val="auto"/>
          <w:kern w:val="0"/>
          <w:szCs w:val="28"/>
          <w:highlight w:val="none"/>
        </w:rPr>
      </w:pPr>
    </w:p>
    <w:p w14:paraId="1A9BDCD5">
      <w:pPr>
        <w:pStyle w:val="63"/>
        <w:wordWrap w:val="0"/>
        <w:adjustRightInd w:val="0"/>
        <w:snapToGrid w:val="0"/>
        <w:spacing w:line="440" w:lineRule="exact"/>
        <w:jc w:val="right"/>
        <w:rPr>
          <w:rFonts w:hint="eastAsia" w:ascii="宋体" w:hAnsi="宋体" w:eastAsia="宋体" w:cs="宋体"/>
          <w:snapToGrid w:val="0"/>
          <w:color w:val="auto"/>
          <w:kern w:val="0"/>
          <w:highlight w:val="none"/>
        </w:rPr>
      </w:pPr>
    </w:p>
    <w:p w14:paraId="27299335">
      <w:pPr>
        <w:pStyle w:val="63"/>
        <w:wordWrap w:val="0"/>
        <w:adjustRightInd w:val="0"/>
        <w:snapToGrid w:val="0"/>
        <w:spacing w:line="440" w:lineRule="exact"/>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项目经理：</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（签字）</w:t>
      </w:r>
    </w:p>
    <w:p w14:paraId="5E6483BB">
      <w:pPr>
        <w:pStyle w:val="63"/>
        <w:wordWrap w:val="0"/>
        <w:adjustRightInd w:val="0"/>
        <w:snapToGrid w:val="0"/>
        <w:spacing w:line="440" w:lineRule="exact"/>
        <w:jc w:val="right"/>
        <w:rPr>
          <w:rFonts w:hint="eastAsia" w:ascii="宋体" w:hAnsi="宋体" w:eastAsia="宋体" w:cs="宋体"/>
          <w:snapToGrid w:val="0"/>
          <w:color w:val="auto"/>
          <w:kern w:val="0"/>
          <w:highlight w:val="none"/>
        </w:rPr>
      </w:pPr>
    </w:p>
    <w:p w14:paraId="6A8A7244">
      <w:pPr>
        <w:pStyle w:val="63"/>
        <w:wordWrap w:val="0"/>
        <w:adjustRightInd w:val="0"/>
        <w:snapToGrid w:val="0"/>
        <w:spacing w:line="440" w:lineRule="exact"/>
        <w:jc w:val="center"/>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月</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日</w:t>
      </w:r>
    </w:p>
    <w:p w14:paraId="71B8F092">
      <w:pPr>
        <w:wordWrap w:val="0"/>
        <w:adjustRightInd w:val="0"/>
        <w:snapToGrid w:val="0"/>
        <w:spacing w:line="400" w:lineRule="exact"/>
        <w:ind w:firstLine="570"/>
        <w:rPr>
          <w:rFonts w:hint="eastAsia" w:ascii="宋体" w:hAnsi="宋体" w:eastAsia="宋体" w:cs="宋体"/>
          <w:snapToGrid w:val="0"/>
          <w:color w:val="auto"/>
          <w:kern w:val="0"/>
          <w:szCs w:val="28"/>
          <w:highlight w:val="none"/>
        </w:rPr>
      </w:pPr>
    </w:p>
    <w:p w14:paraId="44FCFD3F">
      <w:pPr>
        <w:wordWrap w:val="0"/>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8"/>
          <w:highlight w:val="none"/>
        </w:rPr>
        <w:t xml:space="preserve"> </w:t>
      </w:r>
      <w:r>
        <w:rPr>
          <w:rFonts w:hint="eastAsia" w:ascii="宋体" w:hAnsi="宋体" w:eastAsia="宋体" w:cs="宋体"/>
          <w:snapToGrid w:val="0"/>
          <w:color w:val="auto"/>
          <w:kern w:val="0"/>
          <w:sz w:val="21"/>
          <w:szCs w:val="21"/>
          <w:highlight w:val="none"/>
        </w:rPr>
        <w:t>说明：《项目经理简历表》后应附拟派项目经理以下资料：</w:t>
      </w:r>
    </w:p>
    <w:p w14:paraId="1AAE81FB">
      <w:pPr>
        <w:wordWrap w:val="0"/>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1．身份证</w:t>
      </w:r>
      <w:r>
        <w:rPr>
          <w:rFonts w:hint="eastAsia" w:ascii="宋体" w:hAnsi="宋体" w:eastAsia="宋体" w:cs="宋体"/>
          <w:snapToGrid w:val="0"/>
          <w:color w:val="auto"/>
          <w:kern w:val="0"/>
          <w:sz w:val="21"/>
          <w:szCs w:val="21"/>
          <w:highlight w:val="none"/>
          <w:lang w:eastAsia="zh-CN"/>
        </w:rPr>
        <w:t>彩色扫描件</w:t>
      </w:r>
      <w:r>
        <w:rPr>
          <w:rFonts w:hint="eastAsia" w:ascii="宋体" w:hAnsi="宋体" w:eastAsia="宋体" w:cs="宋体"/>
          <w:snapToGrid w:val="0"/>
          <w:color w:val="auto"/>
          <w:kern w:val="0"/>
          <w:sz w:val="21"/>
          <w:szCs w:val="21"/>
          <w:highlight w:val="none"/>
        </w:rPr>
        <w:t>；</w:t>
      </w:r>
    </w:p>
    <w:p w14:paraId="373EEC9B">
      <w:pPr>
        <w:wordWrap w:val="0"/>
        <w:adjustRightInd w:val="0"/>
        <w:snapToGrid w:val="0"/>
        <w:spacing w:line="360" w:lineRule="auto"/>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rPr>
        <w:t xml:space="preserve">    2．</w:t>
      </w:r>
      <w:r>
        <w:rPr>
          <w:rFonts w:hint="eastAsia" w:ascii="宋体" w:hAnsi="宋体" w:eastAsia="宋体" w:cs="宋体"/>
          <w:snapToGrid w:val="0"/>
          <w:color w:val="auto"/>
          <w:kern w:val="0"/>
          <w:sz w:val="21"/>
          <w:szCs w:val="21"/>
          <w:highlight w:val="none"/>
          <w:lang w:eastAsia="zh-CN"/>
        </w:rPr>
        <w:t>建造师电子注册证书（在使用有效期内的有效电子证书）彩色扫描件；</w:t>
      </w:r>
    </w:p>
    <w:p w14:paraId="6D389050">
      <w:pPr>
        <w:wordWrap w:val="0"/>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3．B类安全生产考核合格证书</w:t>
      </w:r>
      <w:r>
        <w:rPr>
          <w:rFonts w:hint="eastAsia" w:ascii="宋体" w:hAnsi="宋体" w:eastAsia="宋体" w:cs="宋体"/>
          <w:snapToGrid w:val="0"/>
          <w:color w:val="auto"/>
          <w:kern w:val="0"/>
          <w:sz w:val="21"/>
          <w:szCs w:val="21"/>
          <w:highlight w:val="none"/>
          <w:lang w:eastAsia="zh-CN"/>
        </w:rPr>
        <w:t>彩色扫描件</w:t>
      </w:r>
      <w:r>
        <w:rPr>
          <w:rFonts w:hint="eastAsia" w:ascii="宋体" w:hAnsi="宋体" w:eastAsia="宋体" w:cs="宋体"/>
          <w:snapToGrid w:val="0"/>
          <w:color w:val="auto"/>
          <w:kern w:val="0"/>
          <w:sz w:val="21"/>
          <w:szCs w:val="21"/>
          <w:highlight w:val="none"/>
        </w:rPr>
        <w:t>或广东省建筑施工企业管理人员安全生产考核系统考核合格信息打印页；</w:t>
      </w:r>
    </w:p>
    <w:p w14:paraId="24A1F9BC">
      <w:pPr>
        <w:snapToGrid w:val="0"/>
        <w:spacing w:line="360" w:lineRule="auto"/>
        <w:ind w:firstLine="420" w:firstLineChars="200"/>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rPr>
        <w:t>4．</w:t>
      </w:r>
      <w:r>
        <w:rPr>
          <w:rFonts w:hint="eastAsia" w:ascii="宋体" w:hAnsi="宋体" w:eastAsia="宋体" w:cs="宋体"/>
          <w:snapToGrid w:val="0"/>
          <w:color w:val="auto"/>
          <w:kern w:val="0"/>
          <w:sz w:val="21"/>
          <w:szCs w:val="21"/>
          <w:highlight w:val="none"/>
          <w:lang w:eastAsia="zh-CN"/>
        </w:rPr>
        <w:t>在本单位缴纳社保的证明（至少连续</w:t>
      </w:r>
      <w:r>
        <w:rPr>
          <w:rFonts w:hint="eastAsia" w:hAnsi="宋体" w:cs="宋体"/>
          <w:snapToGrid w:val="0"/>
          <w:color w:val="auto"/>
          <w:kern w:val="0"/>
          <w:sz w:val="21"/>
          <w:szCs w:val="21"/>
          <w:highlight w:val="none"/>
          <w:lang w:val="en-US" w:eastAsia="zh-CN"/>
        </w:rPr>
        <w:t>一</w:t>
      </w:r>
      <w:r>
        <w:rPr>
          <w:rFonts w:hint="eastAsia" w:ascii="宋体" w:hAnsi="宋体" w:eastAsia="宋体" w:cs="宋体"/>
          <w:snapToGrid w:val="0"/>
          <w:color w:val="auto"/>
          <w:kern w:val="0"/>
          <w:sz w:val="21"/>
          <w:szCs w:val="21"/>
          <w:highlight w:val="none"/>
          <w:lang w:eastAsia="zh-CN"/>
        </w:rPr>
        <w:t>个月，其中必须有202</w:t>
      </w:r>
      <w:r>
        <w:rPr>
          <w:rFonts w:hint="eastAsia" w:hAnsi="宋体" w:cs="宋体"/>
          <w:snapToGrid w:val="0"/>
          <w:color w:val="auto"/>
          <w:kern w:val="0"/>
          <w:sz w:val="21"/>
          <w:szCs w:val="21"/>
          <w:highlight w:val="none"/>
          <w:lang w:val="en-US" w:eastAsia="zh-CN"/>
        </w:rPr>
        <w:t>5</w:t>
      </w:r>
      <w:r>
        <w:rPr>
          <w:rFonts w:hint="eastAsia" w:ascii="宋体" w:hAnsi="宋体" w:eastAsia="宋体" w:cs="宋体"/>
          <w:snapToGrid w:val="0"/>
          <w:color w:val="auto"/>
          <w:kern w:val="0"/>
          <w:sz w:val="21"/>
          <w:szCs w:val="21"/>
          <w:highlight w:val="none"/>
          <w:lang w:eastAsia="zh-CN"/>
        </w:rPr>
        <w:t>年</w:t>
      </w:r>
      <w:r>
        <w:rPr>
          <w:rFonts w:hint="eastAsia" w:hAnsi="宋体" w:cs="宋体"/>
          <w:snapToGrid w:val="0"/>
          <w:color w:val="auto"/>
          <w:kern w:val="0"/>
          <w:sz w:val="21"/>
          <w:szCs w:val="21"/>
          <w:highlight w:val="none"/>
          <w:lang w:val="en-US" w:eastAsia="zh-CN"/>
        </w:rPr>
        <w:t>09</w:t>
      </w:r>
      <w:r>
        <w:rPr>
          <w:rFonts w:hint="eastAsia" w:ascii="宋体" w:hAnsi="宋体" w:eastAsia="宋体" w:cs="宋体"/>
          <w:snapToGrid w:val="0"/>
          <w:color w:val="auto"/>
          <w:kern w:val="0"/>
          <w:sz w:val="21"/>
          <w:szCs w:val="21"/>
          <w:highlight w:val="none"/>
          <w:lang w:eastAsia="zh-CN"/>
        </w:rPr>
        <w:t>月）彩色扫描件。拟派项目经理为退休返聘人员无法提供社保证明的，提供退休证和劳动彩色扫描件；</w:t>
      </w:r>
    </w:p>
    <w:p w14:paraId="2D1A5D9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lang w:eastAsia="zh-CN"/>
        </w:rPr>
        <w:sectPr>
          <w:endnotePr>
            <w:numFmt w:val="decimal"/>
          </w:endnotePr>
          <w:pgSz w:w="11906" w:h="16838"/>
          <w:pgMar w:top="1134" w:right="1134" w:bottom="1134" w:left="1134" w:header="567" w:footer="567" w:gutter="0"/>
          <w:cols w:space="720" w:num="1"/>
          <w:docGrid w:linePitch="327" w:charSpace="0"/>
        </w:sect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lang w:eastAsia="zh-CN"/>
        </w:rPr>
        <w:t>“进粤企业和人员诚信信息登记平台”个人信息情况截图。（适用于省外建筑企业）。</w:t>
      </w:r>
    </w:p>
    <w:p w14:paraId="5DEAF4E8">
      <w:pPr>
        <w:pStyle w:val="4"/>
        <w:bidi w:val="0"/>
        <w:ind w:firstLine="964"/>
        <w:rPr>
          <w:rFonts w:hint="eastAsia" w:ascii="宋体" w:hAnsi="宋体" w:eastAsia="宋体" w:cs="宋体"/>
          <w:color w:val="auto"/>
          <w:highlight w:val="none"/>
        </w:rPr>
      </w:pPr>
      <w:bookmarkStart w:id="320" w:name="_Toc8211"/>
      <w:bookmarkStart w:id="321" w:name="_Toc5290"/>
      <w:bookmarkStart w:id="322" w:name="_Toc21761"/>
      <w:bookmarkStart w:id="323" w:name="_Toc2842"/>
      <w:r>
        <w:rPr>
          <w:rFonts w:hint="eastAsia" w:ascii="宋体" w:hAnsi="宋体" w:eastAsia="宋体" w:cs="宋体"/>
          <w:color w:val="auto"/>
          <w:highlight w:val="none"/>
        </w:rPr>
        <w:t>格式九 项目经理任职声明</w:t>
      </w:r>
      <w:bookmarkEnd w:id="320"/>
      <w:bookmarkEnd w:id="321"/>
      <w:bookmarkEnd w:id="322"/>
      <w:bookmarkEnd w:id="323"/>
    </w:p>
    <w:p w14:paraId="14F0CE43">
      <w:pPr>
        <w:rPr>
          <w:rFonts w:hint="eastAsia" w:ascii="宋体" w:hAnsi="宋体" w:eastAsia="宋体" w:cs="宋体"/>
          <w:color w:val="auto"/>
          <w:highlight w:val="none"/>
        </w:rPr>
      </w:pPr>
    </w:p>
    <w:p w14:paraId="218D3A3A">
      <w:pPr>
        <w:wordWrap w:val="0"/>
        <w:adjustRightInd w:val="0"/>
        <w:snapToGrid w:val="0"/>
        <w:spacing w:before="260" w:after="260" w:line="440" w:lineRule="exact"/>
        <w:jc w:val="center"/>
        <w:rPr>
          <w:rFonts w:hint="eastAsia" w:ascii="宋体" w:hAnsi="宋体" w:eastAsia="宋体" w:cs="宋体"/>
          <w:snapToGrid w:val="0"/>
          <w:color w:val="auto"/>
          <w:kern w:val="0"/>
          <w:szCs w:val="28"/>
          <w:highlight w:val="none"/>
        </w:rPr>
      </w:pPr>
      <w:r>
        <w:rPr>
          <w:rFonts w:hint="eastAsia" w:ascii="宋体" w:hAnsi="宋体" w:eastAsia="宋体" w:cs="宋体"/>
          <w:b/>
          <w:snapToGrid w:val="0"/>
          <w:color w:val="auto"/>
          <w:kern w:val="0"/>
          <w:sz w:val="30"/>
          <w:highlight w:val="none"/>
        </w:rPr>
        <w:t>项目经理任职声明</w:t>
      </w:r>
    </w:p>
    <w:p w14:paraId="45DC195A">
      <w:pPr>
        <w:wordWrap w:val="0"/>
        <w:adjustRightInd w:val="0"/>
        <w:snapToGrid w:val="0"/>
        <w:spacing w:line="440" w:lineRule="exact"/>
        <w:jc w:val="center"/>
        <w:rPr>
          <w:rFonts w:hint="eastAsia" w:ascii="宋体" w:hAnsi="宋体" w:eastAsia="宋体" w:cs="宋体"/>
          <w:snapToGrid w:val="0"/>
          <w:color w:val="auto"/>
          <w:kern w:val="0"/>
          <w:szCs w:val="28"/>
          <w:highlight w:val="none"/>
        </w:rPr>
      </w:pPr>
    </w:p>
    <w:p w14:paraId="62664D40">
      <w:pPr>
        <w:wordWrap w:val="0"/>
        <w:adjustRightInd w:val="0"/>
        <w:snapToGrid w:val="0"/>
        <w:spacing w:line="440" w:lineRule="exac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致：</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（招标人名称）：</w:t>
      </w:r>
    </w:p>
    <w:p w14:paraId="647CE416">
      <w:pPr>
        <w:wordWrap w:val="0"/>
        <w:adjustRightInd w:val="0"/>
        <w:snapToGrid w:val="0"/>
        <w:spacing w:line="440" w:lineRule="exac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我方在此声明，我方拟派往</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（项目名称）的项目经理</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（项目经理姓名）现阶段没有担任任何在施（包括已中标未开工、已开工未竣工）建设工程项目的项目经理。</w:t>
      </w:r>
    </w:p>
    <w:p w14:paraId="7FB173E1">
      <w:pPr>
        <w:wordWrap w:val="0"/>
        <w:adjustRightInd w:val="0"/>
        <w:snapToGrid w:val="0"/>
        <w:spacing w:line="440" w:lineRule="exact"/>
        <w:ind w:firstLine="480"/>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我方保证上述信息的真实和准确，并愿意承担因我方就此弄虚作假所引起的一切法律后果。</w:t>
      </w:r>
    </w:p>
    <w:p w14:paraId="237EEE33">
      <w:pPr>
        <w:wordWrap w:val="0"/>
        <w:adjustRightInd w:val="0"/>
        <w:snapToGrid w:val="0"/>
        <w:spacing w:line="440" w:lineRule="exact"/>
        <w:ind w:firstLine="480"/>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w:t>
      </w:r>
    </w:p>
    <w:p w14:paraId="283E22E3">
      <w:pPr>
        <w:wordWrap w:val="0"/>
        <w:adjustRightInd w:val="0"/>
        <w:snapToGrid w:val="0"/>
        <w:spacing w:line="440" w:lineRule="exac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特此承诺　　</w:t>
      </w:r>
    </w:p>
    <w:p w14:paraId="02BC082B">
      <w:pPr>
        <w:wordWrap w:val="0"/>
        <w:adjustRightInd w:val="0"/>
        <w:snapToGrid w:val="0"/>
        <w:spacing w:line="440" w:lineRule="exac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w:t>
      </w:r>
    </w:p>
    <w:p w14:paraId="4235C005">
      <w:pPr>
        <w:wordWrap w:val="0"/>
        <w:adjustRightInd w:val="0"/>
        <w:snapToGrid w:val="0"/>
        <w:spacing w:line="440" w:lineRule="exac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w:t>
      </w:r>
    </w:p>
    <w:p w14:paraId="4DC8890A">
      <w:pPr>
        <w:wordWrap w:val="0"/>
        <w:adjustRightInd w:val="0"/>
        <w:snapToGrid w:val="0"/>
        <w:spacing w:line="440" w:lineRule="exact"/>
        <w:jc w:val="righ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投标人：</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（盖单位章）</w:t>
      </w:r>
    </w:p>
    <w:p w14:paraId="6427A282">
      <w:pPr>
        <w:wordWrap w:val="0"/>
        <w:adjustRightInd w:val="0"/>
        <w:snapToGrid w:val="0"/>
        <w:spacing w:line="440" w:lineRule="exact"/>
        <w:jc w:val="right"/>
        <w:rPr>
          <w:rFonts w:hint="eastAsia" w:ascii="宋体" w:hAnsi="宋体" w:eastAsia="宋体" w:cs="宋体"/>
          <w:snapToGrid w:val="0"/>
          <w:color w:val="auto"/>
          <w:kern w:val="0"/>
          <w:szCs w:val="28"/>
          <w:highlight w:val="none"/>
        </w:rPr>
      </w:pPr>
    </w:p>
    <w:p w14:paraId="1A24926C">
      <w:pPr>
        <w:wordWrap w:val="0"/>
        <w:adjustRightInd w:val="0"/>
        <w:snapToGrid w:val="0"/>
        <w:spacing w:line="440" w:lineRule="exact"/>
        <w:jc w:val="right"/>
        <w:rPr>
          <w:rFonts w:hint="eastAsia" w:ascii="宋体" w:hAnsi="宋体" w:eastAsia="宋体" w:cs="宋体"/>
          <w:snapToGrid w:val="0"/>
          <w:color w:val="auto"/>
          <w:kern w:val="0"/>
          <w:szCs w:val="28"/>
          <w:highlight w:val="none"/>
        </w:rPr>
      </w:pPr>
    </w:p>
    <w:p w14:paraId="7729CED2">
      <w:pPr>
        <w:wordWrap w:val="0"/>
        <w:adjustRightInd w:val="0"/>
        <w:snapToGrid w:val="0"/>
        <w:spacing w:line="440" w:lineRule="exact"/>
        <w:jc w:val="righ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法定代表人或其委托代理人：</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（签字或盖章）</w:t>
      </w:r>
    </w:p>
    <w:p w14:paraId="0E109AC8">
      <w:pPr>
        <w:wordWrap w:val="0"/>
        <w:adjustRightInd w:val="0"/>
        <w:snapToGrid w:val="0"/>
        <w:spacing w:line="440" w:lineRule="exact"/>
        <w:jc w:val="right"/>
        <w:rPr>
          <w:rFonts w:hint="eastAsia" w:ascii="宋体" w:hAnsi="宋体" w:eastAsia="宋体" w:cs="宋体"/>
          <w:snapToGrid w:val="0"/>
          <w:color w:val="auto"/>
          <w:kern w:val="0"/>
          <w:szCs w:val="28"/>
          <w:highlight w:val="none"/>
        </w:rPr>
      </w:pPr>
    </w:p>
    <w:p w14:paraId="08D12FAA">
      <w:pPr>
        <w:wordWrap w:val="0"/>
        <w:adjustRightInd w:val="0"/>
        <w:snapToGrid w:val="0"/>
        <w:spacing w:line="440" w:lineRule="exact"/>
        <w:jc w:val="center"/>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xml:space="preserve">                            </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年</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月</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日</w:t>
      </w:r>
    </w:p>
    <w:p w14:paraId="6957D60E">
      <w:pPr>
        <w:wordWrap w:val="0"/>
        <w:adjustRightInd w:val="0"/>
        <w:snapToGrid w:val="0"/>
        <w:spacing w:line="440" w:lineRule="exact"/>
        <w:rPr>
          <w:rFonts w:hint="eastAsia" w:ascii="宋体" w:hAnsi="宋体" w:eastAsia="宋体" w:cs="宋体"/>
          <w:snapToGrid w:val="0"/>
          <w:color w:val="auto"/>
          <w:kern w:val="0"/>
          <w:szCs w:val="28"/>
          <w:highlight w:val="none"/>
        </w:rPr>
        <w:sectPr>
          <w:endnotePr>
            <w:numFmt w:val="decimal"/>
          </w:endnotePr>
          <w:pgSz w:w="11906" w:h="16838"/>
          <w:pgMar w:top="1134" w:right="1134" w:bottom="1134" w:left="1134" w:header="567" w:footer="567" w:gutter="0"/>
          <w:cols w:space="720" w:num="1"/>
          <w:docGrid w:linePitch="327" w:charSpace="0"/>
        </w:sectPr>
      </w:pPr>
    </w:p>
    <w:p w14:paraId="02E975E8">
      <w:pPr>
        <w:pStyle w:val="4"/>
        <w:bidi w:val="0"/>
        <w:ind w:firstLine="964"/>
        <w:rPr>
          <w:rFonts w:hint="eastAsia" w:ascii="宋体" w:hAnsi="宋体" w:eastAsia="宋体" w:cs="宋体"/>
          <w:color w:val="auto"/>
          <w:highlight w:val="none"/>
        </w:rPr>
      </w:pPr>
      <w:bookmarkStart w:id="324" w:name="_Toc12722"/>
      <w:bookmarkStart w:id="325" w:name="_Toc24994"/>
      <w:bookmarkStart w:id="326" w:name="_Toc27257"/>
      <w:bookmarkStart w:id="327" w:name="_Toc21420"/>
      <w:r>
        <w:rPr>
          <w:rFonts w:hint="eastAsia" w:ascii="宋体" w:hAnsi="宋体" w:eastAsia="宋体" w:cs="宋体"/>
          <w:color w:val="auto"/>
          <w:highlight w:val="none"/>
        </w:rPr>
        <w:t>格式十 项目技术负责人简历表</w:t>
      </w:r>
      <w:bookmarkEnd w:id="324"/>
      <w:bookmarkEnd w:id="325"/>
      <w:bookmarkEnd w:id="326"/>
      <w:bookmarkEnd w:id="327"/>
    </w:p>
    <w:p w14:paraId="259A65F5">
      <w:pPr>
        <w:rPr>
          <w:rFonts w:hint="eastAsia" w:ascii="宋体" w:hAnsi="宋体" w:eastAsia="宋体" w:cs="宋体"/>
          <w:color w:val="auto"/>
          <w:highlight w:val="none"/>
        </w:rPr>
      </w:pPr>
    </w:p>
    <w:tbl>
      <w:tblPr>
        <w:tblStyle w:val="31"/>
        <w:tblpPr w:leftFromText="180" w:rightFromText="180" w:vertAnchor="text" w:horzAnchor="page" w:tblpX="1490" w:tblpY="692"/>
        <w:tblOverlap w:val="never"/>
        <w:tblW w:w="927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0E9564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0CC8480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姓   名</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529C5A1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555794C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性  别</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691CA21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49DA6CB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年   龄</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1E4991D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553B73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62F714B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务</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5C6B06E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0F3F1F3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称</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46A4DCD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1B7AB78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学   历</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5C8CED6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78FFC6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49452DE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0"/>
            <w:vAlign w:val="center"/>
          </w:tcPr>
          <w:p w14:paraId="3404E89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3679" w:type="dxa"/>
            <w:gridSpan w:val="3"/>
            <w:tcBorders>
              <w:top w:val="single" w:color="auto" w:sz="6" w:space="0"/>
              <w:left w:val="single" w:color="auto" w:sz="6" w:space="0"/>
              <w:bottom w:val="single" w:color="auto" w:sz="6" w:space="0"/>
              <w:right w:val="single" w:color="auto" w:sz="6" w:space="0"/>
            </w:tcBorders>
            <w:noWrap w:val="0"/>
            <w:vAlign w:val="center"/>
          </w:tcPr>
          <w:p w14:paraId="522114A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1E1FD37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34558EA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0"/>
            <w:vAlign w:val="center"/>
          </w:tcPr>
          <w:p w14:paraId="2DF790E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以项目技术负责人身份参与过的主要业绩（已完工项目）</w:t>
            </w:r>
          </w:p>
        </w:tc>
      </w:tr>
      <w:tr w14:paraId="093B5E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1D32455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序号</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38317C9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15F423D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7FF149C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建设内容和规模</w:t>
            </w:r>
          </w:p>
        </w:tc>
        <w:tc>
          <w:tcPr>
            <w:tcW w:w="1706" w:type="dxa"/>
            <w:tcBorders>
              <w:top w:val="single" w:color="auto" w:sz="6" w:space="0"/>
              <w:left w:val="single" w:color="auto" w:sz="6" w:space="0"/>
              <w:bottom w:val="single" w:color="auto" w:sz="6" w:space="0"/>
              <w:right w:val="single" w:color="auto" w:sz="6" w:space="0"/>
            </w:tcBorders>
            <w:noWrap w:val="0"/>
            <w:vAlign w:val="center"/>
          </w:tcPr>
          <w:p w14:paraId="6C5244D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开、竣工日期</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C9F438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质量等级</w:t>
            </w:r>
          </w:p>
        </w:tc>
      </w:tr>
      <w:tr w14:paraId="11C0C1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3799ABC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5167B27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2833AAF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7DA5526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401B7DC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0C89E82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6DD4C6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4B346A5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59B7DE3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2A90E60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5259A8D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60417FC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2E7E22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0D60E5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24FB5BA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09506DD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113265C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093B426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217B81A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78ED268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5BA3CD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452AB46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730B9B6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4E6D0D8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4EDFD91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20DFC30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DC47E5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2E9EF9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48D4848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6F10B4F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3272A82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1DD79C0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0E1C898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2A4B99F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bl>
    <w:p w14:paraId="0AD99FDB">
      <w:pPr>
        <w:wordWrap w:val="0"/>
        <w:adjustRightInd w:val="0"/>
        <w:snapToGrid w:val="0"/>
        <w:spacing w:line="440" w:lineRule="exact"/>
        <w:jc w:val="center"/>
        <w:outlineLvl w:val="2"/>
        <w:rPr>
          <w:rFonts w:hint="eastAsia" w:ascii="宋体" w:hAnsi="宋体" w:eastAsia="宋体" w:cs="宋体"/>
          <w:b/>
          <w:bCs/>
          <w:snapToGrid w:val="0"/>
          <w:color w:val="auto"/>
          <w:kern w:val="0"/>
          <w:szCs w:val="24"/>
          <w:highlight w:val="none"/>
        </w:rPr>
      </w:pPr>
      <w:bookmarkStart w:id="328" w:name="_Toc12290"/>
      <w:bookmarkStart w:id="329" w:name="_Toc6237"/>
      <w:r>
        <w:rPr>
          <w:rFonts w:hint="eastAsia" w:ascii="宋体" w:hAnsi="宋体" w:eastAsia="宋体" w:cs="宋体"/>
          <w:b/>
          <w:snapToGrid w:val="0"/>
          <w:color w:val="auto"/>
          <w:kern w:val="0"/>
          <w:sz w:val="30"/>
          <w:highlight w:val="none"/>
        </w:rPr>
        <w:t>项目技术负责人简历表</w:t>
      </w:r>
      <w:bookmarkEnd w:id="328"/>
      <w:bookmarkEnd w:id="329"/>
    </w:p>
    <w:p w14:paraId="25012E6D">
      <w:pPr>
        <w:wordWrap w:val="0"/>
        <w:adjustRightInd w:val="0"/>
        <w:snapToGrid w:val="0"/>
        <w:spacing w:line="440" w:lineRule="exact"/>
        <w:ind w:firstLine="570"/>
        <w:rPr>
          <w:rFonts w:hint="eastAsia" w:ascii="宋体" w:hAnsi="宋体" w:eastAsia="宋体" w:cs="宋体"/>
          <w:snapToGrid w:val="0"/>
          <w:color w:val="auto"/>
          <w:kern w:val="0"/>
          <w:szCs w:val="28"/>
          <w:highlight w:val="none"/>
        </w:rPr>
      </w:pPr>
    </w:p>
    <w:p w14:paraId="12310E71">
      <w:pPr>
        <w:pStyle w:val="63"/>
        <w:wordWrap w:val="0"/>
        <w:adjustRightInd w:val="0"/>
        <w:snapToGrid w:val="0"/>
        <w:spacing w:line="440" w:lineRule="exact"/>
        <w:jc w:val="right"/>
        <w:rPr>
          <w:rFonts w:hint="eastAsia" w:ascii="宋体" w:hAnsi="宋体" w:eastAsia="宋体" w:cs="宋体"/>
          <w:snapToGrid w:val="0"/>
          <w:color w:val="auto"/>
          <w:kern w:val="0"/>
          <w:highlight w:val="none"/>
        </w:rPr>
      </w:pPr>
    </w:p>
    <w:p w14:paraId="55628FD1">
      <w:pPr>
        <w:pStyle w:val="63"/>
        <w:wordWrap w:val="0"/>
        <w:adjustRightInd w:val="0"/>
        <w:snapToGrid w:val="0"/>
        <w:spacing w:line="440" w:lineRule="exact"/>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项目技术负责人：</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（签字）</w:t>
      </w:r>
    </w:p>
    <w:p w14:paraId="545BDB91">
      <w:pPr>
        <w:pStyle w:val="63"/>
        <w:wordWrap w:val="0"/>
        <w:adjustRightInd w:val="0"/>
        <w:snapToGrid w:val="0"/>
        <w:spacing w:line="440" w:lineRule="exact"/>
        <w:jc w:val="right"/>
        <w:rPr>
          <w:rFonts w:hint="eastAsia" w:ascii="宋体" w:hAnsi="宋体" w:eastAsia="宋体" w:cs="宋体"/>
          <w:snapToGrid w:val="0"/>
          <w:color w:val="auto"/>
          <w:kern w:val="0"/>
          <w:highlight w:val="none"/>
        </w:rPr>
      </w:pPr>
    </w:p>
    <w:p w14:paraId="7C9DCDF0">
      <w:pPr>
        <w:pStyle w:val="63"/>
        <w:wordWrap w:val="0"/>
        <w:adjustRightInd w:val="0"/>
        <w:snapToGrid w:val="0"/>
        <w:spacing w:line="440" w:lineRule="exact"/>
        <w:jc w:val="center"/>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月</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日</w:t>
      </w:r>
    </w:p>
    <w:p w14:paraId="786517CA">
      <w:pPr>
        <w:wordWrap w:val="0"/>
        <w:adjustRightInd w:val="0"/>
        <w:snapToGrid w:val="0"/>
        <w:spacing w:line="400" w:lineRule="exact"/>
        <w:ind w:firstLine="570"/>
        <w:rPr>
          <w:rFonts w:hint="eastAsia" w:ascii="宋体" w:hAnsi="宋体" w:eastAsia="宋体" w:cs="宋体"/>
          <w:snapToGrid w:val="0"/>
          <w:color w:val="auto"/>
          <w:kern w:val="0"/>
          <w:szCs w:val="28"/>
          <w:highlight w:val="none"/>
        </w:rPr>
      </w:pPr>
    </w:p>
    <w:p w14:paraId="334B7C81">
      <w:pPr>
        <w:pStyle w:val="10"/>
        <w:rPr>
          <w:rFonts w:hint="eastAsia" w:ascii="宋体" w:hAnsi="宋体" w:eastAsia="宋体" w:cs="宋体"/>
          <w:snapToGrid w:val="0"/>
          <w:color w:val="auto"/>
          <w:kern w:val="0"/>
          <w:szCs w:val="28"/>
          <w:highlight w:val="none"/>
        </w:rPr>
      </w:pPr>
    </w:p>
    <w:p w14:paraId="15B12F41">
      <w:pPr>
        <w:rPr>
          <w:rFonts w:hint="eastAsia" w:ascii="宋体" w:hAnsi="宋体" w:eastAsia="宋体" w:cs="宋体"/>
          <w:color w:val="auto"/>
          <w:highlight w:val="none"/>
        </w:rPr>
      </w:pPr>
    </w:p>
    <w:p w14:paraId="6AD2B7D7">
      <w:pPr>
        <w:wordWrap w:val="0"/>
        <w:adjustRightInd w:val="0"/>
        <w:snapToGrid w:val="0"/>
        <w:spacing w:line="400" w:lineRule="exact"/>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 xml:space="preserve">    </w:t>
      </w:r>
      <w:bookmarkStart w:id="330" w:name="_Toc8264"/>
      <w:bookmarkStart w:id="331" w:name="_Toc200338098"/>
      <w:r>
        <w:rPr>
          <w:rFonts w:hint="eastAsia" w:ascii="宋体" w:hAnsi="宋体" w:eastAsia="宋体" w:cs="宋体"/>
          <w:snapToGrid w:val="0"/>
          <w:color w:val="auto"/>
          <w:kern w:val="0"/>
          <w:sz w:val="21"/>
          <w:szCs w:val="28"/>
          <w:highlight w:val="none"/>
        </w:rPr>
        <w:t>说明：《项目技术负责人简历表》后应附拟派项目技术负责人以下资料：</w:t>
      </w:r>
    </w:p>
    <w:p w14:paraId="01FCF52B">
      <w:pPr>
        <w:wordWrap w:val="0"/>
        <w:adjustRightInd w:val="0"/>
        <w:snapToGrid w:val="0"/>
        <w:spacing w:line="400" w:lineRule="exact"/>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 xml:space="preserve">    1．身份证</w:t>
      </w:r>
      <w:r>
        <w:rPr>
          <w:rFonts w:hint="eastAsia" w:ascii="宋体" w:hAnsi="宋体" w:eastAsia="宋体" w:cs="宋体"/>
          <w:snapToGrid w:val="0"/>
          <w:color w:val="auto"/>
          <w:kern w:val="0"/>
          <w:sz w:val="21"/>
          <w:szCs w:val="28"/>
          <w:highlight w:val="none"/>
          <w:lang w:eastAsia="zh-CN"/>
        </w:rPr>
        <w:t>彩色扫描件</w:t>
      </w:r>
      <w:r>
        <w:rPr>
          <w:rFonts w:hint="eastAsia" w:ascii="宋体" w:hAnsi="宋体" w:eastAsia="宋体" w:cs="宋体"/>
          <w:snapToGrid w:val="0"/>
          <w:color w:val="auto"/>
          <w:kern w:val="0"/>
          <w:sz w:val="21"/>
          <w:szCs w:val="28"/>
          <w:highlight w:val="none"/>
        </w:rPr>
        <w:t>；</w:t>
      </w:r>
    </w:p>
    <w:p w14:paraId="6ADCBA34">
      <w:pPr>
        <w:wordWrap w:val="0"/>
        <w:adjustRightInd w:val="0"/>
        <w:snapToGrid w:val="0"/>
        <w:spacing w:line="400" w:lineRule="exact"/>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 xml:space="preserve">    2．职称证</w:t>
      </w:r>
      <w:r>
        <w:rPr>
          <w:rFonts w:hint="eastAsia" w:ascii="宋体" w:hAnsi="宋体" w:eastAsia="宋体" w:cs="宋体"/>
          <w:snapToGrid w:val="0"/>
          <w:color w:val="auto"/>
          <w:kern w:val="0"/>
          <w:sz w:val="21"/>
          <w:szCs w:val="28"/>
          <w:highlight w:val="none"/>
          <w:lang w:eastAsia="zh-CN"/>
        </w:rPr>
        <w:t>彩色扫描件</w:t>
      </w:r>
      <w:r>
        <w:rPr>
          <w:rFonts w:hint="eastAsia" w:ascii="宋体" w:hAnsi="宋体" w:eastAsia="宋体" w:cs="宋体"/>
          <w:snapToGrid w:val="0"/>
          <w:color w:val="auto"/>
          <w:kern w:val="0"/>
          <w:sz w:val="21"/>
          <w:szCs w:val="28"/>
          <w:highlight w:val="none"/>
        </w:rPr>
        <w:t>；</w:t>
      </w:r>
    </w:p>
    <w:p w14:paraId="76CC3A0F">
      <w:pPr>
        <w:wordWrap w:val="0"/>
        <w:adjustRightInd w:val="0"/>
        <w:snapToGrid w:val="0"/>
        <w:spacing w:line="400" w:lineRule="exact"/>
        <w:ind w:firstLine="420" w:firstLineChars="200"/>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3．在本单位缴纳社保的证明（</w:t>
      </w:r>
      <w:r>
        <w:rPr>
          <w:rFonts w:hint="eastAsia" w:ascii="宋体" w:hAnsi="宋体" w:eastAsia="宋体" w:cs="宋体"/>
          <w:snapToGrid w:val="0"/>
          <w:color w:val="auto"/>
          <w:kern w:val="0"/>
          <w:sz w:val="21"/>
          <w:szCs w:val="28"/>
          <w:highlight w:val="none"/>
          <w:lang w:eastAsia="zh-CN"/>
        </w:rPr>
        <w:t>至少连续</w:t>
      </w:r>
      <w:r>
        <w:rPr>
          <w:rFonts w:hint="eastAsia" w:hAnsi="宋体" w:cs="宋体"/>
          <w:snapToGrid w:val="0"/>
          <w:color w:val="auto"/>
          <w:kern w:val="0"/>
          <w:sz w:val="21"/>
          <w:szCs w:val="28"/>
          <w:highlight w:val="none"/>
          <w:lang w:val="en-US" w:eastAsia="zh-CN"/>
        </w:rPr>
        <w:t>一</w:t>
      </w:r>
      <w:r>
        <w:rPr>
          <w:rFonts w:hint="eastAsia" w:ascii="宋体" w:hAnsi="宋体" w:eastAsia="宋体" w:cs="宋体"/>
          <w:snapToGrid w:val="0"/>
          <w:color w:val="auto"/>
          <w:kern w:val="0"/>
          <w:sz w:val="21"/>
          <w:szCs w:val="28"/>
          <w:highlight w:val="none"/>
          <w:lang w:eastAsia="zh-CN"/>
        </w:rPr>
        <w:t>个月，其中必须有202</w:t>
      </w:r>
      <w:r>
        <w:rPr>
          <w:rFonts w:hint="eastAsia" w:hAnsi="宋体" w:cs="宋体"/>
          <w:snapToGrid w:val="0"/>
          <w:color w:val="auto"/>
          <w:kern w:val="0"/>
          <w:sz w:val="21"/>
          <w:szCs w:val="28"/>
          <w:highlight w:val="none"/>
          <w:lang w:val="en-US" w:eastAsia="zh-CN"/>
        </w:rPr>
        <w:t>5</w:t>
      </w:r>
      <w:r>
        <w:rPr>
          <w:rFonts w:hint="eastAsia" w:ascii="宋体" w:hAnsi="宋体" w:eastAsia="宋体" w:cs="宋体"/>
          <w:snapToGrid w:val="0"/>
          <w:color w:val="auto"/>
          <w:kern w:val="0"/>
          <w:sz w:val="21"/>
          <w:szCs w:val="28"/>
          <w:highlight w:val="none"/>
          <w:lang w:eastAsia="zh-CN"/>
        </w:rPr>
        <w:t>年</w:t>
      </w:r>
      <w:r>
        <w:rPr>
          <w:rFonts w:hint="eastAsia" w:hAnsi="宋体" w:cs="宋体"/>
          <w:snapToGrid w:val="0"/>
          <w:color w:val="auto"/>
          <w:kern w:val="0"/>
          <w:sz w:val="21"/>
          <w:szCs w:val="28"/>
          <w:highlight w:val="none"/>
          <w:lang w:val="en-US" w:eastAsia="zh-CN"/>
        </w:rPr>
        <w:t>09</w:t>
      </w:r>
      <w:r>
        <w:rPr>
          <w:rFonts w:hint="eastAsia" w:ascii="宋体" w:hAnsi="宋体" w:eastAsia="宋体" w:cs="宋体"/>
          <w:snapToGrid w:val="0"/>
          <w:color w:val="auto"/>
          <w:kern w:val="0"/>
          <w:sz w:val="21"/>
          <w:szCs w:val="28"/>
          <w:highlight w:val="none"/>
          <w:lang w:eastAsia="zh-CN"/>
        </w:rPr>
        <w:t>月</w:t>
      </w:r>
      <w:r>
        <w:rPr>
          <w:rFonts w:hint="eastAsia" w:ascii="宋体" w:hAnsi="宋体" w:eastAsia="宋体" w:cs="宋体"/>
          <w:snapToGrid w:val="0"/>
          <w:color w:val="auto"/>
          <w:kern w:val="0"/>
          <w:sz w:val="21"/>
          <w:szCs w:val="28"/>
          <w:highlight w:val="none"/>
        </w:rPr>
        <w:t>）</w:t>
      </w:r>
      <w:r>
        <w:rPr>
          <w:rFonts w:hint="eastAsia" w:ascii="宋体" w:hAnsi="宋体" w:eastAsia="宋体" w:cs="宋体"/>
          <w:snapToGrid w:val="0"/>
          <w:color w:val="auto"/>
          <w:kern w:val="0"/>
          <w:sz w:val="21"/>
          <w:szCs w:val="21"/>
          <w:highlight w:val="none"/>
        </w:rPr>
        <w:t>彩色扫描件</w:t>
      </w:r>
      <w:r>
        <w:rPr>
          <w:rFonts w:hint="eastAsia" w:ascii="宋体" w:hAnsi="宋体" w:eastAsia="宋体" w:cs="宋体"/>
          <w:snapToGrid w:val="0"/>
          <w:color w:val="auto"/>
          <w:kern w:val="0"/>
          <w:sz w:val="21"/>
          <w:szCs w:val="28"/>
          <w:highlight w:val="none"/>
        </w:rPr>
        <w:t>。拟派项目技术负责人为退休返聘人员无法提供社保证明的，提供退休证和劳动合同</w:t>
      </w:r>
      <w:r>
        <w:rPr>
          <w:rFonts w:hint="eastAsia" w:ascii="宋体" w:hAnsi="宋体" w:eastAsia="宋体" w:cs="宋体"/>
          <w:snapToGrid w:val="0"/>
          <w:color w:val="auto"/>
          <w:kern w:val="0"/>
          <w:sz w:val="21"/>
          <w:szCs w:val="21"/>
          <w:highlight w:val="none"/>
        </w:rPr>
        <w:t>彩色扫描件</w:t>
      </w:r>
      <w:r>
        <w:rPr>
          <w:rFonts w:hint="eastAsia" w:ascii="宋体" w:hAnsi="宋体" w:eastAsia="宋体" w:cs="宋体"/>
          <w:snapToGrid w:val="0"/>
          <w:color w:val="auto"/>
          <w:kern w:val="0"/>
          <w:sz w:val="21"/>
          <w:szCs w:val="28"/>
          <w:highlight w:val="none"/>
        </w:rPr>
        <w:t>；</w:t>
      </w:r>
    </w:p>
    <w:p w14:paraId="67186CFC">
      <w:pPr>
        <w:ind w:firstLine="420" w:firstLineChars="200"/>
        <w:rPr>
          <w:rFonts w:hint="eastAsia" w:ascii="宋体" w:hAnsi="宋体" w:eastAsia="宋体" w:cs="宋体"/>
          <w:color w:val="auto"/>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eastAsia="zh-CN"/>
        </w:rPr>
        <w:t>“进粤企业和人员诚信信息登记平台”个人信息情况截图。（适用于省外建筑企业）。</w:t>
      </w:r>
    </w:p>
    <w:p w14:paraId="6B83A33B">
      <w:pPr>
        <w:pStyle w:val="4"/>
        <w:keepNext w:val="0"/>
        <w:keepLines w:val="0"/>
        <w:widowControl w:val="0"/>
        <w:wordWrap w:val="0"/>
        <w:adjustRightInd w:val="0"/>
        <w:snapToGrid w:val="0"/>
        <w:spacing w:before="0" w:after="0" w:line="440" w:lineRule="exact"/>
        <w:ind w:firstLine="0"/>
        <w:jc w:val="left"/>
        <w:rPr>
          <w:rFonts w:hint="eastAsia" w:ascii="宋体" w:hAnsi="宋体" w:eastAsia="宋体" w:cs="宋体"/>
          <w:b/>
          <w:snapToGrid w:val="0"/>
          <w:color w:val="auto"/>
          <w:szCs w:val="22"/>
          <w:highlight w:val="none"/>
        </w:rPr>
      </w:pPr>
    </w:p>
    <w:p w14:paraId="43F37F8A">
      <w:pPr>
        <w:pStyle w:val="5"/>
        <w:rPr>
          <w:rFonts w:hint="eastAsia" w:ascii="宋体" w:hAnsi="宋体" w:eastAsia="宋体" w:cs="宋体"/>
          <w:color w:val="auto"/>
          <w:highlight w:val="none"/>
        </w:rPr>
      </w:pPr>
    </w:p>
    <w:p w14:paraId="48F7CA03">
      <w:pPr>
        <w:pStyle w:val="4"/>
        <w:keepNext w:val="0"/>
        <w:keepLines w:val="0"/>
        <w:widowControl w:val="0"/>
        <w:wordWrap w:val="0"/>
        <w:adjustRightInd w:val="0"/>
        <w:snapToGrid w:val="0"/>
        <w:spacing w:before="0" w:after="0" w:line="440" w:lineRule="exact"/>
        <w:ind w:firstLine="0"/>
        <w:jc w:val="left"/>
        <w:rPr>
          <w:rFonts w:hint="eastAsia" w:ascii="宋体" w:hAnsi="宋体" w:eastAsia="宋体" w:cs="宋体"/>
          <w:b/>
          <w:snapToGrid w:val="0"/>
          <w:color w:val="auto"/>
          <w:szCs w:val="22"/>
          <w:highlight w:val="none"/>
        </w:rPr>
      </w:pPr>
      <w:bookmarkStart w:id="332" w:name="_Toc8834"/>
      <w:bookmarkStart w:id="333" w:name="_Toc4344"/>
      <w:bookmarkStart w:id="334" w:name="_Toc9436"/>
    </w:p>
    <w:p w14:paraId="59E9416E">
      <w:pPr>
        <w:pStyle w:val="4"/>
        <w:keepNext w:val="0"/>
        <w:keepLines w:val="0"/>
        <w:widowControl w:val="0"/>
        <w:wordWrap w:val="0"/>
        <w:adjustRightInd w:val="0"/>
        <w:snapToGrid w:val="0"/>
        <w:spacing w:before="0" w:after="0" w:line="440" w:lineRule="exact"/>
        <w:ind w:firstLine="0"/>
        <w:jc w:val="left"/>
        <w:rPr>
          <w:rFonts w:hint="eastAsia" w:ascii="宋体" w:hAnsi="宋体" w:eastAsia="宋体" w:cs="宋体"/>
          <w:b/>
          <w:snapToGrid w:val="0"/>
          <w:color w:val="auto"/>
          <w:szCs w:val="22"/>
          <w:highlight w:val="none"/>
        </w:rPr>
        <w:sectPr>
          <w:endnotePr>
            <w:numFmt w:val="decimal"/>
          </w:endnotePr>
          <w:pgSz w:w="11906" w:h="16838"/>
          <w:pgMar w:top="1134" w:right="1134" w:bottom="1134" w:left="1134" w:header="567" w:footer="567" w:gutter="0"/>
          <w:cols w:space="720" w:num="1"/>
          <w:docGrid w:linePitch="327" w:charSpace="0"/>
        </w:sectPr>
      </w:pPr>
    </w:p>
    <w:p w14:paraId="78C99C8B">
      <w:pPr>
        <w:pStyle w:val="4"/>
        <w:bidi w:val="0"/>
        <w:ind w:firstLine="964"/>
        <w:rPr>
          <w:rFonts w:hint="eastAsia" w:ascii="宋体" w:hAnsi="宋体" w:eastAsia="宋体" w:cs="宋体"/>
          <w:color w:val="auto"/>
          <w:highlight w:val="none"/>
        </w:rPr>
      </w:pPr>
      <w:bookmarkStart w:id="335" w:name="_Toc16727"/>
      <w:r>
        <w:rPr>
          <w:rFonts w:hint="eastAsia" w:ascii="宋体" w:hAnsi="宋体" w:eastAsia="宋体" w:cs="宋体"/>
          <w:color w:val="auto"/>
          <w:highlight w:val="none"/>
        </w:rPr>
        <w:t>格式十一 专职安全员简历表</w:t>
      </w:r>
      <w:bookmarkEnd w:id="332"/>
      <w:bookmarkEnd w:id="333"/>
      <w:bookmarkEnd w:id="334"/>
      <w:bookmarkEnd w:id="335"/>
    </w:p>
    <w:p w14:paraId="295CE35B">
      <w:pPr>
        <w:rPr>
          <w:rFonts w:hint="eastAsia" w:ascii="宋体" w:hAnsi="宋体" w:eastAsia="宋体" w:cs="宋体"/>
          <w:color w:val="auto"/>
          <w:highlight w:val="none"/>
        </w:rPr>
      </w:pPr>
    </w:p>
    <w:tbl>
      <w:tblPr>
        <w:tblStyle w:val="31"/>
        <w:tblpPr w:leftFromText="180" w:rightFromText="180" w:vertAnchor="text" w:horzAnchor="page" w:tblpX="1490" w:tblpY="692"/>
        <w:tblOverlap w:val="never"/>
        <w:tblW w:w="927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2250E6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34E889D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姓   名</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2FEA076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79B6EA5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性  别</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7D28928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35B1923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年   龄</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40180B6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019C9C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41DAB6B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务</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50CDE6F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1998B56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称</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1C195C4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0905B8A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学   历</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1D338AE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220BEF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7B7A46C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0"/>
            <w:vAlign w:val="center"/>
          </w:tcPr>
          <w:p w14:paraId="75F8F72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3679" w:type="dxa"/>
            <w:gridSpan w:val="3"/>
            <w:tcBorders>
              <w:top w:val="single" w:color="auto" w:sz="6" w:space="0"/>
              <w:left w:val="single" w:color="auto" w:sz="6" w:space="0"/>
              <w:bottom w:val="single" w:color="auto" w:sz="6" w:space="0"/>
              <w:right w:val="single" w:color="auto" w:sz="6" w:space="0"/>
            </w:tcBorders>
            <w:noWrap w:val="0"/>
            <w:vAlign w:val="center"/>
          </w:tcPr>
          <w:p w14:paraId="492E72F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62CE35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1693C5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0"/>
            <w:vAlign w:val="center"/>
          </w:tcPr>
          <w:p w14:paraId="759CE41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以专职安全员身份参与过的主要业绩（已完工项目）</w:t>
            </w:r>
          </w:p>
        </w:tc>
      </w:tr>
      <w:tr w14:paraId="3054439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16C673D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序号</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639EEA3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4878FCE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4E002E7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建设内容和规模</w:t>
            </w:r>
          </w:p>
        </w:tc>
        <w:tc>
          <w:tcPr>
            <w:tcW w:w="1706" w:type="dxa"/>
            <w:tcBorders>
              <w:top w:val="single" w:color="auto" w:sz="6" w:space="0"/>
              <w:left w:val="single" w:color="auto" w:sz="6" w:space="0"/>
              <w:bottom w:val="single" w:color="auto" w:sz="6" w:space="0"/>
              <w:right w:val="single" w:color="auto" w:sz="6" w:space="0"/>
            </w:tcBorders>
            <w:noWrap w:val="0"/>
            <w:vAlign w:val="center"/>
          </w:tcPr>
          <w:p w14:paraId="0C7F8E6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开、竣工日期</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D2AD74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质量等级</w:t>
            </w:r>
          </w:p>
        </w:tc>
      </w:tr>
      <w:tr w14:paraId="4A4763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11EE8CE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1F5EF5B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2E8E762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4F6E2A0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351271F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C24CB6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5BF799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06A428A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037A24A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3D33DA0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75C2B9B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52BEBD8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F1AE71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2D9900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33F9D8B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47AAE7E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63ABCDF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01563FF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6EE6E57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5334E1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245144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76D86FD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7CE8EC9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01E30A3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3455923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5D433D4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7679A01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74529A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37C6EF2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52A13DC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5FE58B2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01C2747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3668309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7AC20B7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bl>
    <w:p w14:paraId="3E2D0D33">
      <w:pPr>
        <w:wordWrap w:val="0"/>
        <w:adjustRightInd w:val="0"/>
        <w:snapToGrid w:val="0"/>
        <w:spacing w:line="440" w:lineRule="exact"/>
        <w:jc w:val="center"/>
        <w:outlineLvl w:val="2"/>
        <w:rPr>
          <w:rFonts w:hint="eastAsia" w:ascii="宋体" w:hAnsi="宋体" w:eastAsia="宋体" w:cs="宋体"/>
          <w:b/>
          <w:bCs/>
          <w:snapToGrid w:val="0"/>
          <w:color w:val="auto"/>
          <w:kern w:val="0"/>
          <w:szCs w:val="24"/>
          <w:highlight w:val="none"/>
        </w:rPr>
      </w:pPr>
      <w:bookmarkStart w:id="336" w:name="_Toc19513"/>
      <w:bookmarkStart w:id="337" w:name="_Toc12212"/>
      <w:r>
        <w:rPr>
          <w:rFonts w:hint="eastAsia" w:ascii="宋体" w:hAnsi="宋体" w:eastAsia="宋体" w:cs="宋体"/>
          <w:b/>
          <w:snapToGrid w:val="0"/>
          <w:color w:val="auto"/>
          <w:kern w:val="0"/>
          <w:sz w:val="30"/>
          <w:highlight w:val="none"/>
        </w:rPr>
        <w:t>专职安全员简历表</w:t>
      </w:r>
      <w:bookmarkEnd w:id="336"/>
      <w:bookmarkEnd w:id="337"/>
    </w:p>
    <w:p w14:paraId="4B7B20B5">
      <w:pPr>
        <w:wordWrap w:val="0"/>
        <w:adjustRightInd w:val="0"/>
        <w:snapToGrid w:val="0"/>
        <w:spacing w:line="440" w:lineRule="exact"/>
        <w:ind w:firstLine="570"/>
        <w:rPr>
          <w:rFonts w:hint="eastAsia" w:ascii="宋体" w:hAnsi="宋体" w:eastAsia="宋体" w:cs="宋体"/>
          <w:snapToGrid w:val="0"/>
          <w:color w:val="auto"/>
          <w:kern w:val="0"/>
          <w:szCs w:val="28"/>
          <w:highlight w:val="none"/>
        </w:rPr>
      </w:pPr>
    </w:p>
    <w:p w14:paraId="73ACCF2E">
      <w:pPr>
        <w:pStyle w:val="63"/>
        <w:wordWrap w:val="0"/>
        <w:adjustRightInd w:val="0"/>
        <w:snapToGrid w:val="0"/>
        <w:spacing w:line="440" w:lineRule="exact"/>
        <w:jc w:val="right"/>
        <w:rPr>
          <w:rFonts w:hint="eastAsia" w:ascii="宋体" w:hAnsi="宋体" w:eastAsia="宋体" w:cs="宋体"/>
          <w:snapToGrid w:val="0"/>
          <w:color w:val="auto"/>
          <w:kern w:val="0"/>
          <w:highlight w:val="none"/>
        </w:rPr>
      </w:pPr>
    </w:p>
    <w:p w14:paraId="50DD7DE6">
      <w:pPr>
        <w:pStyle w:val="63"/>
        <w:wordWrap w:val="0"/>
        <w:adjustRightInd w:val="0"/>
        <w:snapToGrid w:val="0"/>
        <w:spacing w:line="440" w:lineRule="exact"/>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专职安全员：</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（签字）</w:t>
      </w:r>
    </w:p>
    <w:p w14:paraId="238B7992">
      <w:pPr>
        <w:pStyle w:val="63"/>
        <w:wordWrap w:val="0"/>
        <w:adjustRightInd w:val="0"/>
        <w:snapToGrid w:val="0"/>
        <w:spacing w:line="440" w:lineRule="exact"/>
        <w:jc w:val="right"/>
        <w:rPr>
          <w:rFonts w:hint="eastAsia" w:ascii="宋体" w:hAnsi="宋体" w:eastAsia="宋体" w:cs="宋体"/>
          <w:snapToGrid w:val="0"/>
          <w:color w:val="auto"/>
          <w:kern w:val="0"/>
          <w:highlight w:val="none"/>
        </w:rPr>
      </w:pPr>
    </w:p>
    <w:p w14:paraId="374FEB97">
      <w:pPr>
        <w:pStyle w:val="63"/>
        <w:wordWrap w:val="0"/>
        <w:adjustRightInd w:val="0"/>
        <w:snapToGrid w:val="0"/>
        <w:spacing w:line="440" w:lineRule="exact"/>
        <w:jc w:val="center"/>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月</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日</w:t>
      </w:r>
    </w:p>
    <w:p w14:paraId="032E4527">
      <w:pPr>
        <w:wordWrap w:val="0"/>
        <w:adjustRightInd w:val="0"/>
        <w:snapToGrid w:val="0"/>
        <w:spacing w:line="400" w:lineRule="exact"/>
        <w:ind w:firstLine="570"/>
        <w:rPr>
          <w:rFonts w:hint="eastAsia" w:ascii="宋体" w:hAnsi="宋体" w:eastAsia="宋体" w:cs="宋体"/>
          <w:snapToGrid w:val="0"/>
          <w:color w:val="auto"/>
          <w:kern w:val="0"/>
          <w:szCs w:val="28"/>
          <w:highlight w:val="none"/>
        </w:rPr>
      </w:pPr>
    </w:p>
    <w:p w14:paraId="3E2B8BAD">
      <w:pPr>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8"/>
          <w:highlight w:val="none"/>
        </w:rPr>
        <w:t xml:space="preserve">    </w:t>
      </w:r>
      <w:r>
        <w:rPr>
          <w:rFonts w:hint="eastAsia" w:ascii="宋体" w:hAnsi="宋体" w:eastAsia="宋体" w:cs="宋体"/>
          <w:snapToGrid w:val="0"/>
          <w:color w:val="auto"/>
          <w:kern w:val="0"/>
          <w:sz w:val="21"/>
          <w:szCs w:val="21"/>
          <w:highlight w:val="none"/>
        </w:rPr>
        <w:t>说明：《专职安全员简历表》后应附拟派专职安全员以下资料：</w:t>
      </w:r>
    </w:p>
    <w:p w14:paraId="3CBFC8AA">
      <w:pPr>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1．身份证</w:t>
      </w:r>
      <w:r>
        <w:rPr>
          <w:rFonts w:hint="eastAsia" w:ascii="宋体" w:hAnsi="宋体" w:eastAsia="宋体" w:cs="宋体"/>
          <w:snapToGrid w:val="0"/>
          <w:color w:val="auto"/>
          <w:kern w:val="0"/>
          <w:sz w:val="21"/>
          <w:szCs w:val="21"/>
          <w:highlight w:val="none"/>
          <w:lang w:eastAsia="zh-CN"/>
        </w:rPr>
        <w:t>彩色扫描件</w:t>
      </w:r>
      <w:r>
        <w:rPr>
          <w:rFonts w:hint="eastAsia" w:ascii="宋体" w:hAnsi="宋体" w:eastAsia="宋体" w:cs="宋体"/>
          <w:snapToGrid w:val="0"/>
          <w:color w:val="auto"/>
          <w:kern w:val="0"/>
          <w:sz w:val="21"/>
          <w:szCs w:val="21"/>
          <w:highlight w:val="none"/>
        </w:rPr>
        <w:t>；</w:t>
      </w:r>
    </w:p>
    <w:p w14:paraId="1F03E0A6">
      <w:pPr>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2．C类安全生产考核合格证书</w:t>
      </w:r>
      <w:r>
        <w:rPr>
          <w:rFonts w:hint="eastAsia" w:ascii="宋体" w:hAnsi="宋体" w:eastAsia="宋体" w:cs="宋体"/>
          <w:snapToGrid w:val="0"/>
          <w:color w:val="auto"/>
          <w:kern w:val="0"/>
          <w:sz w:val="21"/>
          <w:szCs w:val="21"/>
          <w:highlight w:val="none"/>
          <w:lang w:eastAsia="zh-CN"/>
        </w:rPr>
        <w:t>彩色扫描件</w:t>
      </w:r>
      <w:r>
        <w:rPr>
          <w:rFonts w:hint="eastAsia" w:ascii="宋体" w:hAnsi="宋体" w:eastAsia="宋体" w:cs="宋体"/>
          <w:snapToGrid w:val="0"/>
          <w:color w:val="auto"/>
          <w:kern w:val="0"/>
          <w:sz w:val="21"/>
          <w:szCs w:val="21"/>
          <w:highlight w:val="none"/>
        </w:rPr>
        <w:t>或“广东省建筑施工企业管理人员安全生产考核信息系统”考核合格信息打印页；</w:t>
      </w:r>
    </w:p>
    <w:p w14:paraId="6F2788D7">
      <w:pPr>
        <w:wordWrap w:val="0"/>
        <w:adjustRightInd w:val="0"/>
        <w:snapToGrid w:val="0"/>
        <w:spacing w:line="400" w:lineRule="exact"/>
        <w:ind w:firstLine="420" w:firstLineChars="200"/>
        <w:rPr>
          <w:rStyle w:val="150"/>
          <w:rFonts w:hint="eastAsia" w:ascii="宋体" w:hAnsi="宋体" w:eastAsia="宋体" w:cs="宋体"/>
          <w:color w:val="auto"/>
          <w:kern w:val="0"/>
          <w:sz w:val="21"/>
          <w:szCs w:val="21"/>
          <w:highlight w:val="none"/>
        </w:rPr>
      </w:pPr>
      <w:r>
        <w:rPr>
          <w:rFonts w:hint="eastAsia" w:ascii="宋体" w:hAnsi="宋体" w:eastAsia="宋体" w:cs="宋体"/>
          <w:snapToGrid w:val="0"/>
          <w:color w:val="auto"/>
          <w:kern w:val="0"/>
          <w:sz w:val="21"/>
          <w:szCs w:val="21"/>
          <w:highlight w:val="none"/>
        </w:rPr>
        <w:t>3．</w:t>
      </w:r>
      <w:r>
        <w:rPr>
          <w:rFonts w:hint="eastAsia" w:ascii="宋体" w:hAnsi="宋体" w:eastAsia="宋体" w:cs="宋体"/>
          <w:snapToGrid w:val="0"/>
          <w:color w:val="auto"/>
          <w:kern w:val="0"/>
          <w:sz w:val="21"/>
          <w:szCs w:val="21"/>
          <w:highlight w:val="none"/>
          <w:lang w:eastAsia="zh-CN"/>
        </w:rPr>
        <w:t>在本单位缴纳社保的证明（至少连续</w:t>
      </w:r>
      <w:r>
        <w:rPr>
          <w:rFonts w:hint="eastAsia" w:hAnsi="宋体" w:cs="宋体"/>
          <w:snapToGrid w:val="0"/>
          <w:color w:val="auto"/>
          <w:kern w:val="0"/>
          <w:sz w:val="21"/>
          <w:szCs w:val="21"/>
          <w:highlight w:val="none"/>
          <w:lang w:val="en-US" w:eastAsia="zh-CN"/>
        </w:rPr>
        <w:t>一</w:t>
      </w:r>
      <w:r>
        <w:rPr>
          <w:rFonts w:hint="eastAsia" w:ascii="宋体" w:hAnsi="宋体" w:eastAsia="宋体" w:cs="宋体"/>
          <w:snapToGrid w:val="0"/>
          <w:color w:val="auto"/>
          <w:kern w:val="0"/>
          <w:sz w:val="21"/>
          <w:szCs w:val="21"/>
          <w:highlight w:val="none"/>
          <w:lang w:eastAsia="zh-CN"/>
        </w:rPr>
        <w:t>个月，其中必须有202</w:t>
      </w:r>
      <w:r>
        <w:rPr>
          <w:rFonts w:hint="eastAsia" w:hAnsi="宋体" w:cs="宋体"/>
          <w:snapToGrid w:val="0"/>
          <w:color w:val="auto"/>
          <w:kern w:val="0"/>
          <w:sz w:val="21"/>
          <w:szCs w:val="21"/>
          <w:highlight w:val="none"/>
          <w:lang w:val="en-US" w:eastAsia="zh-CN"/>
        </w:rPr>
        <w:t>5</w:t>
      </w:r>
      <w:r>
        <w:rPr>
          <w:rFonts w:hint="eastAsia" w:ascii="宋体" w:hAnsi="宋体" w:eastAsia="宋体" w:cs="宋体"/>
          <w:snapToGrid w:val="0"/>
          <w:color w:val="auto"/>
          <w:kern w:val="0"/>
          <w:sz w:val="21"/>
          <w:szCs w:val="21"/>
          <w:highlight w:val="none"/>
          <w:lang w:eastAsia="zh-CN"/>
        </w:rPr>
        <w:t>年</w:t>
      </w:r>
      <w:r>
        <w:rPr>
          <w:rFonts w:hint="eastAsia" w:hAnsi="宋体" w:cs="宋体"/>
          <w:snapToGrid w:val="0"/>
          <w:color w:val="auto"/>
          <w:kern w:val="0"/>
          <w:sz w:val="21"/>
          <w:szCs w:val="21"/>
          <w:highlight w:val="none"/>
          <w:lang w:val="en-US" w:eastAsia="zh-CN"/>
        </w:rPr>
        <w:t>09</w:t>
      </w:r>
      <w:r>
        <w:rPr>
          <w:rFonts w:hint="eastAsia" w:ascii="宋体" w:hAnsi="宋体" w:eastAsia="宋体" w:cs="宋体"/>
          <w:snapToGrid w:val="0"/>
          <w:color w:val="auto"/>
          <w:kern w:val="0"/>
          <w:sz w:val="21"/>
          <w:szCs w:val="21"/>
          <w:highlight w:val="none"/>
          <w:lang w:eastAsia="zh-CN"/>
        </w:rPr>
        <w:t>月）彩色扫描件。拟派专职安全员为退休返聘人员无法提供社保证明的，提供退休证和劳动合同彩色扫描件；</w:t>
      </w:r>
    </w:p>
    <w:p w14:paraId="6D57810E">
      <w:pPr>
        <w:pStyle w:val="75"/>
        <w:widowControl w:val="0"/>
        <w:wordWrap w:val="0"/>
        <w:adjustRightInd w:val="0"/>
        <w:snapToGrid w:val="0"/>
        <w:spacing w:line="400" w:lineRule="exact"/>
        <w:rPr>
          <w:rFonts w:hint="eastAsia" w:ascii="宋体" w:hAnsi="宋体" w:eastAsia="宋体" w:cs="宋体"/>
          <w:snapToGrid w:val="0"/>
          <w:color w:val="auto"/>
          <w:sz w:val="21"/>
          <w:szCs w:val="28"/>
          <w:highlight w:val="none"/>
        </w:rPr>
        <w:sectPr>
          <w:endnotePr>
            <w:numFmt w:val="decimal"/>
          </w:endnotePr>
          <w:pgSz w:w="11906" w:h="16838"/>
          <w:pgMar w:top="1134" w:right="1134" w:bottom="1134" w:left="1134" w:header="567" w:footer="567" w:gutter="0"/>
          <w:cols w:space="720" w:num="1"/>
          <w:docGrid w:linePitch="327" w:charSpace="0"/>
        </w:sect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eastAsia="zh-CN"/>
        </w:rPr>
        <w:t>“进粤企业和人员诚信信息登记平台”个人信息情况截图。（适用于省外建筑企业）。</w:t>
      </w:r>
    </w:p>
    <w:p w14:paraId="241C2AFA">
      <w:pPr>
        <w:pStyle w:val="4"/>
        <w:bidi w:val="0"/>
        <w:ind w:firstLine="964"/>
        <w:rPr>
          <w:rFonts w:hint="eastAsia" w:ascii="宋体" w:hAnsi="宋体" w:eastAsia="宋体" w:cs="宋体"/>
          <w:color w:val="auto"/>
          <w:highlight w:val="none"/>
        </w:rPr>
      </w:pPr>
      <w:bookmarkStart w:id="338" w:name="_Toc994"/>
      <w:bookmarkStart w:id="339" w:name="_Toc20506"/>
      <w:bookmarkStart w:id="340" w:name="_Toc14261309"/>
      <w:bookmarkStart w:id="341" w:name="_Toc14989"/>
      <w:bookmarkStart w:id="342" w:name="_Toc29727"/>
      <w:bookmarkStart w:id="343" w:name="_Toc23812"/>
      <w:r>
        <w:rPr>
          <w:rFonts w:hint="eastAsia" w:ascii="宋体" w:hAnsi="宋体" w:eastAsia="宋体" w:cs="宋体"/>
          <w:color w:val="auto"/>
          <w:highlight w:val="none"/>
        </w:rPr>
        <w:t>格式</w:t>
      </w:r>
      <w:bookmarkStart w:id="344" w:name="_Hlt287950384"/>
      <w:bookmarkEnd w:id="344"/>
      <w:r>
        <w:rPr>
          <w:rFonts w:hint="eastAsia" w:ascii="宋体" w:hAnsi="宋体" w:eastAsia="宋体" w:cs="宋体"/>
          <w:color w:val="auto"/>
          <w:highlight w:val="none"/>
        </w:rPr>
        <w:t>十二 项目管理机构组成表</w:t>
      </w:r>
      <w:bookmarkEnd w:id="338"/>
      <w:bookmarkEnd w:id="339"/>
      <w:bookmarkEnd w:id="340"/>
      <w:bookmarkEnd w:id="341"/>
      <w:bookmarkEnd w:id="342"/>
      <w:bookmarkEnd w:id="343"/>
    </w:p>
    <w:p w14:paraId="2A01A5B5">
      <w:pPr>
        <w:wordWrap w:val="0"/>
        <w:adjustRightInd w:val="0"/>
        <w:snapToGrid w:val="0"/>
        <w:spacing w:before="260" w:after="260" w:line="440" w:lineRule="exact"/>
        <w:jc w:val="center"/>
        <w:outlineLvl w:val="2"/>
        <w:rPr>
          <w:rFonts w:hint="eastAsia" w:ascii="宋体" w:hAnsi="宋体" w:eastAsia="宋体" w:cs="宋体"/>
          <w:b/>
          <w:snapToGrid w:val="0"/>
          <w:color w:val="auto"/>
          <w:kern w:val="0"/>
          <w:highlight w:val="none"/>
        </w:rPr>
      </w:pPr>
      <w:bookmarkStart w:id="345" w:name="_Toc21803"/>
      <w:bookmarkStart w:id="346" w:name="_Toc3834"/>
      <w:bookmarkStart w:id="347" w:name="_Toc14261751"/>
      <w:r>
        <w:rPr>
          <w:rFonts w:hint="eastAsia" w:ascii="宋体" w:hAnsi="宋体" w:eastAsia="宋体" w:cs="宋体"/>
          <w:b/>
          <w:snapToGrid w:val="0"/>
          <w:color w:val="auto"/>
          <w:kern w:val="0"/>
          <w:sz w:val="30"/>
          <w:highlight w:val="none"/>
        </w:rPr>
        <w:t>项目管理机构组成表</w:t>
      </w:r>
      <w:bookmarkEnd w:id="345"/>
      <w:bookmarkEnd w:id="346"/>
      <w:bookmarkEnd w:id="347"/>
    </w:p>
    <w:tbl>
      <w:tblPr>
        <w:tblStyle w:val="31"/>
        <w:tblW w:w="893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743"/>
        <w:gridCol w:w="1421"/>
        <w:gridCol w:w="1355"/>
        <w:gridCol w:w="900"/>
        <w:gridCol w:w="817"/>
        <w:gridCol w:w="1538"/>
        <w:gridCol w:w="2164"/>
      </w:tblGrid>
      <w:tr w14:paraId="30758C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60" w:hRule="atLeast"/>
        </w:trPr>
        <w:tc>
          <w:tcPr>
            <w:tcW w:w="743" w:type="dxa"/>
            <w:tcBorders>
              <w:top w:val="single" w:color="auto" w:sz="6" w:space="0"/>
              <w:left w:val="single" w:color="auto" w:sz="6" w:space="0"/>
              <w:bottom w:val="single" w:color="auto" w:sz="6" w:space="0"/>
              <w:right w:val="single" w:color="auto" w:sz="6" w:space="0"/>
            </w:tcBorders>
            <w:noWrap w:val="0"/>
            <w:vAlign w:val="center"/>
          </w:tcPr>
          <w:p w14:paraId="7D14144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序号</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0DEFD67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职务</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12BB2BF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姓名</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25455DA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性别</w:t>
            </w:r>
          </w:p>
        </w:tc>
        <w:tc>
          <w:tcPr>
            <w:tcW w:w="817" w:type="dxa"/>
            <w:tcBorders>
              <w:top w:val="single" w:color="auto" w:sz="6" w:space="0"/>
              <w:left w:val="single" w:color="auto" w:sz="6" w:space="0"/>
              <w:bottom w:val="single" w:color="auto" w:sz="6" w:space="0"/>
              <w:right w:val="single" w:color="auto" w:sz="6" w:space="0"/>
            </w:tcBorders>
            <w:noWrap w:val="0"/>
            <w:vAlign w:val="center"/>
          </w:tcPr>
          <w:p w14:paraId="603BCCB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年龄</w:t>
            </w:r>
          </w:p>
        </w:tc>
        <w:tc>
          <w:tcPr>
            <w:tcW w:w="1538" w:type="dxa"/>
            <w:tcBorders>
              <w:top w:val="single" w:color="auto" w:sz="6" w:space="0"/>
              <w:left w:val="single" w:color="auto" w:sz="6" w:space="0"/>
              <w:bottom w:val="single" w:color="auto" w:sz="6" w:space="0"/>
              <w:right w:val="single" w:color="auto" w:sz="6" w:space="0"/>
            </w:tcBorders>
            <w:noWrap w:val="0"/>
            <w:vAlign w:val="center"/>
          </w:tcPr>
          <w:p w14:paraId="1D7DF99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职称</w:t>
            </w:r>
          </w:p>
        </w:tc>
        <w:tc>
          <w:tcPr>
            <w:tcW w:w="2164" w:type="dxa"/>
            <w:tcBorders>
              <w:top w:val="single" w:color="auto" w:sz="6" w:space="0"/>
              <w:left w:val="single" w:color="auto" w:sz="6" w:space="0"/>
              <w:bottom w:val="single" w:color="auto" w:sz="6" w:space="0"/>
              <w:right w:val="single" w:color="auto" w:sz="6" w:space="0"/>
            </w:tcBorders>
            <w:noWrap w:val="0"/>
            <w:vAlign w:val="center"/>
          </w:tcPr>
          <w:p w14:paraId="15372F0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备注</w:t>
            </w:r>
          </w:p>
        </w:tc>
      </w:tr>
      <w:tr w14:paraId="5723FD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3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23D162B1">
            <w:pPr>
              <w:wordWrap w:val="0"/>
              <w:adjustRightInd w:val="0"/>
              <w:snapToGrid w:val="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7030D70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项目经理</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7F3C4B08">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5CBE49E2">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56D946AD">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69CDD42E">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39F2031E">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267699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91"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320F2CD4">
            <w:pPr>
              <w:wordWrap w:val="0"/>
              <w:adjustRightInd w:val="0"/>
              <w:snapToGrid w:val="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6129DD5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项目技术</w:t>
            </w:r>
          </w:p>
          <w:p w14:paraId="364C082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负责人</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5FF63CA6">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5FEAE2C8">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754E7BF3">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0F66FD4C">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0AC31E1E">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7FB86D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3" w:hRule="exact"/>
        </w:trPr>
        <w:tc>
          <w:tcPr>
            <w:tcW w:w="743" w:type="dxa"/>
            <w:tcBorders>
              <w:top w:val="single" w:color="auto" w:sz="6" w:space="0"/>
              <w:left w:val="single" w:color="auto" w:sz="6" w:space="0"/>
              <w:right w:val="single" w:color="auto" w:sz="6" w:space="0"/>
            </w:tcBorders>
            <w:noWrap w:val="0"/>
            <w:vAlign w:val="center"/>
          </w:tcPr>
          <w:p w14:paraId="61E0FF45">
            <w:pPr>
              <w:wordWrap w:val="0"/>
              <w:adjustRightInd w:val="0"/>
              <w:snapToGrid w:val="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w:t>
            </w:r>
          </w:p>
        </w:tc>
        <w:tc>
          <w:tcPr>
            <w:tcW w:w="1421" w:type="dxa"/>
            <w:tcBorders>
              <w:top w:val="single" w:color="auto" w:sz="6" w:space="0"/>
              <w:left w:val="single" w:color="auto" w:sz="6" w:space="0"/>
              <w:right w:val="single" w:color="auto" w:sz="6" w:space="0"/>
            </w:tcBorders>
            <w:noWrap w:val="0"/>
            <w:vAlign w:val="center"/>
          </w:tcPr>
          <w:p w14:paraId="0DFA5BF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专职安全员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6103D7F3">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04E1C0CB">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68DC5461">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667B8A0E">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00176E15">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04AA82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BE8F7EF">
            <w:pPr>
              <w:wordWrap w:val="0"/>
              <w:adjustRightInd w:val="0"/>
              <w:snapToGrid w:val="0"/>
              <w:jc w:val="center"/>
              <w:rPr>
                <w:rFonts w:hint="eastAsia" w:ascii="宋体" w:hAnsi="宋体" w:eastAsia="宋体" w:cs="宋体"/>
                <w:snapToGrid w:val="0"/>
                <w:color w:val="auto"/>
                <w:kern w:val="0"/>
                <w:sz w:val="21"/>
                <w:szCs w:val="21"/>
                <w:highlight w:val="none"/>
                <w:lang w:val="en-US" w:eastAsia="zh-CN" w:bidi="ar-SA"/>
              </w:rPr>
            </w:pPr>
            <w:r>
              <w:rPr>
                <w:rFonts w:hint="eastAsia" w:hAnsi="宋体" w:cs="宋体"/>
                <w:snapToGrid w:val="0"/>
                <w:color w:val="auto"/>
                <w:kern w:val="0"/>
                <w:sz w:val="21"/>
                <w:szCs w:val="21"/>
                <w:highlight w:val="none"/>
                <w:lang w:val="en-US" w:eastAsia="zh-CN"/>
              </w:rPr>
              <w:t>4</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6F4FF35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施工员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4DEF1FEE">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08AA47A3">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5EDBB61B">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33F5F9E3">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6BD58CBC">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77B58D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C3488D4">
            <w:pPr>
              <w:wordWrap w:val="0"/>
              <w:adjustRightInd w:val="0"/>
              <w:snapToGrid w:val="0"/>
              <w:jc w:val="center"/>
              <w:rPr>
                <w:rFonts w:hint="eastAsia" w:ascii="宋体" w:hAnsi="宋体" w:eastAsia="宋体" w:cs="宋体"/>
                <w:snapToGrid w:val="0"/>
                <w:color w:val="auto"/>
                <w:kern w:val="0"/>
                <w:sz w:val="21"/>
                <w:szCs w:val="21"/>
                <w:highlight w:val="none"/>
                <w:lang w:val="en-US" w:eastAsia="zh-CN" w:bidi="ar-SA"/>
              </w:rPr>
            </w:pPr>
            <w:r>
              <w:rPr>
                <w:rFonts w:hint="eastAsia" w:hAnsi="宋体" w:cs="宋体"/>
                <w:snapToGrid w:val="0"/>
                <w:color w:val="auto"/>
                <w:kern w:val="0"/>
                <w:sz w:val="21"/>
                <w:szCs w:val="21"/>
                <w:highlight w:val="none"/>
                <w:lang w:val="en-US" w:eastAsia="zh-CN"/>
              </w:rPr>
              <w:t>5</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1206DD3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质量员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1BDEDBEF">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3FD9A995">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20E2949B">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356C38AB">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19505E2B">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5B0262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0D52610">
            <w:pPr>
              <w:wordWrap w:val="0"/>
              <w:adjustRightInd w:val="0"/>
              <w:snapToGrid w:val="0"/>
              <w:jc w:val="center"/>
              <w:rPr>
                <w:rFonts w:hint="eastAsia" w:ascii="宋体" w:hAnsi="宋体" w:eastAsia="宋体" w:cs="宋体"/>
                <w:snapToGrid w:val="0"/>
                <w:color w:val="auto"/>
                <w:kern w:val="0"/>
                <w:sz w:val="21"/>
                <w:szCs w:val="21"/>
                <w:highlight w:val="none"/>
                <w:lang w:val="en-US" w:eastAsia="zh-CN" w:bidi="ar-SA"/>
              </w:rPr>
            </w:pPr>
            <w:r>
              <w:rPr>
                <w:rFonts w:hint="eastAsia" w:hAnsi="宋体" w:cs="宋体"/>
                <w:snapToGrid w:val="0"/>
                <w:color w:val="auto"/>
                <w:kern w:val="0"/>
                <w:sz w:val="21"/>
                <w:szCs w:val="21"/>
                <w:highlight w:val="none"/>
                <w:lang w:val="en-US" w:eastAsia="zh-CN"/>
              </w:rPr>
              <w:t>6</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0CF89D0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材料员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5E313652">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33871C28">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7AB74900">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79346C4B">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33F87039">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1B288E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18A4D24B">
            <w:pPr>
              <w:wordWrap w:val="0"/>
              <w:adjustRightInd w:val="0"/>
              <w:snapToGrid w:val="0"/>
              <w:jc w:val="center"/>
              <w:rPr>
                <w:rFonts w:hint="eastAsia" w:ascii="宋体" w:hAnsi="宋体" w:eastAsia="宋体" w:cs="宋体"/>
                <w:snapToGrid w:val="0"/>
                <w:color w:val="auto"/>
                <w:kern w:val="0"/>
                <w:sz w:val="21"/>
                <w:szCs w:val="21"/>
                <w:highlight w:val="none"/>
                <w:lang w:val="en-US" w:eastAsia="zh-CN"/>
              </w:rPr>
            </w:pPr>
            <w:r>
              <w:rPr>
                <w:rFonts w:hint="eastAsia" w:hAnsi="宋体" w:cs="宋体"/>
                <w:snapToGrid w:val="0"/>
                <w:color w:val="auto"/>
                <w:kern w:val="0"/>
                <w:sz w:val="21"/>
                <w:szCs w:val="21"/>
                <w:highlight w:val="none"/>
                <w:lang w:val="en-US" w:eastAsia="zh-CN"/>
              </w:rPr>
              <w:t>7</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0BEB727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资料员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7C4FB398">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663BD55C">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12B5206E">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3A7FFE8E">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59744306">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16E17F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4B203E25">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421" w:type="dxa"/>
            <w:tcBorders>
              <w:top w:val="single" w:color="auto" w:sz="6" w:space="0"/>
              <w:left w:val="single" w:color="auto" w:sz="6" w:space="0"/>
              <w:bottom w:val="single" w:color="auto" w:sz="6" w:space="0"/>
              <w:right w:val="single" w:color="auto" w:sz="6" w:space="0"/>
            </w:tcBorders>
            <w:noWrap w:val="0"/>
            <w:vAlign w:val="center"/>
          </w:tcPr>
          <w:p w14:paraId="6AE7526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51F2B1B8">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2B8F9361">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77F8F894">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427D41AF">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50112A35">
            <w:pPr>
              <w:wordWrap w:val="0"/>
              <w:adjustRightInd w:val="0"/>
              <w:snapToGrid w:val="0"/>
              <w:jc w:val="center"/>
              <w:rPr>
                <w:rFonts w:hint="eastAsia" w:ascii="宋体" w:hAnsi="宋体" w:eastAsia="宋体" w:cs="宋体"/>
                <w:snapToGrid w:val="0"/>
                <w:color w:val="auto"/>
                <w:kern w:val="0"/>
                <w:sz w:val="21"/>
                <w:szCs w:val="21"/>
                <w:highlight w:val="none"/>
              </w:rPr>
            </w:pPr>
          </w:p>
        </w:tc>
        <w:bookmarkStart w:id="348" w:name="_Hlt69116778"/>
        <w:bookmarkStart w:id="349" w:name="_Hlt68774664"/>
        <w:bookmarkStart w:id="350" w:name="_附件二十四：技术标提问单"/>
        <w:bookmarkStart w:id="351" w:name="_附件二十五：综合评审合理低价法"/>
        <w:bookmarkStart w:id="352" w:name="_附件十：单项工程费汇总表"/>
      </w:tr>
      <w:bookmarkEnd w:id="330"/>
      <w:bookmarkEnd w:id="331"/>
      <w:bookmarkEnd w:id="348"/>
      <w:bookmarkEnd w:id="349"/>
      <w:bookmarkEnd w:id="350"/>
      <w:bookmarkEnd w:id="351"/>
      <w:bookmarkEnd w:id="352"/>
    </w:tbl>
    <w:p w14:paraId="4E531D2D">
      <w:pPr>
        <w:pStyle w:val="151"/>
        <w:snapToGrid w:val="0"/>
        <w:spacing w:line="400" w:lineRule="exact"/>
        <w:rPr>
          <w:rStyle w:val="150"/>
          <w:rFonts w:hint="eastAsia" w:ascii="宋体" w:hAnsi="宋体" w:eastAsia="宋体" w:cs="宋体"/>
          <w:color w:val="auto"/>
          <w:sz w:val="21"/>
          <w:szCs w:val="21"/>
          <w:highlight w:val="none"/>
        </w:rPr>
      </w:pPr>
      <w:r>
        <w:rPr>
          <w:rStyle w:val="150"/>
          <w:rFonts w:hint="eastAsia" w:ascii="宋体" w:hAnsi="宋体" w:eastAsia="宋体" w:cs="宋体"/>
          <w:color w:val="auto"/>
          <w:sz w:val="21"/>
          <w:szCs w:val="21"/>
          <w:highlight w:val="none"/>
        </w:rPr>
        <w:t>说明：</w:t>
      </w:r>
    </w:p>
    <w:p w14:paraId="257996AB">
      <w:pPr>
        <w:pStyle w:val="75"/>
        <w:keepNext w:val="0"/>
        <w:keepLines w:val="0"/>
        <w:pageBreakBefore w:val="0"/>
        <w:widowControl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color w:val="auto"/>
          <w:sz w:val="21"/>
          <w:szCs w:val="28"/>
          <w:highlight w:val="none"/>
        </w:rPr>
      </w:pPr>
      <w:r>
        <w:rPr>
          <w:rFonts w:hint="eastAsia" w:ascii="宋体" w:hAnsi="宋体" w:eastAsia="宋体" w:cs="宋体"/>
          <w:snapToGrid w:val="0"/>
          <w:color w:val="auto"/>
          <w:sz w:val="21"/>
          <w:highlight w:val="none"/>
        </w:rPr>
        <w:t>1</w:t>
      </w:r>
      <w:r>
        <w:rPr>
          <w:rFonts w:hint="eastAsia" w:ascii="宋体" w:hAnsi="宋体" w:eastAsia="宋体" w:cs="宋体"/>
          <w:snapToGrid w:val="0"/>
          <w:color w:val="auto"/>
          <w:sz w:val="21"/>
          <w:szCs w:val="28"/>
          <w:highlight w:val="none"/>
        </w:rPr>
        <w:t>．</w:t>
      </w:r>
      <w:r>
        <w:rPr>
          <w:rFonts w:hint="eastAsia" w:ascii="宋体" w:hAnsi="宋体" w:eastAsia="宋体" w:cs="宋体"/>
          <w:snapToGrid w:val="0"/>
          <w:color w:val="auto"/>
          <w:sz w:val="21"/>
          <w:highlight w:val="none"/>
        </w:rPr>
        <w:t>《项目管理机构组成表》后应附表中拟派人员（项目经理、项目技术负责人、专职安全员除外）以下资料：</w:t>
      </w:r>
    </w:p>
    <w:p w14:paraId="69C3B13C">
      <w:pPr>
        <w:keepNext w:val="0"/>
        <w:keepLines w:val="0"/>
        <w:pageBreakBefore w:val="0"/>
        <w:widowControl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（1）身份证</w:t>
      </w:r>
      <w:r>
        <w:rPr>
          <w:rFonts w:hint="eastAsia" w:ascii="宋体" w:hAnsi="宋体" w:eastAsia="宋体" w:cs="宋体"/>
          <w:snapToGrid w:val="0"/>
          <w:color w:val="auto"/>
          <w:kern w:val="0"/>
          <w:sz w:val="21"/>
          <w:szCs w:val="28"/>
          <w:highlight w:val="none"/>
          <w:lang w:eastAsia="zh-CN"/>
        </w:rPr>
        <w:t>彩色扫描件</w:t>
      </w:r>
      <w:r>
        <w:rPr>
          <w:rFonts w:hint="eastAsia" w:ascii="宋体" w:hAnsi="宋体" w:eastAsia="宋体" w:cs="宋体"/>
          <w:snapToGrid w:val="0"/>
          <w:color w:val="auto"/>
          <w:kern w:val="0"/>
          <w:sz w:val="21"/>
          <w:szCs w:val="28"/>
          <w:highlight w:val="none"/>
        </w:rPr>
        <w:t>；</w:t>
      </w:r>
    </w:p>
    <w:p w14:paraId="7AEA615F">
      <w:pPr>
        <w:keepNext w:val="0"/>
        <w:keepLines w:val="0"/>
        <w:pageBreakBefore w:val="0"/>
        <w:widowControl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color w:val="auto"/>
          <w:kern w:val="0"/>
          <w:sz w:val="21"/>
          <w:szCs w:val="28"/>
          <w:highlight w:val="none"/>
          <w:lang w:eastAsia="zh-CN"/>
        </w:rPr>
      </w:pPr>
      <w:r>
        <w:rPr>
          <w:rFonts w:hint="eastAsia" w:ascii="宋体" w:hAnsi="宋体" w:eastAsia="宋体" w:cs="宋体"/>
          <w:snapToGrid w:val="0"/>
          <w:color w:val="auto"/>
          <w:kern w:val="0"/>
          <w:sz w:val="21"/>
          <w:szCs w:val="28"/>
          <w:highlight w:val="none"/>
        </w:rPr>
        <w:t>（2）</w:t>
      </w:r>
      <w:r>
        <w:rPr>
          <w:rFonts w:hint="eastAsia" w:ascii="宋体" w:hAnsi="宋体" w:eastAsia="宋体" w:cs="宋体"/>
          <w:snapToGrid w:val="0"/>
          <w:color w:val="auto"/>
          <w:kern w:val="0"/>
          <w:sz w:val="21"/>
          <w:szCs w:val="28"/>
          <w:highlight w:val="none"/>
          <w:lang w:val="en-US" w:eastAsia="zh-CN"/>
        </w:rPr>
        <w:t>职称证或</w:t>
      </w:r>
      <w:r>
        <w:rPr>
          <w:rFonts w:hint="eastAsia" w:ascii="宋体" w:hAnsi="宋体" w:eastAsia="宋体" w:cs="宋体"/>
          <w:snapToGrid w:val="0"/>
          <w:color w:val="auto"/>
          <w:kern w:val="0"/>
          <w:sz w:val="21"/>
          <w:szCs w:val="28"/>
          <w:highlight w:val="none"/>
        </w:rPr>
        <w:t>岗位证或培训证</w:t>
      </w:r>
      <w:r>
        <w:rPr>
          <w:rFonts w:hint="eastAsia" w:ascii="宋体" w:hAnsi="宋体" w:eastAsia="宋体" w:cs="宋体"/>
          <w:snapToGrid w:val="0"/>
          <w:color w:val="auto"/>
          <w:kern w:val="0"/>
          <w:sz w:val="21"/>
          <w:szCs w:val="28"/>
          <w:highlight w:val="none"/>
          <w:lang w:eastAsia="zh-CN"/>
        </w:rPr>
        <w:t>彩色扫描件</w:t>
      </w:r>
      <w:r>
        <w:rPr>
          <w:rFonts w:hint="eastAsia" w:ascii="宋体" w:hAnsi="宋体" w:eastAsia="宋体" w:cs="宋体"/>
          <w:snapToGrid w:val="0"/>
          <w:color w:val="auto"/>
          <w:kern w:val="0"/>
          <w:sz w:val="21"/>
          <w:szCs w:val="21"/>
          <w:highlight w:val="none"/>
        </w:rPr>
        <w:t>（或打印件）；</w:t>
      </w:r>
    </w:p>
    <w:p w14:paraId="4115CCF7">
      <w:pPr>
        <w:keepNext w:val="0"/>
        <w:keepLines w:val="0"/>
        <w:pageBreakBefore w:val="0"/>
        <w:widowControl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snapToGrid w:val="0"/>
          <w:color w:val="auto"/>
          <w:kern w:val="0"/>
          <w:sz w:val="21"/>
          <w:szCs w:val="28"/>
          <w:highlight w:val="none"/>
        </w:rPr>
        <w:t>（</w:t>
      </w:r>
      <w:r>
        <w:rPr>
          <w:rFonts w:hint="eastAsia" w:ascii="宋体" w:hAnsi="宋体" w:eastAsia="宋体" w:cs="宋体"/>
          <w:snapToGrid w:val="0"/>
          <w:color w:val="auto"/>
          <w:kern w:val="0"/>
          <w:sz w:val="21"/>
          <w:szCs w:val="28"/>
          <w:highlight w:val="none"/>
          <w:lang w:val="en-US" w:eastAsia="zh-CN"/>
        </w:rPr>
        <w:t>3</w:t>
      </w:r>
      <w:r>
        <w:rPr>
          <w:rFonts w:hint="eastAsia" w:ascii="宋体" w:hAnsi="宋体" w:eastAsia="宋体" w:cs="宋体"/>
          <w:snapToGrid w:val="0"/>
          <w:color w:val="auto"/>
          <w:kern w:val="0"/>
          <w:sz w:val="21"/>
          <w:szCs w:val="28"/>
          <w:highlight w:val="none"/>
        </w:rPr>
        <w:t>）在本单位缴纳社保的证明（</w:t>
      </w:r>
      <w:r>
        <w:rPr>
          <w:rFonts w:hint="eastAsia" w:ascii="宋体" w:hAnsi="宋体" w:eastAsia="宋体" w:cs="宋体"/>
          <w:snapToGrid w:val="0"/>
          <w:color w:val="auto"/>
          <w:kern w:val="0"/>
          <w:sz w:val="21"/>
          <w:szCs w:val="28"/>
          <w:highlight w:val="none"/>
          <w:lang w:eastAsia="zh-CN"/>
        </w:rPr>
        <w:t>至少连续</w:t>
      </w:r>
      <w:r>
        <w:rPr>
          <w:rFonts w:hint="eastAsia" w:hAnsi="宋体" w:cs="宋体"/>
          <w:snapToGrid w:val="0"/>
          <w:color w:val="auto"/>
          <w:kern w:val="0"/>
          <w:sz w:val="21"/>
          <w:szCs w:val="28"/>
          <w:highlight w:val="none"/>
          <w:lang w:val="en-US" w:eastAsia="zh-CN"/>
        </w:rPr>
        <w:t>一</w:t>
      </w:r>
      <w:r>
        <w:rPr>
          <w:rFonts w:hint="eastAsia" w:ascii="宋体" w:hAnsi="宋体" w:eastAsia="宋体" w:cs="宋体"/>
          <w:snapToGrid w:val="0"/>
          <w:color w:val="auto"/>
          <w:kern w:val="0"/>
          <w:sz w:val="21"/>
          <w:szCs w:val="28"/>
          <w:highlight w:val="none"/>
          <w:lang w:eastAsia="zh-CN"/>
        </w:rPr>
        <w:t>个月，其中必须有202</w:t>
      </w:r>
      <w:r>
        <w:rPr>
          <w:rFonts w:hint="eastAsia" w:hAnsi="宋体" w:cs="宋体"/>
          <w:snapToGrid w:val="0"/>
          <w:color w:val="auto"/>
          <w:kern w:val="0"/>
          <w:sz w:val="21"/>
          <w:szCs w:val="28"/>
          <w:highlight w:val="none"/>
          <w:lang w:val="en-US" w:eastAsia="zh-CN"/>
        </w:rPr>
        <w:t>5</w:t>
      </w:r>
      <w:r>
        <w:rPr>
          <w:rFonts w:hint="eastAsia" w:ascii="宋体" w:hAnsi="宋体" w:eastAsia="宋体" w:cs="宋体"/>
          <w:snapToGrid w:val="0"/>
          <w:color w:val="auto"/>
          <w:kern w:val="0"/>
          <w:sz w:val="21"/>
          <w:szCs w:val="28"/>
          <w:highlight w:val="none"/>
          <w:lang w:eastAsia="zh-CN"/>
        </w:rPr>
        <w:t>年</w:t>
      </w:r>
      <w:r>
        <w:rPr>
          <w:rFonts w:hint="eastAsia" w:hAnsi="宋体" w:cs="宋体"/>
          <w:snapToGrid w:val="0"/>
          <w:color w:val="auto"/>
          <w:kern w:val="0"/>
          <w:sz w:val="21"/>
          <w:szCs w:val="28"/>
          <w:highlight w:val="none"/>
          <w:lang w:val="en-US" w:eastAsia="zh-CN"/>
        </w:rPr>
        <w:t>09</w:t>
      </w:r>
      <w:r>
        <w:rPr>
          <w:rFonts w:hint="eastAsia" w:ascii="宋体" w:hAnsi="宋体" w:eastAsia="宋体" w:cs="宋体"/>
          <w:snapToGrid w:val="0"/>
          <w:color w:val="auto"/>
          <w:kern w:val="0"/>
          <w:sz w:val="21"/>
          <w:szCs w:val="28"/>
          <w:highlight w:val="none"/>
          <w:lang w:eastAsia="zh-CN"/>
        </w:rPr>
        <w:t>月</w:t>
      </w:r>
      <w:r>
        <w:rPr>
          <w:rFonts w:hint="eastAsia" w:ascii="宋体" w:hAnsi="宋体" w:eastAsia="宋体" w:cs="宋体"/>
          <w:snapToGrid w:val="0"/>
          <w:color w:val="auto"/>
          <w:kern w:val="0"/>
          <w:sz w:val="21"/>
          <w:szCs w:val="28"/>
          <w:highlight w:val="none"/>
        </w:rPr>
        <w:t>）</w:t>
      </w:r>
      <w:r>
        <w:rPr>
          <w:rFonts w:hint="eastAsia" w:ascii="宋体" w:hAnsi="宋体" w:eastAsia="宋体" w:cs="宋体"/>
          <w:snapToGrid w:val="0"/>
          <w:color w:val="auto"/>
          <w:kern w:val="0"/>
          <w:sz w:val="21"/>
          <w:szCs w:val="21"/>
          <w:highlight w:val="none"/>
        </w:rPr>
        <w:t>彩色扫描件</w:t>
      </w:r>
      <w:r>
        <w:rPr>
          <w:rFonts w:hint="eastAsia" w:ascii="宋体" w:hAnsi="宋体" w:eastAsia="宋体" w:cs="宋体"/>
          <w:snapToGrid w:val="0"/>
          <w:color w:val="auto"/>
          <w:kern w:val="0"/>
          <w:sz w:val="21"/>
          <w:szCs w:val="28"/>
          <w:highlight w:val="none"/>
        </w:rPr>
        <w:t>。拟派</w:t>
      </w:r>
      <w:r>
        <w:rPr>
          <w:rFonts w:hint="eastAsia" w:ascii="宋体" w:hAnsi="宋体" w:eastAsia="宋体" w:cs="宋体"/>
          <w:snapToGrid w:val="0"/>
          <w:color w:val="auto"/>
          <w:kern w:val="0"/>
          <w:sz w:val="21"/>
          <w:szCs w:val="28"/>
          <w:highlight w:val="none"/>
          <w:lang w:val="en-US" w:eastAsia="zh-CN"/>
        </w:rPr>
        <w:t>人员</w:t>
      </w:r>
      <w:r>
        <w:rPr>
          <w:rFonts w:hint="eastAsia" w:ascii="宋体" w:hAnsi="宋体" w:eastAsia="宋体" w:cs="宋体"/>
          <w:snapToGrid w:val="0"/>
          <w:color w:val="auto"/>
          <w:kern w:val="0"/>
          <w:sz w:val="21"/>
          <w:szCs w:val="28"/>
          <w:highlight w:val="none"/>
        </w:rPr>
        <w:t>为退休返聘人员无法提供社保证明的，提供退休证和劳动合同</w:t>
      </w:r>
      <w:r>
        <w:rPr>
          <w:rFonts w:hint="eastAsia" w:ascii="宋体" w:hAnsi="宋体" w:eastAsia="宋体" w:cs="宋体"/>
          <w:snapToGrid w:val="0"/>
          <w:color w:val="auto"/>
          <w:kern w:val="0"/>
          <w:sz w:val="21"/>
          <w:szCs w:val="21"/>
          <w:highlight w:val="none"/>
        </w:rPr>
        <w:t>彩色扫描件</w:t>
      </w:r>
      <w:r>
        <w:rPr>
          <w:rFonts w:hint="eastAsia" w:ascii="宋体" w:hAnsi="宋体" w:eastAsia="宋体" w:cs="宋体"/>
          <w:snapToGrid w:val="0"/>
          <w:color w:val="auto"/>
          <w:kern w:val="0"/>
          <w:sz w:val="21"/>
          <w:szCs w:val="28"/>
          <w:highlight w:val="none"/>
        </w:rPr>
        <w:t>。</w:t>
      </w:r>
    </w:p>
    <w:p w14:paraId="78C426FF">
      <w:pPr>
        <w:keepNext w:val="0"/>
        <w:keepLines w:val="0"/>
        <w:pageBreakBefore w:val="0"/>
        <w:widowControl w:val="0"/>
        <w:kinsoku/>
        <w:overflowPunct/>
        <w:topLinePunct w:val="0"/>
        <w:autoSpaceDE/>
        <w:autoSpaceDN/>
        <w:bidi w:val="0"/>
        <w:spacing w:line="360" w:lineRule="auto"/>
        <w:ind w:firstLine="420" w:firstLineChars="200"/>
        <w:textAlignment w:val="auto"/>
        <w:rPr>
          <w:rFonts w:hint="eastAsia" w:ascii="宋体" w:hAnsi="宋体" w:eastAsia="宋体" w:cs="宋体"/>
          <w:color w:val="auto"/>
          <w:sz w:val="21"/>
          <w:szCs w:val="16"/>
          <w:highlight w:val="none"/>
          <w:lang w:eastAsia="zh-CN"/>
        </w:rPr>
        <w:sectPr>
          <w:pgSz w:w="11907" w:h="16840"/>
          <w:pgMar w:top="1134" w:right="1134" w:bottom="1134" w:left="1134" w:header="567" w:footer="567" w:gutter="0"/>
          <w:cols w:space="720" w:num="1"/>
        </w:sectPr>
      </w:pPr>
      <w:r>
        <w:rPr>
          <w:rFonts w:hint="eastAsia" w:ascii="宋体" w:hAnsi="宋体" w:eastAsia="宋体" w:cs="宋体"/>
          <w:color w:val="auto"/>
          <w:sz w:val="21"/>
          <w:szCs w:val="16"/>
          <w:highlight w:val="none"/>
          <w:lang w:eastAsia="zh-CN"/>
        </w:rPr>
        <w:t>（</w:t>
      </w:r>
      <w:r>
        <w:rPr>
          <w:rFonts w:hint="eastAsia" w:ascii="宋体" w:hAnsi="宋体" w:eastAsia="宋体" w:cs="宋体"/>
          <w:color w:val="auto"/>
          <w:sz w:val="21"/>
          <w:szCs w:val="16"/>
          <w:highlight w:val="none"/>
          <w:lang w:val="en-US" w:eastAsia="zh-CN"/>
        </w:rPr>
        <w:t>4</w:t>
      </w:r>
      <w:r>
        <w:rPr>
          <w:rFonts w:hint="eastAsia" w:ascii="宋体" w:hAnsi="宋体" w:eastAsia="宋体" w:cs="宋体"/>
          <w:color w:val="auto"/>
          <w:sz w:val="21"/>
          <w:szCs w:val="16"/>
          <w:highlight w:val="none"/>
          <w:lang w:eastAsia="zh-CN"/>
        </w:rPr>
        <w:t>）</w:t>
      </w:r>
      <w:r>
        <w:rPr>
          <w:rFonts w:hint="eastAsia" w:ascii="宋体" w:hAnsi="宋体" w:eastAsia="宋体" w:cs="宋体"/>
          <w:color w:val="auto"/>
          <w:sz w:val="21"/>
          <w:szCs w:val="21"/>
          <w:highlight w:val="none"/>
          <w:lang w:eastAsia="zh-CN"/>
        </w:rPr>
        <w:t>“进粤企业和人员诚信信息登记平台”个人信息情况截图。（适用于省外建筑企业）。</w:t>
      </w:r>
    </w:p>
    <w:p w14:paraId="132C37FB">
      <w:pPr>
        <w:pStyle w:val="4"/>
        <w:bidi w:val="0"/>
        <w:ind w:firstLine="964"/>
        <w:rPr>
          <w:rFonts w:hint="eastAsia" w:ascii="宋体" w:hAnsi="宋体" w:eastAsia="宋体" w:cs="宋体"/>
          <w:color w:val="auto"/>
          <w:highlight w:val="none"/>
        </w:rPr>
      </w:pPr>
      <w:bookmarkStart w:id="353" w:name="_Toc13555"/>
      <w:r>
        <w:rPr>
          <w:rFonts w:hint="eastAsia" w:ascii="宋体" w:hAnsi="宋体" w:eastAsia="宋体" w:cs="宋体"/>
          <w:color w:val="auto"/>
          <w:highlight w:val="none"/>
        </w:rPr>
        <w:t>格式十</w:t>
      </w:r>
      <w:r>
        <w:rPr>
          <w:rFonts w:hint="eastAsia" w:ascii="宋体" w:hAnsi="宋体" w:eastAsia="宋体" w:cs="宋体"/>
          <w:color w:val="auto"/>
          <w:highlight w:val="none"/>
          <w:lang w:val="en-US" w:eastAsia="zh-CN"/>
        </w:rPr>
        <w:t>三</w:t>
      </w:r>
      <w:r>
        <w:rPr>
          <w:rFonts w:hint="eastAsia" w:ascii="宋体" w:hAnsi="宋体" w:eastAsia="宋体" w:cs="宋体"/>
          <w:color w:val="auto"/>
          <w:highlight w:val="none"/>
        </w:rPr>
        <w:t xml:space="preserve"> 建造师查询页（有效期+建造师签字）</w:t>
      </w:r>
      <w:bookmarkEnd w:id="353"/>
    </w:p>
    <w:p w14:paraId="30C5F9AE">
      <w:pPr>
        <w:pStyle w:val="75"/>
        <w:widowControl w:val="0"/>
        <w:wordWrap w:val="0"/>
        <w:adjustRightInd w:val="0"/>
        <w:snapToGrid w:val="0"/>
        <w:spacing w:line="240" w:lineRule="auto"/>
        <w:ind w:firstLine="0"/>
        <w:jc w:val="center"/>
        <w:rPr>
          <w:rFonts w:hint="eastAsia" w:ascii="宋体" w:hAnsi="宋体" w:eastAsia="宋体" w:cs="宋体"/>
          <w:snapToGrid w:val="0"/>
          <w:color w:val="auto"/>
          <w:sz w:val="21"/>
          <w:highlight w:val="none"/>
        </w:rPr>
      </w:pPr>
      <w:r>
        <w:rPr>
          <w:rFonts w:hint="eastAsia" w:ascii="宋体" w:hAnsi="宋体" w:eastAsia="宋体" w:cs="宋体"/>
          <w:caps w:val="0"/>
          <w:smallCaps w:val="0"/>
          <w:snapToGrid w:val="0"/>
          <w:color w:val="auto"/>
          <w:spacing w:val="0"/>
          <w:kern w:val="0"/>
          <w:sz w:val="21"/>
          <w:highlight w:val="none"/>
          <w:lang w:val="en-US" w:eastAsia="zh-CN"/>
        </w:rPr>
        <w:drawing>
          <wp:inline distT="0" distB="0" distL="114300" distR="114300">
            <wp:extent cx="5768975" cy="8063865"/>
            <wp:effectExtent l="0" t="0" r="3175" b="13335"/>
            <wp:docPr id="2" name="图片 2" descr="32d7491b2f9802d8de0f2607fe015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2d7491b2f9802d8de0f2607fe015bb"/>
                    <pic:cNvPicPr>
                      <a:picLocks noChangeAspect="1"/>
                    </pic:cNvPicPr>
                  </pic:nvPicPr>
                  <pic:blipFill>
                    <a:blip r:embed="rId8"/>
                    <a:stretch>
                      <a:fillRect/>
                    </a:stretch>
                  </pic:blipFill>
                  <pic:spPr>
                    <a:xfrm>
                      <a:off x="0" y="0"/>
                      <a:ext cx="5768975" cy="8063865"/>
                    </a:xfrm>
                    <a:prstGeom prst="rect">
                      <a:avLst/>
                    </a:prstGeom>
                    <a:noFill/>
                    <a:ln>
                      <a:noFill/>
                    </a:ln>
                  </pic:spPr>
                </pic:pic>
              </a:graphicData>
            </a:graphic>
          </wp:inline>
        </w:drawing>
      </w:r>
      <w:r>
        <w:rPr>
          <w:rFonts w:hint="eastAsia" w:ascii="宋体" w:hAnsi="宋体" w:eastAsia="宋体" w:cs="宋体"/>
          <w:color w:val="auto"/>
          <w:sz w:val="24"/>
          <w:szCs w:val="24"/>
          <w:highlight w:val="none"/>
        </w:rPr>
        <w:drawing>
          <wp:inline distT="0" distB="0" distL="114300" distR="114300">
            <wp:extent cx="6507480" cy="7734300"/>
            <wp:effectExtent l="0" t="0" r="7620" b="0"/>
            <wp:docPr id="1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IMG_256"/>
                    <pic:cNvPicPr>
                      <a:picLocks noChangeAspect="1"/>
                    </pic:cNvPicPr>
                  </pic:nvPicPr>
                  <pic:blipFill>
                    <a:blip r:embed="rId9"/>
                    <a:stretch>
                      <a:fillRect/>
                    </a:stretch>
                  </pic:blipFill>
                  <pic:spPr>
                    <a:xfrm>
                      <a:off x="0" y="0"/>
                      <a:ext cx="6507480" cy="7734300"/>
                    </a:xfrm>
                    <a:prstGeom prst="rect">
                      <a:avLst/>
                    </a:prstGeom>
                    <a:noFill/>
                    <a:ln w="9525">
                      <a:noFill/>
                    </a:ln>
                  </pic:spPr>
                </pic:pic>
              </a:graphicData>
            </a:graphic>
          </wp:inline>
        </w:drawing>
      </w:r>
    </w:p>
    <w:p w14:paraId="044BAB73">
      <w:pPr>
        <w:rPr>
          <w:rFonts w:hint="eastAsia" w:ascii="宋体" w:hAnsi="宋体" w:eastAsia="宋体" w:cs="宋体"/>
          <w:b/>
          <w:bCs/>
          <w:snapToGrid w:val="0"/>
          <w:color w:val="auto"/>
          <w:sz w:val="21"/>
          <w:highlight w:val="none"/>
          <w:lang w:val="en-US" w:eastAsia="zh-CN"/>
        </w:rPr>
      </w:pPr>
      <w:r>
        <w:rPr>
          <w:rFonts w:hint="eastAsia" w:ascii="宋体" w:hAnsi="宋体" w:eastAsia="宋体" w:cs="宋体"/>
          <w:snapToGrid w:val="0"/>
          <w:color w:val="auto"/>
          <w:sz w:val="21"/>
          <w:highlight w:val="none"/>
        </w:rPr>
        <w:br w:type="page"/>
      </w:r>
    </w:p>
    <w:p w14:paraId="68893148">
      <w:pPr>
        <w:pStyle w:val="75"/>
        <w:widowControl w:val="0"/>
        <w:wordWrap w:val="0"/>
        <w:adjustRightInd w:val="0"/>
        <w:snapToGrid w:val="0"/>
        <w:spacing w:line="240" w:lineRule="auto"/>
        <w:ind w:firstLine="0"/>
        <w:rPr>
          <w:rFonts w:hint="eastAsia" w:ascii="宋体" w:hAnsi="宋体" w:eastAsia="宋体" w:cs="宋体"/>
          <w:snapToGrid w:val="0"/>
          <w:color w:val="auto"/>
          <w:sz w:val="21"/>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bookmarkEnd w:id="7"/>
    <w:bookmarkEnd w:id="287"/>
    <w:bookmarkEnd w:id="288"/>
    <w:p w14:paraId="1F1A3B36">
      <w:pPr>
        <w:pStyle w:val="4"/>
        <w:bidi w:val="0"/>
        <w:ind w:firstLine="964"/>
        <w:rPr>
          <w:rFonts w:hint="eastAsia" w:ascii="宋体" w:hAnsi="宋体" w:eastAsia="宋体" w:cs="宋体"/>
          <w:color w:val="auto"/>
          <w:highlight w:val="none"/>
        </w:rPr>
      </w:pPr>
      <w:bookmarkStart w:id="354" w:name="_Hlt87793582"/>
      <w:bookmarkEnd w:id="354"/>
      <w:bookmarkStart w:id="355" w:name="_附件十六：措施项目清单计价表"/>
      <w:bookmarkEnd w:id="355"/>
      <w:bookmarkStart w:id="356" w:name="_Hlt87783244"/>
      <w:bookmarkEnd w:id="356"/>
      <w:bookmarkStart w:id="357" w:name="_附件二十一：土建工程、电气工程、给排水工程工程清单项目费汇总表"/>
      <w:bookmarkEnd w:id="357"/>
      <w:bookmarkStart w:id="358" w:name="_Toc2067"/>
      <w:bookmarkStart w:id="359" w:name="_Toc9569"/>
      <w:bookmarkStart w:id="360" w:name="_Toc346"/>
      <w:bookmarkStart w:id="361" w:name="_Toc13122"/>
      <w:bookmarkStart w:id="362" w:name="_Toc132687128"/>
      <w:bookmarkStart w:id="363" w:name="_Toc13722"/>
      <w:bookmarkStart w:id="364" w:name="_Toc142468134"/>
      <w:bookmarkStart w:id="365" w:name="_Toc133160683"/>
      <w:bookmarkStart w:id="366" w:name="_Toc137444778"/>
      <w:bookmarkStart w:id="367" w:name="_Toc78794873"/>
      <w:bookmarkStart w:id="368" w:name="_Toc133815902"/>
      <w:r>
        <w:rPr>
          <w:rFonts w:hint="eastAsia" w:ascii="宋体" w:hAnsi="宋体" w:eastAsia="宋体" w:cs="宋体"/>
          <w:color w:val="auto"/>
          <w:highlight w:val="none"/>
        </w:rPr>
        <w:t>格式十</w:t>
      </w:r>
      <w:r>
        <w:rPr>
          <w:rFonts w:hint="eastAsia" w:ascii="宋体" w:hAnsi="宋体" w:eastAsia="宋体" w:cs="宋体"/>
          <w:color w:val="auto"/>
          <w:highlight w:val="none"/>
          <w:lang w:val="en-US" w:eastAsia="zh-CN"/>
        </w:rPr>
        <w:t>四</w:t>
      </w:r>
      <w:r>
        <w:rPr>
          <w:rFonts w:hint="eastAsia" w:ascii="宋体" w:hAnsi="宋体" w:eastAsia="宋体" w:cs="宋体"/>
          <w:color w:val="auto"/>
          <w:highlight w:val="none"/>
        </w:rPr>
        <w:t xml:space="preserve"> 原件一览表</w:t>
      </w:r>
      <w:bookmarkEnd w:id="358"/>
      <w:bookmarkEnd w:id="359"/>
      <w:bookmarkEnd w:id="360"/>
      <w:bookmarkEnd w:id="361"/>
    </w:p>
    <w:p w14:paraId="58E5E4F8">
      <w:pPr>
        <w:spacing w:line="336" w:lineRule="auto"/>
        <w:contextualSpacing/>
        <w:jc w:val="left"/>
        <w:rPr>
          <w:rFonts w:hint="eastAsia" w:ascii="宋体" w:hAnsi="宋体" w:eastAsia="宋体" w:cs="宋体"/>
          <w:color w:val="auto"/>
          <w:highlight w:val="none"/>
        </w:rPr>
      </w:pPr>
    </w:p>
    <w:tbl>
      <w:tblPr>
        <w:tblStyle w:val="31"/>
        <w:tblpPr w:leftFromText="180" w:rightFromText="180" w:vertAnchor="text" w:horzAnchor="page" w:tblpX="1664" w:tblpY="438"/>
        <w:tblOverlap w:val="never"/>
        <w:tblW w:w="91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701"/>
        <w:gridCol w:w="1506"/>
        <w:gridCol w:w="92"/>
        <w:gridCol w:w="1902"/>
        <w:gridCol w:w="1625"/>
        <w:gridCol w:w="754"/>
        <w:gridCol w:w="958"/>
        <w:gridCol w:w="1570"/>
      </w:tblGrid>
      <w:tr w14:paraId="68B24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63" w:hRule="atLeast"/>
        </w:trPr>
        <w:tc>
          <w:tcPr>
            <w:tcW w:w="9108" w:type="dxa"/>
            <w:gridSpan w:val="8"/>
            <w:shd w:val="clear" w:color="000000" w:fill="FFFFFF"/>
            <w:noWrap w:val="0"/>
            <w:tcMar>
              <w:left w:w="108" w:type="dxa"/>
              <w:right w:w="108" w:type="dxa"/>
            </w:tcMar>
            <w:vAlign w:val="center"/>
          </w:tcPr>
          <w:p w14:paraId="782E7337">
            <w:pPr>
              <w:jc w:val="center"/>
              <w:rPr>
                <w:rFonts w:hint="eastAsia" w:ascii="宋体" w:hAnsi="宋体" w:eastAsia="宋体" w:cs="宋体"/>
                <w:color w:val="auto"/>
                <w:highlight w:val="none"/>
              </w:rPr>
            </w:pPr>
            <w:r>
              <w:rPr>
                <w:rFonts w:hint="eastAsia" w:ascii="宋体" w:hAnsi="宋体" w:eastAsia="宋体" w:cs="宋体"/>
                <w:b/>
                <w:color w:val="auto"/>
                <w:highlight w:val="none"/>
              </w:rPr>
              <w:t>原件一览表</w:t>
            </w:r>
          </w:p>
        </w:tc>
      </w:tr>
      <w:tr w14:paraId="57ACD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2299" w:type="dxa"/>
            <w:gridSpan w:val="3"/>
            <w:shd w:val="clear" w:color="000000" w:fill="FFFFFF"/>
            <w:noWrap w:val="0"/>
            <w:tcMar>
              <w:left w:w="108" w:type="dxa"/>
              <w:right w:w="108" w:type="dxa"/>
            </w:tcMar>
            <w:vAlign w:val="center"/>
          </w:tcPr>
          <w:p w14:paraId="18ECE8F6">
            <w:pPr>
              <w:jc w:val="center"/>
              <w:rPr>
                <w:rFonts w:hint="eastAsia" w:ascii="宋体" w:hAnsi="宋体" w:eastAsia="宋体" w:cs="宋体"/>
                <w:color w:val="auto"/>
                <w:sz w:val="20"/>
                <w:highlight w:val="none"/>
              </w:rPr>
            </w:pPr>
            <w:r>
              <w:rPr>
                <w:rFonts w:hint="eastAsia" w:hAnsi="宋体" w:cs="宋体"/>
                <w:color w:val="auto"/>
                <w:sz w:val="20"/>
                <w:highlight w:val="none"/>
                <w:lang w:val="en-US" w:eastAsia="zh-CN"/>
              </w:rPr>
              <w:t>项目</w:t>
            </w:r>
            <w:r>
              <w:rPr>
                <w:rFonts w:hint="eastAsia" w:ascii="宋体" w:hAnsi="宋体" w:eastAsia="宋体" w:cs="宋体"/>
                <w:color w:val="auto"/>
                <w:sz w:val="20"/>
                <w:highlight w:val="none"/>
              </w:rPr>
              <w:t>名称</w:t>
            </w:r>
          </w:p>
        </w:tc>
        <w:tc>
          <w:tcPr>
            <w:tcW w:w="6809" w:type="dxa"/>
            <w:gridSpan w:val="5"/>
            <w:shd w:val="clear" w:color="000000" w:fill="FFFFFF"/>
            <w:noWrap w:val="0"/>
            <w:tcMar>
              <w:left w:w="108" w:type="dxa"/>
              <w:right w:w="108" w:type="dxa"/>
            </w:tcMar>
            <w:vAlign w:val="center"/>
          </w:tcPr>
          <w:p w14:paraId="2A454562">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 xml:space="preserve"> </w:t>
            </w:r>
          </w:p>
        </w:tc>
      </w:tr>
      <w:tr w14:paraId="27EB1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2299" w:type="dxa"/>
            <w:gridSpan w:val="3"/>
            <w:shd w:val="clear" w:color="000000" w:fill="FFFFFF"/>
            <w:noWrap w:val="0"/>
            <w:tcMar>
              <w:left w:w="108" w:type="dxa"/>
              <w:right w:w="108" w:type="dxa"/>
            </w:tcMar>
            <w:vAlign w:val="center"/>
          </w:tcPr>
          <w:p w14:paraId="1559497C">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投标人名称                (请务必填写单位全称)</w:t>
            </w:r>
          </w:p>
        </w:tc>
        <w:tc>
          <w:tcPr>
            <w:tcW w:w="6809" w:type="dxa"/>
            <w:gridSpan w:val="5"/>
            <w:shd w:val="clear" w:color="000000" w:fill="FFFFFF"/>
            <w:noWrap w:val="0"/>
            <w:tcMar>
              <w:left w:w="108" w:type="dxa"/>
              <w:right w:w="108" w:type="dxa"/>
            </w:tcMar>
            <w:vAlign w:val="center"/>
          </w:tcPr>
          <w:p w14:paraId="564CAB2C">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　</w:t>
            </w:r>
          </w:p>
        </w:tc>
      </w:tr>
      <w:tr w14:paraId="0FD04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2299" w:type="dxa"/>
            <w:gridSpan w:val="3"/>
            <w:shd w:val="clear" w:color="000000" w:fill="FFFFFF"/>
            <w:noWrap w:val="0"/>
            <w:tcMar>
              <w:left w:w="108" w:type="dxa"/>
              <w:right w:w="108" w:type="dxa"/>
            </w:tcMar>
            <w:vAlign w:val="center"/>
          </w:tcPr>
          <w:p w14:paraId="6A358BA3">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投标人法定代表人或其</w:t>
            </w:r>
          </w:p>
          <w:p w14:paraId="3AC60E4A">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委托代理人签名</w:t>
            </w:r>
          </w:p>
        </w:tc>
        <w:tc>
          <w:tcPr>
            <w:tcW w:w="3527" w:type="dxa"/>
            <w:gridSpan w:val="2"/>
            <w:shd w:val="clear" w:color="000000" w:fill="FFFFFF"/>
            <w:noWrap w:val="0"/>
            <w:tcMar>
              <w:left w:w="108" w:type="dxa"/>
              <w:right w:w="108" w:type="dxa"/>
            </w:tcMar>
            <w:vAlign w:val="center"/>
          </w:tcPr>
          <w:p w14:paraId="2B124D22">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　</w:t>
            </w:r>
          </w:p>
        </w:tc>
        <w:tc>
          <w:tcPr>
            <w:tcW w:w="754" w:type="dxa"/>
            <w:shd w:val="clear" w:color="000000" w:fill="FFFFFF"/>
            <w:noWrap w:val="0"/>
            <w:tcMar>
              <w:left w:w="108" w:type="dxa"/>
              <w:right w:w="108" w:type="dxa"/>
            </w:tcMar>
            <w:vAlign w:val="center"/>
          </w:tcPr>
          <w:p w14:paraId="64C0891A">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手机号码</w:t>
            </w:r>
          </w:p>
        </w:tc>
        <w:tc>
          <w:tcPr>
            <w:tcW w:w="2528" w:type="dxa"/>
            <w:gridSpan w:val="2"/>
            <w:shd w:val="clear" w:color="000000" w:fill="FFFFFF"/>
            <w:noWrap w:val="0"/>
            <w:tcMar>
              <w:left w:w="108" w:type="dxa"/>
              <w:right w:w="108" w:type="dxa"/>
            </w:tcMar>
            <w:vAlign w:val="center"/>
          </w:tcPr>
          <w:p w14:paraId="775FC6D7">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　</w:t>
            </w:r>
          </w:p>
        </w:tc>
      </w:tr>
      <w:tr w14:paraId="3F8AD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9108" w:type="dxa"/>
            <w:gridSpan w:val="8"/>
            <w:shd w:val="clear" w:color="000000" w:fill="FFFFFF"/>
            <w:noWrap w:val="0"/>
            <w:tcMar>
              <w:left w:w="108" w:type="dxa"/>
              <w:right w:w="108" w:type="dxa"/>
            </w:tcMar>
            <w:vAlign w:val="center"/>
          </w:tcPr>
          <w:p w14:paraId="02EF021E">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递交的证明材料原件如下：</w:t>
            </w:r>
          </w:p>
        </w:tc>
      </w:tr>
      <w:tr w14:paraId="1D0F1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auto" w:fill="FFFFFF"/>
            <w:noWrap w:val="0"/>
            <w:tcMar>
              <w:left w:w="108" w:type="dxa"/>
              <w:right w:w="108" w:type="dxa"/>
            </w:tcMar>
            <w:vAlign w:val="center"/>
          </w:tcPr>
          <w:p w14:paraId="05582F4C">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序号</w:t>
            </w:r>
          </w:p>
        </w:tc>
        <w:tc>
          <w:tcPr>
            <w:tcW w:w="5125" w:type="dxa"/>
            <w:gridSpan w:val="4"/>
            <w:shd w:val="clear" w:color="auto" w:fill="FFFFFF"/>
            <w:noWrap w:val="0"/>
            <w:tcMar>
              <w:left w:w="108" w:type="dxa"/>
              <w:right w:w="108" w:type="dxa"/>
            </w:tcMar>
            <w:vAlign w:val="center"/>
          </w:tcPr>
          <w:p w14:paraId="559FA8DE">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证明材料原件名称</w:t>
            </w:r>
          </w:p>
        </w:tc>
        <w:tc>
          <w:tcPr>
            <w:tcW w:w="1712" w:type="dxa"/>
            <w:gridSpan w:val="2"/>
            <w:shd w:val="clear" w:color="auto" w:fill="FFFFFF"/>
            <w:noWrap w:val="0"/>
            <w:tcMar>
              <w:left w:w="108" w:type="dxa"/>
              <w:right w:w="108" w:type="dxa"/>
            </w:tcMar>
            <w:vAlign w:val="center"/>
          </w:tcPr>
          <w:p w14:paraId="106B125B">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单位</w:t>
            </w:r>
          </w:p>
        </w:tc>
        <w:tc>
          <w:tcPr>
            <w:tcW w:w="1570" w:type="dxa"/>
            <w:shd w:val="clear" w:color="auto" w:fill="FFFFFF"/>
            <w:noWrap w:val="0"/>
            <w:tcMar>
              <w:left w:w="108" w:type="dxa"/>
              <w:right w:w="108" w:type="dxa"/>
            </w:tcMar>
            <w:vAlign w:val="center"/>
          </w:tcPr>
          <w:p w14:paraId="308476C4">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数量</w:t>
            </w:r>
          </w:p>
        </w:tc>
      </w:tr>
      <w:tr w14:paraId="3F9BB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14:paraId="2929E57C">
            <w:pPr>
              <w:jc w:val="center"/>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5125" w:type="dxa"/>
            <w:gridSpan w:val="4"/>
            <w:shd w:val="clear" w:color="000000" w:fill="FFFFFF"/>
            <w:noWrap w:val="0"/>
            <w:tcMar>
              <w:left w:w="108" w:type="dxa"/>
              <w:right w:w="108" w:type="dxa"/>
            </w:tcMar>
            <w:vAlign w:val="center"/>
          </w:tcPr>
          <w:p w14:paraId="4099C3BD">
            <w:pPr>
              <w:jc w:val="center"/>
              <w:rPr>
                <w:rFonts w:hint="eastAsia" w:ascii="宋体" w:hAnsi="宋体" w:eastAsia="宋体" w:cs="宋体"/>
                <w:color w:val="auto"/>
                <w:highlight w:val="none"/>
              </w:rPr>
            </w:pPr>
          </w:p>
        </w:tc>
        <w:tc>
          <w:tcPr>
            <w:tcW w:w="1712" w:type="dxa"/>
            <w:gridSpan w:val="2"/>
            <w:shd w:val="clear" w:color="000000" w:fill="FFFFFF"/>
            <w:noWrap w:val="0"/>
            <w:tcMar>
              <w:left w:w="108" w:type="dxa"/>
              <w:right w:w="108" w:type="dxa"/>
            </w:tcMar>
            <w:vAlign w:val="center"/>
          </w:tcPr>
          <w:p w14:paraId="5839CDEF">
            <w:pPr>
              <w:jc w:val="center"/>
              <w:rPr>
                <w:rFonts w:hint="eastAsia" w:ascii="宋体" w:hAnsi="宋体" w:eastAsia="宋体" w:cs="宋体"/>
                <w:color w:val="auto"/>
                <w:highlight w:val="none"/>
              </w:rPr>
            </w:pPr>
          </w:p>
        </w:tc>
        <w:tc>
          <w:tcPr>
            <w:tcW w:w="1570" w:type="dxa"/>
            <w:shd w:val="clear" w:color="000000" w:fill="FFFFFF"/>
            <w:noWrap w:val="0"/>
            <w:tcMar>
              <w:left w:w="108" w:type="dxa"/>
              <w:right w:w="108" w:type="dxa"/>
            </w:tcMar>
            <w:vAlign w:val="center"/>
          </w:tcPr>
          <w:p w14:paraId="3500F32A">
            <w:pPr>
              <w:jc w:val="center"/>
              <w:rPr>
                <w:rFonts w:hint="eastAsia" w:ascii="宋体" w:hAnsi="宋体" w:eastAsia="宋体" w:cs="宋体"/>
                <w:color w:val="auto"/>
                <w:highlight w:val="none"/>
              </w:rPr>
            </w:pPr>
            <w:r>
              <w:rPr>
                <w:rFonts w:hint="eastAsia" w:ascii="宋体" w:hAnsi="宋体" w:eastAsia="宋体" w:cs="宋体"/>
                <w:color w:val="auto"/>
                <w:highlight w:val="none"/>
              </w:rPr>
              <w:t>　</w:t>
            </w:r>
          </w:p>
        </w:tc>
      </w:tr>
      <w:tr w14:paraId="51A94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14:paraId="7BA16B22">
            <w:pPr>
              <w:jc w:val="center"/>
              <w:rPr>
                <w:rFonts w:hint="eastAsia" w:ascii="宋体" w:hAnsi="宋体" w:eastAsia="宋体" w:cs="宋体"/>
                <w:color w:val="auto"/>
                <w:highlight w:val="none"/>
              </w:rPr>
            </w:pPr>
            <w:r>
              <w:rPr>
                <w:rFonts w:hint="eastAsia" w:ascii="宋体" w:hAnsi="宋体" w:eastAsia="宋体" w:cs="宋体"/>
                <w:color w:val="auto"/>
                <w:highlight w:val="none"/>
              </w:rPr>
              <w:t>2</w:t>
            </w:r>
          </w:p>
        </w:tc>
        <w:tc>
          <w:tcPr>
            <w:tcW w:w="5125" w:type="dxa"/>
            <w:gridSpan w:val="4"/>
            <w:shd w:val="clear" w:color="000000" w:fill="FFFFFF"/>
            <w:noWrap w:val="0"/>
            <w:tcMar>
              <w:left w:w="108" w:type="dxa"/>
              <w:right w:w="108" w:type="dxa"/>
            </w:tcMar>
            <w:vAlign w:val="center"/>
          </w:tcPr>
          <w:p w14:paraId="514DDB9A">
            <w:pPr>
              <w:jc w:val="center"/>
              <w:rPr>
                <w:rFonts w:hint="eastAsia" w:ascii="宋体" w:hAnsi="宋体" w:eastAsia="宋体" w:cs="宋体"/>
                <w:color w:val="auto"/>
                <w:highlight w:val="none"/>
              </w:rPr>
            </w:pPr>
          </w:p>
        </w:tc>
        <w:tc>
          <w:tcPr>
            <w:tcW w:w="1712" w:type="dxa"/>
            <w:gridSpan w:val="2"/>
            <w:shd w:val="clear" w:color="000000" w:fill="FFFFFF"/>
            <w:noWrap w:val="0"/>
            <w:tcMar>
              <w:left w:w="108" w:type="dxa"/>
              <w:right w:w="108" w:type="dxa"/>
            </w:tcMar>
            <w:vAlign w:val="center"/>
          </w:tcPr>
          <w:p w14:paraId="7AA4DB01">
            <w:pPr>
              <w:jc w:val="center"/>
              <w:rPr>
                <w:rFonts w:hint="eastAsia" w:ascii="宋体" w:hAnsi="宋体" w:eastAsia="宋体" w:cs="宋体"/>
                <w:color w:val="auto"/>
                <w:highlight w:val="none"/>
              </w:rPr>
            </w:pPr>
          </w:p>
        </w:tc>
        <w:tc>
          <w:tcPr>
            <w:tcW w:w="1570" w:type="dxa"/>
            <w:shd w:val="clear" w:color="000000" w:fill="FFFFFF"/>
            <w:noWrap w:val="0"/>
            <w:tcMar>
              <w:left w:w="108" w:type="dxa"/>
              <w:right w:w="108" w:type="dxa"/>
            </w:tcMar>
            <w:vAlign w:val="center"/>
          </w:tcPr>
          <w:p w14:paraId="55C4B9FF">
            <w:pPr>
              <w:jc w:val="center"/>
              <w:rPr>
                <w:rFonts w:hint="eastAsia" w:ascii="宋体" w:hAnsi="宋体" w:eastAsia="宋体" w:cs="宋体"/>
                <w:color w:val="auto"/>
                <w:highlight w:val="none"/>
              </w:rPr>
            </w:pPr>
          </w:p>
        </w:tc>
      </w:tr>
      <w:tr w14:paraId="6E727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14:paraId="7B07D806">
            <w:pPr>
              <w:jc w:val="center"/>
              <w:rPr>
                <w:rFonts w:hint="eastAsia" w:ascii="宋体" w:hAnsi="宋体" w:eastAsia="宋体" w:cs="宋体"/>
                <w:color w:val="auto"/>
                <w:highlight w:val="none"/>
              </w:rPr>
            </w:pPr>
            <w:r>
              <w:rPr>
                <w:rFonts w:hint="eastAsia" w:ascii="宋体" w:hAnsi="宋体" w:eastAsia="宋体" w:cs="宋体"/>
                <w:color w:val="auto"/>
                <w:highlight w:val="none"/>
              </w:rPr>
              <w:t>3</w:t>
            </w:r>
          </w:p>
        </w:tc>
        <w:tc>
          <w:tcPr>
            <w:tcW w:w="5125" w:type="dxa"/>
            <w:gridSpan w:val="4"/>
            <w:shd w:val="clear" w:color="000000" w:fill="FFFFFF"/>
            <w:noWrap w:val="0"/>
            <w:tcMar>
              <w:left w:w="108" w:type="dxa"/>
              <w:right w:w="108" w:type="dxa"/>
            </w:tcMar>
            <w:vAlign w:val="center"/>
          </w:tcPr>
          <w:p w14:paraId="4843CD22">
            <w:pPr>
              <w:jc w:val="center"/>
              <w:rPr>
                <w:rFonts w:hint="eastAsia" w:ascii="宋体" w:hAnsi="宋体" w:eastAsia="宋体" w:cs="宋体"/>
                <w:color w:val="auto"/>
                <w:highlight w:val="none"/>
              </w:rPr>
            </w:pPr>
          </w:p>
        </w:tc>
        <w:tc>
          <w:tcPr>
            <w:tcW w:w="1712" w:type="dxa"/>
            <w:gridSpan w:val="2"/>
            <w:shd w:val="clear" w:color="000000" w:fill="FFFFFF"/>
            <w:noWrap w:val="0"/>
            <w:tcMar>
              <w:left w:w="108" w:type="dxa"/>
              <w:right w:w="108" w:type="dxa"/>
            </w:tcMar>
            <w:vAlign w:val="center"/>
          </w:tcPr>
          <w:p w14:paraId="041D69FC">
            <w:pPr>
              <w:jc w:val="center"/>
              <w:rPr>
                <w:rFonts w:hint="eastAsia" w:ascii="宋体" w:hAnsi="宋体" w:eastAsia="宋体" w:cs="宋体"/>
                <w:color w:val="auto"/>
                <w:highlight w:val="none"/>
              </w:rPr>
            </w:pPr>
          </w:p>
        </w:tc>
        <w:tc>
          <w:tcPr>
            <w:tcW w:w="1570" w:type="dxa"/>
            <w:shd w:val="clear" w:color="000000" w:fill="FFFFFF"/>
            <w:noWrap w:val="0"/>
            <w:tcMar>
              <w:left w:w="108" w:type="dxa"/>
              <w:right w:w="108" w:type="dxa"/>
            </w:tcMar>
            <w:vAlign w:val="center"/>
          </w:tcPr>
          <w:p w14:paraId="1216FF6A">
            <w:pPr>
              <w:jc w:val="center"/>
              <w:rPr>
                <w:rFonts w:hint="eastAsia" w:ascii="宋体" w:hAnsi="宋体" w:eastAsia="宋体" w:cs="宋体"/>
                <w:color w:val="auto"/>
                <w:highlight w:val="none"/>
              </w:rPr>
            </w:pPr>
          </w:p>
        </w:tc>
      </w:tr>
      <w:tr w14:paraId="27E0F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14:paraId="177E8FBB">
            <w:pPr>
              <w:jc w:val="center"/>
              <w:rPr>
                <w:rFonts w:hint="eastAsia" w:ascii="宋体" w:hAnsi="宋体" w:eastAsia="宋体" w:cs="宋体"/>
                <w:color w:val="auto"/>
                <w:highlight w:val="none"/>
              </w:rPr>
            </w:pPr>
            <w:r>
              <w:rPr>
                <w:rFonts w:hint="eastAsia" w:ascii="宋体" w:hAnsi="宋体" w:eastAsia="宋体" w:cs="宋体"/>
                <w:color w:val="auto"/>
                <w:highlight w:val="none"/>
              </w:rPr>
              <w:t>...</w:t>
            </w:r>
          </w:p>
        </w:tc>
        <w:tc>
          <w:tcPr>
            <w:tcW w:w="5125" w:type="dxa"/>
            <w:gridSpan w:val="4"/>
            <w:shd w:val="clear" w:color="000000" w:fill="FFFFFF"/>
            <w:noWrap w:val="0"/>
            <w:tcMar>
              <w:left w:w="108" w:type="dxa"/>
              <w:right w:w="108" w:type="dxa"/>
            </w:tcMar>
            <w:vAlign w:val="center"/>
          </w:tcPr>
          <w:p w14:paraId="475F2F9E">
            <w:pPr>
              <w:jc w:val="center"/>
              <w:rPr>
                <w:rFonts w:hint="eastAsia" w:ascii="宋体" w:hAnsi="宋体" w:eastAsia="宋体" w:cs="宋体"/>
                <w:color w:val="auto"/>
                <w:highlight w:val="none"/>
              </w:rPr>
            </w:pPr>
          </w:p>
        </w:tc>
        <w:tc>
          <w:tcPr>
            <w:tcW w:w="1712" w:type="dxa"/>
            <w:gridSpan w:val="2"/>
            <w:shd w:val="clear" w:color="000000" w:fill="FFFFFF"/>
            <w:noWrap w:val="0"/>
            <w:tcMar>
              <w:left w:w="108" w:type="dxa"/>
              <w:right w:w="108" w:type="dxa"/>
            </w:tcMar>
            <w:vAlign w:val="center"/>
          </w:tcPr>
          <w:p w14:paraId="744FA12F">
            <w:pPr>
              <w:jc w:val="center"/>
              <w:rPr>
                <w:rFonts w:hint="eastAsia" w:ascii="宋体" w:hAnsi="宋体" w:eastAsia="宋体" w:cs="宋体"/>
                <w:color w:val="auto"/>
                <w:highlight w:val="none"/>
              </w:rPr>
            </w:pPr>
          </w:p>
        </w:tc>
        <w:tc>
          <w:tcPr>
            <w:tcW w:w="1570" w:type="dxa"/>
            <w:shd w:val="clear" w:color="000000" w:fill="FFFFFF"/>
            <w:noWrap w:val="0"/>
            <w:tcMar>
              <w:left w:w="108" w:type="dxa"/>
              <w:right w:w="108" w:type="dxa"/>
            </w:tcMar>
            <w:vAlign w:val="center"/>
          </w:tcPr>
          <w:p w14:paraId="4FE0A12E">
            <w:pPr>
              <w:jc w:val="center"/>
              <w:rPr>
                <w:rFonts w:hint="eastAsia" w:ascii="宋体" w:hAnsi="宋体" w:eastAsia="宋体" w:cs="宋体"/>
                <w:color w:val="auto"/>
                <w:highlight w:val="none"/>
              </w:rPr>
            </w:pPr>
            <w:r>
              <w:rPr>
                <w:rFonts w:hint="eastAsia" w:ascii="宋体" w:hAnsi="宋体" w:eastAsia="宋体" w:cs="宋体"/>
                <w:color w:val="auto"/>
                <w:highlight w:val="none"/>
              </w:rPr>
              <w:t>　</w:t>
            </w:r>
          </w:p>
        </w:tc>
      </w:tr>
      <w:tr w14:paraId="14512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778" w:hRule="atLeast"/>
        </w:trPr>
        <w:tc>
          <w:tcPr>
            <w:tcW w:w="701" w:type="dxa"/>
            <w:shd w:val="clear" w:color="auto" w:fill="FFFFFF"/>
            <w:noWrap w:val="0"/>
            <w:tcMar>
              <w:left w:w="108" w:type="dxa"/>
              <w:right w:w="108" w:type="dxa"/>
            </w:tcMar>
            <w:vAlign w:val="center"/>
          </w:tcPr>
          <w:p w14:paraId="7E184362">
            <w:pPr>
              <w:ind w:left="8" w:hanging="94"/>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注意：</w:t>
            </w:r>
          </w:p>
        </w:tc>
        <w:tc>
          <w:tcPr>
            <w:tcW w:w="8407" w:type="dxa"/>
            <w:gridSpan w:val="7"/>
            <w:shd w:val="clear" w:color="auto" w:fill="FFFFFF"/>
            <w:noWrap w:val="0"/>
            <w:tcMar>
              <w:left w:w="108" w:type="dxa"/>
              <w:right w:w="108" w:type="dxa"/>
            </w:tcMar>
            <w:vAlign w:val="center"/>
          </w:tcPr>
          <w:p w14:paraId="34137430">
            <w:pPr>
              <w:ind w:firstLine="480"/>
              <w:rPr>
                <w:rFonts w:hint="eastAsia" w:ascii="宋体" w:hAnsi="宋体" w:eastAsia="宋体" w:cs="宋体"/>
                <w:color w:val="auto"/>
                <w:sz w:val="20"/>
                <w:highlight w:val="none"/>
              </w:rPr>
            </w:pPr>
            <w:r>
              <w:rPr>
                <w:rFonts w:hint="eastAsia" w:ascii="宋体" w:hAnsi="宋体" w:eastAsia="宋体" w:cs="宋体"/>
                <w:color w:val="auto"/>
                <w:sz w:val="20"/>
                <w:highlight w:val="none"/>
              </w:rPr>
              <w:t>该表一式两份，两份表格投标人均需如实填写各项内容，两份表格的填写内容应一致。一份贴于装纳原件的文件袋（箱），一份在递交文件袋（箱）时由招标代理机构、投标人签字后交招标代理机构。招标代理机构仅代签收装纳原件的文件袋（箱），而不对文件袋（箱）中资料的数量、内容及真实性负责。</w:t>
            </w:r>
          </w:p>
        </w:tc>
      </w:tr>
      <w:tr w14:paraId="3A3D9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53" w:hRule="atLeast"/>
        </w:trPr>
        <w:tc>
          <w:tcPr>
            <w:tcW w:w="2207" w:type="dxa"/>
            <w:gridSpan w:val="2"/>
            <w:shd w:val="clear" w:color="000000" w:fill="FFFFFF"/>
            <w:noWrap w:val="0"/>
            <w:tcMar>
              <w:left w:w="108" w:type="dxa"/>
              <w:right w:w="108" w:type="dxa"/>
            </w:tcMar>
            <w:vAlign w:val="center"/>
          </w:tcPr>
          <w:p w14:paraId="11BE785A">
            <w:pPr>
              <w:jc w:val="center"/>
              <w:rPr>
                <w:rFonts w:hint="eastAsia" w:ascii="宋体" w:hAnsi="宋体" w:eastAsia="宋体" w:cs="宋体"/>
                <w:color w:val="auto"/>
                <w:sz w:val="20"/>
                <w:highlight w:val="none"/>
              </w:rPr>
            </w:pPr>
          </w:p>
          <w:p w14:paraId="6432014F">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接收原件经办人(招标代理)：</w:t>
            </w:r>
          </w:p>
        </w:tc>
        <w:tc>
          <w:tcPr>
            <w:tcW w:w="1994" w:type="dxa"/>
            <w:gridSpan w:val="2"/>
            <w:shd w:val="clear" w:color="000000" w:fill="FFFFFF"/>
            <w:noWrap w:val="0"/>
            <w:tcMar>
              <w:left w:w="108" w:type="dxa"/>
              <w:right w:w="108" w:type="dxa"/>
            </w:tcMar>
            <w:vAlign w:val="center"/>
          </w:tcPr>
          <w:p w14:paraId="64EF6556">
            <w:pPr>
              <w:jc w:val="center"/>
              <w:rPr>
                <w:rFonts w:hint="eastAsia" w:ascii="宋体" w:hAnsi="宋体" w:eastAsia="宋体" w:cs="宋体"/>
                <w:color w:val="auto"/>
                <w:sz w:val="20"/>
                <w:highlight w:val="none"/>
              </w:rPr>
            </w:pPr>
          </w:p>
        </w:tc>
        <w:tc>
          <w:tcPr>
            <w:tcW w:w="1625" w:type="dxa"/>
            <w:shd w:val="clear" w:color="000000" w:fill="FFFFFF"/>
            <w:noWrap w:val="0"/>
            <w:tcMar>
              <w:left w:w="108" w:type="dxa"/>
              <w:right w:w="108" w:type="dxa"/>
            </w:tcMar>
            <w:vAlign w:val="center"/>
          </w:tcPr>
          <w:p w14:paraId="2C62D6CD">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接收时间：</w:t>
            </w:r>
          </w:p>
        </w:tc>
        <w:tc>
          <w:tcPr>
            <w:tcW w:w="3282" w:type="dxa"/>
            <w:gridSpan w:val="3"/>
            <w:shd w:val="clear" w:color="000000" w:fill="FFFFFF"/>
            <w:noWrap w:val="0"/>
            <w:tcMar>
              <w:left w:w="108" w:type="dxa"/>
              <w:right w:w="108" w:type="dxa"/>
            </w:tcMar>
            <w:vAlign w:val="center"/>
          </w:tcPr>
          <w:p w14:paraId="41E5D9AB">
            <w:pPr>
              <w:ind w:firstLine="600" w:firstLineChars="30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年   月   日   时  分</w:t>
            </w:r>
          </w:p>
        </w:tc>
      </w:tr>
      <w:tr w14:paraId="45B82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90" w:hRule="atLeast"/>
        </w:trPr>
        <w:tc>
          <w:tcPr>
            <w:tcW w:w="2207" w:type="dxa"/>
            <w:gridSpan w:val="2"/>
            <w:shd w:val="clear" w:color="000000" w:fill="FFFFFF"/>
            <w:noWrap w:val="0"/>
            <w:tcMar>
              <w:left w:w="108" w:type="dxa"/>
              <w:right w:w="108" w:type="dxa"/>
            </w:tcMar>
            <w:vAlign w:val="center"/>
          </w:tcPr>
          <w:p w14:paraId="0359AF54">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退还原件接收人(投标人)：</w:t>
            </w:r>
          </w:p>
        </w:tc>
        <w:tc>
          <w:tcPr>
            <w:tcW w:w="1994" w:type="dxa"/>
            <w:gridSpan w:val="2"/>
            <w:shd w:val="clear" w:color="000000" w:fill="FFFFFF"/>
            <w:noWrap w:val="0"/>
            <w:tcMar>
              <w:left w:w="108" w:type="dxa"/>
              <w:right w:w="108" w:type="dxa"/>
            </w:tcMar>
            <w:vAlign w:val="center"/>
          </w:tcPr>
          <w:p w14:paraId="77E741D3">
            <w:pPr>
              <w:jc w:val="center"/>
              <w:rPr>
                <w:rFonts w:hint="eastAsia" w:ascii="宋体" w:hAnsi="宋体" w:eastAsia="宋体" w:cs="宋体"/>
                <w:color w:val="auto"/>
                <w:sz w:val="20"/>
                <w:highlight w:val="none"/>
              </w:rPr>
            </w:pPr>
          </w:p>
        </w:tc>
        <w:tc>
          <w:tcPr>
            <w:tcW w:w="1625" w:type="dxa"/>
            <w:shd w:val="clear" w:color="000000" w:fill="FFFFFF"/>
            <w:noWrap w:val="0"/>
            <w:tcMar>
              <w:left w:w="108" w:type="dxa"/>
              <w:right w:w="108" w:type="dxa"/>
            </w:tcMar>
            <w:vAlign w:val="center"/>
          </w:tcPr>
          <w:p w14:paraId="115DC5D1">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退还时间：</w:t>
            </w:r>
          </w:p>
        </w:tc>
        <w:tc>
          <w:tcPr>
            <w:tcW w:w="3282" w:type="dxa"/>
            <w:gridSpan w:val="3"/>
            <w:shd w:val="clear" w:color="000000" w:fill="FFFFFF"/>
            <w:noWrap w:val="0"/>
            <w:tcMar>
              <w:left w:w="108" w:type="dxa"/>
              <w:right w:w="108" w:type="dxa"/>
            </w:tcMar>
            <w:vAlign w:val="center"/>
          </w:tcPr>
          <w:p w14:paraId="01FC9EBC">
            <w:pPr>
              <w:ind w:firstLine="600" w:firstLineChars="30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年   月   日   时   分</w:t>
            </w:r>
          </w:p>
        </w:tc>
      </w:tr>
    </w:tbl>
    <w:p w14:paraId="79F98C6B">
      <w:pPr>
        <w:pStyle w:val="75"/>
        <w:widowControl w:val="0"/>
        <w:wordWrap w:val="0"/>
        <w:adjustRightInd w:val="0"/>
        <w:snapToGrid w:val="0"/>
        <w:spacing w:line="400" w:lineRule="exact"/>
        <w:rPr>
          <w:rFonts w:hint="eastAsia" w:ascii="宋体" w:hAnsi="宋体" w:eastAsia="宋体" w:cs="宋体"/>
          <w:snapToGrid w:val="0"/>
          <w:color w:val="auto"/>
          <w:sz w:val="21"/>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36FA6E8B">
      <w:pPr>
        <w:pStyle w:val="2"/>
        <w:wordWrap w:val="0"/>
        <w:autoSpaceDE/>
        <w:autoSpaceDN/>
        <w:snapToGrid w:val="0"/>
        <w:spacing w:line="440" w:lineRule="exact"/>
        <w:jc w:val="center"/>
        <w:rPr>
          <w:rFonts w:hint="eastAsia" w:ascii="宋体" w:hAnsi="宋体" w:eastAsia="宋体" w:cs="宋体"/>
          <w:b/>
          <w:snapToGrid w:val="0"/>
          <w:color w:val="auto"/>
          <w:sz w:val="24"/>
          <w:highlight w:val="none"/>
        </w:rPr>
      </w:pPr>
      <w:bookmarkStart w:id="369" w:name="_Toc13959"/>
      <w:bookmarkStart w:id="370" w:name="_Toc17586"/>
      <w:r>
        <w:rPr>
          <w:rFonts w:hint="eastAsia" w:ascii="宋体" w:hAnsi="宋体" w:eastAsia="宋体" w:cs="宋体"/>
          <w:b/>
          <w:snapToGrid w:val="0"/>
          <w:color w:val="auto"/>
          <w:sz w:val="24"/>
          <w:highlight w:val="none"/>
        </w:rPr>
        <w:t>第七章 建设工程施工合同</w:t>
      </w:r>
      <w:bookmarkEnd w:id="362"/>
      <w:bookmarkEnd w:id="363"/>
      <w:bookmarkEnd w:id="364"/>
      <w:bookmarkEnd w:id="365"/>
      <w:bookmarkEnd w:id="366"/>
      <w:bookmarkEnd w:id="369"/>
      <w:bookmarkEnd w:id="370"/>
    </w:p>
    <w:p w14:paraId="0A013BA5">
      <w:pPr>
        <w:wordWrap w:val="0"/>
        <w:adjustRightInd w:val="0"/>
        <w:snapToGrid w:val="0"/>
        <w:spacing w:line="440" w:lineRule="exact"/>
        <w:rPr>
          <w:rFonts w:hint="eastAsia" w:ascii="宋体" w:hAnsi="宋体" w:eastAsia="宋体" w:cs="宋体"/>
          <w:snapToGrid w:val="0"/>
          <w:color w:val="auto"/>
          <w:kern w:val="0"/>
          <w:highlight w:val="none"/>
        </w:rPr>
      </w:pPr>
    </w:p>
    <w:p w14:paraId="33681202">
      <w:pPr>
        <w:wordWrap w:val="0"/>
        <w:adjustRightInd w:val="0"/>
        <w:snapToGrid w:val="0"/>
        <w:spacing w:line="440" w:lineRule="exac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（略），</w:t>
      </w:r>
      <w:bookmarkEnd w:id="367"/>
      <w:bookmarkEnd w:id="368"/>
      <w:r>
        <w:rPr>
          <w:rFonts w:hint="eastAsia" w:ascii="宋体" w:hAnsi="宋体" w:eastAsia="宋体" w:cs="宋体"/>
          <w:snapToGrid w:val="0"/>
          <w:color w:val="auto"/>
          <w:kern w:val="0"/>
          <w:highlight w:val="none"/>
        </w:rPr>
        <w:t>按《广东省建设工程标准施工合同》（2009年版）或《建设工程施工合同（示范文本）》（GF—2017—0201）执行。</w:t>
      </w:r>
    </w:p>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F"/>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769D89">
    <w:pPr>
      <w:pStyle w:val="20"/>
      <w:pBdr>
        <w:between w:val="none" w:color="auto" w:sz="0" w:space="0"/>
      </w:pBdr>
      <w:rPr>
        <w:rFonts w:hint="eastAsia"/>
      </w:rPr>
    </w:pPr>
  </w:p>
  <w:p w14:paraId="4472F7EC">
    <w:pPr>
      <w:pStyle w:val="20"/>
      <w:pBdr>
        <w:between w:val="none" w:color="auto" w:sz="0" w:space="0"/>
      </w:pBd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1759D6">
    <w:pPr>
      <w:pStyle w:val="20"/>
      <w:pBdr>
        <w:between w:val="none" w:color="auto" w:sz="0" w:space="0"/>
      </w:pBd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26C9EB6">
                          <w:pPr>
                            <w:pStyle w:val="20"/>
                            <w:rPr>
                              <w:rFonts w:hint="eastAsia"/>
                            </w:rPr>
                          </w:pPr>
                          <w:r>
                            <w:rPr>
                              <w:rFonts w:hint="eastAsia" w:ascii="Times New Roman"/>
                              <w:sz w:val="21"/>
                            </w:rPr>
                            <w:t>—</w:t>
                          </w:r>
                          <w:r>
                            <w:rPr>
                              <w:rFonts w:hint="eastAsia" w:ascii="宋体" w:hAnsi="宋体" w:eastAsia="宋体" w:cs="宋体"/>
                              <w:sz w:val="21"/>
                            </w:rPr>
                            <w:fldChar w:fldCharType="begin"/>
                          </w:r>
                          <w:r>
                            <w:rPr>
                              <w:rFonts w:hint="eastAsia" w:ascii="宋体" w:hAnsi="宋体" w:eastAsia="宋体" w:cs="宋体"/>
                              <w:sz w:val="21"/>
                            </w:rPr>
                            <w:instrText xml:space="preserve"> PAGE  \* MERGEFORMAT </w:instrText>
                          </w:r>
                          <w:r>
                            <w:rPr>
                              <w:rFonts w:hint="eastAsia" w:ascii="宋体" w:hAnsi="宋体" w:eastAsia="宋体" w:cs="宋体"/>
                              <w:sz w:val="21"/>
                            </w:rPr>
                            <w:fldChar w:fldCharType="separate"/>
                          </w:r>
                          <w:r>
                            <w:rPr>
                              <w:rFonts w:hint="eastAsia" w:ascii="宋体" w:hAnsi="宋体" w:eastAsia="宋体" w:cs="宋体"/>
                            </w:rPr>
                            <w:t>54</w:t>
                          </w:r>
                          <w:r>
                            <w:rPr>
                              <w:rFonts w:hint="eastAsia" w:ascii="宋体" w:hAnsi="宋体" w:eastAsia="宋体" w:cs="宋体"/>
                              <w:sz w:val="21"/>
                            </w:rPr>
                            <w:fldChar w:fldCharType="end"/>
                          </w:r>
                          <w:r>
                            <w:rPr>
                              <w:rFonts w:hint="eastAsia" w:ascii="Times New Roman"/>
                              <w:sz w:val="21"/>
                            </w:rPr>
                            <w:t>—</w:t>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2tjnsoBAACaAwAADgAAAGRycy9lMm9Eb2MueG1srVPNjtMwEL4j8Q6W&#10;79TZrgRV1HS1qFqEhABp4QFcx24s+U8et0lfAN6AExfuPFefg7GTdGG57GEvznhm/M1830zWN4M1&#10;5CgjaO8aerWoKJFO+Fa7fUO/frl7taIEEnctN97Jhp4k0JvNyxfrPtRy6TtvWhkJgjio+9DQLqVQ&#10;Mwaik5bDwgfpMKh8tDzhNe5ZG3mP6NawZVW9Zr2PbYheSAD0bscgnRDjUwC9UlrIrRcHK10aUaM0&#10;PCEl6HQAuindKiVF+qQUyERMQ5FpKicWQXuXT7ZZ83ofeei0mFrgT2nhESfLtcOiF6gtT5wcov4P&#10;ymoRPXiVFsJbNhIpiiCLq+qRNvcdD7JwQakhXESH54MVH4+fI9FtQ6/fUOK4xYmff3w///x9/vWN&#10;XGd9+gA1pt0HTEzDWz/g1sx+QGemPaho8xcJEYyjuqeLunJIRORHq+VqVWFIYGy+ID57eB4ipHfS&#10;W5KNhkYcX1GVHz9AGlPnlFzN+TttTBmhcf84EDN7WO597DFbadgNE6Gdb0/Ip8fJN9TholNi3jsU&#10;Ni/JbMTZ2M3GIUS978oW5XoQbg8Jmyi95Qoj7FQYR1bYTeuVd+Lve8l6+KU2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o2tjnsoBAACaAwAADgAAAAAAAAABACAAAAAeAQAAZHJzL2Uyb0Rv&#10;Yy54bWxQSwUGAAAAAAYABgBZAQAAWgUAAAAA&#10;">
              <v:fill on="f" focussize="0,0"/>
              <v:stroke on="f"/>
              <v:imagedata o:title=""/>
              <o:lock v:ext="edit" aspectratio="f"/>
              <v:textbox inset="0mm,0mm,0mm,0mm" style="mso-fit-shape-to-text:t;">
                <w:txbxContent>
                  <w:p w14:paraId="726C9EB6">
                    <w:pPr>
                      <w:pStyle w:val="20"/>
                      <w:rPr>
                        <w:rFonts w:hint="eastAsia"/>
                      </w:rPr>
                    </w:pPr>
                    <w:r>
                      <w:rPr>
                        <w:rFonts w:hint="eastAsia" w:ascii="Times New Roman"/>
                        <w:sz w:val="21"/>
                      </w:rPr>
                      <w:t>—</w:t>
                    </w:r>
                    <w:r>
                      <w:rPr>
                        <w:rFonts w:hint="eastAsia" w:ascii="宋体" w:hAnsi="宋体" w:eastAsia="宋体" w:cs="宋体"/>
                        <w:sz w:val="21"/>
                      </w:rPr>
                      <w:fldChar w:fldCharType="begin"/>
                    </w:r>
                    <w:r>
                      <w:rPr>
                        <w:rFonts w:hint="eastAsia" w:ascii="宋体" w:hAnsi="宋体" w:eastAsia="宋体" w:cs="宋体"/>
                        <w:sz w:val="21"/>
                      </w:rPr>
                      <w:instrText xml:space="preserve"> PAGE  \* MERGEFORMAT </w:instrText>
                    </w:r>
                    <w:r>
                      <w:rPr>
                        <w:rFonts w:hint="eastAsia" w:ascii="宋体" w:hAnsi="宋体" w:eastAsia="宋体" w:cs="宋体"/>
                        <w:sz w:val="21"/>
                      </w:rPr>
                      <w:fldChar w:fldCharType="separate"/>
                    </w:r>
                    <w:r>
                      <w:rPr>
                        <w:rFonts w:hint="eastAsia" w:ascii="宋体" w:hAnsi="宋体" w:eastAsia="宋体" w:cs="宋体"/>
                      </w:rPr>
                      <w:t>54</w:t>
                    </w:r>
                    <w:r>
                      <w:rPr>
                        <w:rFonts w:hint="eastAsia" w:ascii="宋体" w:hAnsi="宋体" w:eastAsia="宋体" w:cs="宋体"/>
                        <w:sz w:val="21"/>
                      </w:rPr>
                      <w:fldChar w:fldCharType="end"/>
                    </w:r>
                    <w:r>
                      <w:rPr>
                        <w:rFonts w:hint="eastAsia" w:ascii="Times New Roman"/>
                        <w:sz w:val="21"/>
                      </w:rPr>
                      <w: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hyphenationZone w:val="360"/>
  <w:drawingGridHorizontalSpacing w:val="240"/>
  <w:drawingGridVerticalSpacing w:val="164"/>
  <w:displayHorizontalDrawingGridEvery w:val="1"/>
  <w:displayVerticalDrawingGridEvery w:val="1"/>
  <w:doNotShadeFormData w:val="1"/>
  <w:noPunctuationKerning w:val="1"/>
  <w:characterSpacingControl w:val="compressPunctuation"/>
  <w:doNotValidateAgainstSchema/>
  <w:doNotDemarcateInvalidXml/>
  <w:hdrShapeDefaults>
    <o:shapelayout v:ext="edit">
      <o:idmap v:ext="edit" data="1"/>
    </o:shapelayout>
  </w:hdrShapeDefaults>
  <w:footnotePr>
    <w:footnote w:id="0"/>
    <w:footnote w:id="1"/>
  </w:footnotePr>
  <w:endnotePr>
    <w:numFmt w:val="decimal"/>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AwMjY2NzBhZWQ3Zjc5NDdhZTU5NDg5NTA0ZGM3N2UifQ=="/>
    <w:docVar w:name="KSO_WPS_MARK_KEY" w:val="339fc04a-30c4-466d-ab1a-b9d928989bea"/>
  </w:docVars>
  <w:rsids>
    <w:rsidRoot w:val="00172A27"/>
    <w:rsid w:val="000813CE"/>
    <w:rsid w:val="00156E02"/>
    <w:rsid w:val="001740E2"/>
    <w:rsid w:val="00204CA9"/>
    <w:rsid w:val="00253E2F"/>
    <w:rsid w:val="004804C4"/>
    <w:rsid w:val="00485BD6"/>
    <w:rsid w:val="004A677C"/>
    <w:rsid w:val="005D2C6E"/>
    <w:rsid w:val="00662AF1"/>
    <w:rsid w:val="00735061"/>
    <w:rsid w:val="00783750"/>
    <w:rsid w:val="008859E0"/>
    <w:rsid w:val="008B6453"/>
    <w:rsid w:val="00947E79"/>
    <w:rsid w:val="00976E7B"/>
    <w:rsid w:val="009E1A7B"/>
    <w:rsid w:val="009E7023"/>
    <w:rsid w:val="009F585C"/>
    <w:rsid w:val="00C4516D"/>
    <w:rsid w:val="00D5717A"/>
    <w:rsid w:val="01065CF6"/>
    <w:rsid w:val="011A0428"/>
    <w:rsid w:val="011F3697"/>
    <w:rsid w:val="01635D69"/>
    <w:rsid w:val="01D953BA"/>
    <w:rsid w:val="020227A1"/>
    <w:rsid w:val="021717B9"/>
    <w:rsid w:val="02227179"/>
    <w:rsid w:val="02FC76B4"/>
    <w:rsid w:val="03315C3D"/>
    <w:rsid w:val="034C6D1C"/>
    <w:rsid w:val="035B58E7"/>
    <w:rsid w:val="03D006DB"/>
    <w:rsid w:val="04061CFF"/>
    <w:rsid w:val="041025A8"/>
    <w:rsid w:val="041341B1"/>
    <w:rsid w:val="04EB042F"/>
    <w:rsid w:val="05235E1B"/>
    <w:rsid w:val="05533E9B"/>
    <w:rsid w:val="05717EE4"/>
    <w:rsid w:val="057E6B27"/>
    <w:rsid w:val="06127454"/>
    <w:rsid w:val="065C6C4B"/>
    <w:rsid w:val="066300E8"/>
    <w:rsid w:val="06A32407"/>
    <w:rsid w:val="06C4753C"/>
    <w:rsid w:val="06CC5B3F"/>
    <w:rsid w:val="07031B00"/>
    <w:rsid w:val="072C105E"/>
    <w:rsid w:val="07311844"/>
    <w:rsid w:val="0732071C"/>
    <w:rsid w:val="076B1CFB"/>
    <w:rsid w:val="07852DBD"/>
    <w:rsid w:val="07982AEC"/>
    <w:rsid w:val="07D62FDE"/>
    <w:rsid w:val="082A5712"/>
    <w:rsid w:val="0837398B"/>
    <w:rsid w:val="08472853"/>
    <w:rsid w:val="0878647D"/>
    <w:rsid w:val="08D32CA6"/>
    <w:rsid w:val="08DB54AE"/>
    <w:rsid w:val="09573962"/>
    <w:rsid w:val="0957416C"/>
    <w:rsid w:val="09AA019F"/>
    <w:rsid w:val="09CE23B5"/>
    <w:rsid w:val="0A0A7E5D"/>
    <w:rsid w:val="0A345888"/>
    <w:rsid w:val="0A860745"/>
    <w:rsid w:val="0ADD2F10"/>
    <w:rsid w:val="0B112BB9"/>
    <w:rsid w:val="0B337C85"/>
    <w:rsid w:val="0B3F61A8"/>
    <w:rsid w:val="0B426AEA"/>
    <w:rsid w:val="0B4B1C27"/>
    <w:rsid w:val="0B957346"/>
    <w:rsid w:val="0B9D0C4F"/>
    <w:rsid w:val="0BAB2723"/>
    <w:rsid w:val="0BAF665A"/>
    <w:rsid w:val="0C264F0A"/>
    <w:rsid w:val="0C473915"/>
    <w:rsid w:val="0C5965C6"/>
    <w:rsid w:val="0C6F50D1"/>
    <w:rsid w:val="0C982D80"/>
    <w:rsid w:val="0CAD246E"/>
    <w:rsid w:val="0CC207F1"/>
    <w:rsid w:val="0CE56967"/>
    <w:rsid w:val="0D161723"/>
    <w:rsid w:val="0D1C34B4"/>
    <w:rsid w:val="0D366D45"/>
    <w:rsid w:val="0D4232B6"/>
    <w:rsid w:val="0D53151A"/>
    <w:rsid w:val="0DB20DDC"/>
    <w:rsid w:val="0DC04DCE"/>
    <w:rsid w:val="0E054EB6"/>
    <w:rsid w:val="0E1919B2"/>
    <w:rsid w:val="0E9B7F81"/>
    <w:rsid w:val="0EA35515"/>
    <w:rsid w:val="0EAD2C13"/>
    <w:rsid w:val="0F427539"/>
    <w:rsid w:val="0F8B63BB"/>
    <w:rsid w:val="0F933B9D"/>
    <w:rsid w:val="0FB5646C"/>
    <w:rsid w:val="0FD6408A"/>
    <w:rsid w:val="10162E29"/>
    <w:rsid w:val="101B48E8"/>
    <w:rsid w:val="10223C6A"/>
    <w:rsid w:val="102739F7"/>
    <w:rsid w:val="10336C65"/>
    <w:rsid w:val="1055163A"/>
    <w:rsid w:val="10637A6B"/>
    <w:rsid w:val="10817DC1"/>
    <w:rsid w:val="10B416E8"/>
    <w:rsid w:val="10C42F37"/>
    <w:rsid w:val="10CD6A2A"/>
    <w:rsid w:val="10DF5DAE"/>
    <w:rsid w:val="10E70644"/>
    <w:rsid w:val="11024F3F"/>
    <w:rsid w:val="114C494B"/>
    <w:rsid w:val="11934328"/>
    <w:rsid w:val="11C404D9"/>
    <w:rsid w:val="123635C4"/>
    <w:rsid w:val="124226EB"/>
    <w:rsid w:val="129920B1"/>
    <w:rsid w:val="12A80195"/>
    <w:rsid w:val="12C12CBB"/>
    <w:rsid w:val="135F0966"/>
    <w:rsid w:val="138B03FE"/>
    <w:rsid w:val="14060DE1"/>
    <w:rsid w:val="149D77CF"/>
    <w:rsid w:val="15226C56"/>
    <w:rsid w:val="153C6A85"/>
    <w:rsid w:val="153E45AB"/>
    <w:rsid w:val="15B42ABF"/>
    <w:rsid w:val="15C12761"/>
    <w:rsid w:val="160F6D81"/>
    <w:rsid w:val="162B0E39"/>
    <w:rsid w:val="163E52CD"/>
    <w:rsid w:val="16465E0D"/>
    <w:rsid w:val="16825090"/>
    <w:rsid w:val="16B20DAC"/>
    <w:rsid w:val="16DD6444"/>
    <w:rsid w:val="16F17BE3"/>
    <w:rsid w:val="1751770F"/>
    <w:rsid w:val="179A65EF"/>
    <w:rsid w:val="17B95607"/>
    <w:rsid w:val="183C2959"/>
    <w:rsid w:val="184719C8"/>
    <w:rsid w:val="18534570"/>
    <w:rsid w:val="18A80D52"/>
    <w:rsid w:val="18C36995"/>
    <w:rsid w:val="18FF1058"/>
    <w:rsid w:val="193A1629"/>
    <w:rsid w:val="1986632D"/>
    <w:rsid w:val="19C37774"/>
    <w:rsid w:val="1A232E93"/>
    <w:rsid w:val="1A3D3083"/>
    <w:rsid w:val="1A556A4F"/>
    <w:rsid w:val="1A6554FA"/>
    <w:rsid w:val="1A9F7572"/>
    <w:rsid w:val="1AE6196C"/>
    <w:rsid w:val="1AF5570C"/>
    <w:rsid w:val="1B21189C"/>
    <w:rsid w:val="1B9D1DD5"/>
    <w:rsid w:val="1BF06998"/>
    <w:rsid w:val="1C5635D6"/>
    <w:rsid w:val="1C744DB0"/>
    <w:rsid w:val="1C7562B0"/>
    <w:rsid w:val="1D141CAC"/>
    <w:rsid w:val="1D55171C"/>
    <w:rsid w:val="1D69459E"/>
    <w:rsid w:val="1D742D80"/>
    <w:rsid w:val="1DB02AA1"/>
    <w:rsid w:val="1DE1641B"/>
    <w:rsid w:val="1E76451C"/>
    <w:rsid w:val="1ECB21F4"/>
    <w:rsid w:val="1F26151A"/>
    <w:rsid w:val="1F6F04E9"/>
    <w:rsid w:val="1F8F29A7"/>
    <w:rsid w:val="1FB73684"/>
    <w:rsid w:val="1FDA10C4"/>
    <w:rsid w:val="2036210F"/>
    <w:rsid w:val="206E2053"/>
    <w:rsid w:val="20713F99"/>
    <w:rsid w:val="207B66B3"/>
    <w:rsid w:val="21224762"/>
    <w:rsid w:val="218A22F4"/>
    <w:rsid w:val="218D0B38"/>
    <w:rsid w:val="2192066D"/>
    <w:rsid w:val="219569C3"/>
    <w:rsid w:val="21DB149C"/>
    <w:rsid w:val="21F25DE8"/>
    <w:rsid w:val="226B1A58"/>
    <w:rsid w:val="226C0772"/>
    <w:rsid w:val="227E0643"/>
    <w:rsid w:val="228A7CE8"/>
    <w:rsid w:val="230C3197"/>
    <w:rsid w:val="23381CEE"/>
    <w:rsid w:val="234E0189"/>
    <w:rsid w:val="23713D9D"/>
    <w:rsid w:val="23E9602A"/>
    <w:rsid w:val="23FD1838"/>
    <w:rsid w:val="24132B71"/>
    <w:rsid w:val="24962A42"/>
    <w:rsid w:val="24BA4892"/>
    <w:rsid w:val="24EF141E"/>
    <w:rsid w:val="25236495"/>
    <w:rsid w:val="254A2AF8"/>
    <w:rsid w:val="25A16BBC"/>
    <w:rsid w:val="25C04D26"/>
    <w:rsid w:val="25CD411B"/>
    <w:rsid w:val="26393298"/>
    <w:rsid w:val="26526878"/>
    <w:rsid w:val="26730090"/>
    <w:rsid w:val="26A5092E"/>
    <w:rsid w:val="26D43BC6"/>
    <w:rsid w:val="26DC6022"/>
    <w:rsid w:val="27001050"/>
    <w:rsid w:val="270B2978"/>
    <w:rsid w:val="27303202"/>
    <w:rsid w:val="28096C9A"/>
    <w:rsid w:val="286E29AA"/>
    <w:rsid w:val="28BE4088"/>
    <w:rsid w:val="29135C0E"/>
    <w:rsid w:val="29421D31"/>
    <w:rsid w:val="299F64A8"/>
    <w:rsid w:val="2A251746"/>
    <w:rsid w:val="2AC27A05"/>
    <w:rsid w:val="2B4166E9"/>
    <w:rsid w:val="2BDD46C6"/>
    <w:rsid w:val="2BFE4F67"/>
    <w:rsid w:val="2C0B1A81"/>
    <w:rsid w:val="2C183670"/>
    <w:rsid w:val="2C290723"/>
    <w:rsid w:val="2C4D3FF3"/>
    <w:rsid w:val="2C4F43C7"/>
    <w:rsid w:val="2C724190"/>
    <w:rsid w:val="2D38581D"/>
    <w:rsid w:val="2D4B4E2D"/>
    <w:rsid w:val="2D51162C"/>
    <w:rsid w:val="2D79041E"/>
    <w:rsid w:val="2D973D96"/>
    <w:rsid w:val="2DAD3E66"/>
    <w:rsid w:val="2DF51B3E"/>
    <w:rsid w:val="2E1D2B43"/>
    <w:rsid w:val="2E204C18"/>
    <w:rsid w:val="2E2F0ABD"/>
    <w:rsid w:val="2E6B5FB9"/>
    <w:rsid w:val="2E7D4319"/>
    <w:rsid w:val="2F2F348A"/>
    <w:rsid w:val="2F3C5BA7"/>
    <w:rsid w:val="2F3E191F"/>
    <w:rsid w:val="2F896F93"/>
    <w:rsid w:val="2FDA63FB"/>
    <w:rsid w:val="30105A39"/>
    <w:rsid w:val="3018665F"/>
    <w:rsid w:val="303074BA"/>
    <w:rsid w:val="30536D05"/>
    <w:rsid w:val="305A2B4D"/>
    <w:rsid w:val="307D4226"/>
    <w:rsid w:val="30B30AAC"/>
    <w:rsid w:val="30B337A6"/>
    <w:rsid w:val="30C222D2"/>
    <w:rsid w:val="30C85944"/>
    <w:rsid w:val="30D501D4"/>
    <w:rsid w:val="31210BB1"/>
    <w:rsid w:val="317433D6"/>
    <w:rsid w:val="31A041CB"/>
    <w:rsid w:val="31D51879"/>
    <w:rsid w:val="31DE6AA2"/>
    <w:rsid w:val="32A63A63"/>
    <w:rsid w:val="32BE2779"/>
    <w:rsid w:val="32D305D1"/>
    <w:rsid w:val="33182487"/>
    <w:rsid w:val="33266BDE"/>
    <w:rsid w:val="33377574"/>
    <w:rsid w:val="33557238"/>
    <w:rsid w:val="34117689"/>
    <w:rsid w:val="342C1BED"/>
    <w:rsid w:val="34437F20"/>
    <w:rsid w:val="352D168F"/>
    <w:rsid w:val="35586B6B"/>
    <w:rsid w:val="35812CF5"/>
    <w:rsid w:val="35EA0C71"/>
    <w:rsid w:val="35F15BE6"/>
    <w:rsid w:val="35F55F65"/>
    <w:rsid w:val="360A3E4F"/>
    <w:rsid w:val="361C403D"/>
    <w:rsid w:val="36211653"/>
    <w:rsid w:val="362700CC"/>
    <w:rsid w:val="36436AD9"/>
    <w:rsid w:val="365B7948"/>
    <w:rsid w:val="36653C36"/>
    <w:rsid w:val="369F1D0C"/>
    <w:rsid w:val="36F80606"/>
    <w:rsid w:val="36FE3E1F"/>
    <w:rsid w:val="37935F95"/>
    <w:rsid w:val="383D25F2"/>
    <w:rsid w:val="38841C4D"/>
    <w:rsid w:val="389B38FE"/>
    <w:rsid w:val="38BB0C62"/>
    <w:rsid w:val="38EE5BAC"/>
    <w:rsid w:val="38F90665"/>
    <w:rsid w:val="390F3BFF"/>
    <w:rsid w:val="39143A18"/>
    <w:rsid w:val="39387BD3"/>
    <w:rsid w:val="39644BE0"/>
    <w:rsid w:val="398B779E"/>
    <w:rsid w:val="398C62F9"/>
    <w:rsid w:val="39DF5703"/>
    <w:rsid w:val="3A005EB0"/>
    <w:rsid w:val="3A091E3B"/>
    <w:rsid w:val="3A096720"/>
    <w:rsid w:val="3A38094F"/>
    <w:rsid w:val="3A385253"/>
    <w:rsid w:val="3B0D7690"/>
    <w:rsid w:val="3B464036"/>
    <w:rsid w:val="3B5A482F"/>
    <w:rsid w:val="3BAB6E46"/>
    <w:rsid w:val="3BB50377"/>
    <w:rsid w:val="3C501C16"/>
    <w:rsid w:val="3C6B3628"/>
    <w:rsid w:val="3C7F192E"/>
    <w:rsid w:val="3C890B1C"/>
    <w:rsid w:val="3CDC0368"/>
    <w:rsid w:val="3CE82F45"/>
    <w:rsid w:val="3CF27EE4"/>
    <w:rsid w:val="3D142020"/>
    <w:rsid w:val="3D90085D"/>
    <w:rsid w:val="3D934BE4"/>
    <w:rsid w:val="3DA821F1"/>
    <w:rsid w:val="3DCE34F0"/>
    <w:rsid w:val="3DE93F38"/>
    <w:rsid w:val="3DFA3EDF"/>
    <w:rsid w:val="3E3642DC"/>
    <w:rsid w:val="3E94568C"/>
    <w:rsid w:val="3EF77497"/>
    <w:rsid w:val="3F47212A"/>
    <w:rsid w:val="3F95226A"/>
    <w:rsid w:val="3FBB5D0C"/>
    <w:rsid w:val="3FC61702"/>
    <w:rsid w:val="40295CD4"/>
    <w:rsid w:val="40876255"/>
    <w:rsid w:val="408847A8"/>
    <w:rsid w:val="414836DE"/>
    <w:rsid w:val="4173714A"/>
    <w:rsid w:val="41EC0D67"/>
    <w:rsid w:val="42240113"/>
    <w:rsid w:val="42783DA7"/>
    <w:rsid w:val="42A4461E"/>
    <w:rsid w:val="42B526FB"/>
    <w:rsid w:val="42DE3A88"/>
    <w:rsid w:val="42E020F1"/>
    <w:rsid w:val="432F1B40"/>
    <w:rsid w:val="435A387A"/>
    <w:rsid w:val="4415344F"/>
    <w:rsid w:val="44250560"/>
    <w:rsid w:val="4439334D"/>
    <w:rsid w:val="4484172B"/>
    <w:rsid w:val="44A818BD"/>
    <w:rsid w:val="44C90CE4"/>
    <w:rsid w:val="44F3240C"/>
    <w:rsid w:val="45307B43"/>
    <w:rsid w:val="454E4597"/>
    <w:rsid w:val="458B507A"/>
    <w:rsid w:val="45CE4402"/>
    <w:rsid w:val="45D16987"/>
    <w:rsid w:val="462C48A5"/>
    <w:rsid w:val="4666543F"/>
    <w:rsid w:val="46830038"/>
    <w:rsid w:val="46A3216A"/>
    <w:rsid w:val="46B20A58"/>
    <w:rsid w:val="46BD7176"/>
    <w:rsid w:val="46C4592F"/>
    <w:rsid w:val="4759106A"/>
    <w:rsid w:val="477D10DD"/>
    <w:rsid w:val="47D51828"/>
    <w:rsid w:val="48CB6044"/>
    <w:rsid w:val="48D507A7"/>
    <w:rsid w:val="491F2342"/>
    <w:rsid w:val="493C6C84"/>
    <w:rsid w:val="49516671"/>
    <w:rsid w:val="49ED3E05"/>
    <w:rsid w:val="4A2C1F1B"/>
    <w:rsid w:val="4A2D0433"/>
    <w:rsid w:val="4A6D370F"/>
    <w:rsid w:val="4A927004"/>
    <w:rsid w:val="4AA462C2"/>
    <w:rsid w:val="4AB17999"/>
    <w:rsid w:val="4AD17C6A"/>
    <w:rsid w:val="4ADD673C"/>
    <w:rsid w:val="4AFD42C5"/>
    <w:rsid w:val="4BEC431A"/>
    <w:rsid w:val="4C26753E"/>
    <w:rsid w:val="4C7D6B0F"/>
    <w:rsid w:val="4C83676C"/>
    <w:rsid w:val="4CEE1D65"/>
    <w:rsid w:val="4CF54FD3"/>
    <w:rsid w:val="4CFB6302"/>
    <w:rsid w:val="4D0D7455"/>
    <w:rsid w:val="4D184DDC"/>
    <w:rsid w:val="4D305F93"/>
    <w:rsid w:val="4DCB3F26"/>
    <w:rsid w:val="4DE60D60"/>
    <w:rsid w:val="4DE906B8"/>
    <w:rsid w:val="4E034506"/>
    <w:rsid w:val="4E9D3A56"/>
    <w:rsid w:val="4ED06ACC"/>
    <w:rsid w:val="4EF11423"/>
    <w:rsid w:val="4F9D61B1"/>
    <w:rsid w:val="500A476B"/>
    <w:rsid w:val="50154140"/>
    <w:rsid w:val="501B7800"/>
    <w:rsid w:val="5076449B"/>
    <w:rsid w:val="511424B5"/>
    <w:rsid w:val="5167777C"/>
    <w:rsid w:val="51E341EA"/>
    <w:rsid w:val="51EE072E"/>
    <w:rsid w:val="521F6F37"/>
    <w:rsid w:val="52831CC6"/>
    <w:rsid w:val="52DD4AA0"/>
    <w:rsid w:val="53334E5E"/>
    <w:rsid w:val="53414F13"/>
    <w:rsid w:val="53C02167"/>
    <w:rsid w:val="53EC2E48"/>
    <w:rsid w:val="545A2A0D"/>
    <w:rsid w:val="54DB6CF8"/>
    <w:rsid w:val="550860CF"/>
    <w:rsid w:val="553053B0"/>
    <w:rsid w:val="55490F06"/>
    <w:rsid w:val="558419F7"/>
    <w:rsid w:val="55843DEA"/>
    <w:rsid w:val="565572D8"/>
    <w:rsid w:val="56B87FEA"/>
    <w:rsid w:val="571C57F3"/>
    <w:rsid w:val="577E6AC5"/>
    <w:rsid w:val="57ED15F0"/>
    <w:rsid w:val="587F6039"/>
    <w:rsid w:val="58CF6A0F"/>
    <w:rsid w:val="58E30CBE"/>
    <w:rsid w:val="59326E77"/>
    <w:rsid w:val="59A63D9B"/>
    <w:rsid w:val="59BE7B1D"/>
    <w:rsid w:val="59C53DD7"/>
    <w:rsid w:val="59CD3A40"/>
    <w:rsid w:val="59D61BA3"/>
    <w:rsid w:val="5A9A7FEA"/>
    <w:rsid w:val="5AD7215D"/>
    <w:rsid w:val="5B8272E2"/>
    <w:rsid w:val="5BA1515F"/>
    <w:rsid w:val="5BBB26A2"/>
    <w:rsid w:val="5C8A5924"/>
    <w:rsid w:val="5CD361A8"/>
    <w:rsid w:val="5CE45E53"/>
    <w:rsid w:val="5CED5785"/>
    <w:rsid w:val="5CF35248"/>
    <w:rsid w:val="5CFA7B59"/>
    <w:rsid w:val="5D081B2B"/>
    <w:rsid w:val="5D7E531B"/>
    <w:rsid w:val="5DB9003E"/>
    <w:rsid w:val="5DDF1B27"/>
    <w:rsid w:val="5DFF4CA0"/>
    <w:rsid w:val="5E162F9C"/>
    <w:rsid w:val="5E23390B"/>
    <w:rsid w:val="5E806055"/>
    <w:rsid w:val="5EA252A9"/>
    <w:rsid w:val="5EFC720B"/>
    <w:rsid w:val="5F335282"/>
    <w:rsid w:val="5F456F62"/>
    <w:rsid w:val="5F6850AE"/>
    <w:rsid w:val="5FA338FA"/>
    <w:rsid w:val="5FB971CA"/>
    <w:rsid w:val="5FC15189"/>
    <w:rsid w:val="5FDA7209"/>
    <w:rsid w:val="5FE7724F"/>
    <w:rsid w:val="60304EEA"/>
    <w:rsid w:val="608839CA"/>
    <w:rsid w:val="60E94998"/>
    <w:rsid w:val="61144667"/>
    <w:rsid w:val="61810B92"/>
    <w:rsid w:val="61A134C4"/>
    <w:rsid w:val="61D2232C"/>
    <w:rsid w:val="61EA1238"/>
    <w:rsid w:val="61EE5FDE"/>
    <w:rsid w:val="61FD278D"/>
    <w:rsid w:val="624A6826"/>
    <w:rsid w:val="62650996"/>
    <w:rsid w:val="626E7E8B"/>
    <w:rsid w:val="62EF7FF6"/>
    <w:rsid w:val="636812F3"/>
    <w:rsid w:val="63BB50B2"/>
    <w:rsid w:val="647257A1"/>
    <w:rsid w:val="64BD6E23"/>
    <w:rsid w:val="64E9313E"/>
    <w:rsid w:val="64FE49C2"/>
    <w:rsid w:val="656C0B78"/>
    <w:rsid w:val="657219D1"/>
    <w:rsid w:val="65B348B5"/>
    <w:rsid w:val="660404C6"/>
    <w:rsid w:val="66136878"/>
    <w:rsid w:val="661E19B4"/>
    <w:rsid w:val="662D2233"/>
    <w:rsid w:val="66594E7C"/>
    <w:rsid w:val="66717333"/>
    <w:rsid w:val="66B91619"/>
    <w:rsid w:val="66C043ED"/>
    <w:rsid w:val="66C11F13"/>
    <w:rsid w:val="66E57306"/>
    <w:rsid w:val="670D43FE"/>
    <w:rsid w:val="674622CC"/>
    <w:rsid w:val="674F55EC"/>
    <w:rsid w:val="67553AAB"/>
    <w:rsid w:val="676A713E"/>
    <w:rsid w:val="676F0E01"/>
    <w:rsid w:val="67830574"/>
    <w:rsid w:val="67B176A0"/>
    <w:rsid w:val="67DB2196"/>
    <w:rsid w:val="681D04F5"/>
    <w:rsid w:val="68667456"/>
    <w:rsid w:val="68A76E4E"/>
    <w:rsid w:val="68D97D4B"/>
    <w:rsid w:val="68F8079F"/>
    <w:rsid w:val="6919541B"/>
    <w:rsid w:val="69CA10DE"/>
    <w:rsid w:val="6A090914"/>
    <w:rsid w:val="6A60658C"/>
    <w:rsid w:val="6AF64BE0"/>
    <w:rsid w:val="6B306F2E"/>
    <w:rsid w:val="6BED7202"/>
    <w:rsid w:val="6BF14433"/>
    <w:rsid w:val="6C4C35F0"/>
    <w:rsid w:val="6C986FDB"/>
    <w:rsid w:val="6CC961B8"/>
    <w:rsid w:val="6D390A55"/>
    <w:rsid w:val="6D594D13"/>
    <w:rsid w:val="6D9258E0"/>
    <w:rsid w:val="6DA25CBE"/>
    <w:rsid w:val="6DD24CB8"/>
    <w:rsid w:val="6E385CCB"/>
    <w:rsid w:val="6E3D4575"/>
    <w:rsid w:val="6E4121AE"/>
    <w:rsid w:val="6E435064"/>
    <w:rsid w:val="6E530EB1"/>
    <w:rsid w:val="6E8B56BC"/>
    <w:rsid w:val="6EB45747"/>
    <w:rsid w:val="6EED58A5"/>
    <w:rsid w:val="6F37578E"/>
    <w:rsid w:val="6F8306AD"/>
    <w:rsid w:val="6FA80114"/>
    <w:rsid w:val="703A1840"/>
    <w:rsid w:val="705F3682"/>
    <w:rsid w:val="70B328CC"/>
    <w:rsid w:val="70F7175E"/>
    <w:rsid w:val="70F8517F"/>
    <w:rsid w:val="71540B5A"/>
    <w:rsid w:val="71861FE4"/>
    <w:rsid w:val="71EA67C2"/>
    <w:rsid w:val="71F238C8"/>
    <w:rsid w:val="72702E0F"/>
    <w:rsid w:val="72A43708"/>
    <w:rsid w:val="72D9462C"/>
    <w:rsid w:val="72EB5955"/>
    <w:rsid w:val="73001740"/>
    <w:rsid w:val="73611130"/>
    <w:rsid w:val="737F2CF3"/>
    <w:rsid w:val="7386251A"/>
    <w:rsid w:val="73F303E1"/>
    <w:rsid w:val="74623C1E"/>
    <w:rsid w:val="74A40D4F"/>
    <w:rsid w:val="75067AB9"/>
    <w:rsid w:val="752B3379"/>
    <w:rsid w:val="75551EC0"/>
    <w:rsid w:val="75995495"/>
    <w:rsid w:val="75C61952"/>
    <w:rsid w:val="75F401CA"/>
    <w:rsid w:val="760B2304"/>
    <w:rsid w:val="760D3533"/>
    <w:rsid w:val="760D7FFA"/>
    <w:rsid w:val="764A3CD3"/>
    <w:rsid w:val="76A96199"/>
    <w:rsid w:val="771C4781"/>
    <w:rsid w:val="77494EF6"/>
    <w:rsid w:val="77912588"/>
    <w:rsid w:val="77C22EB1"/>
    <w:rsid w:val="781E5D2E"/>
    <w:rsid w:val="7843417C"/>
    <w:rsid w:val="78BA5C3B"/>
    <w:rsid w:val="78F833FC"/>
    <w:rsid w:val="795D44C5"/>
    <w:rsid w:val="798049F2"/>
    <w:rsid w:val="798149F9"/>
    <w:rsid w:val="79A62319"/>
    <w:rsid w:val="79AA0D57"/>
    <w:rsid w:val="79B06543"/>
    <w:rsid w:val="79F91F7E"/>
    <w:rsid w:val="7A0128FA"/>
    <w:rsid w:val="7A1A1600"/>
    <w:rsid w:val="7A1F2D6A"/>
    <w:rsid w:val="7A4805DF"/>
    <w:rsid w:val="7A686FCC"/>
    <w:rsid w:val="7A6F427A"/>
    <w:rsid w:val="7AA11B1E"/>
    <w:rsid w:val="7ABE3062"/>
    <w:rsid w:val="7AEC04F3"/>
    <w:rsid w:val="7AF4245F"/>
    <w:rsid w:val="7B026E3F"/>
    <w:rsid w:val="7B570210"/>
    <w:rsid w:val="7B6126DB"/>
    <w:rsid w:val="7BFC4D17"/>
    <w:rsid w:val="7C002AEE"/>
    <w:rsid w:val="7C06244A"/>
    <w:rsid w:val="7C7400FF"/>
    <w:rsid w:val="7C8B0BA1"/>
    <w:rsid w:val="7D402DFE"/>
    <w:rsid w:val="7D4F6A43"/>
    <w:rsid w:val="7D622B91"/>
    <w:rsid w:val="7D77701F"/>
    <w:rsid w:val="7DBF2BE5"/>
    <w:rsid w:val="7DCF7B93"/>
    <w:rsid w:val="7E077CFD"/>
    <w:rsid w:val="7E6B47E6"/>
    <w:rsid w:val="7F06714D"/>
    <w:rsid w:val="7F2B4AF7"/>
    <w:rsid w:val="7F947D6D"/>
    <w:rsid w:val="7F9B734D"/>
    <w:rsid w:val="7FD90FAC"/>
    <w:rsid w:val="7FF13D92"/>
    <w:rsid w:val="7FF80302"/>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styleId="2">
    <w:name w:val="heading 1"/>
    <w:basedOn w:val="1"/>
    <w:next w:val="1"/>
    <w:qFormat/>
    <w:uiPriority w:val="0"/>
    <w:pPr>
      <w:autoSpaceDE w:val="0"/>
      <w:autoSpaceDN w:val="0"/>
      <w:adjustRightInd w:val="0"/>
      <w:jc w:val="left"/>
      <w:outlineLvl w:val="0"/>
    </w:pPr>
    <w:rPr>
      <w:kern w:val="0"/>
      <w:sz w:val="30"/>
    </w:rPr>
  </w:style>
  <w:style w:type="paragraph" w:styleId="3">
    <w:name w:val="heading 2"/>
    <w:basedOn w:val="1"/>
    <w:next w:val="1"/>
    <w:qFormat/>
    <w:uiPriority w:val="0"/>
    <w:pPr>
      <w:autoSpaceDE w:val="0"/>
      <w:autoSpaceDN w:val="0"/>
      <w:adjustRightInd w:val="0"/>
      <w:jc w:val="left"/>
      <w:outlineLvl w:val="1"/>
    </w:pPr>
    <w:rPr>
      <w:rFonts w:ascii="宋体" w:hAnsi="宋体" w:eastAsia="宋体"/>
      <w:b/>
      <w:kern w:val="0"/>
    </w:rPr>
  </w:style>
  <w:style w:type="paragraph" w:styleId="4">
    <w:name w:val="heading 3"/>
    <w:basedOn w:val="5"/>
    <w:next w:val="5"/>
    <w:link w:val="155"/>
    <w:qFormat/>
    <w:uiPriority w:val="0"/>
    <w:pPr>
      <w:keepNext/>
      <w:keepLines/>
      <w:spacing w:beforeLines="0" w:beforeAutospacing="0" w:afterLines="0" w:afterAutospacing="0"/>
      <w:ind w:firstLine="964" w:firstLineChars="200"/>
      <w:jc w:val="left"/>
      <w:outlineLvl w:val="2"/>
    </w:pPr>
    <w:rPr>
      <w:rFonts w:ascii="宋体" w:hAnsi="宋体" w:eastAsia="宋体"/>
      <w:b/>
      <w:sz w:val="24"/>
    </w:rPr>
  </w:style>
  <w:style w:type="paragraph" w:styleId="6">
    <w:name w:val="heading 4"/>
    <w:basedOn w:val="1"/>
    <w:next w:val="1"/>
    <w:qFormat/>
    <w:uiPriority w:val="0"/>
    <w:pPr>
      <w:keepNext/>
      <w:keepLines/>
      <w:spacing w:before="280" w:beforeLines="0" w:beforeAutospacing="0" w:after="290" w:afterLines="0" w:afterAutospacing="0" w:line="374" w:lineRule="auto"/>
      <w:outlineLvl w:val="3"/>
    </w:pPr>
    <w:rPr>
      <w:rFonts w:ascii="Arial" w:hAnsi="Arial"/>
      <w:sz w:val="24"/>
    </w:rPr>
  </w:style>
  <w:style w:type="character" w:default="1" w:styleId="33">
    <w:name w:val="Default Paragraph Font"/>
    <w:qFormat/>
    <w:uiPriority w:val="0"/>
  </w:style>
  <w:style w:type="table" w:default="1" w:styleId="31">
    <w:name w:val="Normal Table"/>
    <w:semiHidden/>
    <w:qFormat/>
    <w:uiPriority w:val="0"/>
    <w:tblPr>
      <w:tblCellMar>
        <w:top w:w="0" w:type="dxa"/>
        <w:left w:w="108" w:type="dxa"/>
        <w:bottom w:w="0" w:type="dxa"/>
        <w:right w:w="108" w:type="dxa"/>
      </w:tblCellMar>
    </w:tblPr>
  </w:style>
  <w:style w:type="paragraph" w:styleId="5">
    <w:name w:val="Normal Indent"/>
    <w:basedOn w:val="1"/>
    <w:qFormat/>
    <w:uiPriority w:val="0"/>
    <w:pPr>
      <w:widowControl/>
      <w:ind w:firstLine="420"/>
      <w:jc w:val="left"/>
    </w:pPr>
    <w:rPr>
      <w:kern w:val="0"/>
      <w:sz w:val="20"/>
    </w:rPr>
  </w:style>
  <w:style w:type="paragraph" w:styleId="7">
    <w:name w:val="toc 7"/>
    <w:basedOn w:val="1"/>
    <w:next w:val="1"/>
    <w:qFormat/>
    <w:uiPriority w:val="0"/>
    <w:pPr>
      <w:ind w:left="1680"/>
      <w:jc w:val="left"/>
    </w:pPr>
  </w:style>
  <w:style w:type="paragraph" w:styleId="8">
    <w:name w:val="table of authorities"/>
    <w:basedOn w:val="1"/>
    <w:next w:val="1"/>
    <w:qFormat/>
    <w:uiPriority w:val="0"/>
    <w:pPr>
      <w:ind w:left="420" w:leftChars="200"/>
    </w:pPr>
  </w:style>
  <w:style w:type="paragraph" w:styleId="9">
    <w:name w:val="Document Map"/>
    <w:basedOn w:val="1"/>
    <w:qFormat/>
    <w:uiPriority w:val="0"/>
    <w:pPr>
      <w:shd w:val="clear" w:color="auto" w:fill="000080"/>
    </w:pPr>
  </w:style>
  <w:style w:type="paragraph" w:styleId="10">
    <w:name w:val="annotation text"/>
    <w:basedOn w:val="1"/>
    <w:next w:val="1"/>
    <w:qFormat/>
    <w:uiPriority w:val="0"/>
    <w:pPr>
      <w:adjustRightInd w:val="0"/>
      <w:spacing w:line="360" w:lineRule="atLeast"/>
      <w:jc w:val="left"/>
      <w:textAlignment w:val="baseline"/>
    </w:pPr>
    <w:rPr>
      <w:rFonts w:ascii="宋体"/>
      <w:kern w:val="0"/>
      <w:sz w:val="24"/>
    </w:rPr>
  </w:style>
  <w:style w:type="paragraph" w:styleId="11">
    <w:name w:val="Body Text"/>
    <w:basedOn w:val="1"/>
    <w:qFormat/>
    <w:uiPriority w:val="0"/>
    <w:pPr>
      <w:spacing w:after="120" w:afterLines="0" w:afterAutospacing="0"/>
    </w:pPr>
  </w:style>
  <w:style w:type="paragraph" w:styleId="12">
    <w:name w:val="Body Text Indent"/>
    <w:basedOn w:val="1"/>
    <w:next w:val="13"/>
    <w:link w:val="40"/>
    <w:qFormat/>
    <w:uiPriority w:val="0"/>
    <w:pPr>
      <w:ind w:firstLine="560" w:firstLineChars="200"/>
    </w:pPr>
  </w:style>
  <w:style w:type="paragraph" w:styleId="13">
    <w:name w:val="envelope return"/>
    <w:basedOn w:val="1"/>
    <w:qFormat/>
    <w:uiPriority w:val="99"/>
    <w:pPr>
      <w:snapToGrid w:val="0"/>
    </w:pPr>
    <w:rPr>
      <w:rFonts w:ascii="Arial" w:hAnsi="Arial"/>
    </w:rPr>
  </w:style>
  <w:style w:type="paragraph" w:styleId="14">
    <w:name w:val="toc 5"/>
    <w:basedOn w:val="1"/>
    <w:next w:val="1"/>
    <w:qFormat/>
    <w:uiPriority w:val="0"/>
    <w:pPr>
      <w:ind w:left="1120"/>
      <w:jc w:val="left"/>
    </w:pPr>
  </w:style>
  <w:style w:type="paragraph" w:styleId="15">
    <w:name w:val="toc 3"/>
    <w:basedOn w:val="1"/>
    <w:next w:val="1"/>
    <w:qFormat/>
    <w:uiPriority w:val="0"/>
    <w:pPr>
      <w:ind w:left="561"/>
      <w:jc w:val="left"/>
    </w:pPr>
    <w:rPr>
      <w:sz w:val="24"/>
    </w:rPr>
  </w:style>
  <w:style w:type="paragraph" w:styleId="16">
    <w:name w:val="Plain Text"/>
    <w:basedOn w:val="1"/>
    <w:qFormat/>
    <w:uiPriority w:val="0"/>
    <w:rPr>
      <w:rFonts w:ascii="宋体" w:hAnsi="Courier New" w:eastAsia="宋体" w:cs="Courier New"/>
      <w:szCs w:val="21"/>
    </w:rPr>
  </w:style>
  <w:style w:type="paragraph" w:styleId="17">
    <w:name w:val="toc 8"/>
    <w:basedOn w:val="1"/>
    <w:next w:val="1"/>
    <w:qFormat/>
    <w:uiPriority w:val="0"/>
    <w:pPr>
      <w:ind w:left="1960"/>
      <w:jc w:val="left"/>
    </w:pPr>
  </w:style>
  <w:style w:type="paragraph" w:styleId="18">
    <w:name w:val="Body Text Indent 2"/>
    <w:basedOn w:val="1"/>
    <w:qFormat/>
    <w:uiPriority w:val="0"/>
    <w:pPr>
      <w:spacing w:line="480" w:lineRule="auto"/>
      <w:ind w:firstLine="561"/>
    </w:pPr>
    <w:rPr>
      <w:rFonts w:ascii="宋体"/>
    </w:rPr>
  </w:style>
  <w:style w:type="paragraph" w:styleId="19">
    <w:name w:val="Balloon Text"/>
    <w:basedOn w:val="1"/>
    <w:qFormat/>
    <w:uiPriority w:val="0"/>
    <w:rPr>
      <w:sz w:val="18"/>
      <w:szCs w:val="18"/>
    </w:rPr>
  </w:style>
  <w:style w:type="paragraph" w:styleId="20">
    <w:name w:val="footer"/>
    <w:basedOn w:val="1"/>
    <w:qFormat/>
    <w:uiPriority w:val="0"/>
    <w:pPr>
      <w:widowControl/>
      <w:tabs>
        <w:tab w:val="center" w:pos="4153"/>
        <w:tab w:val="right" w:pos="8306"/>
      </w:tabs>
      <w:snapToGrid w:val="0"/>
      <w:jc w:val="left"/>
    </w:pPr>
    <w:rPr>
      <w:kern w:val="0"/>
      <w:sz w:val="18"/>
    </w:rPr>
  </w:style>
  <w:style w:type="paragraph" w:styleId="21">
    <w:name w:val="header"/>
    <w:basedOn w:val="1"/>
    <w:qFormat/>
    <w:uiPriority w:val="0"/>
    <w:pPr>
      <w:widowControl/>
      <w:pBdr>
        <w:bottom w:val="single" w:color="auto" w:sz="6" w:space="1"/>
      </w:pBdr>
      <w:tabs>
        <w:tab w:val="center" w:pos="4153"/>
        <w:tab w:val="right" w:pos="8306"/>
      </w:tabs>
      <w:snapToGrid w:val="0"/>
      <w:jc w:val="center"/>
    </w:pPr>
    <w:rPr>
      <w:kern w:val="0"/>
      <w:sz w:val="18"/>
    </w:rPr>
  </w:style>
  <w:style w:type="paragraph" w:styleId="22">
    <w:name w:val="toc 1"/>
    <w:basedOn w:val="1"/>
    <w:next w:val="1"/>
    <w:qFormat/>
    <w:uiPriority w:val="0"/>
    <w:pPr>
      <w:spacing w:before="120" w:beforeLines="0" w:beforeAutospacing="0" w:after="120" w:afterLines="0" w:afterAutospacing="0"/>
      <w:jc w:val="left"/>
    </w:pPr>
    <w:rPr>
      <w:caps/>
      <w:sz w:val="24"/>
    </w:rPr>
  </w:style>
  <w:style w:type="paragraph" w:styleId="23">
    <w:name w:val="toc 4"/>
    <w:basedOn w:val="1"/>
    <w:next w:val="1"/>
    <w:qFormat/>
    <w:uiPriority w:val="0"/>
    <w:pPr>
      <w:ind w:left="840"/>
      <w:jc w:val="left"/>
    </w:pPr>
  </w:style>
  <w:style w:type="paragraph" w:styleId="24">
    <w:name w:val="toc 6"/>
    <w:basedOn w:val="1"/>
    <w:next w:val="1"/>
    <w:qFormat/>
    <w:uiPriority w:val="0"/>
    <w:pPr>
      <w:ind w:left="1400"/>
      <w:jc w:val="left"/>
    </w:pPr>
  </w:style>
  <w:style w:type="paragraph" w:styleId="25">
    <w:name w:val="Body Text Indent 3"/>
    <w:basedOn w:val="1"/>
    <w:link w:val="41"/>
    <w:qFormat/>
    <w:uiPriority w:val="0"/>
    <w:pPr>
      <w:ind w:firstLine="560"/>
    </w:pPr>
    <w:rPr>
      <w:color w:val="FF0000"/>
    </w:rPr>
  </w:style>
  <w:style w:type="paragraph" w:styleId="26">
    <w:name w:val="toc 2"/>
    <w:basedOn w:val="1"/>
    <w:next w:val="1"/>
    <w:qFormat/>
    <w:uiPriority w:val="0"/>
    <w:pPr>
      <w:ind w:left="278"/>
      <w:jc w:val="left"/>
    </w:pPr>
    <w:rPr>
      <w:smallCaps/>
      <w:sz w:val="24"/>
    </w:rPr>
  </w:style>
  <w:style w:type="paragraph" w:styleId="27">
    <w:name w:val="toc 9"/>
    <w:basedOn w:val="1"/>
    <w:next w:val="1"/>
    <w:qFormat/>
    <w:uiPriority w:val="0"/>
    <w:pPr>
      <w:ind w:left="2240"/>
      <w:jc w:val="left"/>
    </w:pPr>
  </w:style>
  <w:style w:type="paragraph" w:styleId="28">
    <w:name w:val="Body Text 2"/>
    <w:basedOn w:val="1"/>
    <w:qFormat/>
    <w:uiPriority w:val="0"/>
    <w:pPr>
      <w:spacing w:line="500" w:lineRule="exact"/>
    </w:pPr>
    <w:rPr>
      <w:rFonts w:ascii="宋体"/>
      <w:sz w:val="24"/>
    </w:rPr>
  </w:style>
  <w:style w:type="paragraph" w:styleId="29">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30">
    <w:name w:val="annotation subject"/>
    <w:basedOn w:val="10"/>
    <w:next w:val="10"/>
    <w:qFormat/>
    <w:uiPriority w:val="0"/>
    <w:pPr>
      <w:adjustRightInd/>
      <w:spacing w:line="360" w:lineRule="auto"/>
      <w:textAlignment w:val="auto"/>
    </w:pPr>
    <w:rPr>
      <w:b/>
      <w:bCs/>
      <w:kern w:val="2"/>
    </w:rPr>
  </w:style>
  <w:style w:type="table" w:styleId="32">
    <w:name w:val="Table Grid"/>
    <w:basedOn w:val="3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qFormat/>
    <w:uiPriority w:val="0"/>
    <w:rPr>
      <w:b/>
      <w:bCs/>
    </w:rPr>
  </w:style>
  <w:style w:type="character" w:styleId="35">
    <w:name w:val="page number"/>
    <w:qFormat/>
    <w:uiPriority w:val="0"/>
  </w:style>
  <w:style w:type="character" w:styleId="36">
    <w:name w:val="FollowedHyperlink"/>
    <w:qFormat/>
    <w:uiPriority w:val="0"/>
    <w:rPr>
      <w:color w:val="800080"/>
      <w:u w:val="single"/>
    </w:rPr>
  </w:style>
  <w:style w:type="character" w:styleId="37">
    <w:name w:val="Emphasis"/>
    <w:qFormat/>
    <w:uiPriority w:val="0"/>
    <w:rPr>
      <w:i/>
    </w:rPr>
  </w:style>
  <w:style w:type="character" w:styleId="38">
    <w:name w:val="Hyperlink"/>
    <w:qFormat/>
    <w:uiPriority w:val="0"/>
    <w:rPr>
      <w:color w:val="0000FF"/>
      <w:u w:val="single"/>
    </w:rPr>
  </w:style>
  <w:style w:type="character" w:styleId="39">
    <w:name w:val="annotation reference"/>
    <w:qFormat/>
    <w:uiPriority w:val="0"/>
    <w:rPr>
      <w:sz w:val="21"/>
    </w:rPr>
  </w:style>
  <w:style w:type="character" w:customStyle="1" w:styleId="40">
    <w:name w:val="正文文本缩进 字符"/>
    <w:link w:val="12"/>
    <w:qFormat/>
    <w:uiPriority w:val="0"/>
    <w:rPr>
      <w:rFonts w:ascii="宋体"/>
      <w:kern w:val="2"/>
      <w:sz w:val="24"/>
    </w:rPr>
  </w:style>
  <w:style w:type="character" w:customStyle="1" w:styleId="41">
    <w:name w:val="正文文本缩进 3 字符"/>
    <w:link w:val="25"/>
    <w:qFormat/>
    <w:uiPriority w:val="0"/>
    <w:rPr>
      <w:rFonts w:ascii="宋体" w:eastAsia="宋体"/>
      <w:color w:val="FF0000"/>
      <w:kern w:val="2"/>
      <w:sz w:val="24"/>
      <w:lang w:val="en-US" w:eastAsia="zh-CN" w:bidi="ar-SA"/>
    </w:rPr>
  </w:style>
  <w:style w:type="paragraph" w:customStyle="1" w:styleId="42">
    <w:name w:val=" Char Char2"/>
    <w:basedOn w:val="9"/>
    <w:qFormat/>
    <w:uiPriority w:val="0"/>
    <w:pPr>
      <w:spacing w:line="240" w:lineRule="auto"/>
    </w:pPr>
  </w:style>
  <w:style w:type="character" w:customStyle="1" w:styleId="43">
    <w:name w:val="超链接 New"/>
    <w:qFormat/>
    <w:uiPriority w:val="0"/>
    <w:rPr>
      <w:color w:val="000000"/>
      <w:sz w:val="18"/>
      <w:szCs w:val="18"/>
      <w:u w:val="none"/>
    </w:rPr>
  </w:style>
  <w:style w:type="character" w:customStyle="1" w:styleId="44">
    <w:name w:val=" Char Char1"/>
    <w:qFormat/>
    <w:uiPriority w:val="0"/>
    <w:rPr>
      <w:rFonts w:ascii="宋体" w:eastAsia="宋体"/>
      <w:color w:val="FF0000"/>
      <w:kern w:val="2"/>
      <w:sz w:val="24"/>
      <w:lang w:val="en-US" w:eastAsia="zh-CN" w:bidi="ar-SA"/>
    </w:rPr>
  </w:style>
  <w:style w:type="character" w:customStyle="1" w:styleId="45">
    <w:name w:val="Default Paragraph Font"/>
    <w:qFormat/>
    <w:uiPriority w:val="0"/>
    <w:rPr>
      <w:rFonts w:hint="default"/>
    </w:rPr>
  </w:style>
  <w:style w:type="character" w:customStyle="1" w:styleId="46">
    <w:name w:val="正文文本 (2) + 间距 0 pt3"/>
    <w:qFormat/>
    <w:uiPriority w:val="99"/>
    <w:rPr>
      <w:rFonts w:ascii="MingLiU" w:eastAsia="MingLiU" w:cs="MingLiU"/>
      <w:spacing w:val="0"/>
      <w:sz w:val="22"/>
      <w:szCs w:val="22"/>
      <w:u w:val="none"/>
    </w:rPr>
  </w:style>
  <w:style w:type="character" w:customStyle="1" w:styleId="47">
    <w:name w:val="页码 New New"/>
    <w:qFormat/>
    <w:uiPriority w:val="0"/>
    <w:rPr>
      <w:rFonts w:eastAsia="宋体"/>
      <w:kern w:val="2"/>
      <w:sz w:val="24"/>
      <w:szCs w:val="24"/>
      <w:lang w:val="en-US" w:eastAsia="zh-CN" w:bidi="ar-SA"/>
    </w:rPr>
  </w:style>
  <w:style w:type="character" w:customStyle="1" w:styleId="48">
    <w:name w:val="默认段落字体 New New"/>
    <w:link w:val="49"/>
    <w:qFormat/>
    <w:uiPriority w:val="0"/>
    <w:rPr>
      <w:rFonts w:ascii="Tahoma" w:hAnsi="Tahoma"/>
      <w:szCs w:val="24"/>
    </w:rPr>
  </w:style>
  <w:style w:type="paragraph" w:customStyle="1" w:styleId="49">
    <w:name w:val=" Char New New"/>
    <w:basedOn w:val="1"/>
    <w:link w:val="48"/>
    <w:qFormat/>
    <w:uiPriority w:val="0"/>
    <w:pPr>
      <w:spacing w:line="240" w:lineRule="auto"/>
    </w:pPr>
    <w:rPr>
      <w:rFonts w:ascii="Tahoma" w:hAnsi="Tahoma"/>
      <w:kern w:val="0"/>
      <w:sz w:val="20"/>
      <w:szCs w:val="24"/>
    </w:rPr>
  </w:style>
  <w:style w:type="character" w:customStyle="1" w:styleId="50">
    <w:name w:val="超链接 New New"/>
    <w:qFormat/>
    <w:uiPriority w:val="0"/>
    <w:rPr>
      <w:color w:val="000000"/>
      <w:sz w:val="18"/>
      <w:szCs w:val="18"/>
      <w:u w:val="none"/>
    </w:rPr>
  </w:style>
  <w:style w:type="character" w:customStyle="1" w:styleId="51">
    <w:name w:val="页码 New New New"/>
    <w:qFormat/>
    <w:uiPriority w:val="0"/>
    <w:rPr>
      <w:rFonts w:eastAsia="宋体"/>
      <w:kern w:val="2"/>
      <w:sz w:val="24"/>
      <w:szCs w:val="24"/>
      <w:lang w:val="en-US" w:eastAsia="zh-CN" w:bidi="ar-SA"/>
    </w:rPr>
  </w:style>
  <w:style w:type="character" w:customStyle="1" w:styleId="52">
    <w:name w:val="页码 New"/>
    <w:qFormat/>
    <w:uiPriority w:val="0"/>
    <w:rPr>
      <w:rFonts w:eastAsia="宋体"/>
      <w:kern w:val="2"/>
      <w:sz w:val="24"/>
      <w:szCs w:val="24"/>
      <w:lang w:val="en-US" w:eastAsia="zh-CN" w:bidi="ar-SA"/>
    </w:rPr>
  </w:style>
  <w:style w:type="character" w:customStyle="1" w:styleId="53">
    <w:name w:val="默认段落字体 New"/>
    <w:link w:val="54"/>
    <w:qFormat/>
    <w:uiPriority w:val="0"/>
    <w:rPr>
      <w:rFonts w:ascii="Tahoma" w:hAnsi="Tahoma"/>
      <w:szCs w:val="24"/>
    </w:rPr>
  </w:style>
  <w:style w:type="paragraph" w:customStyle="1" w:styleId="54">
    <w:name w:val=" Char New"/>
    <w:basedOn w:val="1"/>
    <w:link w:val="53"/>
    <w:qFormat/>
    <w:uiPriority w:val="0"/>
    <w:pPr>
      <w:spacing w:line="240" w:lineRule="auto"/>
    </w:pPr>
    <w:rPr>
      <w:rFonts w:ascii="Tahoma" w:hAnsi="Tahoma"/>
      <w:kern w:val="0"/>
      <w:sz w:val="20"/>
      <w:szCs w:val="24"/>
    </w:rPr>
  </w:style>
  <w:style w:type="paragraph" w:customStyle="1" w:styleId="55">
    <w:name w:val="页脚 New New"/>
    <w:basedOn w:val="56"/>
    <w:qFormat/>
    <w:uiPriority w:val="0"/>
    <w:pPr>
      <w:tabs>
        <w:tab w:val="center" w:pos="4153"/>
        <w:tab w:val="right" w:pos="8306"/>
      </w:tabs>
      <w:snapToGrid w:val="0"/>
      <w:jc w:val="left"/>
    </w:pPr>
    <w:rPr>
      <w:sz w:val="18"/>
      <w:szCs w:val="18"/>
    </w:rPr>
  </w:style>
  <w:style w:type="paragraph" w:customStyle="1" w:styleId="56">
    <w:name w:val="正文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57">
    <w:name w:val="正文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58">
    <w:name w:val="p18"/>
    <w:qFormat/>
    <w:uiPriority w:val="0"/>
    <w:pPr>
      <w:spacing w:after="120" w:line="360" w:lineRule="auto"/>
    </w:pPr>
    <w:rPr>
      <w:rFonts w:ascii="宋体" w:hAnsi="宋体" w:eastAsia="宋体" w:cs="宋体"/>
      <w:sz w:val="24"/>
      <w:szCs w:val="24"/>
      <w:lang w:val="en-US" w:eastAsia="zh-CN" w:bidi="ar-SA"/>
    </w:rPr>
  </w:style>
  <w:style w:type="paragraph" w:customStyle="1" w:styleId="59">
    <w:name w:val="正文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60">
    <w:name w:val="正文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61">
    <w:name w:val="样式 宋体 行距: 1.5 倍行距"/>
    <w:basedOn w:val="62"/>
    <w:next w:val="1"/>
    <w:qFormat/>
    <w:uiPriority w:val="99"/>
    <w:pPr>
      <w:jc w:val="center"/>
    </w:pPr>
    <w:rPr>
      <w:b/>
    </w:rPr>
  </w:style>
  <w:style w:type="paragraph" w:customStyle="1" w:styleId="62">
    <w:name w:val="正文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w:next w:val="61"/>
    <w:qFormat/>
    <w:uiPriority w:val="0"/>
    <w:pPr>
      <w:widowControl w:val="0"/>
      <w:jc w:val="both"/>
    </w:pPr>
    <w:rPr>
      <w:rFonts w:ascii="Calibri" w:hAnsi="Calibri" w:eastAsia="宋体" w:cs="黑体"/>
      <w:kern w:val="2"/>
      <w:sz w:val="21"/>
      <w:szCs w:val="24"/>
      <w:lang w:val="en-US" w:eastAsia="zh-CN" w:bidi="ar-SA"/>
    </w:rPr>
  </w:style>
  <w:style w:type="paragraph" w:customStyle="1" w:styleId="63">
    <w:name w:val="正文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64">
    <w:name w:val="纯文本 New New"/>
    <w:basedOn w:val="57"/>
    <w:qFormat/>
    <w:uiPriority w:val="0"/>
    <w:rPr>
      <w:rFonts w:ascii="宋体" w:hAnsi="Courier New" w:eastAsia="楷体_GB2312"/>
      <w:kern w:val="2"/>
      <w:sz w:val="21"/>
      <w:szCs w:val="24"/>
      <w:lang w:val="en-US" w:eastAsia="zh-CN" w:bidi="ar-SA"/>
    </w:rPr>
  </w:style>
  <w:style w:type="paragraph" w:customStyle="1" w:styleId="65">
    <w:name w:val="正文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66">
    <w:name w:val="正文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67">
    <w:name w:val="正文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68">
    <w:name w:val="页脚 New New New New"/>
    <w:basedOn w:val="69"/>
    <w:qFormat/>
    <w:uiPriority w:val="0"/>
    <w:pPr>
      <w:tabs>
        <w:tab w:val="center" w:pos="4153"/>
        <w:tab w:val="right" w:pos="8306"/>
      </w:tabs>
      <w:snapToGrid w:val="0"/>
      <w:jc w:val="left"/>
    </w:pPr>
    <w:rPr>
      <w:sz w:val="18"/>
      <w:szCs w:val="18"/>
    </w:rPr>
  </w:style>
  <w:style w:type="paragraph" w:customStyle="1" w:styleId="69">
    <w:name w:val="正文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0">
    <w:name w:val="正文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71">
    <w:name w:val="正文 New New New New New New New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2"/>
      <w:lang w:val="en-US" w:eastAsia="zh-CN" w:bidi="ar-SA"/>
    </w:rPr>
  </w:style>
  <w:style w:type="paragraph" w:customStyle="1" w:styleId="72">
    <w:name w:val="页眉 New New New New New New New"/>
    <w:basedOn w:val="70"/>
    <w:qFormat/>
    <w:uiPriority w:val="0"/>
    <w:pPr>
      <w:widowControl/>
      <w:pBdr>
        <w:bottom w:val="single" w:color="auto" w:sz="6" w:space="1"/>
      </w:pBdr>
      <w:tabs>
        <w:tab w:val="center" w:pos="4153"/>
        <w:tab w:val="right" w:pos="8306"/>
      </w:tabs>
      <w:snapToGrid w:val="0"/>
      <w:jc w:val="center"/>
    </w:pPr>
    <w:rPr>
      <w:rFonts w:ascii="宋体" w:eastAsia="宋体"/>
      <w:sz w:val="18"/>
      <w:lang w:val="en-US" w:eastAsia="zh-CN" w:bidi="ar-SA"/>
    </w:rPr>
  </w:style>
  <w:style w:type="paragraph" w:customStyle="1" w:styleId="73">
    <w:name w:val="样式2"/>
    <w:basedOn w:val="22"/>
    <w:qFormat/>
    <w:uiPriority w:val="0"/>
    <w:pPr>
      <w:tabs>
        <w:tab w:val="right" w:leader="dot" w:pos="9345"/>
      </w:tabs>
    </w:pPr>
    <w:rPr>
      <w:rFonts w:ascii="宋体" w:hAnsi="宋体"/>
      <w:b/>
      <w:color w:val="0000FF"/>
      <w:u w:val="single"/>
    </w:rPr>
  </w:style>
  <w:style w:type="paragraph" w:customStyle="1" w:styleId="74">
    <w:name w:val="正文 New New New New New New New New New New New New New New New New New New New New New New New New"/>
    <w:qFormat/>
    <w:uiPriority w:val="0"/>
    <w:pPr>
      <w:widowControl w:val="0"/>
      <w:jc w:val="both"/>
    </w:pPr>
    <w:rPr>
      <w:rFonts w:ascii="Times New Roman" w:hAnsi="Times New Roman" w:eastAsia="仿宋_GB2312" w:cs="Times New Roman"/>
      <w:kern w:val="2"/>
      <w:sz w:val="32"/>
      <w:szCs w:val="24"/>
      <w:lang w:val="en-US" w:eastAsia="zh-CN" w:bidi="ar-SA"/>
    </w:rPr>
  </w:style>
  <w:style w:type="paragraph" w:customStyle="1" w:styleId="75">
    <w:name w:val="正文缩进 New"/>
    <w:basedOn w:val="63"/>
    <w:qFormat/>
    <w:uiPriority w:val="0"/>
    <w:pPr>
      <w:widowControl/>
      <w:ind w:firstLine="420"/>
      <w:jc w:val="left"/>
    </w:pPr>
    <w:rPr>
      <w:kern w:val="0"/>
      <w:sz w:val="20"/>
    </w:rPr>
  </w:style>
  <w:style w:type="paragraph" w:customStyle="1" w:styleId="76">
    <w:name w:val="页眉 New"/>
    <w:basedOn w:val="77"/>
    <w:qFormat/>
    <w:uiPriority w:val="0"/>
    <w:pPr>
      <w:pBdr>
        <w:bottom w:val="single" w:color="auto" w:sz="6" w:space="1"/>
      </w:pBdr>
      <w:tabs>
        <w:tab w:val="center" w:pos="4153"/>
        <w:tab w:val="right" w:pos="8306"/>
      </w:tabs>
      <w:snapToGrid w:val="0"/>
      <w:jc w:val="center"/>
    </w:pPr>
    <w:rPr>
      <w:sz w:val="18"/>
      <w:szCs w:val="18"/>
    </w:rPr>
  </w:style>
  <w:style w:type="paragraph" w:customStyle="1" w:styleId="77">
    <w:name w:val="正文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78">
    <w:name w:val="样式1"/>
    <w:basedOn w:val="6"/>
    <w:qFormat/>
    <w:uiPriority w:val="0"/>
    <w:pPr>
      <w:tabs>
        <w:tab w:val="right" w:leader="dot" w:pos="9345"/>
      </w:tabs>
    </w:pPr>
    <w:rPr>
      <w:rFonts w:ascii="宋体" w:hAnsi="宋体" w:eastAsia="宋体"/>
      <w:b/>
      <w:caps/>
      <w:sz w:val="24"/>
      <w:u w:val="single"/>
    </w:rPr>
  </w:style>
  <w:style w:type="paragraph" w:customStyle="1" w:styleId="79">
    <w:name w:val="标题 3 New New"/>
    <w:basedOn w:val="75"/>
    <w:next w:val="75"/>
    <w:qFormat/>
    <w:uiPriority w:val="0"/>
    <w:pPr>
      <w:keepNext/>
      <w:keepLines/>
      <w:spacing w:before="120" w:beforeLines="0" w:beforeAutospacing="0" w:after="120" w:afterLines="0" w:afterAutospacing="0"/>
      <w:jc w:val="center"/>
      <w:outlineLvl w:val="2"/>
    </w:pPr>
    <w:rPr>
      <w:sz w:val="24"/>
    </w:rPr>
  </w:style>
  <w:style w:type="paragraph" w:customStyle="1" w:styleId="80">
    <w:name w:val="页脚 New New New New New New New New New New New New"/>
    <w:basedOn w:val="81"/>
    <w:qFormat/>
    <w:uiPriority w:val="0"/>
    <w:pPr>
      <w:tabs>
        <w:tab w:val="center" w:pos="4153"/>
        <w:tab w:val="right" w:pos="8306"/>
      </w:tabs>
      <w:snapToGrid w:val="0"/>
      <w:jc w:val="left"/>
    </w:pPr>
    <w:rPr>
      <w:rFonts w:eastAsia="楷体_GB2312"/>
      <w:kern w:val="2"/>
      <w:sz w:val="18"/>
      <w:szCs w:val="18"/>
    </w:rPr>
  </w:style>
  <w:style w:type="paragraph" w:customStyle="1" w:styleId="81">
    <w:name w:val="正文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82">
    <w:name w:val="页脚 New New New New New New New New New"/>
    <w:basedOn w:val="83"/>
    <w:qFormat/>
    <w:uiPriority w:val="0"/>
    <w:pPr>
      <w:tabs>
        <w:tab w:val="center" w:pos="4153"/>
        <w:tab w:val="right" w:pos="8306"/>
      </w:tabs>
      <w:snapToGrid w:val="0"/>
      <w:jc w:val="left"/>
    </w:pPr>
    <w:rPr>
      <w:kern w:val="2"/>
      <w:sz w:val="18"/>
      <w:szCs w:val="18"/>
    </w:rPr>
  </w:style>
  <w:style w:type="paragraph" w:customStyle="1" w:styleId="83">
    <w:name w:val="正文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4">
    <w:name w:val="页眉 New New New"/>
    <w:basedOn w:val="57"/>
    <w:qFormat/>
    <w:uiPriority w:val="0"/>
    <w:pPr>
      <w:pBdr>
        <w:bottom w:val="single" w:color="auto" w:sz="6" w:space="1"/>
      </w:pBdr>
      <w:tabs>
        <w:tab w:val="center" w:pos="4153"/>
        <w:tab w:val="right" w:pos="8306"/>
      </w:tabs>
      <w:snapToGrid w:val="0"/>
      <w:jc w:val="center"/>
    </w:pPr>
    <w:rPr>
      <w:sz w:val="18"/>
      <w:szCs w:val="18"/>
    </w:rPr>
  </w:style>
  <w:style w:type="paragraph" w:customStyle="1" w:styleId="85">
    <w:name w:val="正文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86">
    <w:name w:val="正文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87">
    <w:name w:val="正文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88">
    <w:name w:val="正文 New New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89">
    <w:name w:val="正文 New New New New New New New New New New New New New New New New New New New New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2"/>
      <w:lang w:val="en-US" w:eastAsia="zh-CN" w:bidi="ar-SA"/>
    </w:rPr>
  </w:style>
  <w:style w:type="paragraph" w:customStyle="1" w:styleId="90">
    <w:name w:val="正文缩进1"/>
    <w:basedOn w:val="1"/>
    <w:qFormat/>
    <w:uiPriority w:val="0"/>
    <w:pPr>
      <w:widowControl/>
      <w:ind w:firstLine="420"/>
      <w:jc w:val="left"/>
    </w:pPr>
    <w:rPr>
      <w:kern w:val="0"/>
      <w:szCs w:val="20"/>
    </w:rPr>
  </w:style>
  <w:style w:type="paragraph" w:customStyle="1" w:styleId="91">
    <w:name w:val="页眉 New New"/>
    <w:basedOn w:val="56"/>
    <w:qFormat/>
    <w:uiPriority w:val="0"/>
    <w:pPr>
      <w:pBdr>
        <w:bottom w:val="single" w:color="auto" w:sz="6" w:space="1"/>
      </w:pBdr>
      <w:tabs>
        <w:tab w:val="center" w:pos="4153"/>
        <w:tab w:val="right" w:pos="8306"/>
      </w:tabs>
      <w:snapToGrid w:val="0"/>
      <w:jc w:val="center"/>
    </w:pPr>
    <w:rPr>
      <w:sz w:val="18"/>
      <w:szCs w:val="18"/>
    </w:rPr>
  </w:style>
  <w:style w:type="paragraph" w:customStyle="1" w:styleId="92">
    <w:name w:val="正文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93">
    <w:name w:val=" Char"/>
    <w:basedOn w:val="9"/>
    <w:qFormat/>
    <w:uiPriority w:val="0"/>
    <w:pPr>
      <w:spacing w:line="240" w:lineRule="auto"/>
    </w:pPr>
  </w:style>
  <w:style w:type="paragraph" w:customStyle="1" w:styleId="94">
    <w:name w:val="正文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95">
    <w:name w:val="正文 New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6">
    <w:name w:val="正文 New New New New New New New New New New New New New New New New New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97">
    <w:name w:val="页眉 New New New New New New New New New"/>
    <w:basedOn w:val="98"/>
    <w:qFormat/>
    <w:uiPriority w:val="0"/>
    <w:pPr>
      <w:widowControl/>
      <w:pBdr>
        <w:bottom w:val="single" w:color="auto" w:sz="6" w:space="1"/>
      </w:pBdr>
      <w:tabs>
        <w:tab w:val="center" w:pos="4153"/>
        <w:tab w:val="right" w:pos="8306"/>
      </w:tabs>
      <w:snapToGrid w:val="0"/>
      <w:jc w:val="center"/>
    </w:pPr>
    <w:rPr>
      <w:rFonts w:ascii="宋体" w:eastAsia="宋体"/>
      <w:sz w:val="18"/>
      <w:lang w:val="en-US" w:eastAsia="zh-CN" w:bidi="ar-SA"/>
    </w:rPr>
  </w:style>
  <w:style w:type="paragraph" w:customStyle="1" w:styleId="98">
    <w:name w:val="正文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99">
    <w:name w:val="页脚 New New New New New New"/>
    <w:basedOn w:val="88"/>
    <w:qFormat/>
    <w:uiPriority w:val="0"/>
    <w:pPr>
      <w:tabs>
        <w:tab w:val="center" w:pos="4153"/>
        <w:tab w:val="right" w:pos="8306"/>
      </w:tabs>
      <w:snapToGrid w:val="0"/>
      <w:jc w:val="left"/>
    </w:pPr>
    <w:rPr>
      <w:sz w:val="18"/>
    </w:rPr>
  </w:style>
  <w:style w:type="paragraph" w:customStyle="1" w:styleId="100">
    <w:name w:val="正文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1">
    <w:name w:val="正文文本缩进 New New New New"/>
    <w:basedOn w:val="94"/>
    <w:qFormat/>
    <w:uiPriority w:val="0"/>
    <w:pPr>
      <w:ind w:firstLine="560" w:firstLineChars="200"/>
    </w:pPr>
    <w:rPr>
      <w:rFonts w:ascii="宋体"/>
      <w:kern w:val="2"/>
      <w:sz w:val="24"/>
      <w:szCs w:val="28"/>
    </w:rPr>
  </w:style>
  <w:style w:type="paragraph" w:customStyle="1" w:styleId="102">
    <w:name w:val="正文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3">
    <w:name w:val="正文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104">
    <w:name w:val="正文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5">
    <w:name w:val="正文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6">
    <w:name w:val="正文文本缩进 New"/>
    <w:basedOn w:val="63"/>
    <w:qFormat/>
    <w:uiPriority w:val="0"/>
    <w:pPr>
      <w:ind w:firstLine="560" w:firstLineChars="200"/>
    </w:pPr>
    <w:rPr>
      <w:rFonts w:ascii="宋体"/>
      <w:kern w:val="2"/>
      <w:sz w:val="24"/>
    </w:rPr>
  </w:style>
  <w:style w:type="paragraph" w:customStyle="1" w:styleId="107">
    <w:name w:val="正文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8">
    <w:name w:val="Normal New"/>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109">
    <w:name w:val="页脚 New New New New New"/>
    <w:basedOn w:val="95"/>
    <w:qFormat/>
    <w:uiPriority w:val="0"/>
    <w:pPr>
      <w:tabs>
        <w:tab w:val="center" w:pos="4153"/>
        <w:tab w:val="right" w:pos="8306"/>
      </w:tabs>
      <w:snapToGrid w:val="0"/>
      <w:jc w:val="left"/>
    </w:pPr>
    <w:rPr>
      <w:sz w:val="18"/>
    </w:rPr>
  </w:style>
  <w:style w:type="paragraph" w:customStyle="1" w:styleId="110">
    <w:name w:val="页眉 New New New New"/>
    <w:basedOn w:val="95"/>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customStyle="1" w:styleId="111">
    <w:name w:val="页脚 New New New"/>
    <w:basedOn w:val="57"/>
    <w:qFormat/>
    <w:uiPriority w:val="0"/>
    <w:pPr>
      <w:tabs>
        <w:tab w:val="center" w:pos="4153"/>
        <w:tab w:val="right" w:pos="8306"/>
      </w:tabs>
      <w:snapToGrid w:val="0"/>
      <w:jc w:val="left"/>
    </w:pPr>
    <w:rPr>
      <w:sz w:val="18"/>
      <w:szCs w:val="18"/>
    </w:rPr>
  </w:style>
  <w:style w:type="paragraph" w:customStyle="1" w:styleId="112">
    <w:name w:val="toc 3"/>
    <w:basedOn w:val="113"/>
    <w:next w:val="113"/>
    <w:qFormat/>
    <w:uiPriority w:val="0"/>
    <w:pPr>
      <w:ind w:left="561"/>
      <w:jc w:val="left"/>
    </w:pPr>
    <w:rPr>
      <w:rFonts w:hint="eastAsia"/>
    </w:rPr>
  </w:style>
  <w:style w:type="paragraph" w:customStyle="1" w:styleId="113">
    <w:name w:val="Normal"/>
    <w:qFormat/>
    <w:uiPriority w:val="0"/>
    <w:pPr>
      <w:widowControl w:val="0"/>
      <w:spacing w:line="360" w:lineRule="auto"/>
      <w:jc w:val="both"/>
    </w:pPr>
    <w:rPr>
      <w:rFonts w:hint="eastAsia" w:ascii="宋体" w:hAnsi="Times New Roman" w:eastAsia="宋体" w:cs="Times New Roman"/>
      <w:kern w:val="2"/>
      <w:sz w:val="24"/>
      <w:lang w:val="en-US" w:eastAsia="zh-CN" w:bidi="ar-SA"/>
    </w:rPr>
  </w:style>
  <w:style w:type="paragraph" w:customStyle="1" w:styleId="114">
    <w:name w:val="页脚 New New New New New New New"/>
    <w:basedOn w:val="103"/>
    <w:qFormat/>
    <w:uiPriority w:val="0"/>
    <w:pPr>
      <w:widowControl/>
      <w:tabs>
        <w:tab w:val="center" w:pos="4153"/>
        <w:tab w:val="right" w:pos="8306"/>
      </w:tabs>
      <w:snapToGrid w:val="0"/>
      <w:jc w:val="left"/>
    </w:pPr>
    <w:rPr>
      <w:kern w:val="0"/>
      <w:sz w:val="18"/>
      <w:szCs w:val="20"/>
    </w:rPr>
  </w:style>
  <w:style w:type="paragraph" w:customStyle="1" w:styleId="115">
    <w:name w:val="页眉 New New New New New New"/>
    <w:basedOn w:val="103"/>
    <w:qFormat/>
    <w:uiPriority w:val="0"/>
    <w:pPr>
      <w:widowControl/>
      <w:pBdr>
        <w:bottom w:val="single" w:color="auto" w:sz="6" w:space="1"/>
      </w:pBdr>
      <w:tabs>
        <w:tab w:val="center" w:pos="4153"/>
        <w:tab w:val="right" w:pos="8306"/>
      </w:tabs>
      <w:snapToGrid w:val="0"/>
      <w:jc w:val="center"/>
    </w:pPr>
    <w:rPr>
      <w:kern w:val="0"/>
      <w:sz w:val="18"/>
      <w:szCs w:val="20"/>
    </w:rPr>
  </w:style>
  <w:style w:type="paragraph" w:customStyle="1" w:styleId="116">
    <w:name w:val="正文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17">
    <w:name w:val="footer"/>
    <w:basedOn w:val="113"/>
    <w:qFormat/>
    <w:uiPriority w:val="0"/>
    <w:pPr>
      <w:widowControl/>
      <w:tabs>
        <w:tab w:val="center" w:pos="4153"/>
        <w:tab w:val="right" w:pos="8306"/>
      </w:tabs>
      <w:snapToGrid w:val="0"/>
      <w:jc w:val="left"/>
    </w:pPr>
    <w:rPr>
      <w:rFonts w:hint="eastAsia"/>
      <w:kern w:val="0"/>
      <w:sz w:val="18"/>
    </w:rPr>
  </w:style>
  <w:style w:type="paragraph" w:customStyle="1" w:styleId="118">
    <w:name w:val="p0"/>
    <w:basedOn w:val="89"/>
    <w:qFormat/>
    <w:uiPriority w:val="0"/>
    <w:pPr>
      <w:widowControl/>
      <w:spacing w:line="360" w:lineRule="auto"/>
    </w:pPr>
    <w:rPr>
      <w:rFonts w:ascii="宋体" w:hAnsi="宋体" w:eastAsia="宋体" w:cs="宋体"/>
      <w:kern w:val="0"/>
      <w:sz w:val="24"/>
      <w:szCs w:val="24"/>
    </w:rPr>
  </w:style>
  <w:style w:type="paragraph" w:customStyle="1" w:styleId="119">
    <w:name w:val="正文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20">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1">
    <w:name w:val="正文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22">
    <w:name w:val="正文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23">
    <w:name w:val="正文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24">
    <w:name w:val="正文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5">
    <w:name w:val="正文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26">
    <w:name w:val="正文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7">
    <w:name w:val="标题 3 New"/>
    <w:basedOn w:val="5"/>
    <w:next w:val="5"/>
    <w:qFormat/>
    <w:uiPriority w:val="0"/>
    <w:pPr>
      <w:keepNext/>
      <w:keepLines/>
      <w:spacing w:before="120" w:beforeLines="0" w:after="120" w:afterLines="0"/>
      <w:jc w:val="center"/>
      <w:outlineLvl w:val="2"/>
    </w:pPr>
    <w:rPr>
      <w:sz w:val="24"/>
    </w:rPr>
  </w:style>
  <w:style w:type="paragraph" w:customStyle="1" w:styleId="128">
    <w:name w:val="页脚 New New New New New New New New New New"/>
    <w:basedOn w:val="70"/>
    <w:qFormat/>
    <w:uiPriority w:val="0"/>
    <w:pPr>
      <w:widowControl/>
      <w:tabs>
        <w:tab w:val="center" w:pos="4153"/>
        <w:tab w:val="right" w:pos="8306"/>
      </w:tabs>
      <w:snapToGrid w:val="0"/>
      <w:jc w:val="left"/>
    </w:pPr>
    <w:rPr>
      <w:rFonts w:ascii="宋体" w:eastAsia="宋体"/>
      <w:sz w:val="18"/>
      <w:lang w:val="en-US" w:eastAsia="zh-CN" w:bidi="ar-SA"/>
    </w:rPr>
  </w:style>
  <w:style w:type="paragraph" w:customStyle="1" w:styleId="129">
    <w:name w:val="页眉 New New New New New New New New"/>
    <w:basedOn w:val="130"/>
    <w:qFormat/>
    <w:uiPriority w:val="0"/>
    <w:pPr>
      <w:widowControl/>
      <w:pBdr>
        <w:bottom w:val="single" w:color="auto" w:sz="6" w:space="1"/>
      </w:pBdr>
      <w:tabs>
        <w:tab w:val="center" w:pos="4153"/>
        <w:tab w:val="right" w:pos="8306"/>
      </w:tabs>
      <w:snapToGrid w:val="0"/>
      <w:jc w:val="center"/>
    </w:pPr>
    <w:rPr>
      <w:rFonts w:ascii="宋体" w:eastAsia="宋体"/>
      <w:sz w:val="18"/>
      <w:lang w:val="en-US" w:eastAsia="zh-CN" w:bidi="ar-SA"/>
    </w:rPr>
  </w:style>
  <w:style w:type="paragraph" w:customStyle="1" w:styleId="130">
    <w:name w:val="正文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131">
    <w:name w:val="页眉 New New New New New"/>
    <w:basedOn w:val="88"/>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customStyle="1" w:styleId="132">
    <w:name w:val="页脚 New New New New New New New New New New New New New"/>
    <w:basedOn w:val="98"/>
    <w:qFormat/>
    <w:uiPriority w:val="0"/>
    <w:pPr>
      <w:widowControl/>
      <w:tabs>
        <w:tab w:val="center" w:pos="4153"/>
        <w:tab w:val="right" w:pos="8306"/>
      </w:tabs>
      <w:snapToGrid w:val="0"/>
      <w:jc w:val="left"/>
    </w:pPr>
    <w:rPr>
      <w:rFonts w:ascii="宋体" w:eastAsia="宋体"/>
      <w:sz w:val="18"/>
      <w:lang w:val="en-US" w:eastAsia="zh-CN" w:bidi="ar-SA"/>
    </w:rPr>
  </w:style>
  <w:style w:type="paragraph" w:customStyle="1" w:styleId="133">
    <w:name w:val="正文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34">
    <w:name w:val="正文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35">
    <w:name w:val="正文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36">
    <w:name w:val="正文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37">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8">
    <w:name w:val="页脚 New New New New New New New New New New New"/>
    <w:basedOn w:val="130"/>
    <w:qFormat/>
    <w:uiPriority w:val="0"/>
    <w:pPr>
      <w:widowControl/>
      <w:tabs>
        <w:tab w:val="center" w:pos="4153"/>
        <w:tab w:val="right" w:pos="8306"/>
      </w:tabs>
      <w:snapToGrid w:val="0"/>
      <w:jc w:val="left"/>
    </w:pPr>
    <w:rPr>
      <w:rFonts w:ascii="宋体" w:eastAsia="宋体"/>
      <w:sz w:val="18"/>
      <w:lang w:val="en-US" w:eastAsia="zh-CN" w:bidi="ar-SA"/>
    </w:rPr>
  </w:style>
  <w:style w:type="paragraph" w:customStyle="1" w:styleId="139">
    <w:name w:val="正文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40">
    <w:name w:val="正文 New New New New New New New New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2"/>
      <w:lang w:val="en-US" w:eastAsia="zh-CN" w:bidi="ar-SA"/>
    </w:rPr>
  </w:style>
  <w:style w:type="paragraph" w:customStyle="1" w:styleId="141">
    <w:name w:val="普通(网站) New"/>
    <w:basedOn w:val="88"/>
    <w:qFormat/>
    <w:uiPriority w:val="0"/>
    <w:rPr>
      <w:sz w:val="24"/>
    </w:rPr>
  </w:style>
  <w:style w:type="paragraph" w:customStyle="1" w:styleId="142">
    <w:name w:val="页脚 New New New New New New New New"/>
    <w:basedOn w:val="139"/>
    <w:qFormat/>
    <w:uiPriority w:val="0"/>
    <w:pPr>
      <w:tabs>
        <w:tab w:val="center" w:pos="4153"/>
        <w:tab w:val="right" w:pos="8306"/>
      </w:tabs>
      <w:snapToGrid w:val="0"/>
      <w:jc w:val="left"/>
    </w:pPr>
    <w:rPr>
      <w:kern w:val="2"/>
      <w:sz w:val="18"/>
      <w:szCs w:val="18"/>
    </w:rPr>
  </w:style>
  <w:style w:type="paragraph" w:customStyle="1" w:styleId="143">
    <w:name w:val="标题 2 New"/>
    <w:basedOn w:val="137"/>
    <w:qFormat/>
    <w:uiPriority w:val="0"/>
    <w:pPr>
      <w:widowControl/>
      <w:spacing w:before="100" w:beforeLines="0" w:beforeAutospacing="1" w:after="100" w:afterLines="0" w:afterAutospacing="1"/>
      <w:jc w:val="left"/>
      <w:outlineLvl w:val="1"/>
    </w:pPr>
    <w:rPr>
      <w:rFonts w:ascii="宋体" w:hAnsi="宋体" w:cs="宋体"/>
      <w:b/>
      <w:bCs/>
      <w:kern w:val="0"/>
      <w:sz w:val="36"/>
      <w:szCs w:val="36"/>
    </w:rPr>
  </w:style>
  <w:style w:type="paragraph" w:customStyle="1" w:styleId="144">
    <w:name w:val="blockquote"/>
    <w:basedOn w:val="1"/>
    <w:qFormat/>
    <w:uiPriority w:val="0"/>
    <w:pPr>
      <w:widowControl/>
      <w:spacing w:before="100" w:beforeLines="0" w:beforeAutospacing="1" w:after="100" w:afterLines="0" w:afterAutospacing="1" w:line="240" w:lineRule="auto"/>
      <w:jc w:val="left"/>
    </w:pPr>
    <w:rPr>
      <w:rFonts w:hAnsi="宋体"/>
      <w:kern w:val="0"/>
    </w:rPr>
  </w:style>
  <w:style w:type="paragraph" w:customStyle="1" w:styleId="145">
    <w:name w:val="纯文本 New"/>
    <w:basedOn w:val="56"/>
    <w:qFormat/>
    <w:uiPriority w:val="0"/>
    <w:rPr>
      <w:rFonts w:ascii="宋体" w:hAnsi="Courier New" w:eastAsia="楷体_GB2312"/>
      <w:kern w:val="2"/>
      <w:sz w:val="21"/>
      <w:szCs w:val="24"/>
      <w:lang w:val="en-US" w:eastAsia="zh-CN" w:bidi="ar-SA"/>
    </w:rPr>
  </w:style>
  <w:style w:type="paragraph" w:customStyle="1" w:styleId="146">
    <w:name w:val="页脚 New"/>
    <w:basedOn w:val="77"/>
    <w:qFormat/>
    <w:uiPriority w:val="0"/>
    <w:pPr>
      <w:tabs>
        <w:tab w:val="center" w:pos="4153"/>
        <w:tab w:val="right" w:pos="8306"/>
      </w:tabs>
      <w:snapToGrid w:val="0"/>
      <w:jc w:val="left"/>
    </w:pPr>
    <w:rPr>
      <w:sz w:val="18"/>
      <w:szCs w:val="18"/>
    </w:rPr>
  </w:style>
  <w:style w:type="paragraph" w:customStyle="1" w:styleId="147">
    <w:name w:val="_Style 1"/>
    <w:basedOn w:val="1"/>
    <w:qFormat/>
    <w:uiPriority w:val="0"/>
    <w:pPr>
      <w:spacing w:line="240" w:lineRule="auto"/>
      <w:ind w:firstLine="420" w:firstLineChars="200"/>
    </w:pPr>
    <w:rPr>
      <w:rFonts w:ascii="Calibri" w:hAnsi="Calibri"/>
      <w:sz w:val="21"/>
      <w:szCs w:val="22"/>
    </w:rPr>
  </w:style>
  <w:style w:type="paragraph" w:customStyle="1" w:styleId="148">
    <w:name w:val="文一"/>
    <w:basedOn w:val="1"/>
    <w:qFormat/>
    <w:uiPriority w:val="0"/>
    <w:pPr>
      <w:topLinePunct/>
      <w:adjustRightInd w:val="0"/>
      <w:snapToGrid w:val="0"/>
      <w:ind w:firstLine="200" w:firstLineChars="200"/>
    </w:pPr>
    <w:rPr>
      <w:rFonts w:hint="default" w:ascii="Calibri" w:hAnsi="Calibri" w:eastAsia="宋体" w:cs="Times New Roman"/>
      <w:snapToGrid w:val="0"/>
      <w:spacing w:val="4"/>
      <w:kern w:val="0"/>
      <w:szCs w:val="22"/>
    </w:rPr>
  </w:style>
  <w:style w:type="paragraph" w:customStyle="1" w:styleId="149">
    <w:name w:val="UserStyle_19"/>
    <w:qFormat/>
    <w:uiPriority w:val="99"/>
    <w:pPr>
      <w:jc w:val="both"/>
      <w:textAlignment w:val="baseline"/>
    </w:pPr>
    <w:rPr>
      <w:rFonts w:ascii="Times New Roman" w:hAnsi="Times New Roman" w:eastAsia="宋体" w:cs="Times New Roman"/>
      <w:kern w:val="2"/>
      <w:sz w:val="21"/>
      <w:szCs w:val="21"/>
      <w:lang w:val="en-US" w:eastAsia="zh-CN" w:bidi="ar-SA"/>
    </w:rPr>
  </w:style>
  <w:style w:type="character" w:customStyle="1" w:styleId="150">
    <w:name w:val="NormalCharacter"/>
    <w:semiHidden/>
    <w:qFormat/>
    <w:uiPriority w:val="0"/>
    <w:rPr>
      <w:rFonts w:ascii="宋体"/>
      <w:kern w:val="2"/>
      <w:sz w:val="24"/>
      <w:lang w:val="en-US" w:eastAsia="zh-CN" w:bidi="ar-SA"/>
    </w:rPr>
  </w:style>
  <w:style w:type="paragraph" w:customStyle="1" w:styleId="151">
    <w:name w:val="UserStyle_76"/>
    <w:basedOn w:val="152"/>
    <w:qFormat/>
    <w:uiPriority w:val="99"/>
    <w:pPr>
      <w:ind w:firstLine="420"/>
      <w:jc w:val="left"/>
    </w:pPr>
    <w:rPr>
      <w:kern w:val="0"/>
      <w:sz w:val="20"/>
      <w:szCs w:val="20"/>
    </w:rPr>
  </w:style>
  <w:style w:type="paragraph" w:customStyle="1" w:styleId="152">
    <w:name w:val="UserStyle_15"/>
    <w:qFormat/>
    <w:uiPriority w:val="99"/>
    <w:pPr>
      <w:spacing w:line="360" w:lineRule="auto"/>
      <w:jc w:val="both"/>
      <w:textAlignment w:val="baseline"/>
    </w:pPr>
    <w:rPr>
      <w:rFonts w:ascii="宋体" w:hAnsi="Times New Roman" w:eastAsia="宋体" w:cs="宋体"/>
      <w:kern w:val="2"/>
      <w:sz w:val="24"/>
      <w:szCs w:val="24"/>
      <w:lang w:val="en-US" w:eastAsia="zh-CN" w:bidi="ar-SA"/>
    </w:rPr>
  </w:style>
  <w:style w:type="paragraph" w:customStyle="1" w:styleId="153">
    <w:name w:val="Heading2"/>
    <w:basedOn w:val="1"/>
    <w:next w:val="1"/>
    <w:qFormat/>
    <w:uiPriority w:val="99"/>
    <w:pPr>
      <w:jc w:val="left"/>
    </w:pPr>
    <w:rPr>
      <w:kern w:val="0"/>
    </w:rPr>
  </w:style>
  <w:style w:type="paragraph" w:customStyle="1" w:styleId="154">
    <w:name w:val="Table Text"/>
    <w:basedOn w:val="1"/>
    <w:semiHidden/>
    <w:qFormat/>
    <w:uiPriority w:val="0"/>
    <w:rPr>
      <w:rFonts w:ascii="宋体" w:hAnsi="宋体" w:eastAsia="宋体" w:cs="宋体"/>
      <w:sz w:val="19"/>
      <w:szCs w:val="19"/>
      <w:lang w:val="en-US" w:eastAsia="en-US" w:bidi="ar-SA"/>
    </w:rPr>
  </w:style>
  <w:style w:type="character" w:customStyle="1" w:styleId="155">
    <w:name w:val="标题 3 Char"/>
    <w:link w:val="4"/>
    <w:qFormat/>
    <w:uiPriority w:val="0"/>
    <w:rPr>
      <w:rFonts w:ascii="宋体" w:hAnsi="宋体" w:eastAsia="宋体"/>
      <w:b/>
      <w:sz w:val="24"/>
    </w:rPr>
  </w:style>
  <w:style w:type="table" w:customStyle="1" w:styleId="156">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26700;&#38754;\Norma3"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Norma3</Template>
  <Company>1</Company>
  <Pages>78</Pages>
  <Words>32958</Words>
  <Characters>35637</Characters>
  <Lines>721</Lines>
  <Paragraphs>203</Paragraphs>
  <TotalTime>14</TotalTime>
  <ScaleCrop>false</ScaleCrop>
  <LinksUpToDate>false</LinksUpToDate>
  <CharactersWithSpaces>36108</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2022-12-20T03:27:00Z</dcterms:created>
  <dc:creator>kingsons</dc:creator>
  <cp:lastModifiedBy>妮子</cp:lastModifiedBy>
  <cp:lastPrinted>2024-12-30T01:13:00Z</cp:lastPrinted>
  <dcterms:modified xsi:type="dcterms:W3CDTF">2025-11-04T09:55:02Z</dcterms:modified>
  <dc:title>广东省韶关学院第三期学生公寓第一、二组团工程施工</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C0F5A6E8A1F44BEC87C1DA1D38289D7A_13</vt:lpwstr>
  </property>
  <property fmtid="{D5CDD505-2E9C-101B-9397-08002B2CF9AE}" pid="4" name="ribbonExt">
    <vt:lpwstr>{"WPSExtOfficeTab":{"OnGetEnabled":false,"OnGetVisible":false}}</vt:lpwstr>
  </property>
  <property fmtid="{D5CDD505-2E9C-101B-9397-08002B2CF9AE}" pid="5" name="KSOTemplateDocerSaveRecord">
    <vt:lpwstr>eyJoZGlkIjoiNzJlODJlZWIyMWViOTBjNDFkZDAwODdjNDFmYTk2MjUiLCJ1c2VySWQiOiIxMzczNjgyNDAzIn0=</vt:lpwstr>
  </property>
</Properties>
</file>